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72ADEF">
      <w:pPr>
        <w:adjustRightInd w:val="0"/>
        <w:snapToGrid w:val="0"/>
        <w:jc w:val="left"/>
        <w:outlineLvl w:val="1"/>
        <w:rPr>
          <w:b/>
          <w:color w:val="000000" w:themeColor="text1"/>
          <w:sz w:val="32"/>
        </w:rPr>
      </w:pPr>
      <w:bookmarkStart w:id="0" w:name="_Toc355609308"/>
      <w:r>
        <w:rPr>
          <w:rFonts w:hint="eastAsia"/>
          <w:b/>
          <w:color w:val="000000" w:themeColor="text1"/>
          <w:sz w:val="32"/>
        </w:rPr>
        <w:t>建设项目基本情况</w:t>
      </w:r>
      <w:bookmarkEnd w:id="0"/>
    </w:p>
    <w:tbl>
      <w:tblPr>
        <w:tblStyle w:val="19"/>
        <w:tblW w:w="8504"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
      <w:tblGrid>
        <w:gridCol w:w="1269"/>
        <w:gridCol w:w="1545"/>
        <w:gridCol w:w="465"/>
        <w:gridCol w:w="1080"/>
        <w:gridCol w:w="1177"/>
        <w:gridCol w:w="1713"/>
        <w:gridCol w:w="170"/>
        <w:gridCol w:w="1085"/>
      </w:tblGrid>
      <w:tr w14:paraId="2DD57B8A">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454" w:hRule="atLeast"/>
        </w:trPr>
        <w:tc>
          <w:tcPr>
            <w:tcW w:w="1269" w:type="dxa"/>
            <w:tcBorders>
              <w:top w:val="single" w:color="auto" w:sz="12" w:space="0"/>
              <w:right w:val="single" w:color="auto" w:sz="4" w:space="0"/>
            </w:tcBorders>
            <w:vAlign w:val="center"/>
          </w:tcPr>
          <w:p w14:paraId="3B41408D">
            <w:pPr>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项目名称</w:t>
            </w:r>
          </w:p>
        </w:tc>
        <w:tc>
          <w:tcPr>
            <w:tcW w:w="7235" w:type="dxa"/>
            <w:gridSpan w:val="7"/>
            <w:tcBorders>
              <w:top w:val="single" w:color="auto" w:sz="12" w:space="0"/>
              <w:left w:val="single" w:color="auto" w:sz="4" w:space="0"/>
            </w:tcBorders>
            <w:vAlign w:val="center"/>
          </w:tcPr>
          <w:p w14:paraId="798C8DCE">
            <w:pPr>
              <w:jc w:val="center"/>
              <w:rPr>
                <w:rFonts w:hint="default" w:ascii="Times New Roman" w:hAnsi="Times New Roman" w:eastAsia="宋体" w:cs="Times New Roman"/>
                <w:color w:val="000000" w:themeColor="text1"/>
                <w:sz w:val="24"/>
                <w:szCs w:val="24"/>
                <w:lang w:eastAsia="zh-CN"/>
              </w:rPr>
            </w:pPr>
            <w:r>
              <w:rPr>
                <w:rFonts w:hint="default" w:ascii="Times New Roman" w:hAnsi="Times New Roman" w:eastAsia="宋体" w:cs="Times New Roman"/>
                <w:color w:val="000000" w:themeColor="text1"/>
                <w:lang w:eastAsia="zh-CN"/>
              </w:rPr>
              <w:t>昌吉市顺捷天然气有限公司改扩建项目</w:t>
            </w:r>
          </w:p>
        </w:tc>
      </w:tr>
      <w:tr w14:paraId="1968EE7B">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454" w:hRule="atLeast"/>
        </w:trPr>
        <w:tc>
          <w:tcPr>
            <w:tcW w:w="1269" w:type="dxa"/>
            <w:tcBorders>
              <w:right w:val="single" w:color="auto" w:sz="4" w:space="0"/>
            </w:tcBorders>
            <w:vAlign w:val="center"/>
          </w:tcPr>
          <w:p w14:paraId="6232F228">
            <w:pPr>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建设单位</w:t>
            </w:r>
          </w:p>
        </w:tc>
        <w:tc>
          <w:tcPr>
            <w:tcW w:w="7235" w:type="dxa"/>
            <w:gridSpan w:val="7"/>
            <w:tcBorders>
              <w:left w:val="single" w:color="auto" w:sz="4" w:space="0"/>
            </w:tcBorders>
            <w:vAlign w:val="center"/>
          </w:tcPr>
          <w:p w14:paraId="47892512">
            <w:pPr>
              <w:jc w:val="center"/>
              <w:rPr>
                <w:rFonts w:hint="default" w:ascii="Times New Roman" w:hAnsi="Times New Roman" w:eastAsia="宋体" w:cs="Times New Roman"/>
                <w:color w:val="000000" w:themeColor="text1"/>
                <w:sz w:val="24"/>
                <w:szCs w:val="24"/>
                <w:lang w:eastAsia="zh-CN"/>
              </w:rPr>
            </w:pPr>
            <w:bookmarkStart w:id="1" w:name="OLE_LINK1"/>
            <w:r>
              <w:rPr>
                <w:rFonts w:hint="default" w:ascii="Times New Roman" w:hAnsi="Times New Roman" w:eastAsia="宋体" w:cs="Times New Roman"/>
                <w:color w:val="000000" w:themeColor="text1"/>
                <w:lang w:eastAsia="zh-CN"/>
              </w:rPr>
              <w:t>昌吉市顺捷天然气有限公司</w:t>
            </w:r>
            <w:bookmarkEnd w:id="1"/>
          </w:p>
        </w:tc>
      </w:tr>
      <w:tr w14:paraId="71B3B43F">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454" w:hRule="atLeast"/>
        </w:trPr>
        <w:tc>
          <w:tcPr>
            <w:tcW w:w="1269" w:type="dxa"/>
            <w:tcBorders>
              <w:right w:val="single" w:color="auto" w:sz="4" w:space="0"/>
            </w:tcBorders>
            <w:vAlign w:val="center"/>
          </w:tcPr>
          <w:p w14:paraId="791DECA7">
            <w:pPr>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法人代表</w:t>
            </w:r>
          </w:p>
        </w:tc>
        <w:tc>
          <w:tcPr>
            <w:tcW w:w="3090" w:type="dxa"/>
            <w:gridSpan w:val="3"/>
            <w:tcBorders>
              <w:left w:val="single" w:color="auto" w:sz="4" w:space="0"/>
              <w:right w:val="single" w:color="auto" w:sz="4" w:space="0"/>
            </w:tcBorders>
            <w:vAlign w:val="center"/>
          </w:tcPr>
          <w:p w14:paraId="73A7E2FD">
            <w:pPr>
              <w:jc w:val="center"/>
              <w:rPr>
                <w:rFonts w:hint="default" w:ascii="Times New Roman" w:hAnsi="Times New Roman" w:eastAsia="宋体" w:cs="Times New Roman"/>
                <w:color w:val="000000" w:themeColor="text1"/>
                <w:sz w:val="24"/>
                <w:szCs w:val="24"/>
                <w:lang w:val="en-US" w:eastAsia="zh-CN"/>
              </w:rPr>
            </w:pPr>
            <w:r>
              <w:rPr>
                <w:rFonts w:hint="default" w:ascii="Times New Roman" w:hAnsi="Times New Roman" w:eastAsia="宋体" w:cs="Times New Roman"/>
                <w:color w:val="000000" w:themeColor="text1"/>
                <w:sz w:val="24"/>
                <w:szCs w:val="24"/>
                <w:lang w:val="en-US" w:eastAsia="zh-CN"/>
              </w:rPr>
              <w:t>何文新</w:t>
            </w:r>
          </w:p>
        </w:tc>
        <w:tc>
          <w:tcPr>
            <w:tcW w:w="1177" w:type="dxa"/>
            <w:tcBorders>
              <w:left w:val="single" w:color="auto" w:sz="4" w:space="0"/>
              <w:right w:val="single" w:color="auto" w:sz="4" w:space="0"/>
            </w:tcBorders>
            <w:vAlign w:val="center"/>
          </w:tcPr>
          <w:p w14:paraId="565CF22E">
            <w:pPr>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联系人</w:t>
            </w:r>
          </w:p>
        </w:tc>
        <w:tc>
          <w:tcPr>
            <w:tcW w:w="2968" w:type="dxa"/>
            <w:gridSpan w:val="3"/>
            <w:tcBorders>
              <w:left w:val="single" w:color="auto" w:sz="4" w:space="0"/>
            </w:tcBorders>
            <w:vAlign w:val="center"/>
          </w:tcPr>
          <w:p w14:paraId="789DF53D">
            <w:pPr>
              <w:jc w:val="center"/>
              <w:rPr>
                <w:rFonts w:hint="default" w:ascii="Times New Roman" w:hAnsi="Times New Roman" w:eastAsia="宋体" w:cs="Times New Roman"/>
                <w:color w:val="000000" w:themeColor="text1"/>
                <w:sz w:val="24"/>
                <w:szCs w:val="24"/>
                <w:lang w:eastAsia="zh-CN"/>
              </w:rPr>
            </w:pPr>
            <w:r>
              <w:rPr>
                <w:rFonts w:hint="default" w:ascii="Times New Roman" w:hAnsi="Times New Roman" w:eastAsia="宋体" w:cs="Times New Roman"/>
                <w:color w:val="000000" w:themeColor="text1"/>
                <w:sz w:val="24"/>
                <w:szCs w:val="24"/>
                <w:lang w:val="en-US" w:eastAsia="zh-CN"/>
              </w:rPr>
              <w:t>何文新</w:t>
            </w:r>
          </w:p>
        </w:tc>
      </w:tr>
      <w:tr w14:paraId="4865070D">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454" w:hRule="atLeast"/>
        </w:trPr>
        <w:tc>
          <w:tcPr>
            <w:tcW w:w="1269" w:type="dxa"/>
            <w:tcBorders>
              <w:right w:val="single" w:color="auto" w:sz="4" w:space="0"/>
            </w:tcBorders>
            <w:vAlign w:val="center"/>
          </w:tcPr>
          <w:p w14:paraId="565AB9BC">
            <w:pPr>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通讯地址</w:t>
            </w:r>
          </w:p>
        </w:tc>
        <w:tc>
          <w:tcPr>
            <w:tcW w:w="7235" w:type="dxa"/>
            <w:gridSpan w:val="7"/>
            <w:tcBorders>
              <w:left w:val="single" w:color="auto" w:sz="4" w:space="0"/>
            </w:tcBorders>
            <w:vAlign w:val="center"/>
          </w:tcPr>
          <w:p w14:paraId="1BCFAB95">
            <w:pPr>
              <w:jc w:val="center"/>
              <w:rPr>
                <w:rFonts w:hint="default" w:ascii="Times New Roman" w:hAnsi="Times New Roman" w:eastAsia="宋体" w:cs="Times New Roman"/>
                <w:color w:val="000000" w:themeColor="text1"/>
                <w:sz w:val="24"/>
                <w:szCs w:val="24"/>
                <w:lang w:eastAsia="zh-CN"/>
              </w:rPr>
            </w:pPr>
            <w:bookmarkStart w:id="2" w:name="OLE_LINK5"/>
            <w:r>
              <w:rPr>
                <w:rFonts w:hint="default" w:ascii="Times New Roman" w:hAnsi="Times New Roman" w:eastAsia="宋体" w:cs="Times New Roman"/>
                <w:color w:val="000000" w:themeColor="text1"/>
                <w:lang w:eastAsia="zh-CN"/>
              </w:rPr>
              <w:t>昌吉高新</w:t>
            </w:r>
            <w:r>
              <w:rPr>
                <w:rFonts w:hint="eastAsia" w:ascii="Times New Roman" w:hAnsi="Times New Roman" w:cs="Times New Roman"/>
                <w:color w:val="000000" w:themeColor="text1"/>
                <w:lang w:val="en-US" w:eastAsia="zh-CN"/>
              </w:rPr>
              <w:t>技术</w:t>
            </w:r>
            <w:r>
              <w:rPr>
                <w:rFonts w:hint="default" w:ascii="Times New Roman" w:hAnsi="Times New Roman" w:eastAsia="宋体" w:cs="Times New Roman"/>
                <w:color w:val="000000" w:themeColor="text1"/>
                <w:lang w:eastAsia="zh-CN"/>
              </w:rPr>
              <w:t>产业开发区北环东路</w:t>
            </w:r>
            <w:r>
              <w:rPr>
                <w:rFonts w:hint="default" w:ascii="Times New Roman" w:hAnsi="Times New Roman" w:eastAsia="宋体" w:cs="Times New Roman"/>
                <w:color w:val="000000" w:themeColor="text1"/>
                <w:lang w:val="en-US" w:eastAsia="zh-CN"/>
              </w:rPr>
              <w:t>10号</w:t>
            </w:r>
            <w:bookmarkEnd w:id="2"/>
          </w:p>
        </w:tc>
      </w:tr>
      <w:tr w14:paraId="6015150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454" w:hRule="atLeast"/>
        </w:trPr>
        <w:tc>
          <w:tcPr>
            <w:tcW w:w="1269" w:type="dxa"/>
            <w:tcBorders>
              <w:right w:val="single" w:color="auto" w:sz="4" w:space="0"/>
            </w:tcBorders>
            <w:vAlign w:val="center"/>
          </w:tcPr>
          <w:p w14:paraId="6269ED59">
            <w:pPr>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联系电话</w:t>
            </w:r>
          </w:p>
        </w:tc>
        <w:tc>
          <w:tcPr>
            <w:tcW w:w="2010" w:type="dxa"/>
            <w:gridSpan w:val="2"/>
            <w:tcBorders>
              <w:left w:val="single" w:color="auto" w:sz="4" w:space="0"/>
              <w:right w:val="single" w:color="auto" w:sz="4" w:space="0"/>
            </w:tcBorders>
            <w:vAlign w:val="center"/>
          </w:tcPr>
          <w:p w14:paraId="7893474E">
            <w:pPr>
              <w:jc w:val="center"/>
              <w:rPr>
                <w:rFonts w:hint="default" w:ascii="Times New Roman" w:hAnsi="Times New Roman" w:eastAsia="宋体" w:cs="Times New Roman"/>
                <w:color w:val="000000" w:themeColor="text1"/>
                <w:sz w:val="24"/>
                <w:szCs w:val="24"/>
                <w:lang w:val="en-US" w:eastAsia="zh-CN"/>
              </w:rPr>
            </w:pPr>
            <w:r>
              <w:rPr>
                <w:rFonts w:hint="default" w:ascii="Times New Roman" w:hAnsi="Times New Roman" w:eastAsia="宋体" w:cs="Times New Roman"/>
                <w:color w:val="000000" w:themeColor="text1"/>
                <w:sz w:val="24"/>
                <w:szCs w:val="24"/>
                <w:lang w:val="en-US" w:eastAsia="zh-CN"/>
              </w:rPr>
              <w:t>13579295498</w:t>
            </w:r>
          </w:p>
        </w:tc>
        <w:tc>
          <w:tcPr>
            <w:tcW w:w="1080" w:type="dxa"/>
            <w:tcBorders>
              <w:left w:val="single" w:color="auto" w:sz="4" w:space="0"/>
              <w:right w:val="single" w:color="auto" w:sz="4" w:space="0"/>
            </w:tcBorders>
            <w:vAlign w:val="center"/>
          </w:tcPr>
          <w:p w14:paraId="7A23DA85">
            <w:pPr>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传真</w:t>
            </w:r>
          </w:p>
        </w:tc>
        <w:tc>
          <w:tcPr>
            <w:tcW w:w="1177" w:type="dxa"/>
            <w:tcBorders>
              <w:left w:val="single" w:color="auto" w:sz="4" w:space="0"/>
              <w:right w:val="single" w:color="auto" w:sz="4" w:space="0"/>
            </w:tcBorders>
            <w:vAlign w:val="center"/>
          </w:tcPr>
          <w:p w14:paraId="129F9939">
            <w:pPr>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w:t>
            </w:r>
          </w:p>
        </w:tc>
        <w:tc>
          <w:tcPr>
            <w:tcW w:w="1713" w:type="dxa"/>
            <w:tcBorders>
              <w:left w:val="single" w:color="auto" w:sz="4" w:space="0"/>
              <w:right w:val="single" w:color="auto" w:sz="4" w:space="0"/>
            </w:tcBorders>
            <w:vAlign w:val="center"/>
          </w:tcPr>
          <w:p w14:paraId="29B249A6">
            <w:pPr>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邮政编码</w:t>
            </w:r>
          </w:p>
        </w:tc>
        <w:tc>
          <w:tcPr>
            <w:tcW w:w="1255" w:type="dxa"/>
            <w:gridSpan w:val="2"/>
            <w:tcBorders>
              <w:left w:val="single" w:color="auto" w:sz="4" w:space="0"/>
            </w:tcBorders>
            <w:vAlign w:val="center"/>
          </w:tcPr>
          <w:p w14:paraId="61D90551">
            <w:pPr>
              <w:jc w:val="center"/>
              <w:rPr>
                <w:rFonts w:hint="default" w:ascii="Times New Roman" w:hAnsi="Times New Roman" w:eastAsia="宋体" w:cs="Times New Roman"/>
                <w:color w:val="000000" w:themeColor="text1"/>
                <w:sz w:val="24"/>
                <w:szCs w:val="24"/>
                <w:lang w:val="en-US" w:eastAsia="zh-CN"/>
              </w:rPr>
            </w:pPr>
            <w:r>
              <w:rPr>
                <w:rFonts w:hint="default" w:ascii="Times New Roman" w:hAnsi="Times New Roman" w:eastAsia="宋体" w:cs="Times New Roman"/>
                <w:color w:val="000000" w:themeColor="text1"/>
                <w:sz w:val="24"/>
                <w:szCs w:val="24"/>
                <w:lang w:val="en-US" w:eastAsia="zh-CN"/>
              </w:rPr>
              <w:t>831100</w:t>
            </w:r>
          </w:p>
        </w:tc>
      </w:tr>
      <w:tr w14:paraId="0EB6948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454" w:hRule="atLeast"/>
        </w:trPr>
        <w:tc>
          <w:tcPr>
            <w:tcW w:w="1269" w:type="dxa"/>
            <w:tcBorders>
              <w:right w:val="single" w:color="auto" w:sz="4" w:space="0"/>
            </w:tcBorders>
            <w:vAlign w:val="center"/>
          </w:tcPr>
          <w:p w14:paraId="3B82DEE3">
            <w:pPr>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建设地点</w:t>
            </w:r>
          </w:p>
        </w:tc>
        <w:tc>
          <w:tcPr>
            <w:tcW w:w="7235" w:type="dxa"/>
            <w:gridSpan w:val="7"/>
            <w:tcBorders>
              <w:left w:val="single" w:color="auto" w:sz="4" w:space="0"/>
            </w:tcBorders>
            <w:vAlign w:val="center"/>
          </w:tcPr>
          <w:p w14:paraId="65925090">
            <w:pPr>
              <w:jc w:val="center"/>
              <w:rPr>
                <w:rFonts w:hint="default" w:ascii="Times New Roman" w:hAnsi="Times New Roman" w:eastAsia="宋体" w:cs="Times New Roman"/>
                <w:color w:val="000000" w:themeColor="text1"/>
                <w:sz w:val="24"/>
                <w:szCs w:val="24"/>
                <w:lang w:eastAsia="zh-CN"/>
              </w:rPr>
            </w:pPr>
            <w:r>
              <w:rPr>
                <w:rFonts w:hint="default" w:ascii="Times New Roman" w:hAnsi="Times New Roman" w:eastAsia="宋体" w:cs="Times New Roman"/>
                <w:color w:val="000000" w:themeColor="text1"/>
                <w:lang w:eastAsia="zh-CN"/>
              </w:rPr>
              <w:t>昌吉高新</w:t>
            </w:r>
            <w:r>
              <w:rPr>
                <w:rFonts w:hint="eastAsia" w:ascii="Times New Roman" w:hAnsi="Times New Roman" w:cs="Times New Roman"/>
                <w:color w:val="000000" w:themeColor="text1"/>
                <w:lang w:val="en-US" w:eastAsia="zh-CN"/>
              </w:rPr>
              <w:t>技术</w:t>
            </w:r>
            <w:r>
              <w:rPr>
                <w:rFonts w:hint="default" w:ascii="Times New Roman" w:hAnsi="Times New Roman" w:eastAsia="宋体" w:cs="Times New Roman"/>
                <w:color w:val="000000" w:themeColor="text1"/>
                <w:lang w:eastAsia="zh-CN"/>
              </w:rPr>
              <w:t>产业开发区北环东路</w:t>
            </w:r>
            <w:r>
              <w:rPr>
                <w:rFonts w:hint="default" w:ascii="Times New Roman" w:hAnsi="Times New Roman" w:eastAsia="宋体" w:cs="Times New Roman"/>
                <w:color w:val="000000" w:themeColor="text1"/>
                <w:lang w:val="en-US" w:eastAsia="zh-CN"/>
              </w:rPr>
              <w:t>10号</w:t>
            </w:r>
          </w:p>
        </w:tc>
      </w:tr>
      <w:tr w14:paraId="1BF5537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454" w:hRule="atLeast"/>
        </w:trPr>
        <w:tc>
          <w:tcPr>
            <w:tcW w:w="1269" w:type="dxa"/>
            <w:tcBorders>
              <w:right w:val="single" w:color="auto" w:sz="4" w:space="0"/>
            </w:tcBorders>
            <w:vAlign w:val="center"/>
          </w:tcPr>
          <w:p w14:paraId="239381A8">
            <w:pPr>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立项审批部门</w:t>
            </w:r>
          </w:p>
        </w:tc>
        <w:tc>
          <w:tcPr>
            <w:tcW w:w="3090" w:type="dxa"/>
            <w:gridSpan w:val="3"/>
            <w:tcBorders>
              <w:left w:val="single" w:color="auto" w:sz="4" w:space="0"/>
              <w:right w:val="single" w:color="auto" w:sz="4" w:space="0"/>
            </w:tcBorders>
            <w:vAlign w:val="center"/>
          </w:tcPr>
          <w:p w14:paraId="7D497FE4">
            <w:pPr>
              <w:jc w:val="center"/>
              <w:rPr>
                <w:rFonts w:hint="default" w:ascii="Times New Roman" w:hAnsi="Times New Roman" w:eastAsia="宋体"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昌吉高新区产业发展科技局</w:t>
            </w:r>
          </w:p>
        </w:tc>
        <w:tc>
          <w:tcPr>
            <w:tcW w:w="1177" w:type="dxa"/>
            <w:tcBorders>
              <w:left w:val="single" w:color="auto" w:sz="4" w:space="0"/>
              <w:right w:val="single" w:color="auto" w:sz="4" w:space="0"/>
            </w:tcBorders>
            <w:vAlign w:val="center"/>
          </w:tcPr>
          <w:p w14:paraId="3524D5A9">
            <w:pPr>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批准文号</w:t>
            </w:r>
          </w:p>
        </w:tc>
        <w:tc>
          <w:tcPr>
            <w:tcW w:w="2968" w:type="dxa"/>
            <w:gridSpan w:val="3"/>
            <w:tcBorders>
              <w:left w:val="single" w:color="auto" w:sz="4" w:space="0"/>
            </w:tcBorders>
            <w:vAlign w:val="center"/>
          </w:tcPr>
          <w:p w14:paraId="7D46BCAB">
            <w:pPr>
              <w:jc w:val="center"/>
              <w:rPr>
                <w:rFonts w:hint="default" w:ascii="Times New Roman" w:hAnsi="Times New Roman" w:eastAsia="宋体"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昌高产发【2018】66号</w:t>
            </w:r>
          </w:p>
        </w:tc>
      </w:tr>
      <w:tr w14:paraId="50C19DF1">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454" w:hRule="atLeast"/>
        </w:trPr>
        <w:tc>
          <w:tcPr>
            <w:tcW w:w="1269" w:type="dxa"/>
            <w:tcBorders>
              <w:right w:val="single" w:color="auto" w:sz="4" w:space="0"/>
            </w:tcBorders>
            <w:vAlign w:val="center"/>
          </w:tcPr>
          <w:p w14:paraId="38A6C7A3">
            <w:pPr>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建设性质</w:t>
            </w:r>
          </w:p>
        </w:tc>
        <w:tc>
          <w:tcPr>
            <w:tcW w:w="3090" w:type="dxa"/>
            <w:gridSpan w:val="3"/>
            <w:tcBorders>
              <w:left w:val="single" w:color="auto" w:sz="4" w:space="0"/>
              <w:right w:val="single" w:color="auto" w:sz="4" w:space="0"/>
            </w:tcBorders>
            <w:vAlign w:val="center"/>
          </w:tcPr>
          <w:p w14:paraId="0726EBE7">
            <w:pPr>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新建□ 改扩建</w:t>
            </w:r>
            <w:r>
              <w:rPr>
                <w:rFonts w:hint="default" w:ascii="Times New Roman" w:hAnsi="Times New Roman" w:eastAsia="宋体" w:cs="Times New Roman"/>
                <w:color w:val="000000" w:themeColor="text1"/>
                <w:sz w:val="24"/>
                <w:szCs w:val="24"/>
              </w:rPr>
              <w:sym w:font="Wingdings" w:char="F0FE"/>
            </w:r>
            <w:r>
              <w:rPr>
                <w:rFonts w:hint="default" w:ascii="Times New Roman" w:hAnsi="Times New Roman" w:eastAsia="宋体" w:cs="Times New Roman"/>
                <w:color w:val="000000" w:themeColor="text1"/>
                <w:sz w:val="24"/>
                <w:szCs w:val="24"/>
              </w:rPr>
              <w:t xml:space="preserve"> 技改□</w:t>
            </w:r>
          </w:p>
        </w:tc>
        <w:tc>
          <w:tcPr>
            <w:tcW w:w="1177" w:type="dxa"/>
            <w:tcBorders>
              <w:left w:val="single" w:color="auto" w:sz="4" w:space="0"/>
              <w:right w:val="single" w:color="auto" w:sz="4" w:space="0"/>
            </w:tcBorders>
            <w:vAlign w:val="center"/>
          </w:tcPr>
          <w:p w14:paraId="2F004C2B">
            <w:pPr>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行业类别</w:t>
            </w:r>
          </w:p>
          <w:p w14:paraId="4D7E5A3F">
            <w:pPr>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及代码</w:t>
            </w:r>
          </w:p>
        </w:tc>
        <w:tc>
          <w:tcPr>
            <w:tcW w:w="2968" w:type="dxa"/>
            <w:gridSpan w:val="3"/>
            <w:tcBorders>
              <w:left w:val="single" w:color="auto" w:sz="4" w:space="0"/>
            </w:tcBorders>
            <w:vAlign w:val="center"/>
          </w:tcPr>
          <w:p w14:paraId="16153C65">
            <w:pPr>
              <w:jc w:val="center"/>
              <w:rPr>
                <w:rFonts w:hint="eastAsia" w:ascii="Times New Roman" w:hAnsi="Times New Roman" w:cs="Times New Roman"/>
                <w:color w:val="000000" w:themeColor="text1"/>
                <w:spacing w:val="6"/>
                <w:sz w:val="24"/>
                <w:lang w:val="en-US" w:eastAsia="zh-CN"/>
              </w:rPr>
            </w:pPr>
            <w:r>
              <w:rPr>
                <w:rFonts w:hint="default" w:ascii="Times New Roman" w:hAnsi="Times New Roman" w:eastAsia="宋体" w:cs="Times New Roman"/>
                <w:color w:val="000000" w:themeColor="text1"/>
                <w:spacing w:val="6"/>
                <w:sz w:val="24"/>
              </w:rPr>
              <w:t>机动车</w:t>
            </w:r>
            <w:r>
              <w:rPr>
                <w:rFonts w:hint="eastAsia" w:ascii="Times New Roman" w:hAnsi="Times New Roman" w:cs="Times New Roman"/>
                <w:color w:val="000000" w:themeColor="text1"/>
                <w:spacing w:val="6"/>
                <w:sz w:val="24"/>
                <w:lang w:val="en-US" w:eastAsia="zh-CN"/>
              </w:rPr>
              <w:t>燃油</w:t>
            </w:r>
            <w:r>
              <w:rPr>
                <w:rFonts w:hint="default" w:ascii="Times New Roman" w:hAnsi="Times New Roman" w:eastAsia="宋体" w:cs="Times New Roman"/>
                <w:color w:val="000000" w:themeColor="text1"/>
                <w:spacing w:val="6"/>
                <w:sz w:val="24"/>
              </w:rPr>
              <w:t>零售F526</w:t>
            </w:r>
            <w:r>
              <w:rPr>
                <w:rFonts w:hint="eastAsia" w:ascii="Times New Roman" w:hAnsi="Times New Roman" w:cs="Times New Roman"/>
                <w:color w:val="000000" w:themeColor="text1"/>
                <w:spacing w:val="6"/>
                <w:sz w:val="24"/>
                <w:lang w:val="en-US" w:eastAsia="zh-CN"/>
              </w:rPr>
              <w:t>5</w:t>
            </w:r>
          </w:p>
          <w:p w14:paraId="2B5B0218">
            <w:pPr>
              <w:jc w:val="center"/>
              <w:rPr>
                <w:rFonts w:hint="default" w:ascii="Times New Roman" w:hAnsi="Times New Roman" w:cs="Times New Roman"/>
                <w:color w:val="000000" w:themeColor="text1"/>
                <w:spacing w:val="6"/>
                <w:sz w:val="24"/>
                <w:lang w:val="en-US" w:eastAsia="zh-CN"/>
              </w:rPr>
            </w:pPr>
            <w:r>
              <w:rPr>
                <w:rFonts w:hint="eastAsia" w:ascii="Times New Roman" w:hAnsi="Times New Roman" w:cs="Times New Roman"/>
                <w:color w:val="000000" w:themeColor="text1"/>
                <w:spacing w:val="6"/>
                <w:sz w:val="24"/>
                <w:lang w:val="en-US" w:eastAsia="zh-CN"/>
              </w:rPr>
              <w:t>机动车燃气零售F5266</w:t>
            </w:r>
          </w:p>
        </w:tc>
      </w:tr>
      <w:tr w14:paraId="31899ECE">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454" w:hRule="atLeast"/>
        </w:trPr>
        <w:tc>
          <w:tcPr>
            <w:tcW w:w="1269" w:type="dxa"/>
            <w:tcBorders>
              <w:right w:val="single" w:color="auto" w:sz="4" w:space="0"/>
            </w:tcBorders>
            <w:vAlign w:val="center"/>
          </w:tcPr>
          <w:p w14:paraId="18A4921A">
            <w:pPr>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占地面积（</w:t>
            </w:r>
            <w:r>
              <w:rPr>
                <w:rFonts w:ascii="Times New Roman" w:hAnsi="Times New Roman"/>
                <w:color w:val="000000" w:themeColor="text1"/>
                <w:sz w:val="24"/>
                <w:szCs w:val="24"/>
              </w:rPr>
              <w:t>m</w:t>
            </w:r>
            <w:r>
              <w:rPr>
                <w:rFonts w:ascii="Times New Roman" w:hAnsi="Times New Roman"/>
                <w:color w:val="000000" w:themeColor="text1"/>
                <w:sz w:val="24"/>
                <w:szCs w:val="24"/>
                <w:vertAlign w:val="superscript"/>
              </w:rPr>
              <w:t>2</w:t>
            </w:r>
            <w:r>
              <w:rPr>
                <w:rFonts w:hint="eastAsia" w:ascii="Times New Roman" w:hAnsi="Times New Roman"/>
                <w:color w:val="000000" w:themeColor="text1"/>
                <w:sz w:val="24"/>
                <w:szCs w:val="24"/>
              </w:rPr>
              <w:t>）</w:t>
            </w:r>
          </w:p>
        </w:tc>
        <w:tc>
          <w:tcPr>
            <w:tcW w:w="3090" w:type="dxa"/>
            <w:gridSpan w:val="3"/>
            <w:tcBorders>
              <w:left w:val="single" w:color="auto" w:sz="4" w:space="0"/>
              <w:right w:val="single" w:color="auto" w:sz="4" w:space="0"/>
            </w:tcBorders>
            <w:vAlign w:val="center"/>
          </w:tcPr>
          <w:p w14:paraId="55AE0A28">
            <w:pPr>
              <w:jc w:val="center"/>
              <w:rPr>
                <w:rFonts w:hint="default" w:ascii="Times New Roman" w:hAnsi="Times New Roman" w:eastAsia="宋体"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6666.7</w:t>
            </w:r>
          </w:p>
        </w:tc>
        <w:tc>
          <w:tcPr>
            <w:tcW w:w="1177" w:type="dxa"/>
            <w:tcBorders>
              <w:left w:val="single" w:color="auto" w:sz="4" w:space="0"/>
              <w:right w:val="single" w:color="auto" w:sz="4" w:space="0"/>
            </w:tcBorders>
            <w:vAlign w:val="center"/>
          </w:tcPr>
          <w:p w14:paraId="2E1204DC">
            <w:pPr>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绿化面积</w:t>
            </w:r>
          </w:p>
          <w:p w14:paraId="46440ED2">
            <w:pPr>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（m</w:t>
            </w:r>
            <w:r>
              <w:rPr>
                <w:rFonts w:hint="default" w:ascii="Times New Roman" w:hAnsi="Times New Roman" w:eastAsia="宋体" w:cs="Times New Roman"/>
                <w:color w:val="000000" w:themeColor="text1"/>
                <w:sz w:val="24"/>
                <w:szCs w:val="24"/>
                <w:vertAlign w:val="superscript"/>
              </w:rPr>
              <w:t>2</w:t>
            </w:r>
            <w:r>
              <w:rPr>
                <w:rFonts w:hint="default" w:ascii="Times New Roman" w:hAnsi="Times New Roman" w:eastAsia="宋体" w:cs="Times New Roman"/>
                <w:color w:val="000000" w:themeColor="text1"/>
                <w:sz w:val="24"/>
                <w:szCs w:val="24"/>
              </w:rPr>
              <w:t>）</w:t>
            </w:r>
          </w:p>
        </w:tc>
        <w:tc>
          <w:tcPr>
            <w:tcW w:w="2968" w:type="dxa"/>
            <w:gridSpan w:val="3"/>
            <w:tcBorders>
              <w:left w:val="single" w:color="auto" w:sz="4" w:space="0"/>
            </w:tcBorders>
            <w:vAlign w:val="center"/>
          </w:tcPr>
          <w:p w14:paraId="017068AD">
            <w:pPr>
              <w:jc w:val="center"/>
              <w:rPr>
                <w:rFonts w:hint="default" w:ascii="Times New Roman" w:hAnsi="Times New Roman" w:eastAsia="宋体"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w:t>
            </w:r>
          </w:p>
        </w:tc>
      </w:tr>
      <w:tr w14:paraId="0FC20EBE">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454" w:hRule="atLeast"/>
        </w:trPr>
        <w:tc>
          <w:tcPr>
            <w:tcW w:w="1269" w:type="dxa"/>
            <w:tcBorders>
              <w:right w:val="single" w:color="auto" w:sz="4" w:space="0"/>
            </w:tcBorders>
            <w:vAlign w:val="center"/>
          </w:tcPr>
          <w:p w14:paraId="0B3C7A79">
            <w:pPr>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总投资</w:t>
            </w:r>
          </w:p>
          <w:p w14:paraId="5F648E98">
            <w:pPr>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（万元）</w:t>
            </w:r>
          </w:p>
        </w:tc>
        <w:tc>
          <w:tcPr>
            <w:tcW w:w="1545" w:type="dxa"/>
            <w:tcBorders>
              <w:left w:val="single" w:color="auto" w:sz="4" w:space="0"/>
              <w:right w:val="single" w:color="auto" w:sz="4" w:space="0"/>
            </w:tcBorders>
            <w:vAlign w:val="center"/>
          </w:tcPr>
          <w:p w14:paraId="6EE29B81">
            <w:pPr>
              <w:jc w:val="center"/>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1500</w:t>
            </w:r>
          </w:p>
        </w:tc>
        <w:tc>
          <w:tcPr>
            <w:tcW w:w="1545" w:type="dxa"/>
            <w:gridSpan w:val="2"/>
            <w:tcBorders>
              <w:left w:val="single" w:color="auto" w:sz="4" w:space="0"/>
              <w:right w:val="single" w:color="auto" w:sz="4" w:space="0"/>
            </w:tcBorders>
            <w:vAlign w:val="center"/>
          </w:tcPr>
          <w:p w14:paraId="41E3493D">
            <w:pPr>
              <w:jc w:val="center"/>
              <w:rPr>
                <w:rFonts w:hint="eastAsia" w:ascii="Times New Roman" w:hAnsi="Times New Roman"/>
                <w:color w:val="000000" w:themeColor="text1"/>
                <w:sz w:val="24"/>
                <w:szCs w:val="24"/>
              </w:rPr>
            </w:pPr>
            <w:r>
              <w:rPr>
                <w:rFonts w:hint="eastAsia" w:ascii="Times New Roman" w:hAnsi="Times New Roman"/>
                <w:color w:val="000000" w:themeColor="text1"/>
                <w:sz w:val="24"/>
                <w:szCs w:val="24"/>
              </w:rPr>
              <w:t>其中环保投资（万元）</w:t>
            </w:r>
          </w:p>
        </w:tc>
        <w:tc>
          <w:tcPr>
            <w:tcW w:w="1177" w:type="dxa"/>
            <w:tcBorders>
              <w:left w:val="single" w:color="auto" w:sz="4" w:space="0"/>
              <w:right w:val="single" w:color="auto" w:sz="4" w:space="0"/>
            </w:tcBorders>
            <w:vAlign w:val="center"/>
          </w:tcPr>
          <w:p w14:paraId="23E637C8">
            <w:pPr>
              <w:jc w:val="center"/>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10.5</w:t>
            </w:r>
          </w:p>
        </w:tc>
        <w:tc>
          <w:tcPr>
            <w:tcW w:w="1883" w:type="dxa"/>
            <w:gridSpan w:val="2"/>
            <w:tcBorders>
              <w:left w:val="single" w:color="auto" w:sz="4" w:space="0"/>
              <w:right w:val="single" w:color="auto" w:sz="4" w:space="0"/>
            </w:tcBorders>
            <w:vAlign w:val="center"/>
          </w:tcPr>
          <w:p w14:paraId="1F86F188">
            <w:pPr>
              <w:jc w:val="center"/>
              <w:rPr>
                <w:rFonts w:hint="eastAsia" w:ascii="Times New Roman" w:hAnsi="Times New Roman"/>
                <w:color w:val="000000" w:themeColor="text1"/>
                <w:sz w:val="24"/>
                <w:szCs w:val="24"/>
              </w:rPr>
            </w:pPr>
            <w:r>
              <w:rPr>
                <w:rFonts w:hint="eastAsia" w:ascii="Times New Roman" w:hAnsi="Times New Roman"/>
                <w:color w:val="000000" w:themeColor="text1"/>
                <w:sz w:val="24"/>
                <w:szCs w:val="24"/>
              </w:rPr>
              <w:t>环保投资占总投资比例（%）</w:t>
            </w:r>
          </w:p>
        </w:tc>
        <w:tc>
          <w:tcPr>
            <w:tcW w:w="1085" w:type="dxa"/>
            <w:tcBorders>
              <w:left w:val="single" w:color="auto" w:sz="4" w:space="0"/>
            </w:tcBorders>
            <w:vAlign w:val="center"/>
          </w:tcPr>
          <w:p w14:paraId="159BA9C1">
            <w:pPr>
              <w:jc w:val="center"/>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0.7</w:t>
            </w:r>
          </w:p>
        </w:tc>
      </w:tr>
      <w:tr w14:paraId="188507BB">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454" w:hRule="atLeast"/>
        </w:trPr>
        <w:tc>
          <w:tcPr>
            <w:tcW w:w="1269" w:type="dxa"/>
            <w:tcBorders>
              <w:right w:val="single" w:color="auto" w:sz="4" w:space="0"/>
            </w:tcBorders>
            <w:vAlign w:val="center"/>
          </w:tcPr>
          <w:p w14:paraId="33015B80">
            <w:pPr>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评价经费（万元）</w:t>
            </w:r>
          </w:p>
        </w:tc>
        <w:tc>
          <w:tcPr>
            <w:tcW w:w="1545" w:type="dxa"/>
            <w:tcBorders>
              <w:left w:val="single" w:color="auto" w:sz="4" w:space="0"/>
              <w:right w:val="single" w:color="auto" w:sz="4" w:space="0"/>
            </w:tcBorders>
            <w:vAlign w:val="center"/>
          </w:tcPr>
          <w:p w14:paraId="469ED298">
            <w:pPr>
              <w:jc w:val="center"/>
              <w:rPr>
                <w:rFonts w:hint="eastAsia" w:ascii="Times New Roman" w:hAnsi="Times New Roman"/>
                <w:color w:val="000000" w:themeColor="text1"/>
                <w:sz w:val="24"/>
                <w:szCs w:val="24"/>
              </w:rPr>
            </w:pPr>
            <w:r>
              <w:rPr>
                <w:rFonts w:hint="eastAsia" w:ascii="Times New Roman" w:hAnsi="Times New Roman"/>
                <w:color w:val="000000" w:themeColor="text1"/>
                <w:sz w:val="24"/>
                <w:szCs w:val="24"/>
              </w:rPr>
              <w:t>/</w:t>
            </w:r>
          </w:p>
        </w:tc>
        <w:tc>
          <w:tcPr>
            <w:tcW w:w="2722" w:type="dxa"/>
            <w:gridSpan w:val="3"/>
            <w:tcBorders>
              <w:left w:val="single" w:color="auto" w:sz="4" w:space="0"/>
              <w:right w:val="single" w:color="auto" w:sz="4" w:space="0"/>
            </w:tcBorders>
            <w:vAlign w:val="center"/>
          </w:tcPr>
          <w:p w14:paraId="07E8047C">
            <w:pPr>
              <w:jc w:val="center"/>
              <w:rPr>
                <w:rFonts w:hint="eastAsia" w:ascii="Times New Roman" w:hAnsi="Times New Roman"/>
                <w:color w:val="000000" w:themeColor="text1"/>
                <w:sz w:val="24"/>
                <w:szCs w:val="24"/>
              </w:rPr>
            </w:pPr>
            <w:r>
              <w:rPr>
                <w:rFonts w:hint="eastAsia" w:ascii="Times New Roman" w:hAnsi="Times New Roman"/>
                <w:color w:val="000000" w:themeColor="text1"/>
                <w:sz w:val="24"/>
                <w:szCs w:val="24"/>
              </w:rPr>
              <w:t>投产日期</w:t>
            </w:r>
          </w:p>
        </w:tc>
        <w:tc>
          <w:tcPr>
            <w:tcW w:w="2968" w:type="dxa"/>
            <w:gridSpan w:val="3"/>
            <w:tcBorders>
              <w:left w:val="single" w:color="auto" w:sz="4" w:space="0"/>
            </w:tcBorders>
            <w:vAlign w:val="center"/>
          </w:tcPr>
          <w:p w14:paraId="44CD7234">
            <w:pPr>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2</w:t>
            </w:r>
            <w:bookmarkStart w:id="35" w:name="_GoBack"/>
            <w:bookmarkEnd w:id="35"/>
            <w:r>
              <w:rPr>
                <w:rFonts w:hint="eastAsia" w:ascii="Times New Roman" w:hAnsi="Times New Roman"/>
                <w:color w:val="000000" w:themeColor="text1"/>
                <w:sz w:val="24"/>
                <w:szCs w:val="24"/>
                <w:lang w:val="en-US" w:eastAsia="zh-CN"/>
              </w:rPr>
              <w:t>018年12月</w:t>
            </w:r>
          </w:p>
        </w:tc>
      </w:tr>
      <w:tr w14:paraId="41F4B821">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340" w:hRule="atLeast"/>
        </w:trPr>
        <w:tc>
          <w:tcPr>
            <w:tcW w:w="8504" w:type="dxa"/>
            <w:gridSpan w:val="8"/>
            <w:tcBorders>
              <w:bottom w:val="single" w:color="auto" w:sz="12" w:space="0"/>
            </w:tcBorders>
          </w:tcPr>
          <w:p w14:paraId="63AAE61A">
            <w:pPr>
              <w:spacing w:line="360" w:lineRule="auto"/>
              <w:rPr>
                <w:rFonts w:ascii="宋体" w:cs="宋体"/>
                <w:b/>
                <w:bCs/>
                <w:color w:val="000000" w:themeColor="text1"/>
                <w:sz w:val="28"/>
                <w:szCs w:val="28"/>
              </w:rPr>
            </w:pPr>
            <w:r>
              <w:rPr>
                <w:rFonts w:hint="eastAsia" w:ascii="宋体" w:hAnsi="宋体" w:cs="宋体"/>
                <w:b/>
                <w:bCs/>
                <w:color w:val="000000" w:themeColor="text1"/>
                <w:sz w:val="28"/>
                <w:szCs w:val="28"/>
              </w:rPr>
              <w:t>工程内容及规模</w:t>
            </w:r>
          </w:p>
          <w:p w14:paraId="3279291A">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一、</w:t>
            </w:r>
            <w:r>
              <w:rPr>
                <w:rFonts w:hint="eastAsia" w:ascii="Times New Roman" w:hAnsi="Times New Roman"/>
                <w:b/>
                <w:bCs/>
                <w:color w:val="000000" w:themeColor="text1"/>
                <w:sz w:val="24"/>
                <w:szCs w:val="24"/>
              </w:rPr>
              <w:t>项目背景</w:t>
            </w:r>
          </w:p>
          <w:p w14:paraId="040A40BF">
            <w:pPr>
              <w:spacing w:line="360" w:lineRule="auto"/>
              <w:ind w:firstLine="480" w:firstLineChars="200"/>
              <w:rPr>
                <w:rFonts w:hint="eastAsia" w:ascii="Times New Roman" w:hAnsi="Times New Roman"/>
                <w:color w:val="000000" w:themeColor="text1"/>
                <w:sz w:val="24"/>
                <w:lang w:val="en-US" w:eastAsia="zh-CN"/>
              </w:rPr>
            </w:pPr>
            <w:r>
              <w:rPr>
                <w:rFonts w:hint="eastAsia" w:ascii="Times New Roman" w:hAnsi="Times New Roman"/>
                <w:color w:val="000000" w:themeColor="text1"/>
                <w:sz w:val="24"/>
                <w:lang w:val="en-US" w:eastAsia="zh-CN"/>
              </w:rPr>
              <w:t>近年来，随着中国国民经济的快速发展，交通基础设施的不断完善和机动车保有量的快速增加，人们生活水平迅速提高引导着消费观念和消费质量的悄然转变，方便、快捷、高效已成为攫夺多数消费者的主导消费要求和理念</w:t>
            </w:r>
            <w:r>
              <w:rPr>
                <w:rFonts w:hint="eastAsia" w:ascii="Times New Roman" w:hAnsi="Times New Roman"/>
                <w:color w:val="000000" w:themeColor="text1"/>
                <w:sz w:val="24"/>
              </w:rPr>
              <w:t>。</w:t>
            </w:r>
            <w:r>
              <w:rPr>
                <w:rFonts w:hint="eastAsia" w:ascii="Times New Roman" w:hAnsi="Times New Roman"/>
                <w:color w:val="000000" w:themeColor="text1"/>
                <w:sz w:val="24"/>
                <w:lang w:val="en-US" w:eastAsia="zh-CN"/>
              </w:rPr>
              <w:t>各类机动车在农业生产、工程建筑、交通运输、家庭生活等方面已成为加强生产力、提高效益、增加收益的重要载体。因此，整个社会对成品油、天然气的需求迅速增加，加油加气站已经成为了民众生活中不可缺少的一部分。</w:t>
            </w:r>
          </w:p>
          <w:p w14:paraId="03FB2F9D">
            <w:pPr>
              <w:spacing w:line="360" w:lineRule="auto"/>
              <w:ind w:firstLine="480" w:firstLineChars="200"/>
              <w:rPr>
                <w:rFonts w:hint="eastAsia" w:ascii="Times New Roman" w:hAnsi="Times New Roman"/>
                <w:color w:val="000000" w:themeColor="text1"/>
                <w:sz w:val="24"/>
                <w:lang w:val="en-US" w:eastAsia="zh-CN"/>
              </w:rPr>
            </w:pPr>
            <w:r>
              <w:rPr>
                <w:rFonts w:hint="eastAsia" w:ascii="Times New Roman" w:hAnsi="Times New Roman"/>
                <w:color w:val="000000" w:themeColor="text1"/>
                <w:sz w:val="24"/>
                <w:lang w:val="en-US" w:eastAsia="zh-CN"/>
              </w:rPr>
              <w:t>昌吉市顺捷天然气有限公司原为CNG管道气常规加气站，近年来附近车流量迅速增加，对油品及LNG的需求日益增长，本项目决定在加气站原址扩建加油部分及LNG部分。</w:t>
            </w:r>
          </w:p>
          <w:p w14:paraId="27A0FDDA">
            <w:pPr>
              <w:spacing w:line="360" w:lineRule="auto"/>
              <w:ind w:firstLine="480" w:firstLineChars="200"/>
              <w:rPr>
                <w:rFonts w:hint="eastAsia" w:ascii="Times New Roman" w:hAnsi="Times New Roman"/>
                <w:color w:val="000000" w:themeColor="text1"/>
                <w:sz w:val="24"/>
                <w:lang w:val="en-US" w:eastAsia="zh-CN"/>
              </w:rPr>
            </w:pPr>
            <w:r>
              <w:rPr>
                <w:rFonts w:hint="eastAsia" w:ascii="Times New Roman" w:hAnsi="Times New Roman"/>
                <w:color w:val="000000" w:themeColor="text1"/>
                <w:sz w:val="24"/>
                <w:lang w:val="en-US" w:eastAsia="zh-CN"/>
              </w:rPr>
              <w:t>项目完成后将解决当地机动车辆加油及LNG不便的问题，对当地经济的发展起到了积极的作用。</w:t>
            </w:r>
          </w:p>
          <w:p w14:paraId="33CF3296">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按照《中华人民共和国环境保护法》、《建设项目环境保护管理条例》（国务院令2017年 第682号）以及《中华人民共和国环境影响评价法》（2016年修订）中第十六条“国家根据建设项目对环境的影响程度，对建设项目的环境影响评价实行分类管理，建设单位应按照规定组织编制环境影响评价报告书、环境影响报告表或者填报环境影响登记表”。根据以上法律法规及相关规定，本项目需进行环境影响评价。</w:t>
            </w:r>
          </w:p>
          <w:p w14:paraId="681EC714">
            <w:pPr>
              <w:spacing w:line="360" w:lineRule="auto"/>
              <w:ind w:firstLine="480" w:firstLineChars="200"/>
              <w:rPr>
                <w:rFonts w:hint="eastAsia" w:ascii="Times New Roman" w:hAnsi="Times New Roman"/>
                <w:color w:val="000000" w:themeColor="text1"/>
                <w:sz w:val="24"/>
                <w:szCs w:val="24"/>
              </w:rPr>
            </w:pPr>
            <w:r>
              <w:rPr>
                <w:rFonts w:hint="eastAsia" w:ascii="Times New Roman" w:hAnsi="Times New Roman"/>
                <w:color w:val="000000" w:themeColor="text1"/>
                <w:sz w:val="24"/>
                <w:szCs w:val="24"/>
              </w:rPr>
              <w:t>本项目</w:t>
            </w:r>
            <w:r>
              <w:rPr>
                <w:rFonts w:hint="eastAsia" w:ascii="Times New Roman" w:hAnsi="Times New Roman"/>
                <w:color w:val="000000" w:themeColor="text1"/>
                <w:sz w:val="24"/>
                <w:szCs w:val="24"/>
                <w:lang w:val="en-US" w:eastAsia="zh-CN"/>
              </w:rPr>
              <w:t>对原加气站进行扩建</w:t>
            </w:r>
            <w:r>
              <w:rPr>
                <w:rFonts w:hint="eastAsia" w:ascii="Times New Roman" w:hAnsi="Times New Roman"/>
                <w:color w:val="000000" w:themeColor="text1"/>
                <w:sz w:val="24"/>
                <w:szCs w:val="24"/>
              </w:rPr>
              <w:t>，根据《建设项目环境影响评价分类管理名录》（</w:t>
            </w:r>
            <w:r>
              <w:rPr>
                <w:rFonts w:hint="eastAsia" w:ascii="Times New Roman" w:hAnsi="Times New Roman"/>
                <w:color w:val="000000" w:themeColor="text1"/>
                <w:sz w:val="24"/>
                <w:szCs w:val="24"/>
                <w:lang w:val="en-US" w:eastAsia="zh-CN"/>
              </w:rPr>
              <w:t>2017年6月29日环境保护部令第44号公布  根据2018年4月28日公布的《关于修改〈</w:t>
            </w:r>
            <w:r>
              <w:rPr>
                <w:rFonts w:hint="eastAsia" w:ascii="Times New Roman" w:hAnsi="Times New Roman"/>
                <w:color w:val="000000" w:themeColor="text1"/>
                <w:sz w:val="24"/>
                <w:szCs w:val="24"/>
              </w:rPr>
              <w:t>建设项目环境影响评价分类管理名录</w:t>
            </w:r>
            <w:r>
              <w:rPr>
                <w:rFonts w:hint="eastAsia" w:ascii="Times New Roman" w:hAnsi="Times New Roman"/>
                <w:color w:val="000000" w:themeColor="text1"/>
                <w:sz w:val="24"/>
                <w:szCs w:val="24"/>
                <w:lang w:val="en-US" w:eastAsia="zh-CN"/>
              </w:rPr>
              <w:t>〉部分内容的决定》修正</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项目类别为“四十、社会事业与服务业”中</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124</w:t>
            </w:r>
            <w:r>
              <w:rPr>
                <w:rFonts w:hint="eastAsia" w:ascii="Times New Roman" w:hAnsi="Times New Roman"/>
                <w:color w:val="000000" w:themeColor="text1"/>
                <w:sz w:val="24"/>
                <w:szCs w:val="24"/>
              </w:rPr>
              <w:t xml:space="preserve"> </w:t>
            </w:r>
            <w:r>
              <w:rPr>
                <w:rFonts w:hint="eastAsia" w:ascii="Times New Roman" w:hAnsi="Times New Roman"/>
                <w:color w:val="000000" w:themeColor="text1"/>
                <w:sz w:val="24"/>
                <w:szCs w:val="24"/>
                <w:lang w:val="en-US" w:eastAsia="zh-CN"/>
              </w:rPr>
              <w:t>加油、加气站</w:t>
            </w:r>
            <w:r>
              <w:rPr>
                <w:rFonts w:hint="eastAsia" w:ascii="Times New Roman" w:hAnsi="Times New Roman"/>
                <w:color w:val="000000" w:themeColor="text1"/>
                <w:sz w:val="24"/>
                <w:szCs w:val="24"/>
              </w:rPr>
              <w:t>”的“</w:t>
            </w:r>
            <w:r>
              <w:rPr>
                <w:rFonts w:hint="eastAsia" w:ascii="Times New Roman" w:hAnsi="Times New Roman"/>
                <w:color w:val="000000" w:themeColor="text1"/>
                <w:sz w:val="24"/>
                <w:szCs w:val="24"/>
                <w:lang w:val="en-US" w:eastAsia="zh-CN"/>
              </w:rPr>
              <w:t>新建、扩建</w:t>
            </w:r>
            <w:r>
              <w:rPr>
                <w:rFonts w:hint="eastAsia" w:ascii="Times New Roman" w:hAnsi="Times New Roman"/>
                <w:color w:val="000000" w:themeColor="text1"/>
                <w:sz w:val="24"/>
                <w:szCs w:val="24"/>
              </w:rPr>
              <w:t>”类，环评类别为“报告表”。因此，本项目应编制建设项目环境影响报告表。</w:t>
            </w:r>
          </w:p>
          <w:p w14:paraId="6960046F">
            <w:pPr>
              <w:spacing w:line="360" w:lineRule="auto"/>
              <w:ind w:firstLine="480" w:firstLineChars="200"/>
              <w:rPr>
                <w:rFonts w:hint="eastAsia" w:ascii="Times New Roman" w:hAnsi="Times New Roman"/>
                <w:color w:val="000000" w:themeColor="text1"/>
                <w:sz w:val="24"/>
              </w:rPr>
            </w:pPr>
            <w:r>
              <w:rPr>
                <w:rFonts w:hint="eastAsia" w:ascii="Times New Roman" w:hAnsi="Times New Roman"/>
                <w:color w:val="000000" w:themeColor="text1"/>
                <w:sz w:val="24"/>
              </w:rPr>
              <w:t>我单位受</w:t>
            </w:r>
            <w:r>
              <w:rPr>
                <w:rFonts w:hint="default" w:ascii="Times New Roman" w:hAnsi="Times New Roman" w:eastAsia="宋体" w:cs="Times New Roman"/>
                <w:color w:val="000000" w:themeColor="text1"/>
                <w:lang w:eastAsia="zh-CN"/>
              </w:rPr>
              <w:t>昌吉市顺捷天然气有限公司</w:t>
            </w:r>
            <w:r>
              <w:rPr>
                <w:rFonts w:hint="eastAsia" w:ascii="Times New Roman" w:hAnsi="Times New Roman"/>
                <w:color w:val="000000" w:themeColor="text1"/>
                <w:sz w:val="24"/>
              </w:rPr>
              <w:t>的委托，承担了该项目的环境影响评价工作。接受委托后，公司即派环评人员赴现场进行实地踏勘，对评价区范围的自然环境、社会环境、周边环境概况进行了调查，收集了当地水文、地质、气象以及环境现状等资料。环评人员在此基础上遵循有关环评规定，编制完成《</w:t>
            </w:r>
            <w:r>
              <w:rPr>
                <w:rFonts w:hint="default" w:ascii="Times New Roman" w:hAnsi="Times New Roman" w:eastAsia="宋体" w:cs="Times New Roman"/>
                <w:color w:val="000000" w:themeColor="text1"/>
                <w:lang w:eastAsia="zh-CN"/>
              </w:rPr>
              <w:t>昌吉市顺捷天然气有限公司改扩建项目</w:t>
            </w:r>
            <w:r>
              <w:rPr>
                <w:rFonts w:hint="eastAsia" w:ascii="Times New Roman" w:hAnsi="Times New Roman"/>
                <w:color w:val="000000" w:themeColor="text1"/>
                <w:sz w:val="24"/>
              </w:rPr>
              <w:t>环境影响报告表》，</w:t>
            </w:r>
            <w:r>
              <w:rPr>
                <w:rFonts w:hint="eastAsia" w:ascii="Times New Roman" w:hAnsi="Times New Roman"/>
                <w:color w:val="000000" w:themeColor="text1"/>
                <w:sz w:val="24"/>
                <w:lang w:val="en-US" w:eastAsia="zh-CN"/>
              </w:rPr>
              <w:t>现由建设单位</w:t>
            </w:r>
            <w:r>
              <w:rPr>
                <w:rFonts w:hint="eastAsia" w:ascii="Times New Roman" w:hAnsi="Times New Roman"/>
                <w:color w:val="000000" w:themeColor="text1"/>
                <w:sz w:val="24"/>
              </w:rPr>
              <w:t>提交环境主管部门审批。</w:t>
            </w:r>
          </w:p>
          <w:p w14:paraId="1E8E6073">
            <w:pPr>
              <w:spacing w:line="360" w:lineRule="auto"/>
              <w:rPr>
                <w:rFonts w:hint="eastAsia" w:ascii="Times New Roman" w:hAnsi="Times New Roman"/>
                <w:b/>
                <w:bCs/>
                <w:color w:val="000000" w:themeColor="text1"/>
                <w:sz w:val="24"/>
                <w:szCs w:val="24"/>
                <w:lang w:val="en-US" w:eastAsia="zh-CN"/>
              </w:rPr>
            </w:pPr>
            <w:r>
              <w:rPr>
                <w:rFonts w:hint="eastAsia" w:ascii="Times New Roman" w:hAnsi="Times New Roman"/>
                <w:b/>
                <w:bCs/>
                <w:color w:val="000000" w:themeColor="text1"/>
                <w:sz w:val="24"/>
                <w:szCs w:val="24"/>
                <w:lang w:val="en-US" w:eastAsia="zh-CN"/>
              </w:rPr>
              <w:t>二、项目概况</w:t>
            </w:r>
          </w:p>
          <w:p w14:paraId="346F1563">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1</w:t>
            </w:r>
            <w:r>
              <w:rPr>
                <w:rFonts w:hint="eastAsia" w:ascii="Times New Roman" w:hAnsi="Times New Roman"/>
                <w:b/>
                <w:bCs/>
                <w:color w:val="000000" w:themeColor="text1"/>
                <w:sz w:val="24"/>
                <w:szCs w:val="24"/>
              </w:rPr>
              <w:t>、项目建设地点</w:t>
            </w:r>
          </w:p>
          <w:p w14:paraId="172E4296">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本项目位于</w:t>
            </w:r>
            <w:r>
              <w:rPr>
                <w:rFonts w:hint="default" w:ascii="Times New Roman" w:hAnsi="Times New Roman" w:eastAsia="宋体" w:cs="Times New Roman"/>
                <w:color w:val="000000" w:themeColor="text1"/>
                <w:lang w:eastAsia="zh-CN"/>
              </w:rPr>
              <w:t>昌吉高新</w:t>
            </w:r>
            <w:r>
              <w:rPr>
                <w:rFonts w:hint="eastAsia" w:ascii="Times New Roman" w:hAnsi="Times New Roman" w:cs="Times New Roman"/>
                <w:color w:val="000000" w:themeColor="text1"/>
                <w:lang w:val="en-US" w:eastAsia="zh-CN"/>
              </w:rPr>
              <w:t>技术</w:t>
            </w:r>
            <w:r>
              <w:rPr>
                <w:rFonts w:hint="default" w:ascii="Times New Roman" w:hAnsi="Times New Roman" w:eastAsia="宋体" w:cs="Times New Roman"/>
                <w:color w:val="000000" w:themeColor="text1"/>
                <w:lang w:eastAsia="zh-CN"/>
              </w:rPr>
              <w:t>产业开发区北环东路</w:t>
            </w:r>
            <w:r>
              <w:rPr>
                <w:rFonts w:hint="default" w:ascii="Times New Roman" w:hAnsi="Times New Roman" w:eastAsia="宋体" w:cs="Times New Roman"/>
                <w:color w:val="000000" w:themeColor="text1"/>
                <w:lang w:val="en-US" w:eastAsia="zh-CN"/>
              </w:rPr>
              <w:t>10号</w:t>
            </w:r>
            <w:r>
              <w:rPr>
                <w:rFonts w:hint="eastAsia" w:ascii="Times New Roman" w:hAnsi="Times New Roman"/>
                <w:snapToGrid w:val="0"/>
                <w:color w:val="000000" w:themeColor="text1"/>
                <w:sz w:val="24"/>
                <w:szCs w:val="24"/>
                <w:lang w:val="en-US" w:eastAsia="zh-CN"/>
              </w:rPr>
              <w:t>，项目区北侧80m为克榆公路，东侧为空地，西侧约60m为</w:t>
            </w:r>
            <w:r>
              <w:rPr>
                <w:rFonts w:hint="default" w:ascii="Times New Roman" w:hAnsi="Times New Roman" w:eastAsia="宋体" w:cs="Times New Roman"/>
                <w:color w:val="000000" w:themeColor="text1"/>
                <w:lang w:eastAsia="zh-CN"/>
              </w:rPr>
              <w:t>昌吉高新</w:t>
            </w:r>
            <w:r>
              <w:rPr>
                <w:rFonts w:hint="eastAsia" w:ascii="Times New Roman" w:hAnsi="Times New Roman" w:cs="Times New Roman"/>
                <w:color w:val="000000" w:themeColor="text1"/>
                <w:lang w:val="en-US" w:eastAsia="zh-CN"/>
              </w:rPr>
              <w:t>技术</w:t>
            </w:r>
            <w:r>
              <w:rPr>
                <w:rFonts w:hint="default" w:ascii="Times New Roman" w:hAnsi="Times New Roman" w:eastAsia="宋体" w:cs="Times New Roman"/>
                <w:color w:val="000000" w:themeColor="text1"/>
                <w:lang w:eastAsia="zh-CN"/>
              </w:rPr>
              <w:t>产业开发区</w:t>
            </w:r>
            <w:r>
              <w:rPr>
                <w:rFonts w:hint="eastAsia" w:ascii="Times New Roman" w:hAnsi="Times New Roman" w:cs="Times New Roman"/>
                <w:color w:val="000000" w:themeColor="text1"/>
                <w:lang w:val="en-US" w:eastAsia="zh-CN"/>
              </w:rPr>
              <w:t>经一路，西侧</w:t>
            </w:r>
            <w:r>
              <w:rPr>
                <w:rFonts w:hint="eastAsia" w:ascii="Times New Roman" w:hAnsi="Times New Roman"/>
                <w:snapToGrid w:val="0"/>
                <w:color w:val="000000" w:themeColor="text1"/>
                <w:sz w:val="24"/>
                <w:szCs w:val="24"/>
                <w:lang w:val="en-US" w:eastAsia="zh-CN"/>
              </w:rPr>
              <w:t>约120m为榆树沟小康村（原名回民新村），南侧紧邻美邦物流停车厂。中心位置地理坐标为：N44°5′58.44″，E87°5′12.74″。</w:t>
            </w:r>
          </w:p>
          <w:p w14:paraId="32C7EC2A">
            <w:pPr>
              <w:spacing w:line="360" w:lineRule="auto"/>
              <w:ind w:firstLine="480" w:firstLineChars="200"/>
              <w:rPr>
                <w:rFonts w:hint="eastAsia" w:ascii="Times New Roman" w:hAnsi="Times New Roman"/>
                <w:color w:val="000000" w:themeColor="text1"/>
                <w:sz w:val="24"/>
                <w:szCs w:val="24"/>
                <w:lang w:eastAsia="zh-CN"/>
              </w:rPr>
            </w:pPr>
            <w:r>
              <w:rPr>
                <w:rFonts w:hint="eastAsia" w:ascii="Times New Roman" w:hAnsi="Times New Roman"/>
                <w:color w:val="000000" w:themeColor="text1"/>
                <w:sz w:val="24"/>
                <w:szCs w:val="24"/>
              </w:rPr>
              <w:t>地理位置详见附图</w:t>
            </w:r>
            <w:r>
              <w:rPr>
                <w:rFonts w:ascii="Times New Roman" w:hAnsi="Times New Roman"/>
                <w:color w:val="000000" w:themeColor="text1"/>
                <w:sz w:val="24"/>
                <w:szCs w:val="24"/>
              </w:rPr>
              <w:t>1</w:t>
            </w:r>
            <w:r>
              <w:rPr>
                <w:rFonts w:hint="eastAsia" w:ascii="Times New Roman" w:hAnsi="Times New Roman"/>
                <w:color w:val="000000" w:themeColor="text1"/>
                <w:sz w:val="24"/>
                <w:szCs w:val="24"/>
              </w:rPr>
              <w:t>，卫星</w:t>
            </w:r>
            <w:r>
              <w:rPr>
                <w:rFonts w:hint="eastAsia" w:ascii="Times New Roman" w:hAnsi="Times New Roman"/>
                <w:color w:val="000000" w:themeColor="text1"/>
                <w:sz w:val="24"/>
                <w:szCs w:val="24"/>
                <w:lang w:eastAsia="zh-CN"/>
              </w:rPr>
              <w:t>影像</w:t>
            </w:r>
            <w:r>
              <w:rPr>
                <w:rFonts w:hint="eastAsia" w:ascii="Times New Roman" w:hAnsi="Times New Roman"/>
                <w:color w:val="000000" w:themeColor="text1"/>
                <w:sz w:val="24"/>
                <w:szCs w:val="24"/>
              </w:rPr>
              <w:t>图见附图</w:t>
            </w:r>
            <w:r>
              <w:rPr>
                <w:rFonts w:ascii="Times New Roman" w:hAnsi="Times New Roman"/>
                <w:color w:val="000000" w:themeColor="text1"/>
                <w:sz w:val="24"/>
                <w:szCs w:val="24"/>
              </w:rPr>
              <w:t>2</w:t>
            </w:r>
            <w:r>
              <w:rPr>
                <w:rFonts w:hint="eastAsia" w:ascii="Times New Roman" w:hAnsi="Times New Roman"/>
                <w:color w:val="000000" w:themeColor="text1"/>
                <w:sz w:val="24"/>
                <w:szCs w:val="24"/>
                <w:lang w:eastAsia="zh-CN"/>
              </w:rPr>
              <w:t>，</w:t>
            </w:r>
            <w:r>
              <w:rPr>
                <w:rFonts w:hint="eastAsia" w:ascii="Times New Roman" w:hAnsi="Times New Roman"/>
                <w:color w:val="000000" w:themeColor="text1"/>
                <w:sz w:val="24"/>
                <w:szCs w:val="24"/>
                <w:lang w:val="en-US" w:eastAsia="zh-CN"/>
              </w:rPr>
              <w:t>项目在</w:t>
            </w:r>
            <w:r>
              <w:rPr>
                <w:rFonts w:hint="default" w:ascii="Times New Roman" w:hAnsi="Times New Roman"/>
                <w:color w:val="000000" w:themeColor="text1"/>
                <w:sz w:val="24"/>
                <w:szCs w:val="24"/>
                <w:lang w:val="en-US" w:eastAsia="zh-CN"/>
              </w:rPr>
              <w:t>昌吉高新区技术产业开发区</w:t>
            </w:r>
            <w:r>
              <w:rPr>
                <w:rFonts w:hint="eastAsia" w:ascii="Times New Roman" w:hAnsi="Times New Roman"/>
                <w:color w:val="000000" w:themeColor="text1"/>
                <w:sz w:val="24"/>
                <w:szCs w:val="24"/>
                <w:lang w:val="en-US" w:eastAsia="zh-CN"/>
              </w:rPr>
              <w:t>位置见附图4，</w:t>
            </w:r>
            <w:r>
              <w:rPr>
                <w:rFonts w:hint="default" w:ascii="Times New Roman" w:hAnsi="Times New Roman"/>
                <w:color w:val="000000" w:themeColor="text1"/>
                <w:sz w:val="24"/>
                <w:szCs w:val="24"/>
                <w:lang w:val="en-US" w:eastAsia="zh-CN"/>
              </w:rPr>
              <w:t>昌吉高新区技术产业开发区</w:t>
            </w:r>
            <w:r>
              <w:rPr>
                <w:rFonts w:hint="eastAsia" w:ascii="Times New Roman" w:hAnsi="Times New Roman"/>
                <w:color w:val="000000" w:themeColor="text1"/>
                <w:sz w:val="24"/>
                <w:szCs w:val="24"/>
                <w:lang w:val="en-US" w:eastAsia="zh-CN"/>
              </w:rPr>
              <w:t>总体规划见附图5，项目区周边企业分布情况见附图6。</w:t>
            </w:r>
          </w:p>
          <w:p w14:paraId="1FD163F8">
            <w:pPr>
              <w:spacing w:line="360" w:lineRule="auto"/>
              <w:rPr>
                <w:rFonts w:hint="eastAsia" w:ascii="Times New Roman" w:hAnsi="Times New Roman"/>
                <w:b/>
                <w:bCs/>
                <w:color w:val="000000" w:themeColor="text1"/>
                <w:sz w:val="24"/>
                <w:szCs w:val="24"/>
                <w:lang w:val="en-US" w:eastAsia="zh-CN"/>
              </w:rPr>
            </w:pPr>
            <w:r>
              <w:rPr>
                <w:rFonts w:hint="eastAsia" w:ascii="Times New Roman" w:hAnsi="Times New Roman"/>
                <w:b/>
                <w:bCs/>
                <w:color w:val="000000" w:themeColor="text1"/>
                <w:sz w:val="24"/>
                <w:szCs w:val="24"/>
                <w:lang w:val="en-US" w:eastAsia="zh-CN"/>
              </w:rPr>
              <w:t>2、现有工程概况</w:t>
            </w:r>
          </w:p>
          <w:p w14:paraId="35CFBBCF">
            <w:pPr>
              <w:spacing w:line="360" w:lineRule="auto"/>
              <w:ind w:firstLine="480" w:firstLineChars="200"/>
              <w:rPr>
                <w:rFonts w:hint="eastAsia"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现有工程具体内容见下表。</w:t>
            </w:r>
          </w:p>
          <w:p w14:paraId="53A24626">
            <w:pPr>
              <w:spacing w:line="360" w:lineRule="auto"/>
              <w:ind w:firstLine="422" w:firstLineChars="200"/>
              <w:jc w:val="left"/>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表1                    现有工程内容一览表</w:t>
            </w:r>
          </w:p>
          <w:tbl>
            <w:tblPr>
              <w:tblStyle w:val="20"/>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650"/>
              <w:gridCol w:w="5858"/>
            </w:tblGrid>
            <w:tr w14:paraId="42CCF5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2" w:type="dxa"/>
                  <w:tcBorders>
                    <w:bottom w:val="single" w:color="auto" w:sz="12" w:space="0"/>
                  </w:tcBorders>
                  <w:vAlign w:val="center"/>
                </w:tcPr>
                <w:p w14:paraId="7FD292AA">
                  <w:pPr>
                    <w:spacing w:line="240" w:lineRule="auto"/>
                    <w:jc w:val="center"/>
                    <w:rPr>
                      <w:rFonts w:hint="default" w:ascii="Times New Roman" w:hAnsi="Times New Roman" w:eastAsia="宋体"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序号</w:t>
                  </w:r>
                </w:p>
              </w:tc>
              <w:tc>
                <w:tcPr>
                  <w:tcW w:w="1650" w:type="dxa"/>
                  <w:tcBorders>
                    <w:bottom w:val="single" w:color="auto" w:sz="12" w:space="0"/>
                  </w:tcBorders>
                  <w:vAlign w:val="center"/>
                </w:tcPr>
                <w:p w14:paraId="4B55B8B5">
                  <w:pPr>
                    <w:spacing w:line="240" w:lineRule="auto"/>
                    <w:jc w:val="center"/>
                    <w:rPr>
                      <w:rFonts w:hint="default" w:ascii="Times New Roman" w:hAnsi="Times New Roman" w:eastAsia="宋体"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类别</w:t>
                  </w:r>
                </w:p>
              </w:tc>
              <w:tc>
                <w:tcPr>
                  <w:tcW w:w="5858" w:type="dxa"/>
                  <w:tcBorders>
                    <w:bottom w:val="single" w:color="auto" w:sz="12" w:space="0"/>
                  </w:tcBorders>
                  <w:vAlign w:val="center"/>
                </w:tcPr>
                <w:p w14:paraId="4DC93F09">
                  <w:pPr>
                    <w:spacing w:line="240" w:lineRule="auto"/>
                    <w:jc w:val="center"/>
                    <w:rPr>
                      <w:rFonts w:hint="default" w:ascii="Times New Roman" w:hAnsi="Times New Roman" w:eastAsia="宋体"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具体内容</w:t>
                  </w:r>
                </w:p>
              </w:tc>
            </w:tr>
            <w:tr w14:paraId="57B7D3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2" w:type="dxa"/>
                  <w:tcBorders>
                    <w:top w:val="single" w:color="auto" w:sz="12" w:space="0"/>
                    <w:tl2br w:val="nil"/>
                    <w:tr2bl w:val="nil"/>
                  </w:tcBorders>
                  <w:vAlign w:val="center"/>
                </w:tcPr>
                <w:p w14:paraId="3A28CDCF">
                  <w:pPr>
                    <w:spacing w:line="240" w:lineRule="auto"/>
                    <w:jc w:val="center"/>
                    <w:rPr>
                      <w:rFonts w:hint="default" w:ascii="Times New Roman" w:hAnsi="Times New Roman" w:eastAsia="宋体" w:cs="Times New Roman"/>
                      <w:b w:val="0"/>
                      <w:bCs w:val="0"/>
                      <w:color w:val="000000" w:themeColor="text1"/>
                      <w:sz w:val="21"/>
                      <w:szCs w:val="21"/>
                      <w:vertAlign w:val="baseline"/>
                      <w:lang w:val="en-US" w:eastAsia="zh-CN"/>
                    </w:rPr>
                  </w:pPr>
                  <w:r>
                    <w:rPr>
                      <w:rFonts w:hint="eastAsia" w:ascii="Times New Roman" w:hAnsi="Times New Roman" w:cs="Times New Roman"/>
                      <w:b w:val="0"/>
                      <w:bCs w:val="0"/>
                      <w:color w:val="000000" w:themeColor="text1"/>
                      <w:sz w:val="21"/>
                      <w:szCs w:val="21"/>
                      <w:vertAlign w:val="baseline"/>
                      <w:lang w:val="en-US" w:eastAsia="zh-CN"/>
                    </w:rPr>
                    <w:t>1</w:t>
                  </w:r>
                </w:p>
              </w:tc>
              <w:tc>
                <w:tcPr>
                  <w:tcW w:w="1650" w:type="dxa"/>
                  <w:tcBorders>
                    <w:top w:val="single" w:color="auto" w:sz="12" w:space="0"/>
                    <w:tl2br w:val="nil"/>
                    <w:tr2bl w:val="nil"/>
                  </w:tcBorders>
                  <w:vAlign w:val="center"/>
                </w:tcPr>
                <w:p w14:paraId="0B348B0B">
                  <w:pPr>
                    <w:spacing w:line="240" w:lineRule="auto"/>
                    <w:jc w:val="center"/>
                    <w:rPr>
                      <w:rFonts w:hint="default" w:ascii="Times New Roman" w:hAnsi="Times New Roman" w:eastAsia="宋体" w:cs="Times New Roman"/>
                      <w:b w:val="0"/>
                      <w:bCs w:val="0"/>
                      <w:color w:val="000000" w:themeColor="text1"/>
                      <w:sz w:val="21"/>
                      <w:szCs w:val="21"/>
                      <w:vertAlign w:val="baseline"/>
                      <w:lang w:val="en-US" w:eastAsia="zh-CN"/>
                    </w:rPr>
                  </w:pPr>
                  <w:r>
                    <w:rPr>
                      <w:rFonts w:hint="eastAsia" w:ascii="Times New Roman" w:hAnsi="Times New Roman" w:cs="Times New Roman"/>
                      <w:b w:val="0"/>
                      <w:bCs w:val="0"/>
                      <w:color w:val="000000" w:themeColor="text1"/>
                      <w:sz w:val="21"/>
                      <w:szCs w:val="21"/>
                      <w:vertAlign w:val="baseline"/>
                      <w:lang w:val="en-US" w:eastAsia="zh-CN"/>
                    </w:rPr>
                    <w:t>主体内容</w:t>
                  </w:r>
                </w:p>
              </w:tc>
              <w:tc>
                <w:tcPr>
                  <w:tcW w:w="5858" w:type="dxa"/>
                  <w:tcBorders>
                    <w:top w:val="single" w:color="auto" w:sz="12" w:space="0"/>
                    <w:tl2br w:val="nil"/>
                    <w:tr2bl w:val="nil"/>
                  </w:tcBorders>
                  <w:vAlign w:val="center"/>
                </w:tcPr>
                <w:p w14:paraId="776F5B1C">
                  <w:pPr>
                    <w:spacing w:line="240" w:lineRule="auto"/>
                    <w:jc w:val="center"/>
                    <w:rPr>
                      <w:rFonts w:hint="default" w:ascii="Times New Roman" w:hAnsi="Times New Roman" w:cs="Times New Roman"/>
                      <w:color w:val="000000" w:themeColor="text1"/>
                      <w:sz w:val="21"/>
                      <w:szCs w:val="21"/>
                      <w:lang w:val="en-US" w:eastAsia="zh-CN"/>
                    </w:rPr>
                  </w:pPr>
                  <w:r>
                    <w:rPr>
                      <w:rFonts w:hint="default" w:ascii="Times New Roman" w:hAnsi="Times New Roman" w:eastAsia="宋体" w:cs="Times New Roman"/>
                      <w:color w:val="000000" w:themeColor="text1"/>
                      <w:sz w:val="21"/>
                      <w:szCs w:val="21"/>
                      <w:lang w:val="en-US" w:eastAsia="zh-CN"/>
                    </w:rPr>
                    <w:t>720</w:t>
                  </w:r>
                  <w:r>
                    <w:rPr>
                      <w:rFonts w:hint="default" w:ascii="Times New Roman" w:hAnsi="Times New Roman" w:eastAsia="宋体" w:cs="Times New Roman"/>
                      <w:color w:val="000000" w:themeColor="text1"/>
                      <w:sz w:val="21"/>
                      <w:szCs w:val="21"/>
                    </w:rPr>
                    <w:t>m</w:t>
                  </w:r>
                  <w:r>
                    <w:rPr>
                      <w:rFonts w:hint="default" w:ascii="Times New Roman" w:hAnsi="Times New Roman" w:eastAsia="宋体" w:cs="Times New Roman"/>
                      <w:color w:val="000000" w:themeColor="text1"/>
                      <w:sz w:val="21"/>
                      <w:szCs w:val="21"/>
                      <w:vertAlign w:val="superscript"/>
                    </w:rPr>
                    <w:t>2</w:t>
                  </w:r>
                  <w:r>
                    <w:rPr>
                      <w:rFonts w:hint="default" w:ascii="Times New Roman" w:hAnsi="Times New Roman" w:eastAsia="宋体" w:cs="Times New Roman"/>
                      <w:color w:val="000000" w:themeColor="text1"/>
                      <w:sz w:val="21"/>
                      <w:szCs w:val="21"/>
                      <w:lang w:val="en-US" w:eastAsia="zh-CN"/>
                    </w:rPr>
                    <w:t>加气罩棚一座、230</w:t>
                  </w:r>
                  <w:r>
                    <w:rPr>
                      <w:rFonts w:hint="default" w:ascii="Times New Roman" w:hAnsi="Times New Roman" w:eastAsia="宋体" w:cs="Times New Roman"/>
                      <w:color w:val="000000" w:themeColor="text1"/>
                      <w:sz w:val="21"/>
                      <w:szCs w:val="21"/>
                    </w:rPr>
                    <w:t>m</w:t>
                  </w:r>
                  <w:r>
                    <w:rPr>
                      <w:rFonts w:hint="default" w:ascii="Times New Roman" w:hAnsi="Times New Roman" w:eastAsia="宋体" w:cs="Times New Roman"/>
                      <w:color w:val="000000" w:themeColor="text1"/>
                      <w:sz w:val="21"/>
                      <w:szCs w:val="21"/>
                      <w:vertAlign w:val="superscript"/>
                    </w:rPr>
                    <w:t>2</w:t>
                  </w:r>
                  <w:r>
                    <w:rPr>
                      <w:rFonts w:hint="default" w:ascii="Times New Roman" w:hAnsi="Times New Roman" w:eastAsia="宋体" w:cs="Times New Roman"/>
                      <w:color w:val="000000" w:themeColor="text1"/>
                      <w:sz w:val="21"/>
                      <w:szCs w:val="21"/>
                      <w:lang w:val="en-US" w:eastAsia="zh-CN"/>
                    </w:rPr>
                    <w:t>CNG压缩机房一座及室外设备设施、130</w:t>
                  </w:r>
                  <w:r>
                    <w:rPr>
                      <w:rFonts w:hint="default" w:ascii="Times New Roman" w:hAnsi="Times New Roman" w:eastAsia="宋体" w:cs="Times New Roman"/>
                      <w:color w:val="000000" w:themeColor="text1"/>
                      <w:sz w:val="21"/>
                      <w:szCs w:val="21"/>
                    </w:rPr>
                    <w:t>m</w:t>
                  </w:r>
                  <w:r>
                    <w:rPr>
                      <w:rFonts w:hint="default" w:ascii="Times New Roman" w:hAnsi="Times New Roman" w:eastAsia="宋体" w:cs="Times New Roman"/>
                      <w:color w:val="000000" w:themeColor="text1"/>
                      <w:sz w:val="21"/>
                      <w:szCs w:val="21"/>
                      <w:vertAlign w:val="superscript"/>
                    </w:rPr>
                    <w:t>2</w:t>
                  </w:r>
                  <w:r>
                    <w:rPr>
                      <w:rFonts w:hint="default" w:ascii="Times New Roman" w:hAnsi="Times New Roman" w:eastAsia="宋体" w:cs="Times New Roman"/>
                      <w:color w:val="000000" w:themeColor="text1"/>
                      <w:sz w:val="21"/>
                      <w:szCs w:val="21"/>
                      <w:lang w:val="en-US" w:eastAsia="zh-CN"/>
                    </w:rPr>
                    <w:t>站房一座</w:t>
                  </w:r>
                  <w:r>
                    <w:rPr>
                      <w:rFonts w:hint="default" w:ascii="Times New Roman" w:hAnsi="Times New Roman" w:eastAsia="宋体" w:cs="Times New Roman"/>
                      <w:color w:val="000000" w:themeColor="text1"/>
                      <w:sz w:val="21"/>
                      <w:szCs w:val="21"/>
                      <w:lang w:eastAsia="zh-CN"/>
                    </w:rPr>
                    <w:t>，</w:t>
                  </w:r>
                  <w:r>
                    <w:rPr>
                      <w:rFonts w:hint="default" w:ascii="Times New Roman" w:hAnsi="Times New Roman" w:eastAsia="宋体" w:cs="Times New Roman"/>
                      <w:color w:val="000000" w:themeColor="text1"/>
                      <w:sz w:val="21"/>
                      <w:szCs w:val="21"/>
                      <w:lang w:val="en-US" w:eastAsia="zh-CN"/>
                    </w:rPr>
                    <w:t>6台CNG加气机。</w:t>
                  </w:r>
                  <w:r>
                    <w:rPr>
                      <w:rFonts w:hint="eastAsia" w:ascii="Times New Roman" w:hAnsi="Times New Roman" w:cs="Times New Roman"/>
                      <w:color w:val="000000" w:themeColor="text1"/>
                      <w:sz w:val="21"/>
                      <w:szCs w:val="21"/>
                      <w:lang w:val="en-US" w:eastAsia="zh-CN"/>
                    </w:rPr>
                    <w:t>4台3m</w:t>
                  </w:r>
                  <w:r>
                    <w:rPr>
                      <w:rFonts w:hint="eastAsia" w:ascii="Times New Roman" w:hAnsi="Times New Roman" w:cs="Times New Roman"/>
                      <w:color w:val="000000" w:themeColor="text1"/>
                      <w:sz w:val="21"/>
                      <w:szCs w:val="21"/>
                      <w:vertAlign w:val="superscript"/>
                      <w:lang w:val="en-US" w:eastAsia="zh-CN"/>
                    </w:rPr>
                    <w:t>3</w:t>
                  </w:r>
                  <w:r>
                    <w:rPr>
                      <w:rFonts w:hint="eastAsia" w:ascii="Times New Roman" w:hAnsi="Times New Roman" w:cs="Times New Roman"/>
                      <w:color w:val="000000" w:themeColor="text1"/>
                      <w:sz w:val="21"/>
                      <w:szCs w:val="21"/>
                      <w:lang w:val="en-US" w:eastAsia="zh-CN"/>
                    </w:rPr>
                    <w:t>高压地下储气井，日加气量为15000Nm</w:t>
                  </w:r>
                  <w:r>
                    <w:rPr>
                      <w:rFonts w:hint="eastAsia" w:ascii="Times New Roman" w:hAnsi="Times New Roman" w:cs="Times New Roman"/>
                      <w:color w:val="000000" w:themeColor="text1"/>
                      <w:sz w:val="21"/>
                      <w:szCs w:val="21"/>
                      <w:vertAlign w:val="superscript"/>
                      <w:lang w:val="en-US" w:eastAsia="zh-CN"/>
                    </w:rPr>
                    <w:t>3</w:t>
                  </w:r>
                  <w:r>
                    <w:rPr>
                      <w:rFonts w:hint="eastAsia" w:ascii="Times New Roman" w:hAnsi="Times New Roman" w:cs="Times New Roman"/>
                      <w:color w:val="000000" w:themeColor="text1"/>
                      <w:sz w:val="21"/>
                      <w:szCs w:val="21"/>
                      <w:lang w:val="en-US" w:eastAsia="zh-CN"/>
                    </w:rPr>
                    <w:t>，为二级加气站</w:t>
                  </w:r>
                </w:p>
              </w:tc>
            </w:tr>
            <w:tr w14:paraId="0B5EDB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2" w:type="dxa"/>
                  <w:tcBorders>
                    <w:tl2br w:val="nil"/>
                    <w:tr2bl w:val="nil"/>
                  </w:tcBorders>
                  <w:vAlign w:val="center"/>
                </w:tcPr>
                <w:p w14:paraId="04491024">
                  <w:pPr>
                    <w:spacing w:line="240" w:lineRule="auto"/>
                    <w:jc w:val="center"/>
                    <w:rPr>
                      <w:rFonts w:hint="default" w:ascii="Times New Roman" w:hAnsi="Times New Roman" w:eastAsia="宋体" w:cs="Times New Roman"/>
                      <w:b w:val="0"/>
                      <w:bCs w:val="0"/>
                      <w:color w:val="000000" w:themeColor="text1"/>
                      <w:sz w:val="21"/>
                      <w:szCs w:val="21"/>
                      <w:vertAlign w:val="baseline"/>
                      <w:lang w:val="en-US" w:eastAsia="zh-CN"/>
                    </w:rPr>
                  </w:pPr>
                  <w:r>
                    <w:rPr>
                      <w:rFonts w:hint="eastAsia" w:ascii="Times New Roman" w:hAnsi="Times New Roman" w:cs="Times New Roman"/>
                      <w:b w:val="0"/>
                      <w:bCs w:val="0"/>
                      <w:color w:val="000000" w:themeColor="text1"/>
                      <w:sz w:val="21"/>
                      <w:szCs w:val="21"/>
                      <w:vertAlign w:val="baseline"/>
                      <w:lang w:val="en-US" w:eastAsia="zh-CN"/>
                    </w:rPr>
                    <w:t>2</w:t>
                  </w:r>
                </w:p>
              </w:tc>
              <w:tc>
                <w:tcPr>
                  <w:tcW w:w="1650" w:type="dxa"/>
                  <w:tcBorders>
                    <w:tl2br w:val="nil"/>
                    <w:tr2bl w:val="nil"/>
                  </w:tcBorders>
                  <w:vAlign w:val="center"/>
                </w:tcPr>
                <w:p w14:paraId="3821006E">
                  <w:pPr>
                    <w:spacing w:line="240" w:lineRule="auto"/>
                    <w:jc w:val="center"/>
                    <w:rPr>
                      <w:rFonts w:hint="default" w:ascii="Times New Roman" w:hAnsi="Times New Roman" w:eastAsia="宋体" w:cs="Times New Roman"/>
                      <w:b w:val="0"/>
                      <w:bCs w:val="0"/>
                      <w:color w:val="000000" w:themeColor="text1"/>
                      <w:sz w:val="21"/>
                      <w:szCs w:val="21"/>
                      <w:vertAlign w:val="baseline"/>
                      <w:lang w:val="en-US" w:eastAsia="zh-CN"/>
                    </w:rPr>
                  </w:pPr>
                  <w:r>
                    <w:rPr>
                      <w:rFonts w:hint="eastAsia" w:ascii="Times New Roman" w:hAnsi="Times New Roman" w:cs="Times New Roman"/>
                      <w:b w:val="0"/>
                      <w:bCs w:val="0"/>
                      <w:color w:val="000000" w:themeColor="text1"/>
                      <w:sz w:val="21"/>
                      <w:szCs w:val="21"/>
                      <w:vertAlign w:val="baseline"/>
                      <w:lang w:val="en-US" w:eastAsia="zh-CN"/>
                    </w:rPr>
                    <w:t>劳动定员</w:t>
                  </w:r>
                </w:p>
              </w:tc>
              <w:tc>
                <w:tcPr>
                  <w:tcW w:w="5858" w:type="dxa"/>
                  <w:tcBorders>
                    <w:tl2br w:val="nil"/>
                    <w:tr2bl w:val="nil"/>
                  </w:tcBorders>
                  <w:vAlign w:val="center"/>
                </w:tcPr>
                <w:p w14:paraId="46FDA41F">
                  <w:pPr>
                    <w:spacing w:line="240" w:lineRule="auto"/>
                    <w:jc w:val="center"/>
                    <w:rPr>
                      <w:rFonts w:hint="default" w:ascii="Times New Roman" w:hAnsi="Times New Roman" w:eastAsia="宋体" w:cs="Times New Roman"/>
                      <w:b w:val="0"/>
                      <w:bCs w:val="0"/>
                      <w:color w:val="000000" w:themeColor="text1"/>
                      <w:sz w:val="21"/>
                      <w:szCs w:val="21"/>
                      <w:vertAlign w:val="baseline"/>
                      <w:lang w:val="en-US" w:eastAsia="zh-CN"/>
                    </w:rPr>
                  </w:pPr>
                  <w:r>
                    <w:rPr>
                      <w:rFonts w:hint="eastAsia" w:ascii="Times New Roman" w:hAnsi="Times New Roman" w:cs="Times New Roman"/>
                      <w:b w:val="0"/>
                      <w:bCs w:val="0"/>
                      <w:color w:val="000000" w:themeColor="text1"/>
                      <w:sz w:val="21"/>
                      <w:szCs w:val="21"/>
                      <w:vertAlign w:val="baseline"/>
                      <w:lang w:val="en-US" w:eastAsia="zh-CN"/>
                    </w:rPr>
                    <w:t>职工人数6人，采用3班2倒工作班制，年工作365天。</w:t>
                  </w:r>
                </w:p>
              </w:tc>
            </w:tr>
            <w:tr w14:paraId="72CC1E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2" w:type="dxa"/>
                  <w:tcBorders>
                    <w:tl2br w:val="nil"/>
                    <w:tr2bl w:val="nil"/>
                  </w:tcBorders>
                  <w:vAlign w:val="center"/>
                </w:tcPr>
                <w:p w14:paraId="360575B6">
                  <w:pPr>
                    <w:spacing w:line="240" w:lineRule="auto"/>
                    <w:jc w:val="center"/>
                    <w:rPr>
                      <w:rFonts w:hint="eastAsia" w:ascii="Times New Roman" w:hAnsi="Times New Roman" w:cs="Times New Roman"/>
                      <w:b w:val="0"/>
                      <w:bCs w:val="0"/>
                      <w:color w:val="000000" w:themeColor="text1"/>
                      <w:sz w:val="21"/>
                      <w:szCs w:val="21"/>
                      <w:vertAlign w:val="baseline"/>
                      <w:lang w:val="en-US" w:eastAsia="zh-CN"/>
                    </w:rPr>
                  </w:pPr>
                  <w:r>
                    <w:rPr>
                      <w:rFonts w:hint="eastAsia" w:ascii="Times New Roman" w:hAnsi="Times New Roman" w:cs="Times New Roman"/>
                      <w:b w:val="0"/>
                      <w:bCs w:val="0"/>
                      <w:color w:val="000000" w:themeColor="text1"/>
                      <w:sz w:val="21"/>
                      <w:szCs w:val="21"/>
                      <w:vertAlign w:val="baseline"/>
                      <w:lang w:val="en-US" w:eastAsia="zh-CN"/>
                    </w:rPr>
                    <w:t>3</w:t>
                  </w:r>
                </w:p>
              </w:tc>
              <w:tc>
                <w:tcPr>
                  <w:tcW w:w="1650" w:type="dxa"/>
                  <w:tcBorders>
                    <w:tl2br w:val="nil"/>
                    <w:tr2bl w:val="nil"/>
                  </w:tcBorders>
                  <w:vAlign w:val="center"/>
                </w:tcPr>
                <w:p w14:paraId="4DD39076">
                  <w:pPr>
                    <w:spacing w:line="240" w:lineRule="auto"/>
                    <w:jc w:val="center"/>
                    <w:rPr>
                      <w:rFonts w:hint="eastAsia" w:ascii="Times New Roman" w:hAnsi="Times New Roman" w:cs="Times New Roman"/>
                      <w:b w:val="0"/>
                      <w:bCs w:val="0"/>
                      <w:color w:val="000000" w:themeColor="text1"/>
                      <w:sz w:val="21"/>
                      <w:szCs w:val="21"/>
                      <w:vertAlign w:val="baseline"/>
                      <w:lang w:val="en-US" w:eastAsia="zh-CN"/>
                    </w:rPr>
                  </w:pPr>
                  <w:r>
                    <w:rPr>
                      <w:rFonts w:hint="eastAsia" w:ascii="Times New Roman" w:hAnsi="Times New Roman" w:cs="Times New Roman"/>
                      <w:b w:val="0"/>
                      <w:bCs w:val="0"/>
                      <w:color w:val="000000" w:themeColor="text1"/>
                      <w:sz w:val="21"/>
                      <w:szCs w:val="21"/>
                      <w:vertAlign w:val="baseline"/>
                      <w:lang w:val="en-US" w:eastAsia="zh-CN"/>
                    </w:rPr>
                    <w:t>辅助工程</w:t>
                  </w:r>
                </w:p>
              </w:tc>
              <w:tc>
                <w:tcPr>
                  <w:tcW w:w="5858" w:type="dxa"/>
                  <w:tcBorders>
                    <w:tl2br w:val="nil"/>
                    <w:tr2bl w:val="nil"/>
                  </w:tcBorders>
                  <w:vAlign w:val="center"/>
                </w:tcPr>
                <w:p w14:paraId="76929FC0">
                  <w:pPr>
                    <w:spacing w:line="240" w:lineRule="auto"/>
                    <w:jc w:val="center"/>
                    <w:rPr>
                      <w:rFonts w:hint="eastAsia" w:ascii="Times New Roman" w:hAnsi="Times New Roman" w:cs="Times New Roman"/>
                      <w:b w:val="0"/>
                      <w:bCs w:val="0"/>
                      <w:color w:val="000000" w:themeColor="text1"/>
                      <w:sz w:val="21"/>
                      <w:szCs w:val="21"/>
                      <w:vertAlign w:val="baseline"/>
                      <w:lang w:val="en-US" w:eastAsia="zh-CN"/>
                    </w:rPr>
                  </w:pPr>
                  <w:r>
                    <w:rPr>
                      <w:rFonts w:hint="eastAsia" w:ascii="Times New Roman" w:hAnsi="Times New Roman" w:cs="Times New Roman"/>
                      <w:b w:val="0"/>
                      <w:bCs w:val="0"/>
                      <w:color w:val="000000" w:themeColor="text1"/>
                      <w:sz w:val="21"/>
                      <w:szCs w:val="21"/>
                      <w:vertAlign w:val="baseline"/>
                      <w:lang w:val="en-US" w:eastAsia="zh-CN"/>
                    </w:rPr>
                    <w:t>站房（包括零售店、职工休息室等）</w:t>
                  </w:r>
                </w:p>
              </w:tc>
            </w:tr>
            <w:tr w14:paraId="3288A2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2" w:type="dxa"/>
                  <w:tcBorders>
                    <w:tl2br w:val="nil"/>
                    <w:tr2bl w:val="nil"/>
                  </w:tcBorders>
                  <w:vAlign w:val="center"/>
                </w:tcPr>
                <w:p w14:paraId="0216D1F7">
                  <w:pPr>
                    <w:spacing w:line="240" w:lineRule="auto"/>
                    <w:jc w:val="center"/>
                    <w:rPr>
                      <w:rFonts w:hint="eastAsia" w:ascii="Times New Roman" w:hAnsi="Times New Roman" w:cs="Times New Roman"/>
                      <w:b w:val="0"/>
                      <w:bCs w:val="0"/>
                      <w:color w:val="000000" w:themeColor="text1"/>
                      <w:sz w:val="21"/>
                      <w:szCs w:val="21"/>
                      <w:vertAlign w:val="baseline"/>
                      <w:lang w:val="en-US" w:eastAsia="zh-CN"/>
                    </w:rPr>
                  </w:pPr>
                  <w:r>
                    <w:rPr>
                      <w:rFonts w:hint="eastAsia" w:ascii="Times New Roman" w:hAnsi="Times New Roman" w:cs="Times New Roman"/>
                      <w:b w:val="0"/>
                      <w:bCs w:val="0"/>
                      <w:color w:val="000000" w:themeColor="text1"/>
                      <w:sz w:val="21"/>
                      <w:szCs w:val="21"/>
                      <w:vertAlign w:val="baseline"/>
                      <w:lang w:val="en-US" w:eastAsia="zh-CN"/>
                    </w:rPr>
                    <w:t>4</w:t>
                  </w:r>
                </w:p>
              </w:tc>
              <w:tc>
                <w:tcPr>
                  <w:tcW w:w="1650" w:type="dxa"/>
                  <w:tcBorders>
                    <w:tl2br w:val="nil"/>
                    <w:tr2bl w:val="nil"/>
                  </w:tcBorders>
                  <w:vAlign w:val="center"/>
                </w:tcPr>
                <w:p w14:paraId="57F5A73C">
                  <w:pPr>
                    <w:spacing w:line="240" w:lineRule="auto"/>
                    <w:jc w:val="center"/>
                    <w:rPr>
                      <w:rFonts w:hint="eastAsia" w:ascii="Times New Roman" w:hAnsi="Times New Roman" w:cs="Times New Roman"/>
                      <w:b w:val="0"/>
                      <w:bCs w:val="0"/>
                      <w:color w:val="000000" w:themeColor="text1"/>
                      <w:sz w:val="21"/>
                      <w:szCs w:val="21"/>
                      <w:vertAlign w:val="baseline"/>
                      <w:lang w:val="en-US" w:eastAsia="zh-CN"/>
                    </w:rPr>
                  </w:pPr>
                  <w:r>
                    <w:rPr>
                      <w:rFonts w:hint="eastAsia" w:ascii="Times New Roman" w:hAnsi="Times New Roman" w:cs="Times New Roman"/>
                      <w:b w:val="0"/>
                      <w:bCs w:val="0"/>
                      <w:color w:val="000000" w:themeColor="text1"/>
                      <w:sz w:val="21"/>
                      <w:szCs w:val="21"/>
                      <w:vertAlign w:val="baseline"/>
                      <w:lang w:val="en-US" w:eastAsia="zh-CN"/>
                    </w:rPr>
                    <w:t>环保工程</w:t>
                  </w:r>
                </w:p>
              </w:tc>
              <w:tc>
                <w:tcPr>
                  <w:tcW w:w="5858" w:type="dxa"/>
                  <w:tcBorders>
                    <w:tl2br w:val="nil"/>
                    <w:tr2bl w:val="nil"/>
                  </w:tcBorders>
                  <w:vAlign w:val="center"/>
                </w:tcPr>
                <w:p w14:paraId="756A30DE">
                  <w:pPr>
                    <w:spacing w:line="240" w:lineRule="auto"/>
                    <w:jc w:val="center"/>
                    <w:rPr>
                      <w:rFonts w:hint="eastAsia" w:ascii="Times New Roman" w:hAnsi="Times New Roman" w:cs="Times New Roman"/>
                      <w:b w:val="0"/>
                      <w:bCs w:val="0"/>
                      <w:color w:val="000000" w:themeColor="text1"/>
                      <w:sz w:val="21"/>
                      <w:szCs w:val="21"/>
                      <w:vertAlign w:val="baseline"/>
                      <w:lang w:val="en-US" w:eastAsia="zh-CN"/>
                    </w:rPr>
                  </w:pPr>
                  <w:r>
                    <w:rPr>
                      <w:rFonts w:hint="eastAsia" w:ascii="Times New Roman" w:hAnsi="Times New Roman" w:cs="Times New Roman"/>
                      <w:b w:val="0"/>
                      <w:bCs w:val="0"/>
                      <w:color w:val="000000" w:themeColor="text1"/>
                      <w:sz w:val="21"/>
                      <w:szCs w:val="21"/>
                      <w:vertAlign w:val="baseline"/>
                      <w:lang w:val="en-US" w:eastAsia="zh-CN"/>
                    </w:rPr>
                    <w:t>隔油池</w:t>
                  </w:r>
                </w:p>
              </w:tc>
            </w:tr>
          </w:tbl>
          <w:p w14:paraId="65AB2967">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3</w:t>
            </w:r>
            <w:r>
              <w:rPr>
                <w:rFonts w:hint="eastAsia" w:ascii="Times New Roman" w:hAnsi="Times New Roman"/>
                <w:b/>
                <w:bCs/>
                <w:color w:val="000000" w:themeColor="text1"/>
                <w:sz w:val="24"/>
                <w:szCs w:val="24"/>
              </w:rPr>
              <w:t>、</w:t>
            </w:r>
            <w:r>
              <w:rPr>
                <w:rFonts w:hint="eastAsia" w:ascii="Times New Roman" w:hAnsi="Times New Roman"/>
                <w:b/>
                <w:bCs/>
                <w:color w:val="000000" w:themeColor="text1"/>
                <w:sz w:val="24"/>
                <w:szCs w:val="24"/>
                <w:lang w:val="en-US" w:eastAsia="zh-CN"/>
              </w:rPr>
              <w:t>项目扩建</w:t>
            </w:r>
            <w:r>
              <w:rPr>
                <w:rFonts w:hint="eastAsia" w:ascii="Times New Roman" w:hAnsi="Times New Roman"/>
                <w:b/>
                <w:bCs/>
                <w:color w:val="000000" w:themeColor="text1"/>
                <w:sz w:val="24"/>
                <w:szCs w:val="24"/>
              </w:rPr>
              <w:t>内容</w:t>
            </w:r>
            <w:r>
              <w:rPr>
                <w:rFonts w:hint="eastAsia" w:ascii="Times New Roman" w:hAnsi="Times New Roman"/>
                <w:b/>
                <w:bCs/>
                <w:color w:val="000000" w:themeColor="text1"/>
                <w:sz w:val="24"/>
                <w:szCs w:val="24"/>
                <w:lang w:val="en-US" w:eastAsia="zh-CN"/>
              </w:rPr>
              <w:t>及规模</w:t>
            </w:r>
          </w:p>
          <w:p w14:paraId="764703FB">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本项目于</w:t>
            </w:r>
            <w:r>
              <w:rPr>
                <w:rFonts w:ascii="Times New Roman" w:hAnsi="Times New Roman"/>
                <w:color w:val="000000" w:themeColor="text1"/>
                <w:sz w:val="24"/>
                <w:szCs w:val="24"/>
              </w:rPr>
              <w:t>20</w:t>
            </w:r>
            <w:r>
              <w:rPr>
                <w:rFonts w:hint="eastAsia" w:ascii="Times New Roman" w:hAnsi="Times New Roman"/>
                <w:color w:val="000000" w:themeColor="text1"/>
                <w:sz w:val="24"/>
                <w:szCs w:val="24"/>
                <w:lang w:val="en-US" w:eastAsia="zh-CN"/>
              </w:rPr>
              <w:t>18</w:t>
            </w:r>
            <w:r>
              <w:rPr>
                <w:rFonts w:hint="eastAsia" w:ascii="Times New Roman" w:hAnsi="Times New Roman"/>
                <w:color w:val="000000" w:themeColor="text1"/>
                <w:sz w:val="24"/>
                <w:szCs w:val="24"/>
              </w:rPr>
              <w:t>年</w:t>
            </w:r>
            <w:r>
              <w:rPr>
                <w:rFonts w:hint="eastAsia" w:ascii="Times New Roman" w:hAnsi="Times New Roman"/>
                <w:color w:val="000000" w:themeColor="text1"/>
                <w:sz w:val="24"/>
                <w:szCs w:val="24"/>
                <w:lang w:val="en-US" w:eastAsia="zh-CN"/>
              </w:rPr>
              <w:t>8</w:t>
            </w:r>
            <w:r>
              <w:rPr>
                <w:rFonts w:hint="eastAsia" w:ascii="Times New Roman" w:hAnsi="Times New Roman"/>
                <w:color w:val="000000" w:themeColor="text1"/>
                <w:sz w:val="24"/>
                <w:szCs w:val="24"/>
              </w:rPr>
              <w:t>月</w:t>
            </w:r>
            <w:r>
              <w:rPr>
                <w:rFonts w:hint="eastAsia" w:ascii="Times New Roman" w:hAnsi="Times New Roman"/>
                <w:color w:val="000000" w:themeColor="text1"/>
                <w:sz w:val="24"/>
                <w:szCs w:val="24"/>
                <w:lang w:eastAsia="zh-CN"/>
              </w:rPr>
              <w:t>开始建设</w:t>
            </w:r>
            <w:r>
              <w:rPr>
                <w:rFonts w:hint="eastAsia" w:ascii="Times New Roman" w:hAnsi="Times New Roman"/>
                <w:color w:val="000000" w:themeColor="text1"/>
                <w:sz w:val="24"/>
                <w:szCs w:val="24"/>
              </w:rPr>
              <w:t>，预计</w:t>
            </w:r>
            <w:r>
              <w:rPr>
                <w:rFonts w:ascii="Times New Roman" w:hAnsi="Times New Roman"/>
                <w:color w:val="000000" w:themeColor="text1"/>
                <w:sz w:val="24"/>
                <w:szCs w:val="24"/>
              </w:rPr>
              <w:t>201</w:t>
            </w:r>
            <w:r>
              <w:rPr>
                <w:rFonts w:hint="eastAsia" w:ascii="Times New Roman" w:hAnsi="Times New Roman"/>
                <w:color w:val="000000" w:themeColor="text1"/>
                <w:sz w:val="24"/>
                <w:szCs w:val="24"/>
                <w:lang w:val="en-US" w:eastAsia="zh-CN"/>
              </w:rPr>
              <w:t>8</w:t>
            </w:r>
            <w:r>
              <w:rPr>
                <w:rFonts w:hint="eastAsia" w:ascii="Times New Roman" w:hAnsi="Times New Roman"/>
                <w:color w:val="000000" w:themeColor="text1"/>
                <w:sz w:val="24"/>
                <w:szCs w:val="24"/>
              </w:rPr>
              <w:t>年</w:t>
            </w:r>
            <w:r>
              <w:rPr>
                <w:rFonts w:hint="eastAsia" w:ascii="Times New Roman" w:hAnsi="Times New Roman"/>
                <w:color w:val="000000" w:themeColor="text1"/>
                <w:sz w:val="24"/>
                <w:szCs w:val="24"/>
                <w:lang w:val="en-US" w:eastAsia="zh-CN"/>
              </w:rPr>
              <w:t>12</w:t>
            </w:r>
            <w:r>
              <w:rPr>
                <w:rFonts w:hint="eastAsia" w:ascii="Times New Roman" w:hAnsi="Times New Roman"/>
                <w:color w:val="000000" w:themeColor="text1"/>
                <w:sz w:val="24"/>
                <w:szCs w:val="24"/>
              </w:rPr>
              <w:t>月可投入运营。</w:t>
            </w:r>
            <w:r>
              <w:rPr>
                <w:rFonts w:hint="eastAsia" w:ascii="Times New Roman" w:hAnsi="Times New Roman"/>
                <w:color w:val="000000" w:themeColor="text1"/>
                <w:sz w:val="24"/>
                <w:szCs w:val="24"/>
                <w:lang w:val="en-US" w:eastAsia="zh-CN"/>
              </w:rPr>
              <w:t>项目建成后预计销售汽油2000t/a，柴油3000t/a，天然气CNG5000万方/a，LNG3000t/a。</w:t>
            </w:r>
          </w:p>
          <w:p w14:paraId="5013AD4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000000" w:themeColor="text1"/>
                <w:lang w:val="en-US" w:eastAsia="zh-CN"/>
              </w:rPr>
            </w:pPr>
            <w:r>
              <w:rPr>
                <w:rFonts w:hint="eastAsia" w:ascii="Times New Roman" w:hAnsi="Times New Roman" w:cs="Times New Roman"/>
                <w:color w:val="000000" w:themeColor="text1"/>
                <w:sz w:val="24"/>
                <w:szCs w:val="24"/>
                <w:lang w:val="en-US" w:eastAsia="zh-CN"/>
              </w:rPr>
              <w:t>扩建不新增占地，</w:t>
            </w:r>
            <w:r>
              <w:rPr>
                <w:rFonts w:hint="default" w:ascii="Times New Roman" w:hAnsi="Times New Roman" w:eastAsia="宋体" w:cs="Times New Roman"/>
                <w:color w:val="000000" w:themeColor="text1"/>
                <w:sz w:val="24"/>
                <w:szCs w:val="24"/>
                <w:lang w:eastAsia="zh-CN"/>
              </w:rPr>
              <w:t>总占地面积</w:t>
            </w:r>
            <w:r>
              <w:rPr>
                <w:rFonts w:hint="default" w:ascii="Times New Roman" w:hAnsi="Times New Roman" w:eastAsia="宋体" w:cs="Times New Roman"/>
                <w:color w:val="000000" w:themeColor="text1"/>
                <w:sz w:val="24"/>
                <w:szCs w:val="24"/>
                <w:lang w:val="en-US" w:eastAsia="zh-CN"/>
              </w:rPr>
              <w:t>6</w:t>
            </w:r>
            <w:r>
              <w:rPr>
                <w:rFonts w:hint="eastAsia" w:ascii="Times New Roman" w:hAnsi="Times New Roman" w:cs="Times New Roman"/>
                <w:color w:val="000000" w:themeColor="text1"/>
                <w:sz w:val="24"/>
                <w:szCs w:val="24"/>
                <w:lang w:val="en-US" w:eastAsia="zh-CN"/>
              </w:rPr>
              <w:t>666.7</w:t>
            </w:r>
            <w:r>
              <w:rPr>
                <w:rFonts w:hint="default" w:ascii="Times New Roman" w:hAnsi="Times New Roman" w:eastAsia="宋体" w:cs="Times New Roman"/>
                <w:color w:val="000000" w:themeColor="text1"/>
                <w:sz w:val="24"/>
                <w:szCs w:val="24"/>
                <w:lang w:val="en-US" w:eastAsia="zh-CN"/>
              </w:rPr>
              <w:t>m</w:t>
            </w:r>
            <w:r>
              <w:rPr>
                <w:rFonts w:hint="default" w:ascii="Times New Roman" w:hAnsi="Times New Roman" w:eastAsia="宋体" w:cs="Times New Roman"/>
                <w:color w:val="000000" w:themeColor="text1"/>
                <w:sz w:val="24"/>
                <w:szCs w:val="24"/>
                <w:vertAlign w:val="superscript"/>
                <w:lang w:val="en-US" w:eastAsia="zh-CN"/>
              </w:rPr>
              <w:t>2</w:t>
            </w:r>
            <w:r>
              <w:rPr>
                <w:rFonts w:hint="eastAsia" w:ascii="Times New Roman" w:hAnsi="Times New Roman" w:cs="Times New Roman"/>
                <w:color w:val="000000" w:themeColor="text1"/>
                <w:sz w:val="24"/>
                <w:szCs w:val="24"/>
                <w:vertAlign w:val="baseline"/>
                <w:lang w:val="en-US" w:eastAsia="zh-CN"/>
              </w:rPr>
              <w:t>不发生改变</w:t>
            </w:r>
            <w:r>
              <w:rPr>
                <w:rFonts w:hint="default" w:ascii="Times New Roman" w:hAnsi="Times New Roman" w:eastAsia="宋体" w:cs="Times New Roman"/>
                <w:color w:val="000000" w:themeColor="text1"/>
                <w:sz w:val="24"/>
                <w:szCs w:val="24"/>
                <w:lang w:val="en-US" w:eastAsia="zh-CN"/>
              </w:rPr>
              <w:t>，</w:t>
            </w:r>
            <w:r>
              <w:rPr>
                <w:rFonts w:hint="eastAsia" w:ascii="Times New Roman" w:hAnsi="Times New Roman" w:cs="Times New Roman"/>
                <w:color w:val="000000" w:themeColor="text1"/>
                <w:sz w:val="24"/>
                <w:szCs w:val="24"/>
                <w:lang w:val="en-US" w:eastAsia="zh-CN"/>
              </w:rPr>
              <w:t>，</w:t>
            </w:r>
            <w:r>
              <w:rPr>
                <w:rFonts w:hint="default" w:ascii="Times New Roman" w:hAnsi="Times New Roman" w:eastAsia="宋体" w:cs="Times New Roman"/>
                <w:color w:val="000000" w:themeColor="text1"/>
                <w:lang w:val="en-US" w:eastAsia="zh-CN"/>
              </w:rPr>
              <w:t>新增3座20</w:t>
            </w:r>
            <w:r>
              <w:rPr>
                <w:rFonts w:hint="default" w:ascii="Times New Roman" w:hAnsi="Times New Roman" w:eastAsia="宋体" w:cs="Times New Roman"/>
                <w:color w:val="000000" w:themeColor="text1"/>
              </w:rPr>
              <w:t>m</w:t>
            </w:r>
            <w:r>
              <w:rPr>
                <w:rFonts w:hint="default" w:ascii="Times New Roman" w:hAnsi="Times New Roman" w:eastAsia="宋体" w:cs="Times New Roman"/>
                <w:color w:val="000000" w:themeColor="text1"/>
                <w:vertAlign w:val="superscript"/>
              </w:rPr>
              <w:t>2</w:t>
            </w:r>
            <w:r>
              <w:rPr>
                <w:rFonts w:hint="default" w:ascii="Times New Roman" w:hAnsi="Times New Roman" w:eastAsia="宋体" w:cs="Times New Roman"/>
                <w:color w:val="000000" w:themeColor="text1"/>
                <w:lang w:val="en-US" w:eastAsia="zh-CN"/>
              </w:rPr>
              <w:t>埋地双层汽油储罐，3座20</w:t>
            </w:r>
            <w:r>
              <w:rPr>
                <w:rFonts w:hint="default" w:ascii="Times New Roman" w:hAnsi="Times New Roman" w:eastAsia="宋体" w:cs="Times New Roman"/>
                <w:color w:val="000000" w:themeColor="text1"/>
              </w:rPr>
              <w:t>m</w:t>
            </w:r>
            <w:r>
              <w:rPr>
                <w:rFonts w:hint="eastAsia" w:ascii="Times New Roman" w:hAnsi="Times New Roman" w:cs="Times New Roman"/>
                <w:color w:val="000000" w:themeColor="text1"/>
                <w:vertAlign w:val="superscript"/>
                <w:lang w:val="en-US" w:eastAsia="zh-CN"/>
              </w:rPr>
              <w:t>3</w:t>
            </w:r>
            <w:r>
              <w:rPr>
                <w:rFonts w:hint="default" w:ascii="Times New Roman" w:hAnsi="Times New Roman" w:eastAsia="宋体" w:cs="Times New Roman"/>
                <w:color w:val="000000" w:themeColor="text1"/>
                <w:lang w:val="en-US" w:eastAsia="zh-CN"/>
              </w:rPr>
              <w:t>埋地双层柴油储罐；1座30m</w:t>
            </w:r>
            <w:r>
              <w:rPr>
                <w:rFonts w:hint="default" w:ascii="Times New Roman" w:hAnsi="Times New Roman" w:eastAsia="宋体" w:cs="Times New Roman"/>
                <w:color w:val="000000" w:themeColor="text1"/>
                <w:vertAlign w:val="superscript"/>
                <w:lang w:val="en-US" w:eastAsia="zh-CN"/>
              </w:rPr>
              <w:t>3</w:t>
            </w:r>
            <w:r>
              <w:rPr>
                <w:rFonts w:hint="default" w:ascii="Times New Roman" w:hAnsi="Times New Roman" w:eastAsia="宋体" w:cs="Times New Roman"/>
                <w:color w:val="000000" w:themeColor="text1"/>
                <w:lang w:val="en-US" w:eastAsia="zh-CN"/>
              </w:rPr>
              <w:t>立式LNG储罐，1台LNG潜液泵撬及放散设备设施；罩棚在原有的基础上扩建一倍面积成1440</w:t>
            </w:r>
            <w:r>
              <w:rPr>
                <w:rFonts w:hint="default" w:ascii="Times New Roman" w:hAnsi="Times New Roman" w:eastAsia="宋体" w:cs="Times New Roman"/>
                <w:color w:val="000000" w:themeColor="text1"/>
              </w:rPr>
              <w:t>m</w:t>
            </w:r>
            <w:r>
              <w:rPr>
                <w:rFonts w:hint="default" w:ascii="Times New Roman" w:hAnsi="Times New Roman" w:eastAsia="宋体" w:cs="Times New Roman"/>
                <w:color w:val="000000" w:themeColor="text1"/>
                <w:vertAlign w:val="superscript"/>
              </w:rPr>
              <w:t>2</w:t>
            </w:r>
            <w:r>
              <w:rPr>
                <w:rFonts w:hint="default" w:ascii="Times New Roman" w:hAnsi="Times New Roman" w:eastAsia="宋体" w:cs="Times New Roman"/>
                <w:color w:val="000000" w:themeColor="text1"/>
                <w:lang w:val="en-US" w:eastAsia="zh-CN"/>
              </w:rPr>
              <w:t>，新罩棚下设置CNG加气机5台、LNG加注机2台、加油机5台；原有站房拆除，新建一座2层建筑面积为380m</w:t>
            </w:r>
            <w:r>
              <w:rPr>
                <w:rFonts w:hint="default" w:ascii="Times New Roman" w:hAnsi="Times New Roman" w:eastAsia="宋体" w:cs="Times New Roman"/>
                <w:color w:val="000000" w:themeColor="text1"/>
                <w:vertAlign w:val="superscript"/>
                <w:lang w:val="en-US" w:eastAsia="zh-CN"/>
              </w:rPr>
              <w:t>2</w:t>
            </w:r>
            <w:r>
              <w:rPr>
                <w:rFonts w:hint="default" w:ascii="Times New Roman" w:hAnsi="Times New Roman" w:eastAsia="宋体" w:cs="Times New Roman"/>
                <w:color w:val="000000" w:themeColor="text1"/>
                <w:lang w:val="en-US" w:eastAsia="zh-CN"/>
              </w:rPr>
              <w:t>的站房，新建一座3层建筑面积为585m</w:t>
            </w:r>
            <w:r>
              <w:rPr>
                <w:rFonts w:hint="default" w:ascii="Times New Roman" w:hAnsi="Times New Roman" w:eastAsia="宋体" w:cs="Times New Roman"/>
                <w:color w:val="000000" w:themeColor="text1"/>
                <w:vertAlign w:val="superscript"/>
                <w:lang w:val="en-US" w:eastAsia="zh-CN"/>
              </w:rPr>
              <w:t>2</w:t>
            </w:r>
            <w:r>
              <w:rPr>
                <w:rFonts w:hint="default" w:ascii="Times New Roman" w:hAnsi="Times New Roman" w:eastAsia="宋体" w:cs="Times New Roman"/>
                <w:color w:val="000000" w:themeColor="text1"/>
                <w:lang w:val="en-US" w:eastAsia="zh-CN"/>
              </w:rPr>
              <w:t>的辅助用房；CNG常规加气部分保留。</w:t>
            </w:r>
            <w:r>
              <w:rPr>
                <w:rFonts w:hint="eastAsia" w:ascii="Times New Roman" w:hAnsi="Times New Roman" w:cs="Times New Roman"/>
                <w:color w:val="000000" w:themeColor="text1"/>
                <w:lang w:val="en-US" w:eastAsia="zh-CN"/>
              </w:rPr>
              <w:t>本项目扩建后，平面布置图见附图3。</w:t>
            </w:r>
          </w:p>
          <w:p w14:paraId="3EFB1C71">
            <w:pPr>
              <w:spacing w:line="360" w:lineRule="auto"/>
              <w:ind w:firstLine="480" w:firstLineChars="200"/>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根据《汽车加油站气站设计与施工规范》（GB50156-2012）（2014年局部修订版）标准规定，具体内容见表2、表3。</w:t>
            </w:r>
          </w:p>
          <w:p w14:paraId="4E77051A">
            <w:pPr>
              <w:spacing w:line="360" w:lineRule="auto"/>
              <w:ind w:firstLine="422" w:firstLineChars="200"/>
              <w:jc w:val="left"/>
              <w:rPr>
                <w:rFonts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2</w:t>
            </w:r>
            <w:r>
              <w:rPr>
                <w:rFonts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加油与CNG加气合建站等级划分表</w:t>
            </w:r>
          </w:p>
          <w:tbl>
            <w:tblPr>
              <w:tblStyle w:val="19"/>
              <w:tblW w:w="8220" w:type="dxa"/>
              <w:tblInd w:w="0" w:type="dxa"/>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Layout w:type="fixed"/>
              <w:tblCellMar>
                <w:top w:w="15" w:type="dxa"/>
                <w:left w:w="15" w:type="dxa"/>
                <w:bottom w:w="15" w:type="dxa"/>
                <w:right w:w="15" w:type="dxa"/>
              </w:tblCellMar>
            </w:tblPr>
            <w:tblGrid>
              <w:gridCol w:w="524"/>
              <w:gridCol w:w="2567"/>
              <w:gridCol w:w="2568"/>
              <w:gridCol w:w="2561"/>
            </w:tblGrid>
            <w:tr w14:paraId="4A85A80F">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3" w:hRule="atLeast"/>
              </w:trPr>
              <w:tc>
                <w:tcPr>
                  <w:tcW w:w="524" w:type="dxa"/>
                  <w:vMerge w:val="restart"/>
                  <w:tcBorders>
                    <w:top w:val="single" w:color="000000" w:sz="12" w:space="0"/>
                    <w:right w:val="single" w:color="000000" w:sz="4" w:space="0"/>
                  </w:tcBorders>
                  <w:vAlign w:val="center"/>
                </w:tcPr>
                <w:p w14:paraId="5212B95B">
                  <w:pPr>
                    <w:widowControl/>
                    <w:jc w:val="center"/>
                    <w:textAlignment w:val="center"/>
                    <w:rPr>
                      <w:rFonts w:hint="eastAsia" w:ascii="Times New Roman" w:hAnsi="Times New Roman" w:eastAsia="宋体"/>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级别</w:t>
                  </w:r>
                </w:p>
              </w:tc>
              <w:tc>
                <w:tcPr>
                  <w:tcW w:w="5135" w:type="dxa"/>
                  <w:gridSpan w:val="2"/>
                  <w:tcBorders>
                    <w:top w:val="single" w:color="000000" w:sz="12" w:space="0"/>
                    <w:left w:val="single" w:color="000000" w:sz="4" w:space="0"/>
                    <w:bottom w:val="single" w:color="000000" w:sz="4" w:space="0"/>
                    <w:right w:val="nil"/>
                  </w:tcBorders>
                  <w:vAlign w:val="center"/>
                </w:tcPr>
                <w:p w14:paraId="49F796DB">
                  <w:pPr>
                    <w:widowControl/>
                    <w:jc w:val="center"/>
                    <w:textAlignment w:val="center"/>
                    <w:rPr>
                      <w:rFonts w:hint="eastAsia" w:ascii="Times New Roman" w:hAnsi="Times New Roman" w:eastAsia="宋体"/>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油罐容积（m</w:t>
                  </w:r>
                  <w:r>
                    <w:rPr>
                      <w:rFonts w:hint="eastAsia" w:ascii="Times New Roman" w:hAnsi="Times New Roman"/>
                      <w:b/>
                      <w:bCs/>
                      <w:color w:val="000000" w:themeColor="text1"/>
                      <w:sz w:val="21"/>
                      <w:szCs w:val="21"/>
                      <w:vertAlign w:val="superscript"/>
                      <w:lang w:val="en-US" w:eastAsia="zh-CN"/>
                    </w:rPr>
                    <w:t>3</w:t>
                  </w:r>
                  <w:r>
                    <w:rPr>
                      <w:rFonts w:hint="eastAsia" w:ascii="Times New Roman" w:hAnsi="Times New Roman"/>
                      <w:b/>
                      <w:bCs/>
                      <w:color w:val="000000" w:themeColor="text1"/>
                      <w:sz w:val="21"/>
                      <w:szCs w:val="21"/>
                      <w:lang w:val="en-US" w:eastAsia="zh-CN"/>
                    </w:rPr>
                    <w:t>）</w:t>
                  </w:r>
                </w:p>
              </w:tc>
              <w:tc>
                <w:tcPr>
                  <w:tcW w:w="2561" w:type="dxa"/>
                  <w:vMerge w:val="restart"/>
                  <w:tcBorders>
                    <w:top w:val="single" w:color="000000" w:sz="12" w:space="0"/>
                    <w:left w:val="single" w:color="000000" w:sz="4" w:space="0"/>
                    <w:right w:val="nil"/>
                  </w:tcBorders>
                  <w:vAlign w:val="center"/>
                </w:tcPr>
                <w:p w14:paraId="6FB15F98">
                  <w:pPr>
                    <w:widowControl/>
                    <w:jc w:val="center"/>
                    <w:textAlignment w:val="center"/>
                    <w:rPr>
                      <w:rFonts w:hint="eastAsia" w:ascii="Times New Roman" w:hAnsi="Times New Roman"/>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常规CNG加气站储气设施总容积（m</w:t>
                  </w:r>
                  <w:r>
                    <w:rPr>
                      <w:rFonts w:hint="eastAsia" w:ascii="Times New Roman" w:hAnsi="Times New Roman"/>
                      <w:b/>
                      <w:bCs/>
                      <w:color w:val="000000" w:themeColor="text1"/>
                      <w:sz w:val="21"/>
                      <w:szCs w:val="21"/>
                      <w:vertAlign w:val="superscript"/>
                      <w:lang w:val="en-US" w:eastAsia="zh-CN"/>
                    </w:rPr>
                    <w:t>3</w:t>
                  </w:r>
                  <w:r>
                    <w:rPr>
                      <w:rFonts w:hint="eastAsia" w:ascii="Times New Roman" w:hAnsi="Times New Roman"/>
                      <w:b/>
                      <w:bCs/>
                      <w:color w:val="000000" w:themeColor="text1"/>
                      <w:sz w:val="21"/>
                      <w:szCs w:val="21"/>
                      <w:lang w:val="en-US" w:eastAsia="zh-CN"/>
                    </w:rPr>
                    <w:t>）</w:t>
                  </w:r>
                </w:p>
              </w:tc>
            </w:tr>
            <w:tr w14:paraId="5D12F456">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3" w:hRule="atLeast"/>
              </w:trPr>
              <w:tc>
                <w:tcPr>
                  <w:tcW w:w="524" w:type="dxa"/>
                  <w:vMerge w:val="continue"/>
                  <w:tcBorders>
                    <w:bottom w:val="single" w:color="000000" w:sz="12" w:space="0"/>
                    <w:right w:val="single" w:color="000000" w:sz="4" w:space="0"/>
                  </w:tcBorders>
                  <w:vAlign w:val="center"/>
                </w:tcPr>
                <w:p w14:paraId="34912EA0">
                  <w:pPr>
                    <w:widowControl/>
                    <w:jc w:val="center"/>
                    <w:textAlignment w:val="center"/>
                    <w:rPr>
                      <w:color w:val="000000" w:themeColor="text1"/>
                      <w:sz w:val="21"/>
                      <w:szCs w:val="21"/>
                    </w:rPr>
                  </w:pPr>
                </w:p>
              </w:tc>
              <w:tc>
                <w:tcPr>
                  <w:tcW w:w="2567" w:type="dxa"/>
                  <w:tcBorders>
                    <w:top w:val="single" w:color="000000" w:sz="4" w:space="0"/>
                    <w:left w:val="single" w:color="000000" w:sz="4" w:space="0"/>
                    <w:bottom w:val="single" w:color="000000" w:sz="12" w:space="0"/>
                    <w:right w:val="single" w:color="000000" w:sz="4" w:space="0"/>
                  </w:tcBorders>
                  <w:vAlign w:val="center"/>
                </w:tcPr>
                <w:p w14:paraId="753765EA">
                  <w:pPr>
                    <w:widowControl/>
                    <w:jc w:val="center"/>
                    <w:textAlignment w:val="center"/>
                    <w:rPr>
                      <w:rFonts w:hint="eastAsia" w:ascii="Times New Roman" w:hAnsi="Times New Roman" w:eastAsia="宋体"/>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总容积</w:t>
                  </w:r>
                </w:p>
              </w:tc>
              <w:tc>
                <w:tcPr>
                  <w:tcW w:w="2568" w:type="dxa"/>
                  <w:tcBorders>
                    <w:top w:val="single" w:color="000000" w:sz="4" w:space="0"/>
                    <w:left w:val="single" w:color="000000" w:sz="4" w:space="0"/>
                    <w:bottom w:val="single" w:color="000000" w:sz="12" w:space="0"/>
                    <w:right w:val="nil"/>
                  </w:tcBorders>
                  <w:vAlign w:val="center"/>
                </w:tcPr>
                <w:p w14:paraId="301ECFFE">
                  <w:pPr>
                    <w:widowControl/>
                    <w:jc w:val="center"/>
                    <w:textAlignment w:val="center"/>
                    <w:rPr>
                      <w:rFonts w:hint="eastAsia" w:ascii="Times New Roman" w:hAnsi="Times New Roman" w:eastAsia="宋体"/>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单罐容积</w:t>
                  </w:r>
                </w:p>
              </w:tc>
              <w:tc>
                <w:tcPr>
                  <w:tcW w:w="2561" w:type="dxa"/>
                  <w:vMerge w:val="continue"/>
                  <w:tcBorders>
                    <w:left w:val="single" w:color="000000" w:sz="4" w:space="0"/>
                    <w:bottom w:val="single" w:color="000000" w:sz="12" w:space="0"/>
                    <w:right w:val="nil"/>
                  </w:tcBorders>
                  <w:vAlign w:val="center"/>
                </w:tcPr>
                <w:p w14:paraId="0FE7850B">
                  <w:pPr>
                    <w:widowControl/>
                    <w:jc w:val="center"/>
                    <w:textAlignment w:val="center"/>
                    <w:rPr>
                      <w:rFonts w:hint="eastAsia" w:ascii="Times New Roman" w:hAnsi="Times New Roman"/>
                      <w:b/>
                      <w:bCs/>
                      <w:color w:val="000000" w:themeColor="text1"/>
                      <w:sz w:val="21"/>
                      <w:szCs w:val="21"/>
                      <w:lang w:val="en-US" w:eastAsia="zh-CN"/>
                    </w:rPr>
                  </w:pPr>
                </w:p>
              </w:tc>
            </w:tr>
            <w:tr w14:paraId="3FE1603D">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3" w:hRule="atLeast"/>
              </w:trPr>
              <w:tc>
                <w:tcPr>
                  <w:tcW w:w="524" w:type="dxa"/>
                  <w:tcBorders>
                    <w:top w:val="single" w:color="000000" w:sz="12" w:space="0"/>
                    <w:bottom w:val="single" w:color="000000" w:sz="4" w:space="0"/>
                    <w:right w:val="single" w:color="000000" w:sz="4" w:space="0"/>
                  </w:tcBorders>
                  <w:vAlign w:val="center"/>
                </w:tcPr>
                <w:p w14:paraId="7A9DC835">
                  <w:pPr>
                    <w:widowControl/>
                    <w:jc w:val="center"/>
                    <w:textAlignment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一级</w:t>
                  </w:r>
                </w:p>
              </w:tc>
              <w:tc>
                <w:tcPr>
                  <w:tcW w:w="2567" w:type="dxa"/>
                  <w:tcBorders>
                    <w:top w:val="single" w:color="000000" w:sz="12" w:space="0"/>
                    <w:left w:val="single" w:color="000000" w:sz="4" w:space="0"/>
                    <w:bottom w:val="single" w:color="000000" w:sz="4" w:space="0"/>
                    <w:right w:val="single" w:color="000000" w:sz="4" w:space="0"/>
                  </w:tcBorders>
                  <w:vAlign w:val="center"/>
                </w:tcPr>
                <w:p w14:paraId="0153C5C1">
                  <w:pPr>
                    <w:widowControl/>
                    <w:jc w:val="center"/>
                    <w:textAlignment w:val="bottom"/>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150＜V≤210</w:t>
                  </w:r>
                </w:p>
              </w:tc>
              <w:tc>
                <w:tcPr>
                  <w:tcW w:w="2568" w:type="dxa"/>
                  <w:tcBorders>
                    <w:top w:val="single" w:color="000000" w:sz="12" w:space="0"/>
                    <w:left w:val="single" w:color="000000" w:sz="4" w:space="0"/>
                    <w:bottom w:val="single" w:color="000000" w:sz="4" w:space="0"/>
                    <w:right w:val="nil"/>
                  </w:tcBorders>
                  <w:vAlign w:val="center"/>
                </w:tcPr>
                <w:p w14:paraId="69CAFB38">
                  <w:pPr>
                    <w:widowControl/>
                    <w:jc w:val="center"/>
                    <w:textAlignment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kern w:val="0"/>
                      <w:sz w:val="21"/>
                      <w:szCs w:val="21"/>
                      <w:lang w:val="en-US" w:eastAsia="zh-CN"/>
                    </w:rPr>
                    <w:t>≤50</w:t>
                  </w:r>
                </w:p>
              </w:tc>
              <w:tc>
                <w:tcPr>
                  <w:tcW w:w="2561" w:type="dxa"/>
                  <w:vMerge w:val="restart"/>
                  <w:tcBorders>
                    <w:top w:val="single" w:color="000000" w:sz="12" w:space="0"/>
                    <w:left w:val="single" w:color="000000" w:sz="4" w:space="0"/>
                    <w:right w:val="nil"/>
                  </w:tcBorders>
                  <w:vAlign w:val="center"/>
                </w:tcPr>
                <w:p w14:paraId="020739B3">
                  <w:pPr>
                    <w:widowControl/>
                    <w:jc w:val="center"/>
                    <w:textAlignment w:val="center"/>
                    <w:rPr>
                      <w:rFonts w:hint="eastAsia" w:ascii="Times New Roman" w:hAnsi="Times New Roman"/>
                      <w:color w:val="000000" w:themeColor="text1"/>
                      <w:kern w:val="0"/>
                      <w:sz w:val="21"/>
                      <w:szCs w:val="21"/>
                      <w:lang w:val="en-US" w:eastAsia="zh-CN"/>
                    </w:rPr>
                  </w:pPr>
                  <w:r>
                    <w:rPr>
                      <w:rFonts w:hint="eastAsia" w:ascii="Times New Roman" w:hAnsi="Times New Roman"/>
                      <w:color w:val="000000" w:themeColor="text1"/>
                      <w:kern w:val="0"/>
                      <w:sz w:val="21"/>
                      <w:szCs w:val="21"/>
                      <w:lang w:val="en-US" w:eastAsia="zh-CN"/>
                    </w:rPr>
                    <w:t>V≤24</w:t>
                  </w:r>
                </w:p>
              </w:tc>
            </w:tr>
            <w:tr w14:paraId="3C578E03">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3" w:hRule="atLeast"/>
              </w:trPr>
              <w:tc>
                <w:tcPr>
                  <w:tcW w:w="524" w:type="dxa"/>
                  <w:tcBorders>
                    <w:top w:val="single" w:color="000000" w:sz="4" w:space="0"/>
                    <w:bottom w:val="single" w:color="000000" w:sz="4" w:space="0"/>
                    <w:right w:val="single" w:color="000000" w:sz="4" w:space="0"/>
                  </w:tcBorders>
                  <w:vAlign w:val="center"/>
                </w:tcPr>
                <w:p w14:paraId="1A6736CA">
                  <w:pPr>
                    <w:widowControl/>
                    <w:jc w:val="center"/>
                    <w:textAlignment w:val="center"/>
                    <w:rPr>
                      <w:rFonts w:hint="eastAsia" w:ascii="Times New Roman" w:hAnsi="Times New Roman"/>
                      <w:color w:val="000000" w:themeColor="text1"/>
                      <w:kern w:val="0"/>
                      <w:sz w:val="21"/>
                      <w:szCs w:val="21"/>
                      <w:lang w:val="en-US" w:eastAsia="zh-CN"/>
                    </w:rPr>
                  </w:pPr>
                  <w:r>
                    <w:rPr>
                      <w:rFonts w:hint="eastAsia" w:ascii="Times New Roman" w:hAnsi="Times New Roman"/>
                      <w:color w:val="000000" w:themeColor="text1"/>
                      <w:kern w:val="0"/>
                      <w:sz w:val="21"/>
                      <w:szCs w:val="21"/>
                      <w:lang w:val="en-US" w:eastAsia="zh-CN"/>
                    </w:rPr>
                    <w:t>二级</w:t>
                  </w:r>
                </w:p>
              </w:tc>
              <w:tc>
                <w:tcPr>
                  <w:tcW w:w="2567" w:type="dxa"/>
                  <w:tcBorders>
                    <w:top w:val="single" w:color="000000" w:sz="4" w:space="0"/>
                    <w:left w:val="single" w:color="000000" w:sz="4" w:space="0"/>
                    <w:bottom w:val="single" w:color="000000" w:sz="4" w:space="0"/>
                    <w:right w:val="single" w:color="000000" w:sz="4" w:space="0"/>
                  </w:tcBorders>
                  <w:vAlign w:val="center"/>
                </w:tcPr>
                <w:p w14:paraId="0698E9E0">
                  <w:pPr>
                    <w:widowControl/>
                    <w:jc w:val="center"/>
                    <w:textAlignment w:val="center"/>
                    <w:rPr>
                      <w:rFonts w:hint="eastAsia" w:ascii="Times New Roman" w:hAnsi="Times New Roman"/>
                      <w:color w:val="000000" w:themeColor="text1"/>
                      <w:kern w:val="0"/>
                      <w:sz w:val="21"/>
                      <w:szCs w:val="21"/>
                      <w:lang w:eastAsia="zh-CN"/>
                    </w:rPr>
                  </w:pPr>
                  <w:r>
                    <w:rPr>
                      <w:rFonts w:hint="eastAsia" w:ascii="Times New Roman" w:hAnsi="Times New Roman"/>
                      <w:color w:val="000000" w:themeColor="text1"/>
                      <w:sz w:val="21"/>
                      <w:szCs w:val="21"/>
                      <w:lang w:val="en-US" w:eastAsia="zh-CN"/>
                    </w:rPr>
                    <w:t>90＜V≤150</w:t>
                  </w:r>
                </w:p>
              </w:tc>
              <w:tc>
                <w:tcPr>
                  <w:tcW w:w="2568" w:type="dxa"/>
                  <w:tcBorders>
                    <w:top w:val="single" w:color="000000" w:sz="4" w:space="0"/>
                    <w:left w:val="single" w:color="000000" w:sz="4" w:space="0"/>
                    <w:bottom w:val="single" w:color="000000" w:sz="4" w:space="0"/>
                    <w:right w:val="nil"/>
                  </w:tcBorders>
                  <w:vAlign w:val="center"/>
                </w:tcPr>
                <w:p w14:paraId="4D9A3841">
                  <w:pPr>
                    <w:widowControl/>
                    <w:jc w:val="center"/>
                    <w:textAlignment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kern w:val="0"/>
                      <w:sz w:val="21"/>
                      <w:szCs w:val="21"/>
                      <w:lang w:val="en-US" w:eastAsia="zh-CN"/>
                    </w:rPr>
                    <w:t>≤50</w:t>
                  </w:r>
                </w:p>
              </w:tc>
              <w:tc>
                <w:tcPr>
                  <w:tcW w:w="2561" w:type="dxa"/>
                  <w:vMerge w:val="continue"/>
                  <w:tcBorders>
                    <w:left w:val="single" w:color="000000" w:sz="4" w:space="0"/>
                    <w:bottom w:val="single" w:color="000000" w:sz="4" w:space="0"/>
                    <w:right w:val="nil"/>
                  </w:tcBorders>
                  <w:vAlign w:val="center"/>
                </w:tcPr>
                <w:p w14:paraId="7CD27B5E">
                  <w:pPr>
                    <w:widowControl/>
                    <w:jc w:val="center"/>
                    <w:textAlignment w:val="center"/>
                    <w:rPr>
                      <w:rFonts w:hint="eastAsia" w:ascii="Times New Roman" w:hAnsi="Times New Roman"/>
                      <w:color w:val="000000" w:themeColor="text1"/>
                      <w:kern w:val="0"/>
                      <w:sz w:val="21"/>
                      <w:szCs w:val="21"/>
                      <w:lang w:val="en-US" w:eastAsia="zh-CN"/>
                    </w:rPr>
                  </w:pPr>
                </w:p>
              </w:tc>
            </w:tr>
            <w:tr w14:paraId="084B1B6E">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3" w:hRule="atLeast"/>
              </w:trPr>
              <w:tc>
                <w:tcPr>
                  <w:tcW w:w="524" w:type="dxa"/>
                  <w:tcBorders>
                    <w:top w:val="single" w:color="000000" w:sz="4" w:space="0"/>
                    <w:bottom w:val="single" w:color="000000" w:sz="4" w:space="0"/>
                    <w:right w:val="single" w:color="000000" w:sz="4" w:space="0"/>
                  </w:tcBorders>
                  <w:vAlign w:val="center"/>
                </w:tcPr>
                <w:p w14:paraId="7B788053">
                  <w:pPr>
                    <w:widowControl/>
                    <w:jc w:val="center"/>
                    <w:textAlignment w:val="center"/>
                    <w:rPr>
                      <w:rFonts w:hint="eastAsia" w:ascii="Times New Roman" w:hAnsi="Times New Roman"/>
                      <w:color w:val="000000" w:themeColor="text1"/>
                      <w:kern w:val="0"/>
                      <w:sz w:val="21"/>
                      <w:szCs w:val="21"/>
                      <w:lang w:val="en-US" w:eastAsia="zh-CN"/>
                    </w:rPr>
                  </w:pPr>
                  <w:r>
                    <w:rPr>
                      <w:rFonts w:hint="eastAsia" w:ascii="Times New Roman" w:hAnsi="Times New Roman"/>
                      <w:color w:val="000000" w:themeColor="text1"/>
                      <w:kern w:val="0"/>
                      <w:sz w:val="21"/>
                      <w:szCs w:val="21"/>
                      <w:lang w:val="en-US" w:eastAsia="zh-CN"/>
                    </w:rPr>
                    <w:t>三级</w:t>
                  </w:r>
                </w:p>
              </w:tc>
              <w:tc>
                <w:tcPr>
                  <w:tcW w:w="2567" w:type="dxa"/>
                  <w:tcBorders>
                    <w:top w:val="single" w:color="000000" w:sz="4" w:space="0"/>
                    <w:left w:val="single" w:color="000000" w:sz="4" w:space="0"/>
                    <w:bottom w:val="single" w:color="000000" w:sz="4" w:space="0"/>
                    <w:right w:val="single" w:color="000000" w:sz="4" w:space="0"/>
                  </w:tcBorders>
                  <w:vAlign w:val="center"/>
                </w:tcPr>
                <w:p w14:paraId="59F06DF8">
                  <w:pPr>
                    <w:widowControl/>
                    <w:jc w:val="center"/>
                    <w:textAlignment w:val="center"/>
                    <w:rPr>
                      <w:rFonts w:hint="eastAsia" w:ascii="Times New Roman" w:hAnsi="Times New Roman"/>
                      <w:color w:val="000000" w:themeColor="text1"/>
                      <w:kern w:val="0"/>
                      <w:sz w:val="21"/>
                      <w:szCs w:val="21"/>
                      <w:lang w:val="en-US" w:eastAsia="zh-CN"/>
                    </w:rPr>
                  </w:pPr>
                  <w:r>
                    <w:rPr>
                      <w:rFonts w:hint="eastAsia" w:ascii="Times New Roman" w:hAnsi="Times New Roman"/>
                      <w:color w:val="000000" w:themeColor="text1"/>
                      <w:kern w:val="0"/>
                      <w:sz w:val="21"/>
                      <w:szCs w:val="21"/>
                      <w:lang w:val="en-US" w:eastAsia="zh-CN"/>
                    </w:rPr>
                    <w:t>V≤90</w:t>
                  </w:r>
                </w:p>
              </w:tc>
              <w:tc>
                <w:tcPr>
                  <w:tcW w:w="2568" w:type="dxa"/>
                  <w:tcBorders>
                    <w:top w:val="single" w:color="000000" w:sz="4" w:space="0"/>
                    <w:left w:val="single" w:color="000000" w:sz="4" w:space="0"/>
                    <w:bottom w:val="single" w:color="000000" w:sz="4" w:space="0"/>
                    <w:right w:val="nil"/>
                  </w:tcBorders>
                  <w:vAlign w:val="center"/>
                </w:tcPr>
                <w:p w14:paraId="6D19EA49">
                  <w:pPr>
                    <w:widowControl/>
                    <w:jc w:val="center"/>
                    <w:textAlignment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kern w:val="0"/>
                      <w:sz w:val="21"/>
                      <w:szCs w:val="21"/>
                      <w:lang w:val="en-US" w:eastAsia="zh-CN"/>
                    </w:rPr>
                    <w:t>汽油罐≤30，柴油罐≤50</w:t>
                  </w:r>
                </w:p>
              </w:tc>
              <w:tc>
                <w:tcPr>
                  <w:tcW w:w="2561" w:type="dxa"/>
                  <w:tcBorders>
                    <w:top w:val="single" w:color="000000" w:sz="4" w:space="0"/>
                    <w:left w:val="single" w:color="000000" w:sz="4" w:space="0"/>
                    <w:bottom w:val="single" w:color="000000" w:sz="4" w:space="0"/>
                    <w:right w:val="nil"/>
                  </w:tcBorders>
                  <w:vAlign w:val="center"/>
                </w:tcPr>
                <w:p w14:paraId="0EF93557">
                  <w:pPr>
                    <w:widowControl/>
                    <w:jc w:val="center"/>
                    <w:textAlignment w:val="center"/>
                    <w:rPr>
                      <w:rFonts w:hint="eastAsia" w:ascii="Times New Roman" w:hAnsi="Times New Roman"/>
                      <w:color w:val="000000" w:themeColor="text1"/>
                      <w:kern w:val="0"/>
                      <w:sz w:val="21"/>
                      <w:szCs w:val="21"/>
                      <w:lang w:val="en-US" w:eastAsia="zh-CN"/>
                    </w:rPr>
                  </w:pPr>
                  <w:r>
                    <w:rPr>
                      <w:rFonts w:hint="eastAsia" w:ascii="Times New Roman" w:hAnsi="Times New Roman"/>
                      <w:color w:val="000000" w:themeColor="text1"/>
                      <w:kern w:val="0"/>
                      <w:sz w:val="21"/>
                      <w:szCs w:val="21"/>
                      <w:lang w:val="en-US" w:eastAsia="zh-CN"/>
                    </w:rPr>
                    <w:t>V≤12</w:t>
                  </w:r>
                </w:p>
              </w:tc>
            </w:tr>
            <w:tr w14:paraId="619D4277">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3" w:hRule="atLeast"/>
              </w:trPr>
              <w:tc>
                <w:tcPr>
                  <w:tcW w:w="5659" w:type="dxa"/>
                  <w:gridSpan w:val="3"/>
                  <w:tcBorders>
                    <w:top w:val="single" w:color="000000" w:sz="4" w:space="0"/>
                    <w:bottom w:val="single" w:color="000000" w:sz="12" w:space="0"/>
                    <w:right w:val="nil"/>
                  </w:tcBorders>
                  <w:vAlign w:val="center"/>
                </w:tcPr>
                <w:p w14:paraId="0D80A77F">
                  <w:pPr>
                    <w:widowControl/>
                    <w:jc w:val="both"/>
                    <w:textAlignment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注：V为油罐总容积；柴油罐容积可折半计入油罐总容积。</w:t>
                  </w:r>
                </w:p>
              </w:tc>
              <w:tc>
                <w:tcPr>
                  <w:tcW w:w="2561" w:type="dxa"/>
                  <w:tcBorders>
                    <w:top w:val="single" w:color="000000" w:sz="4" w:space="0"/>
                    <w:bottom w:val="single" w:color="000000" w:sz="12" w:space="0"/>
                    <w:right w:val="nil"/>
                  </w:tcBorders>
                  <w:vAlign w:val="center"/>
                </w:tcPr>
                <w:p w14:paraId="1F715D17">
                  <w:pPr>
                    <w:widowControl/>
                    <w:jc w:val="center"/>
                    <w:textAlignment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w:t>
                  </w:r>
                </w:p>
              </w:tc>
            </w:tr>
          </w:tbl>
          <w:p w14:paraId="76845D29">
            <w:pPr>
              <w:spacing w:line="360" w:lineRule="auto"/>
              <w:ind w:firstLine="422" w:firstLineChars="200"/>
              <w:jc w:val="left"/>
              <w:rPr>
                <w:rFonts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3</w:t>
            </w:r>
            <w:r>
              <w:rPr>
                <w:rFonts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 xml:space="preserve">      </w:t>
            </w:r>
            <w:r>
              <w:rPr>
                <w:rFonts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LNG加气站等级划分表</w:t>
            </w:r>
          </w:p>
          <w:tbl>
            <w:tblPr>
              <w:tblStyle w:val="19"/>
              <w:tblW w:w="8220" w:type="dxa"/>
              <w:tblInd w:w="0" w:type="dxa"/>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Layout w:type="fixed"/>
              <w:tblCellMar>
                <w:top w:w="15" w:type="dxa"/>
                <w:left w:w="15" w:type="dxa"/>
                <w:bottom w:w="15" w:type="dxa"/>
                <w:right w:w="15" w:type="dxa"/>
              </w:tblCellMar>
            </w:tblPr>
            <w:tblGrid>
              <w:gridCol w:w="761"/>
              <w:gridCol w:w="3729"/>
              <w:gridCol w:w="3730"/>
            </w:tblGrid>
            <w:tr w14:paraId="523AE8B9">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3" w:hRule="atLeast"/>
              </w:trPr>
              <w:tc>
                <w:tcPr>
                  <w:tcW w:w="761" w:type="dxa"/>
                  <w:vMerge w:val="restart"/>
                  <w:tcBorders>
                    <w:top w:val="single" w:color="000000" w:sz="12" w:space="0"/>
                    <w:right w:val="single" w:color="000000" w:sz="4" w:space="0"/>
                  </w:tcBorders>
                  <w:vAlign w:val="center"/>
                </w:tcPr>
                <w:p w14:paraId="3B2B550B">
                  <w:pPr>
                    <w:widowControl/>
                    <w:jc w:val="center"/>
                    <w:textAlignment w:val="center"/>
                    <w:rPr>
                      <w:rFonts w:hint="eastAsia" w:ascii="Times New Roman" w:hAnsi="Times New Roman" w:eastAsia="宋体"/>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级别</w:t>
                  </w:r>
                </w:p>
              </w:tc>
              <w:tc>
                <w:tcPr>
                  <w:tcW w:w="7459" w:type="dxa"/>
                  <w:gridSpan w:val="2"/>
                  <w:tcBorders>
                    <w:top w:val="single" w:color="000000" w:sz="12" w:space="0"/>
                    <w:left w:val="single" w:color="000000" w:sz="4" w:space="0"/>
                    <w:bottom w:val="single" w:color="000000" w:sz="4" w:space="0"/>
                    <w:right w:val="nil"/>
                  </w:tcBorders>
                  <w:vAlign w:val="center"/>
                </w:tcPr>
                <w:p w14:paraId="31630BD4">
                  <w:pPr>
                    <w:widowControl/>
                    <w:jc w:val="center"/>
                    <w:textAlignment w:val="center"/>
                    <w:rPr>
                      <w:rFonts w:hint="eastAsia" w:ascii="Times New Roman" w:hAnsi="Times New Roman" w:eastAsia="宋体"/>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LNG加气站</w:t>
                  </w:r>
                </w:p>
              </w:tc>
            </w:tr>
            <w:tr w14:paraId="1766E9DD">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3" w:hRule="atLeast"/>
              </w:trPr>
              <w:tc>
                <w:tcPr>
                  <w:tcW w:w="761" w:type="dxa"/>
                  <w:vMerge w:val="continue"/>
                  <w:tcBorders>
                    <w:bottom w:val="single" w:color="000000" w:sz="12" w:space="0"/>
                    <w:right w:val="single" w:color="000000" w:sz="4" w:space="0"/>
                  </w:tcBorders>
                  <w:vAlign w:val="center"/>
                </w:tcPr>
                <w:p w14:paraId="3C427528">
                  <w:pPr>
                    <w:widowControl/>
                    <w:jc w:val="center"/>
                    <w:textAlignment w:val="center"/>
                    <w:rPr>
                      <w:color w:val="000000" w:themeColor="text1"/>
                      <w:sz w:val="21"/>
                      <w:szCs w:val="21"/>
                    </w:rPr>
                  </w:pPr>
                </w:p>
              </w:tc>
              <w:tc>
                <w:tcPr>
                  <w:tcW w:w="3729" w:type="dxa"/>
                  <w:tcBorders>
                    <w:top w:val="single" w:color="000000" w:sz="4" w:space="0"/>
                    <w:left w:val="single" w:color="000000" w:sz="4" w:space="0"/>
                    <w:bottom w:val="single" w:color="000000" w:sz="12" w:space="0"/>
                    <w:right w:val="single" w:color="000000" w:sz="4" w:space="0"/>
                  </w:tcBorders>
                  <w:vAlign w:val="center"/>
                </w:tcPr>
                <w:p w14:paraId="1C007243">
                  <w:pPr>
                    <w:widowControl/>
                    <w:jc w:val="center"/>
                    <w:textAlignment w:val="center"/>
                    <w:rPr>
                      <w:rFonts w:hint="eastAsia" w:ascii="Times New Roman" w:hAnsi="Times New Roman" w:eastAsia="宋体"/>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LNG储罐总容积（m</w:t>
                  </w:r>
                  <w:r>
                    <w:rPr>
                      <w:rFonts w:hint="eastAsia" w:ascii="Times New Roman" w:hAnsi="Times New Roman"/>
                      <w:b/>
                      <w:bCs/>
                      <w:color w:val="000000" w:themeColor="text1"/>
                      <w:sz w:val="21"/>
                      <w:szCs w:val="21"/>
                      <w:vertAlign w:val="superscript"/>
                      <w:lang w:val="en-US" w:eastAsia="zh-CN"/>
                    </w:rPr>
                    <w:t>3</w:t>
                  </w:r>
                  <w:r>
                    <w:rPr>
                      <w:rFonts w:hint="eastAsia" w:ascii="Times New Roman" w:hAnsi="Times New Roman"/>
                      <w:b/>
                      <w:bCs/>
                      <w:color w:val="000000" w:themeColor="text1"/>
                      <w:sz w:val="21"/>
                      <w:szCs w:val="21"/>
                      <w:lang w:val="en-US" w:eastAsia="zh-CN"/>
                    </w:rPr>
                    <w:t>）</w:t>
                  </w:r>
                </w:p>
              </w:tc>
              <w:tc>
                <w:tcPr>
                  <w:tcW w:w="3730" w:type="dxa"/>
                  <w:tcBorders>
                    <w:top w:val="single" w:color="000000" w:sz="4" w:space="0"/>
                    <w:left w:val="single" w:color="000000" w:sz="4" w:space="0"/>
                    <w:bottom w:val="single" w:color="000000" w:sz="12" w:space="0"/>
                    <w:right w:val="nil"/>
                  </w:tcBorders>
                  <w:vAlign w:val="center"/>
                </w:tcPr>
                <w:p w14:paraId="668CB2FF">
                  <w:pPr>
                    <w:widowControl/>
                    <w:jc w:val="center"/>
                    <w:textAlignment w:val="center"/>
                    <w:rPr>
                      <w:rFonts w:hint="eastAsia" w:ascii="Times New Roman" w:hAnsi="Times New Roman" w:eastAsia="宋体"/>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LNG储罐单罐容积（m</w:t>
                  </w:r>
                  <w:r>
                    <w:rPr>
                      <w:rFonts w:hint="eastAsia" w:ascii="Times New Roman" w:hAnsi="Times New Roman"/>
                      <w:b/>
                      <w:bCs/>
                      <w:color w:val="000000" w:themeColor="text1"/>
                      <w:sz w:val="21"/>
                      <w:szCs w:val="21"/>
                      <w:vertAlign w:val="superscript"/>
                      <w:lang w:val="en-US" w:eastAsia="zh-CN"/>
                    </w:rPr>
                    <w:t>3</w:t>
                  </w:r>
                  <w:r>
                    <w:rPr>
                      <w:rFonts w:hint="eastAsia" w:ascii="Times New Roman" w:hAnsi="Times New Roman"/>
                      <w:b/>
                      <w:bCs/>
                      <w:color w:val="000000" w:themeColor="text1"/>
                      <w:sz w:val="21"/>
                      <w:szCs w:val="21"/>
                      <w:lang w:val="en-US" w:eastAsia="zh-CN"/>
                    </w:rPr>
                    <w:t>）</w:t>
                  </w:r>
                </w:p>
              </w:tc>
            </w:tr>
            <w:tr w14:paraId="354C83C3">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3" w:hRule="atLeast"/>
              </w:trPr>
              <w:tc>
                <w:tcPr>
                  <w:tcW w:w="761" w:type="dxa"/>
                  <w:tcBorders>
                    <w:top w:val="single" w:color="000000" w:sz="12" w:space="0"/>
                    <w:bottom w:val="single" w:color="000000" w:sz="4" w:space="0"/>
                    <w:right w:val="single" w:color="000000" w:sz="4" w:space="0"/>
                  </w:tcBorders>
                  <w:vAlign w:val="center"/>
                </w:tcPr>
                <w:p w14:paraId="36E23877">
                  <w:pPr>
                    <w:widowControl/>
                    <w:jc w:val="center"/>
                    <w:textAlignment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一级</w:t>
                  </w:r>
                </w:p>
              </w:tc>
              <w:tc>
                <w:tcPr>
                  <w:tcW w:w="3729" w:type="dxa"/>
                  <w:tcBorders>
                    <w:top w:val="single" w:color="000000" w:sz="12" w:space="0"/>
                    <w:left w:val="single" w:color="000000" w:sz="4" w:space="0"/>
                    <w:bottom w:val="single" w:color="000000" w:sz="4" w:space="0"/>
                    <w:right w:val="single" w:color="000000" w:sz="4" w:space="0"/>
                  </w:tcBorders>
                  <w:vAlign w:val="center"/>
                </w:tcPr>
                <w:p w14:paraId="65744C6A">
                  <w:pPr>
                    <w:widowControl/>
                    <w:jc w:val="center"/>
                    <w:textAlignment w:val="bottom"/>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120＜V≤180</w:t>
                  </w:r>
                </w:p>
              </w:tc>
              <w:tc>
                <w:tcPr>
                  <w:tcW w:w="3730" w:type="dxa"/>
                  <w:tcBorders>
                    <w:top w:val="single" w:color="000000" w:sz="12" w:space="0"/>
                    <w:left w:val="single" w:color="000000" w:sz="4" w:space="0"/>
                    <w:bottom w:val="single" w:color="000000" w:sz="4" w:space="0"/>
                    <w:right w:val="nil"/>
                  </w:tcBorders>
                  <w:vAlign w:val="center"/>
                </w:tcPr>
                <w:p w14:paraId="7FC42A00">
                  <w:pPr>
                    <w:widowControl/>
                    <w:jc w:val="center"/>
                    <w:textAlignment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kern w:val="0"/>
                      <w:sz w:val="21"/>
                      <w:szCs w:val="21"/>
                      <w:lang w:val="en-US" w:eastAsia="zh-CN"/>
                    </w:rPr>
                    <w:t>≤60</w:t>
                  </w:r>
                </w:p>
              </w:tc>
            </w:tr>
            <w:tr w14:paraId="49C68739">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3" w:hRule="atLeast"/>
              </w:trPr>
              <w:tc>
                <w:tcPr>
                  <w:tcW w:w="761" w:type="dxa"/>
                  <w:tcBorders>
                    <w:top w:val="single" w:color="000000" w:sz="4" w:space="0"/>
                    <w:bottom w:val="single" w:color="000000" w:sz="4" w:space="0"/>
                    <w:right w:val="single" w:color="000000" w:sz="4" w:space="0"/>
                  </w:tcBorders>
                  <w:vAlign w:val="center"/>
                </w:tcPr>
                <w:p w14:paraId="4EB33BBE">
                  <w:pPr>
                    <w:widowControl/>
                    <w:jc w:val="center"/>
                    <w:textAlignment w:val="center"/>
                    <w:rPr>
                      <w:rFonts w:hint="eastAsia" w:ascii="Times New Roman" w:hAnsi="Times New Roman"/>
                      <w:color w:val="000000" w:themeColor="text1"/>
                      <w:kern w:val="0"/>
                      <w:sz w:val="21"/>
                      <w:szCs w:val="21"/>
                      <w:lang w:val="en-US" w:eastAsia="zh-CN"/>
                    </w:rPr>
                  </w:pPr>
                  <w:r>
                    <w:rPr>
                      <w:rFonts w:hint="eastAsia" w:ascii="Times New Roman" w:hAnsi="Times New Roman"/>
                      <w:color w:val="000000" w:themeColor="text1"/>
                      <w:kern w:val="0"/>
                      <w:sz w:val="21"/>
                      <w:szCs w:val="21"/>
                      <w:lang w:val="en-US" w:eastAsia="zh-CN"/>
                    </w:rPr>
                    <w:t>二级</w:t>
                  </w:r>
                </w:p>
              </w:tc>
              <w:tc>
                <w:tcPr>
                  <w:tcW w:w="3729" w:type="dxa"/>
                  <w:tcBorders>
                    <w:top w:val="single" w:color="000000" w:sz="4" w:space="0"/>
                    <w:left w:val="single" w:color="000000" w:sz="4" w:space="0"/>
                    <w:bottom w:val="single" w:color="000000" w:sz="4" w:space="0"/>
                    <w:right w:val="single" w:color="000000" w:sz="4" w:space="0"/>
                  </w:tcBorders>
                  <w:vAlign w:val="center"/>
                </w:tcPr>
                <w:p w14:paraId="7853E78A">
                  <w:pPr>
                    <w:widowControl/>
                    <w:jc w:val="center"/>
                    <w:textAlignment w:val="center"/>
                    <w:rPr>
                      <w:rFonts w:hint="eastAsia" w:ascii="Times New Roman" w:hAnsi="Times New Roman"/>
                      <w:color w:val="000000" w:themeColor="text1"/>
                      <w:kern w:val="0"/>
                      <w:sz w:val="21"/>
                      <w:szCs w:val="21"/>
                      <w:lang w:eastAsia="zh-CN"/>
                    </w:rPr>
                  </w:pPr>
                  <w:r>
                    <w:rPr>
                      <w:rFonts w:hint="eastAsia" w:ascii="Times New Roman" w:hAnsi="Times New Roman"/>
                      <w:color w:val="000000" w:themeColor="text1"/>
                      <w:sz w:val="21"/>
                      <w:szCs w:val="21"/>
                      <w:lang w:val="en-US" w:eastAsia="zh-CN"/>
                    </w:rPr>
                    <w:t>60＜V≤120</w:t>
                  </w:r>
                </w:p>
              </w:tc>
              <w:tc>
                <w:tcPr>
                  <w:tcW w:w="3730" w:type="dxa"/>
                  <w:tcBorders>
                    <w:top w:val="single" w:color="000000" w:sz="4" w:space="0"/>
                    <w:left w:val="single" w:color="000000" w:sz="4" w:space="0"/>
                    <w:bottom w:val="single" w:color="000000" w:sz="4" w:space="0"/>
                    <w:right w:val="nil"/>
                  </w:tcBorders>
                  <w:vAlign w:val="center"/>
                </w:tcPr>
                <w:p w14:paraId="26FD00D1">
                  <w:pPr>
                    <w:widowControl/>
                    <w:jc w:val="center"/>
                    <w:textAlignment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kern w:val="0"/>
                      <w:sz w:val="21"/>
                      <w:szCs w:val="21"/>
                      <w:lang w:val="en-US" w:eastAsia="zh-CN"/>
                    </w:rPr>
                    <w:t>≤60</w:t>
                  </w:r>
                </w:p>
              </w:tc>
            </w:tr>
            <w:tr w14:paraId="1E54EA97">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3" w:hRule="atLeast"/>
              </w:trPr>
              <w:tc>
                <w:tcPr>
                  <w:tcW w:w="761" w:type="dxa"/>
                  <w:tcBorders>
                    <w:top w:val="single" w:color="000000" w:sz="4" w:space="0"/>
                    <w:bottom w:val="single" w:color="000000" w:sz="12" w:space="0"/>
                    <w:right w:val="single" w:color="000000" w:sz="4" w:space="0"/>
                  </w:tcBorders>
                  <w:vAlign w:val="center"/>
                </w:tcPr>
                <w:p w14:paraId="12BFDEEA">
                  <w:pPr>
                    <w:widowControl/>
                    <w:jc w:val="center"/>
                    <w:textAlignment w:val="center"/>
                    <w:rPr>
                      <w:rFonts w:hint="eastAsia" w:ascii="Times New Roman" w:hAnsi="Times New Roman"/>
                      <w:color w:val="000000" w:themeColor="text1"/>
                      <w:kern w:val="0"/>
                      <w:sz w:val="21"/>
                      <w:szCs w:val="21"/>
                      <w:lang w:val="en-US" w:eastAsia="zh-CN"/>
                    </w:rPr>
                  </w:pPr>
                  <w:r>
                    <w:rPr>
                      <w:rFonts w:hint="eastAsia" w:ascii="Times New Roman" w:hAnsi="Times New Roman"/>
                      <w:color w:val="000000" w:themeColor="text1"/>
                      <w:kern w:val="0"/>
                      <w:sz w:val="21"/>
                      <w:szCs w:val="21"/>
                      <w:lang w:val="en-US" w:eastAsia="zh-CN"/>
                    </w:rPr>
                    <w:t>三级</w:t>
                  </w:r>
                </w:p>
              </w:tc>
              <w:tc>
                <w:tcPr>
                  <w:tcW w:w="3729" w:type="dxa"/>
                  <w:tcBorders>
                    <w:top w:val="single" w:color="000000" w:sz="4" w:space="0"/>
                    <w:left w:val="single" w:color="000000" w:sz="4" w:space="0"/>
                    <w:bottom w:val="single" w:color="000000" w:sz="12" w:space="0"/>
                    <w:right w:val="single" w:color="000000" w:sz="4" w:space="0"/>
                  </w:tcBorders>
                  <w:vAlign w:val="center"/>
                </w:tcPr>
                <w:p w14:paraId="4A5B6031">
                  <w:pPr>
                    <w:widowControl/>
                    <w:jc w:val="center"/>
                    <w:textAlignment w:val="center"/>
                    <w:rPr>
                      <w:rFonts w:hint="eastAsia" w:ascii="Times New Roman" w:hAnsi="Times New Roman"/>
                      <w:color w:val="000000" w:themeColor="text1"/>
                      <w:kern w:val="0"/>
                      <w:sz w:val="21"/>
                      <w:szCs w:val="21"/>
                      <w:lang w:val="en-US" w:eastAsia="zh-CN"/>
                    </w:rPr>
                  </w:pPr>
                  <w:r>
                    <w:rPr>
                      <w:rFonts w:hint="eastAsia" w:ascii="Times New Roman" w:hAnsi="Times New Roman"/>
                      <w:color w:val="000000" w:themeColor="text1"/>
                      <w:kern w:val="0"/>
                      <w:sz w:val="21"/>
                      <w:szCs w:val="21"/>
                      <w:lang w:val="en-US" w:eastAsia="zh-CN"/>
                    </w:rPr>
                    <w:t>V≤60</w:t>
                  </w:r>
                </w:p>
              </w:tc>
              <w:tc>
                <w:tcPr>
                  <w:tcW w:w="3730" w:type="dxa"/>
                  <w:tcBorders>
                    <w:top w:val="single" w:color="000000" w:sz="4" w:space="0"/>
                    <w:left w:val="single" w:color="000000" w:sz="4" w:space="0"/>
                    <w:bottom w:val="single" w:color="000000" w:sz="12" w:space="0"/>
                    <w:right w:val="nil"/>
                  </w:tcBorders>
                  <w:vAlign w:val="center"/>
                </w:tcPr>
                <w:p w14:paraId="4DEC6E7A">
                  <w:pPr>
                    <w:widowControl/>
                    <w:jc w:val="center"/>
                    <w:textAlignment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kern w:val="0"/>
                      <w:sz w:val="21"/>
                      <w:szCs w:val="21"/>
                      <w:lang w:val="en-US" w:eastAsia="zh-CN"/>
                    </w:rPr>
                    <w:t>≤60</w:t>
                  </w:r>
                </w:p>
              </w:tc>
            </w:tr>
          </w:tbl>
          <w:p w14:paraId="09AC9EF9">
            <w:pPr>
              <w:spacing w:line="360" w:lineRule="auto"/>
              <w:ind w:firstLine="480" w:firstLineChars="200"/>
              <w:rPr>
                <w:rFonts w:hint="eastAsia" w:ascii="宋体" w:hAnsi="宋体"/>
                <w:bCs/>
                <w:color w:val="000000" w:themeColor="text1"/>
                <w:kern w:val="0"/>
                <w:sz w:val="24"/>
                <w:lang w:val="en-US" w:eastAsia="zh-CN"/>
              </w:rPr>
            </w:pPr>
            <w:r>
              <w:rPr>
                <w:rFonts w:hint="eastAsia" w:ascii="宋体" w:hAnsi="宋体"/>
                <w:bCs/>
                <w:color w:val="000000" w:themeColor="text1"/>
                <w:kern w:val="0"/>
                <w:sz w:val="24"/>
                <w:lang w:val="en-US" w:eastAsia="zh-CN"/>
              </w:rPr>
              <w:t>本项目具体情况见表</w:t>
            </w:r>
            <w:r>
              <w:rPr>
                <w:rFonts w:hint="eastAsia" w:ascii="Times New Roman" w:hAnsi="Times New Roman" w:cs="Times New Roman"/>
                <w:bCs/>
                <w:color w:val="000000" w:themeColor="text1"/>
                <w:kern w:val="0"/>
                <w:sz w:val="24"/>
                <w:lang w:val="en-US" w:eastAsia="zh-CN"/>
              </w:rPr>
              <w:t>4</w:t>
            </w:r>
            <w:r>
              <w:rPr>
                <w:rFonts w:hint="eastAsia" w:ascii="宋体" w:hAnsi="宋体"/>
                <w:bCs/>
                <w:color w:val="000000" w:themeColor="text1"/>
                <w:kern w:val="0"/>
                <w:sz w:val="24"/>
                <w:lang w:val="en-US" w:eastAsia="zh-CN"/>
              </w:rPr>
              <w:t>。</w:t>
            </w:r>
          </w:p>
          <w:p w14:paraId="3AB729DF">
            <w:pPr>
              <w:spacing w:line="360" w:lineRule="auto"/>
              <w:ind w:firstLine="422" w:firstLineChars="200"/>
              <w:jc w:val="left"/>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表4                     本项目扩建后加油站情况一览表</w:t>
            </w:r>
          </w:p>
          <w:tbl>
            <w:tblPr>
              <w:tblStyle w:val="20"/>
              <w:tblW w:w="8220" w:type="dxa"/>
              <w:tblInd w:w="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46"/>
              <w:gridCol w:w="1646"/>
              <w:gridCol w:w="1646"/>
              <w:gridCol w:w="1646"/>
              <w:gridCol w:w="1636"/>
            </w:tblGrid>
            <w:tr w14:paraId="31D2A3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46" w:type="dxa"/>
                  <w:tcBorders>
                    <w:bottom w:val="single" w:color="auto" w:sz="12" w:space="0"/>
                  </w:tcBorders>
                  <w:vAlign w:val="center"/>
                </w:tcPr>
                <w:p w14:paraId="713C25FF">
                  <w:pPr>
                    <w:spacing w:line="240" w:lineRule="auto"/>
                    <w:jc w:val="center"/>
                    <w:rPr>
                      <w:rFonts w:hint="default" w:ascii="Times New Roman" w:hAnsi="Times New Roman" w:eastAsia="宋体"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项目</w:t>
                  </w:r>
                </w:p>
              </w:tc>
              <w:tc>
                <w:tcPr>
                  <w:tcW w:w="1646" w:type="dxa"/>
                  <w:tcBorders>
                    <w:bottom w:val="single" w:color="auto" w:sz="12" w:space="0"/>
                  </w:tcBorders>
                  <w:vAlign w:val="center"/>
                </w:tcPr>
                <w:p w14:paraId="4EEE51A5">
                  <w:pPr>
                    <w:spacing w:line="240" w:lineRule="auto"/>
                    <w:jc w:val="center"/>
                    <w:rPr>
                      <w:rFonts w:hint="default" w:ascii="Times New Roman" w:hAnsi="Times New Roman" w:eastAsia="宋体"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储罐储量</w:t>
                  </w:r>
                </w:p>
              </w:tc>
              <w:tc>
                <w:tcPr>
                  <w:tcW w:w="1646" w:type="dxa"/>
                  <w:tcBorders>
                    <w:bottom w:val="single" w:color="auto" w:sz="12" w:space="0"/>
                  </w:tcBorders>
                  <w:vAlign w:val="center"/>
                </w:tcPr>
                <w:p w14:paraId="2C5163C3">
                  <w:pPr>
                    <w:spacing w:line="240" w:lineRule="auto"/>
                    <w:jc w:val="center"/>
                    <w:rPr>
                      <w:rFonts w:hint="default" w:ascii="Times New Roman" w:hAnsi="Times New Roman" w:eastAsia="宋体"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数量</w:t>
                  </w:r>
                </w:p>
              </w:tc>
              <w:tc>
                <w:tcPr>
                  <w:tcW w:w="1646" w:type="dxa"/>
                  <w:tcBorders>
                    <w:bottom w:val="single" w:color="auto" w:sz="12" w:space="0"/>
                  </w:tcBorders>
                  <w:vAlign w:val="center"/>
                </w:tcPr>
                <w:p w14:paraId="70621E58">
                  <w:pPr>
                    <w:spacing w:line="240" w:lineRule="auto"/>
                    <w:jc w:val="center"/>
                    <w:rPr>
                      <w:rFonts w:hint="default" w:ascii="Times New Roman" w:hAnsi="Times New Roman" w:eastAsia="宋体"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类别</w:t>
                  </w:r>
                </w:p>
              </w:tc>
              <w:tc>
                <w:tcPr>
                  <w:tcW w:w="1636" w:type="dxa"/>
                  <w:tcBorders>
                    <w:bottom w:val="single" w:color="auto" w:sz="12" w:space="0"/>
                  </w:tcBorders>
                  <w:vAlign w:val="center"/>
                </w:tcPr>
                <w:p w14:paraId="71984203">
                  <w:pPr>
                    <w:spacing w:line="240" w:lineRule="auto"/>
                    <w:jc w:val="center"/>
                    <w:rPr>
                      <w:rFonts w:hint="eastAsia" w:ascii="Times New Roman" w:hAnsi="Times New Roman"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备注</w:t>
                  </w:r>
                </w:p>
              </w:tc>
            </w:tr>
            <w:tr w14:paraId="23E18B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46" w:type="dxa"/>
                  <w:tcBorders>
                    <w:top w:val="single" w:color="auto" w:sz="12" w:space="0"/>
                    <w:tl2br w:val="nil"/>
                    <w:tr2bl w:val="nil"/>
                  </w:tcBorders>
                  <w:vAlign w:val="center"/>
                </w:tcPr>
                <w:p w14:paraId="28760B30">
                  <w:pPr>
                    <w:spacing w:line="240" w:lineRule="auto"/>
                    <w:jc w:val="center"/>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汽油储罐</w:t>
                  </w:r>
                </w:p>
              </w:tc>
              <w:tc>
                <w:tcPr>
                  <w:tcW w:w="1646" w:type="dxa"/>
                  <w:tcBorders>
                    <w:top w:val="single" w:color="auto" w:sz="12" w:space="0"/>
                    <w:tl2br w:val="nil"/>
                    <w:tr2bl w:val="nil"/>
                  </w:tcBorders>
                  <w:vAlign w:val="center"/>
                </w:tcPr>
                <w:p w14:paraId="6B1128D2">
                  <w:pPr>
                    <w:spacing w:line="240" w:lineRule="auto"/>
                    <w:jc w:val="center"/>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20m</w:t>
                  </w:r>
                  <w:r>
                    <w:rPr>
                      <w:rFonts w:hint="eastAsia" w:ascii="Times New Roman" w:hAnsi="Times New Roman" w:cs="Times New Roman"/>
                      <w:color w:val="000000" w:themeColor="text1"/>
                      <w:sz w:val="21"/>
                      <w:szCs w:val="21"/>
                      <w:vertAlign w:val="superscript"/>
                      <w:lang w:val="en-US" w:eastAsia="zh-CN"/>
                    </w:rPr>
                    <w:t>3</w:t>
                  </w:r>
                </w:p>
              </w:tc>
              <w:tc>
                <w:tcPr>
                  <w:tcW w:w="1646" w:type="dxa"/>
                  <w:tcBorders>
                    <w:top w:val="single" w:color="auto" w:sz="12" w:space="0"/>
                    <w:tl2br w:val="nil"/>
                    <w:tr2bl w:val="nil"/>
                  </w:tcBorders>
                  <w:vAlign w:val="center"/>
                </w:tcPr>
                <w:p w14:paraId="0E4D74EA">
                  <w:pPr>
                    <w:spacing w:line="240" w:lineRule="auto"/>
                    <w:jc w:val="center"/>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3</w:t>
                  </w:r>
                </w:p>
              </w:tc>
              <w:tc>
                <w:tcPr>
                  <w:tcW w:w="1646" w:type="dxa"/>
                  <w:vMerge w:val="restart"/>
                  <w:tcBorders>
                    <w:top w:val="single" w:color="auto" w:sz="12" w:space="0"/>
                    <w:tl2br w:val="nil"/>
                    <w:tr2bl w:val="nil"/>
                  </w:tcBorders>
                  <w:vAlign w:val="center"/>
                </w:tcPr>
                <w:p w14:paraId="1CB591D4">
                  <w:pPr>
                    <w:spacing w:line="240" w:lineRule="auto"/>
                    <w:jc w:val="center"/>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二级加油与LNG加气和CNG加气站合建站</w:t>
                  </w:r>
                </w:p>
              </w:tc>
              <w:tc>
                <w:tcPr>
                  <w:tcW w:w="1636" w:type="dxa"/>
                  <w:vMerge w:val="restart"/>
                  <w:tcBorders>
                    <w:top w:val="single" w:color="auto" w:sz="12" w:space="0"/>
                    <w:tl2br w:val="nil"/>
                    <w:tr2bl w:val="nil"/>
                  </w:tcBorders>
                  <w:vAlign w:val="center"/>
                </w:tcPr>
                <w:p w14:paraId="6701E75D">
                  <w:pPr>
                    <w:spacing w:line="240" w:lineRule="auto"/>
                    <w:jc w:val="center"/>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扩建</w:t>
                  </w:r>
                </w:p>
              </w:tc>
            </w:tr>
            <w:tr w14:paraId="554A6D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46" w:type="dxa"/>
                  <w:tcBorders>
                    <w:tl2br w:val="nil"/>
                    <w:tr2bl w:val="nil"/>
                  </w:tcBorders>
                  <w:vAlign w:val="center"/>
                </w:tcPr>
                <w:p w14:paraId="7DA2B3DF">
                  <w:pPr>
                    <w:spacing w:line="240" w:lineRule="auto"/>
                    <w:jc w:val="center"/>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柴油储罐</w:t>
                  </w:r>
                </w:p>
              </w:tc>
              <w:tc>
                <w:tcPr>
                  <w:tcW w:w="1646" w:type="dxa"/>
                  <w:tcBorders>
                    <w:tl2br w:val="nil"/>
                    <w:tr2bl w:val="nil"/>
                  </w:tcBorders>
                  <w:vAlign w:val="center"/>
                </w:tcPr>
                <w:p w14:paraId="5DD3DBBD">
                  <w:pPr>
                    <w:spacing w:line="240" w:lineRule="auto"/>
                    <w:jc w:val="center"/>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2</w:t>
                  </w:r>
                  <w:bookmarkStart w:id="3" w:name="OLE_LINK2"/>
                  <w:r>
                    <w:rPr>
                      <w:rFonts w:hint="eastAsia" w:ascii="Times New Roman" w:hAnsi="Times New Roman" w:cs="Times New Roman"/>
                      <w:color w:val="000000" w:themeColor="text1"/>
                      <w:sz w:val="21"/>
                      <w:szCs w:val="21"/>
                      <w:vertAlign w:val="baseline"/>
                      <w:lang w:val="en-US" w:eastAsia="zh-CN"/>
                    </w:rPr>
                    <w:t>0m</w:t>
                  </w:r>
                  <w:r>
                    <w:rPr>
                      <w:rFonts w:hint="eastAsia" w:ascii="Times New Roman" w:hAnsi="Times New Roman" w:cs="Times New Roman"/>
                      <w:color w:val="000000" w:themeColor="text1"/>
                      <w:sz w:val="21"/>
                      <w:szCs w:val="21"/>
                      <w:vertAlign w:val="superscript"/>
                      <w:lang w:val="en-US" w:eastAsia="zh-CN"/>
                    </w:rPr>
                    <w:t>3</w:t>
                  </w:r>
                  <w:bookmarkEnd w:id="3"/>
                </w:p>
              </w:tc>
              <w:tc>
                <w:tcPr>
                  <w:tcW w:w="1646" w:type="dxa"/>
                  <w:tcBorders>
                    <w:tl2br w:val="nil"/>
                    <w:tr2bl w:val="nil"/>
                  </w:tcBorders>
                  <w:vAlign w:val="center"/>
                </w:tcPr>
                <w:p w14:paraId="18E92C9C">
                  <w:pPr>
                    <w:spacing w:line="240" w:lineRule="auto"/>
                    <w:jc w:val="center"/>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3</w:t>
                  </w:r>
                </w:p>
              </w:tc>
              <w:tc>
                <w:tcPr>
                  <w:tcW w:w="1646" w:type="dxa"/>
                  <w:vMerge w:val="continue"/>
                  <w:tcBorders>
                    <w:tl2br w:val="nil"/>
                    <w:tr2bl w:val="nil"/>
                  </w:tcBorders>
                  <w:vAlign w:val="center"/>
                </w:tcPr>
                <w:p w14:paraId="7680649E">
                  <w:pPr>
                    <w:spacing w:line="240" w:lineRule="auto"/>
                    <w:jc w:val="center"/>
                    <w:rPr>
                      <w:rFonts w:hint="default" w:ascii="Times New Roman" w:hAnsi="Times New Roman" w:eastAsia="宋体" w:cs="Times New Roman"/>
                      <w:color w:val="000000" w:themeColor="text1"/>
                      <w:sz w:val="21"/>
                      <w:szCs w:val="21"/>
                      <w:vertAlign w:val="baseline"/>
                      <w:lang w:val="en-US" w:eastAsia="zh-CN"/>
                    </w:rPr>
                  </w:pPr>
                </w:p>
              </w:tc>
              <w:tc>
                <w:tcPr>
                  <w:tcW w:w="1636" w:type="dxa"/>
                  <w:vMerge w:val="continue"/>
                  <w:tcBorders>
                    <w:tl2br w:val="nil"/>
                    <w:tr2bl w:val="nil"/>
                  </w:tcBorders>
                  <w:vAlign w:val="center"/>
                </w:tcPr>
                <w:p w14:paraId="09C3FFEA">
                  <w:pPr>
                    <w:spacing w:line="240" w:lineRule="auto"/>
                    <w:jc w:val="center"/>
                    <w:rPr>
                      <w:rFonts w:hint="default" w:ascii="Times New Roman" w:hAnsi="Times New Roman" w:eastAsia="宋体" w:cs="Times New Roman"/>
                      <w:color w:val="000000" w:themeColor="text1"/>
                      <w:sz w:val="21"/>
                      <w:szCs w:val="21"/>
                      <w:vertAlign w:val="baseline"/>
                      <w:lang w:val="en-US" w:eastAsia="zh-CN"/>
                    </w:rPr>
                  </w:pPr>
                </w:p>
              </w:tc>
            </w:tr>
            <w:tr w14:paraId="63CFFE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46" w:type="dxa"/>
                  <w:tcBorders>
                    <w:tl2br w:val="nil"/>
                    <w:tr2bl w:val="nil"/>
                  </w:tcBorders>
                  <w:vAlign w:val="center"/>
                </w:tcPr>
                <w:p w14:paraId="38784F88">
                  <w:pPr>
                    <w:spacing w:line="240" w:lineRule="auto"/>
                    <w:jc w:val="center"/>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LNG储罐</w:t>
                  </w:r>
                </w:p>
              </w:tc>
              <w:tc>
                <w:tcPr>
                  <w:tcW w:w="1646" w:type="dxa"/>
                  <w:tcBorders>
                    <w:tl2br w:val="nil"/>
                    <w:tr2bl w:val="nil"/>
                  </w:tcBorders>
                  <w:vAlign w:val="center"/>
                </w:tcPr>
                <w:p w14:paraId="3EF2F18F">
                  <w:pPr>
                    <w:spacing w:line="240" w:lineRule="auto"/>
                    <w:jc w:val="center"/>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30m</w:t>
                  </w:r>
                  <w:r>
                    <w:rPr>
                      <w:rFonts w:hint="eastAsia" w:ascii="Times New Roman" w:hAnsi="Times New Roman" w:cs="Times New Roman"/>
                      <w:color w:val="000000" w:themeColor="text1"/>
                      <w:sz w:val="21"/>
                      <w:szCs w:val="21"/>
                      <w:vertAlign w:val="superscript"/>
                      <w:lang w:val="en-US" w:eastAsia="zh-CN"/>
                    </w:rPr>
                    <w:t>3</w:t>
                  </w:r>
                </w:p>
              </w:tc>
              <w:tc>
                <w:tcPr>
                  <w:tcW w:w="1646" w:type="dxa"/>
                  <w:tcBorders>
                    <w:tl2br w:val="nil"/>
                    <w:tr2bl w:val="nil"/>
                  </w:tcBorders>
                  <w:vAlign w:val="center"/>
                </w:tcPr>
                <w:p w14:paraId="5E9766FA">
                  <w:pPr>
                    <w:spacing w:line="240" w:lineRule="auto"/>
                    <w:jc w:val="center"/>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1</w:t>
                  </w:r>
                </w:p>
              </w:tc>
              <w:tc>
                <w:tcPr>
                  <w:tcW w:w="1646" w:type="dxa"/>
                  <w:vMerge w:val="continue"/>
                  <w:tcBorders>
                    <w:tl2br w:val="nil"/>
                    <w:tr2bl w:val="nil"/>
                  </w:tcBorders>
                  <w:vAlign w:val="center"/>
                </w:tcPr>
                <w:p w14:paraId="4ACCECF6">
                  <w:pPr>
                    <w:spacing w:line="240" w:lineRule="auto"/>
                    <w:jc w:val="center"/>
                    <w:rPr>
                      <w:rFonts w:hint="default" w:ascii="Times New Roman" w:hAnsi="Times New Roman" w:eastAsia="宋体" w:cs="Times New Roman"/>
                      <w:color w:val="000000" w:themeColor="text1"/>
                      <w:sz w:val="21"/>
                      <w:szCs w:val="21"/>
                      <w:vertAlign w:val="baseline"/>
                      <w:lang w:val="en-US" w:eastAsia="zh-CN"/>
                    </w:rPr>
                  </w:pPr>
                </w:p>
              </w:tc>
              <w:tc>
                <w:tcPr>
                  <w:tcW w:w="1636" w:type="dxa"/>
                  <w:vMerge w:val="continue"/>
                  <w:tcBorders>
                    <w:tl2br w:val="nil"/>
                    <w:tr2bl w:val="nil"/>
                  </w:tcBorders>
                  <w:vAlign w:val="center"/>
                </w:tcPr>
                <w:p w14:paraId="6182DA34">
                  <w:pPr>
                    <w:spacing w:line="240" w:lineRule="auto"/>
                    <w:jc w:val="center"/>
                    <w:rPr>
                      <w:rFonts w:hint="default" w:ascii="Times New Roman" w:hAnsi="Times New Roman" w:eastAsia="宋体" w:cs="Times New Roman"/>
                      <w:color w:val="000000" w:themeColor="text1"/>
                      <w:sz w:val="21"/>
                      <w:szCs w:val="21"/>
                      <w:vertAlign w:val="baseline"/>
                      <w:lang w:val="en-US" w:eastAsia="zh-CN"/>
                    </w:rPr>
                  </w:pPr>
                </w:p>
              </w:tc>
            </w:tr>
            <w:tr w14:paraId="347A7B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646" w:type="dxa"/>
                  <w:tcBorders>
                    <w:tl2br w:val="nil"/>
                    <w:tr2bl w:val="nil"/>
                  </w:tcBorders>
                  <w:vAlign w:val="center"/>
                </w:tcPr>
                <w:p w14:paraId="3BF09B73">
                  <w:pPr>
                    <w:spacing w:line="240" w:lineRule="auto"/>
                    <w:jc w:val="center"/>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CNG储罐</w:t>
                  </w:r>
                </w:p>
              </w:tc>
              <w:tc>
                <w:tcPr>
                  <w:tcW w:w="1646" w:type="dxa"/>
                  <w:tcBorders>
                    <w:tl2br w:val="nil"/>
                    <w:tr2bl w:val="nil"/>
                  </w:tcBorders>
                  <w:vAlign w:val="center"/>
                </w:tcPr>
                <w:p w14:paraId="0CFDA5AD">
                  <w:pPr>
                    <w:spacing w:line="240" w:lineRule="auto"/>
                    <w:jc w:val="center"/>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3m</w:t>
                  </w:r>
                  <w:r>
                    <w:rPr>
                      <w:rFonts w:hint="eastAsia" w:ascii="Times New Roman" w:hAnsi="Times New Roman" w:cs="Times New Roman"/>
                      <w:color w:val="000000" w:themeColor="text1"/>
                      <w:sz w:val="21"/>
                      <w:szCs w:val="21"/>
                      <w:vertAlign w:val="superscript"/>
                      <w:lang w:val="en-US" w:eastAsia="zh-CN"/>
                    </w:rPr>
                    <w:t>3</w:t>
                  </w:r>
                </w:p>
              </w:tc>
              <w:tc>
                <w:tcPr>
                  <w:tcW w:w="1646" w:type="dxa"/>
                  <w:tcBorders>
                    <w:tl2br w:val="nil"/>
                    <w:tr2bl w:val="nil"/>
                  </w:tcBorders>
                  <w:vAlign w:val="center"/>
                </w:tcPr>
                <w:p w14:paraId="16896BD4">
                  <w:pPr>
                    <w:spacing w:line="240" w:lineRule="auto"/>
                    <w:jc w:val="center"/>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4</w:t>
                  </w:r>
                </w:p>
              </w:tc>
              <w:tc>
                <w:tcPr>
                  <w:tcW w:w="1646" w:type="dxa"/>
                  <w:vMerge w:val="continue"/>
                  <w:tcBorders>
                    <w:tl2br w:val="nil"/>
                    <w:tr2bl w:val="nil"/>
                  </w:tcBorders>
                  <w:vAlign w:val="center"/>
                </w:tcPr>
                <w:p w14:paraId="274B888C">
                  <w:pPr>
                    <w:spacing w:line="240" w:lineRule="auto"/>
                    <w:jc w:val="center"/>
                    <w:rPr>
                      <w:rFonts w:hint="default" w:ascii="Times New Roman" w:hAnsi="Times New Roman" w:eastAsia="宋体" w:cs="Times New Roman"/>
                      <w:color w:val="000000" w:themeColor="text1"/>
                      <w:sz w:val="21"/>
                      <w:szCs w:val="21"/>
                      <w:vertAlign w:val="baseline"/>
                      <w:lang w:val="en-US" w:eastAsia="zh-CN"/>
                    </w:rPr>
                  </w:pPr>
                </w:p>
              </w:tc>
              <w:tc>
                <w:tcPr>
                  <w:tcW w:w="1636" w:type="dxa"/>
                  <w:tcBorders>
                    <w:tl2br w:val="nil"/>
                    <w:tr2bl w:val="nil"/>
                  </w:tcBorders>
                  <w:vAlign w:val="center"/>
                </w:tcPr>
                <w:p w14:paraId="3F45A6CC">
                  <w:pPr>
                    <w:spacing w:line="240" w:lineRule="auto"/>
                    <w:jc w:val="center"/>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原有</w:t>
                  </w:r>
                </w:p>
              </w:tc>
            </w:tr>
          </w:tbl>
          <w:p w14:paraId="37D9AA2B">
            <w:pPr>
              <w:spacing w:line="360" w:lineRule="auto"/>
              <w:ind w:firstLine="480" w:firstLineChars="200"/>
              <w:rPr>
                <w:rFonts w:hint="eastAsia" w:ascii="宋体" w:hAnsi="宋体"/>
                <w:bCs/>
                <w:color w:val="000000" w:themeColor="text1"/>
                <w:kern w:val="0"/>
                <w:sz w:val="24"/>
              </w:rPr>
            </w:pPr>
            <w:r>
              <w:rPr>
                <w:rFonts w:hint="eastAsia" w:ascii="宋体" w:hAnsi="宋体"/>
                <w:bCs/>
                <w:color w:val="000000" w:themeColor="text1"/>
                <w:kern w:val="0"/>
                <w:sz w:val="24"/>
              </w:rPr>
              <w:t>该项目由主体工程，辅助工程，公用工程，环保工程组成，</w:t>
            </w:r>
            <w:r>
              <w:rPr>
                <w:rFonts w:hint="eastAsia"/>
                <w:snapToGrid w:val="0"/>
                <w:color w:val="000000" w:themeColor="text1"/>
                <w:kern w:val="0"/>
                <w:sz w:val="24"/>
                <w:szCs w:val="24"/>
                <w:lang w:eastAsia="zh-CN"/>
              </w:rPr>
              <w:t>本项目</w:t>
            </w:r>
            <w:r>
              <w:rPr>
                <w:rFonts w:hint="eastAsia"/>
                <w:snapToGrid w:val="0"/>
                <w:color w:val="000000" w:themeColor="text1"/>
                <w:kern w:val="0"/>
                <w:sz w:val="24"/>
                <w:szCs w:val="24"/>
              </w:rPr>
              <w:t>主要建设内容</w:t>
            </w:r>
            <w:r>
              <w:rPr>
                <w:rFonts w:hint="eastAsia" w:ascii="宋体" w:hAnsi="宋体"/>
                <w:bCs/>
                <w:color w:val="000000" w:themeColor="text1"/>
                <w:kern w:val="0"/>
                <w:sz w:val="24"/>
              </w:rPr>
              <w:t>见表</w:t>
            </w:r>
            <w:r>
              <w:rPr>
                <w:rFonts w:hint="eastAsia" w:ascii="Times New Roman" w:hAnsi="Times New Roman"/>
                <w:bCs/>
                <w:color w:val="000000" w:themeColor="text1"/>
                <w:kern w:val="0"/>
                <w:sz w:val="24"/>
                <w:lang w:val="en-US" w:eastAsia="zh-CN"/>
              </w:rPr>
              <w:t>5</w:t>
            </w:r>
            <w:r>
              <w:rPr>
                <w:rFonts w:hint="eastAsia" w:ascii="宋体" w:hAnsi="宋体"/>
                <w:bCs/>
                <w:color w:val="000000" w:themeColor="text1"/>
                <w:kern w:val="0"/>
                <w:sz w:val="24"/>
              </w:rPr>
              <w:t>。</w:t>
            </w:r>
          </w:p>
          <w:p w14:paraId="0C636319">
            <w:pPr>
              <w:spacing w:line="360" w:lineRule="auto"/>
              <w:ind w:left="480" w:leftChars="200" w:right="-28"/>
              <w:jc w:val="left"/>
              <w:rPr>
                <w:rFonts w:hint="eastAsia" w:ascii="黑体" w:hAnsi="宋体" w:eastAsia="黑体"/>
                <w:b/>
                <w:color w:val="000000" w:themeColor="text1"/>
                <w:sz w:val="21"/>
                <w:szCs w:val="21"/>
                <w:lang w:eastAsia="zh-CN"/>
              </w:rPr>
            </w:pPr>
            <w:r>
              <w:rPr>
                <w:rFonts w:hint="eastAsia" w:ascii="黑体" w:hAnsi="宋体" w:eastAsia="黑体"/>
                <w:b/>
                <w:color w:val="000000" w:themeColor="text1"/>
                <w:sz w:val="21"/>
                <w:szCs w:val="21"/>
              </w:rPr>
              <w:t>表</w:t>
            </w:r>
            <w:r>
              <w:rPr>
                <w:rFonts w:hint="eastAsia" w:ascii="黑体" w:hAnsi="宋体" w:eastAsia="黑体"/>
                <w:b/>
                <w:color w:val="000000" w:themeColor="text1"/>
                <w:sz w:val="21"/>
                <w:szCs w:val="21"/>
                <w:lang w:val="en-US" w:eastAsia="zh-CN"/>
              </w:rPr>
              <w:t>5</w:t>
            </w:r>
            <w:r>
              <w:rPr>
                <w:rFonts w:ascii="黑体" w:hAnsi="宋体" w:eastAsia="黑体"/>
                <w:b/>
                <w:color w:val="000000" w:themeColor="text1"/>
                <w:sz w:val="21"/>
                <w:szCs w:val="21"/>
              </w:rPr>
              <w:t xml:space="preserve">                        </w:t>
            </w:r>
            <w:r>
              <w:rPr>
                <w:rFonts w:hint="eastAsia" w:ascii="黑体" w:hAnsi="宋体" w:eastAsia="黑体"/>
                <w:b/>
                <w:color w:val="000000" w:themeColor="text1"/>
                <w:sz w:val="21"/>
                <w:szCs w:val="21"/>
                <w:lang w:eastAsia="zh-CN"/>
              </w:rPr>
              <w:t>本项目</w:t>
            </w:r>
            <w:r>
              <w:rPr>
                <w:rFonts w:hint="eastAsia" w:ascii="黑体" w:hAnsi="宋体" w:eastAsia="黑体"/>
                <w:b/>
                <w:color w:val="000000" w:themeColor="text1"/>
                <w:sz w:val="21"/>
                <w:szCs w:val="21"/>
                <w:lang w:val="en-US" w:eastAsia="zh-CN"/>
              </w:rPr>
              <w:t>新增</w:t>
            </w:r>
            <w:r>
              <w:rPr>
                <w:rFonts w:hint="eastAsia" w:ascii="黑体" w:hAnsi="宋体" w:eastAsia="黑体"/>
                <w:b/>
                <w:color w:val="000000" w:themeColor="text1"/>
                <w:sz w:val="21"/>
                <w:szCs w:val="21"/>
                <w:lang w:eastAsia="zh-CN"/>
              </w:rPr>
              <w:t>工程</w:t>
            </w:r>
            <w:r>
              <w:rPr>
                <w:rFonts w:hint="eastAsia" w:ascii="黑体" w:hAnsi="宋体" w:eastAsia="黑体"/>
                <w:b/>
                <w:color w:val="000000" w:themeColor="text1"/>
                <w:sz w:val="21"/>
                <w:szCs w:val="21"/>
                <w:lang w:val="en-US" w:eastAsia="zh-CN"/>
              </w:rPr>
              <w:t>内容</w:t>
            </w:r>
            <w:r>
              <w:rPr>
                <w:rFonts w:hint="eastAsia" w:ascii="黑体" w:hAnsi="宋体" w:eastAsia="黑体"/>
                <w:b/>
                <w:color w:val="000000" w:themeColor="text1"/>
                <w:sz w:val="21"/>
                <w:szCs w:val="21"/>
                <w:lang w:eastAsia="zh-CN"/>
              </w:rPr>
              <w:t>表</w:t>
            </w:r>
          </w:p>
          <w:tbl>
            <w:tblPr>
              <w:tblStyle w:val="19"/>
              <w:tblW w:w="8220"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22"/>
              <w:gridCol w:w="2154"/>
              <w:gridCol w:w="2238"/>
              <w:gridCol w:w="2606"/>
            </w:tblGrid>
            <w:tr w14:paraId="53890C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222" w:type="dxa"/>
                  <w:tcBorders>
                    <w:bottom w:val="single" w:color="auto" w:sz="12" w:space="0"/>
                  </w:tcBorders>
                  <w:vAlign w:val="center"/>
                </w:tcPr>
                <w:p w14:paraId="533EB6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类别</w:t>
                  </w:r>
                </w:p>
              </w:tc>
              <w:tc>
                <w:tcPr>
                  <w:tcW w:w="2154" w:type="dxa"/>
                  <w:tcBorders>
                    <w:bottom w:val="single" w:color="auto" w:sz="12" w:space="0"/>
                  </w:tcBorders>
                  <w:vAlign w:val="center"/>
                </w:tcPr>
                <w:p w14:paraId="5C528B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工程名称</w:t>
                  </w:r>
                </w:p>
              </w:tc>
              <w:tc>
                <w:tcPr>
                  <w:tcW w:w="2238" w:type="dxa"/>
                  <w:tcBorders>
                    <w:bottom w:val="single" w:color="auto" w:sz="12" w:space="0"/>
                  </w:tcBorders>
                  <w:vAlign w:val="center"/>
                </w:tcPr>
                <w:p w14:paraId="0282A68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内容及规模</w:t>
                  </w:r>
                </w:p>
              </w:tc>
              <w:tc>
                <w:tcPr>
                  <w:tcW w:w="2606" w:type="dxa"/>
                  <w:tcBorders>
                    <w:bottom w:val="single" w:color="auto" w:sz="12" w:space="0"/>
                  </w:tcBorders>
                  <w:vAlign w:val="center"/>
                </w:tcPr>
                <w:p w14:paraId="5730BF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备注</w:t>
                  </w:r>
                </w:p>
              </w:tc>
            </w:tr>
            <w:tr w14:paraId="0ABDB78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222" w:type="dxa"/>
                  <w:vMerge w:val="restart"/>
                  <w:tcBorders>
                    <w:top w:val="single" w:color="auto" w:sz="12" w:space="0"/>
                  </w:tcBorders>
                  <w:vAlign w:val="center"/>
                </w:tcPr>
                <w:p w14:paraId="4B4E2423">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主体工程</w:t>
                  </w:r>
                </w:p>
              </w:tc>
              <w:tc>
                <w:tcPr>
                  <w:tcW w:w="2154" w:type="dxa"/>
                  <w:tcBorders>
                    <w:top w:val="single" w:color="auto" w:sz="12" w:space="0"/>
                  </w:tcBorders>
                  <w:vAlign w:val="center"/>
                </w:tcPr>
                <w:p w14:paraId="4F7E44A3">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加油岛</w:t>
                  </w:r>
                </w:p>
              </w:tc>
              <w:tc>
                <w:tcPr>
                  <w:tcW w:w="2238" w:type="dxa"/>
                  <w:tcBorders>
                    <w:top w:val="single" w:color="auto" w:sz="12" w:space="0"/>
                  </w:tcBorders>
                  <w:vAlign w:val="center"/>
                </w:tcPr>
                <w:p w14:paraId="6E2AB1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eastAsia" w:ascii="Times New Roman" w:hAnsi="Times New Roman" w:eastAsia="宋体" w:cs="Times New Roman"/>
                      <w:bCs/>
                      <w:color w:val="000000" w:themeColor="text1"/>
                      <w:sz w:val="21"/>
                      <w:szCs w:val="21"/>
                      <w:lang w:val="en-US" w:eastAsia="zh-CN"/>
                    </w:rPr>
                  </w:pPr>
                  <w:r>
                    <w:rPr>
                      <w:rFonts w:hint="eastAsia" w:ascii="Times New Roman" w:hAnsi="Times New Roman" w:cs="Times New Roman"/>
                      <w:bCs/>
                      <w:color w:val="000000" w:themeColor="text1"/>
                      <w:sz w:val="21"/>
                      <w:szCs w:val="21"/>
                      <w:lang w:val="en-US" w:eastAsia="zh-CN"/>
                    </w:rPr>
                    <w:t>由原720m</w:t>
                  </w:r>
                  <w:r>
                    <w:rPr>
                      <w:rFonts w:hint="eastAsia" w:ascii="Times New Roman" w:hAnsi="Times New Roman" w:cs="Times New Roman"/>
                      <w:bCs/>
                      <w:color w:val="000000" w:themeColor="text1"/>
                      <w:sz w:val="21"/>
                      <w:szCs w:val="21"/>
                      <w:vertAlign w:val="superscript"/>
                      <w:lang w:val="en-US" w:eastAsia="zh-CN"/>
                    </w:rPr>
                    <w:t>2</w:t>
                  </w:r>
                  <w:r>
                    <w:rPr>
                      <w:rFonts w:hint="eastAsia" w:ascii="Times New Roman" w:hAnsi="Times New Roman" w:cs="Times New Roman"/>
                      <w:bCs/>
                      <w:color w:val="000000" w:themeColor="text1"/>
                      <w:sz w:val="21"/>
                      <w:szCs w:val="21"/>
                      <w:lang w:val="en-US" w:eastAsia="zh-CN"/>
                    </w:rPr>
                    <w:t>加气罩棚扩建为1440m</w:t>
                  </w:r>
                  <w:r>
                    <w:rPr>
                      <w:rFonts w:hint="eastAsia" w:ascii="Times New Roman" w:hAnsi="Times New Roman" w:cs="Times New Roman"/>
                      <w:bCs/>
                      <w:color w:val="000000" w:themeColor="text1"/>
                      <w:sz w:val="21"/>
                      <w:szCs w:val="21"/>
                      <w:vertAlign w:val="superscript"/>
                      <w:lang w:val="en-US" w:eastAsia="zh-CN"/>
                    </w:rPr>
                    <w:t>2</w:t>
                  </w:r>
                  <w:r>
                    <w:rPr>
                      <w:rFonts w:hint="eastAsia" w:ascii="Times New Roman" w:hAnsi="Times New Roman" w:cs="Times New Roman"/>
                      <w:bCs/>
                      <w:color w:val="000000" w:themeColor="text1"/>
                      <w:sz w:val="21"/>
                      <w:szCs w:val="21"/>
                      <w:lang w:val="en-US" w:eastAsia="zh-CN"/>
                    </w:rPr>
                    <w:t>罩棚，新增加油机5台，LNG加注机2台，CNG加气机4台。</w:t>
                  </w:r>
                </w:p>
              </w:tc>
              <w:tc>
                <w:tcPr>
                  <w:tcW w:w="2606" w:type="dxa"/>
                  <w:tcBorders>
                    <w:top w:val="single" w:color="auto" w:sz="12" w:space="0"/>
                  </w:tcBorders>
                  <w:vAlign w:val="center"/>
                </w:tcPr>
                <w:p w14:paraId="3E6D94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bCs/>
                      <w:color w:val="000000" w:themeColor="text1"/>
                      <w:sz w:val="21"/>
                      <w:szCs w:val="21"/>
                    </w:rPr>
                  </w:pPr>
                  <w:r>
                    <w:rPr>
                      <w:rFonts w:hint="default" w:ascii="Times New Roman" w:hAnsi="Times New Roman" w:eastAsia="宋体" w:cs="Times New Roman"/>
                      <w:bCs/>
                      <w:color w:val="000000" w:themeColor="text1"/>
                      <w:sz w:val="21"/>
                      <w:szCs w:val="21"/>
                    </w:rPr>
                    <w:t>配套油气回收装置</w:t>
                  </w:r>
                </w:p>
              </w:tc>
            </w:tr>
            <w:tr w14:paraId="67BDE89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222" w:type="dxa"/>
                  <w:vMerge w:val="continue"/>
                  <w:vAlign w:val="center"/>
                </w:tcPr>
                <w:p w14:paraId="28D14434">
                  <w:pPr>
                    <w:spacing w:line="240" w:lineRule="auto"/>
                    <w:jc w:val="center"/>
                    <w:rPr>
                      <w:rFonts w:hint="default" w:ascii="Times New Roman" w:hAnsi="Times New Roman" w:cs="Times New Roman"/>
                      <w:color w:val="000000" w:themeColor="text1"/>
                      <w:sz w:val="21"/>
                      <w:szCs w:val="21"/>
                      <w:vertAlign w:val="baseline"/>
                      <w:lang w:val="en-US" w:eastAsia="zh-CN"/>
                    </w:rPr>
                  </w:pPr>
                </w:p>
              </w:tc>
              <w:tc>
                <w:tcPr>
                  <w:tcW w:w="2154" w:type="dxa"/>
                  <w:vAlign w:val="center"/>
                </w:tcPr>
                <w:p w14:paraId="1AF26B06">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地埋罐</w:t>
                  </w:r>
                </w:p>
              </w:tc>
              <w:tc>
                <w:tcPr>
                  <w:tcW w:w="2238" w:type="dxa"/>
                  <w:vAlign w:val="center"/>
                </w:tcPr>
                <w:p w14:paraId="759AB70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bCs/>
                      <w:color w:val="000000" w:themeColor="text1"/>
                      <w:sz w:val="21"/>
                      <w:szCs w:val="21"/>
                    </w:rPr>
                  </w:pPr>
                  <w:r>
                    <w:rPr>
                      <w:rFonts w:hint="eastAsia" w:ascii="Times New Roman" w:hAnsi="Times New Roman" w:cs="Times New Roman"/>
                      <w:color w:val="000000" w:themeColor="text1"/>
                      <w:sz w:val="21"/>
                      <w:szCs w:val="21"/>
                      <w:lang w:val="en-US" w:eastAsia="zh-CN"/>
                    </w:rPr>
                    <w:t>新增2</w:t>
                  </w:r>
                  <w:r>
                    <w:rPr>
                      <w:rFonts w:hint="default" w:ascii="Times New Roman" w:hAnsi="Times New Roman" w:eastAsia="宋体" w:cs="Times New Roman"/>
                      <w:color w:val="000000" w:themeColor="text1"/>
                      <w:sz w:val="21"/>
                      <w:szCs w:val="21"/>
                    </w:rPr>
                    <w:t>0m</w:t>
                  </w:r>
                  <w:r>
                    <w:rPr>
                      <w:rFonts w:hint="default" w:ascii="Times New Roman" w:hAnsi="Times New Roman" w:eastAsia="宋体" w:cs="Times New Roman"/>
                      <w:color w:val="000000" w:themeColor="text1"/>
                      <w:sz w:val="21"/>
                      <w:szCs w:val="21"/>
                      <w:vertAlign w:val="superscript"/>
                    </w:rPr>
                    <w:t>3</w:t>
                  </w:r>
                  <w:r>
                    <w:rPr>
                      <w:rFonts w:hint="default" w:ascii="Times New Roman" w:hAnsi="Times New Roman" w:eastAsia="宋体" w:cs="Times New Roman"/>
                      <w:color w:val="000000" w:themeColor="text1"/>
                      <w:sz w:val="21"/>
                      <w:szCs w:val="21"/>
                    </w:rPr>
                    <w:t>汽油罐</w:t>
                  </w:r>
                  <w:r>
                    <w:rPr>
                      <w:rFonts w:hint="eastAsia" w:ascii="Times New Roman" w:hAnsi="Times New Roman" w:cs="Times New Roman"/>
                      <w:color w:val="000000" w:themeColor="text1"/>
                      <w:sz w:val="21"/>
                      <w:szCs w:val="21"/>
                      <w:lang w:val="en-US" w:eastAsia="zh-CN"/>
                    </w:rPr>
                    <w:t>3</w:t>
                  </w:r>
                  <w:r>
                    <w:rPr>
                      <w:rFonts w:hint="default" w:ascii="Times New Roman" w:hAnsi="Times New Roman" w:eastAsia="宋体" w:cs="Times New Roman"/>
                      <w:color w:val="000000" w:themeColor="text1"/>
                      <w:sz w:val="21"/>
                      <w:szCs w:val="21"/>
                    </w:rPr>
                    <w:t>座，</w:t>
                  </w:r>
                  <w:r>
                    <w:rPr>
                      <w:rFonts w:hint="eastAsia" w:ascii="Times New Roman" w:hAnsi="Times New Roman" w:cs="Times New Roman"/>
                      <w:color w:val="000000" w:themeColor="text1"/>
                      <w:sz w:val="21"/>
                      <w:szCs w:val="21"/>
                      <w:lang w:val="en-US" w:eastAsia="zh-CN"/>
                    </w:rPr>
                    <w:t>2</w:t>
                  </w:r>
                  <w:r>
                    <w:rPr>
                      <w:rFonts w:hint="default" w:ascii="Times New Roman" w:hAnsi="Times New Roman" w:eastAsia="宋体" w:cs="Times New Roman"/>
                      <w:color w:val="000000" w:themeColor="text1"/>
                      <w:sz w:val="21"/>
                      <w:szCs w:val="21"/>
                      <w:lang w:val="en-US" w:eastAsia="zh-CN"/>
                    </w:rPr>
                    <w:t>0</w:t>
                  </w:r>
                  <w:r>
                    <w:rPr>
                      <w:rFonts w:hint="default" w:ascii="Times New Roman" w:hAnsi="Times New Roman" w:eastAsia="宋体" w:cs="Times New Roman"/>
                      <w:color w:val="000000" w:themeColor="text1"/>
                      <w:sz w:val="21"/>
                      <w:szCs w:val="21"/>
                    </w:rPr>
                    <w:t>m</w:t>
                  </w:r>
                  <w:r>
                    <w:rPr>
                      <w:rFonts w:hint="default" w:ascii="Times New Roman" w:hAnsi="Times New Roman" w:eastAsia="宋体" w:cs="Times New Roman"/>
                      <w:color w:val="000000" w:themeColor="text1"/>
                      <w:sz w:val="21"/>
                      <w:szCs w:val="21"/>
                      <w:vertAlign w:val="superscript"/>
                    </w:rPr>
                    <w:t>3</w:t>
                  </w:r>
                  <w:r>
                    <w:rPr>
                      <w:rFonts w:hint="default" w:ascii="Times New Roman" w:hAnsi="Times New Roman" w:eastAsia="宋体" w:cs="Times New Roman"/>
                      <w:color w:val="000000" w:themeColor="text1"/>
                      <w:sz w:val="21"/>
                      <w:szCs w:val="21"/>
                    </w:rPr>
                    <w:t>柴油罐</w:t>
                  </w:r>
                  <w:r>
                    <w:rPr>
                      <w:rFonts w:hint="eastAsia" w:ascii="Times New Roman" w:hAnsi="Times New Roman" w:cs="Times New Roman"/>
                      <w:color w:val="000000" w:themeColor="text1"/>
                      <w:sz w:val="21"/>
                      <w:szCs w:val="21"/>
                      <w:lang w:val="en-US" w:eastAsia="zh-CN"/>
                    </w:rPr>
                    <w:t>3</w:t>
                  </w:r>
                  <w:r>
                    <w:rPr>
                      <w:rFonts w:hint="default" w:ascii="Times New Roman" w:hAnsi="Times New Roman" w:eastAsia="宋体" w:cs="Times New Roman"/>
                      <w:color w:val="000000" w:themeColor="text1"/>
                      <w:sz w:val="21"/>
                      <w:szCs w:val="21"/>
                    </w:rPr>
                    <w:t>座</w:t>
                  </w:r>
                  <w:r>
                    <w:rPr>
                      <w:rFonts w:hint="eastAsia" w:ascii="Times New Roman" w:hAnsi="Times New Roman" w:cs="Times New Roman"/>
                      <w:color w:val="000000" w:themeColor="text1"/>
                      <w:sz w:val="21"/>
                      <w:szCs w:val="21"/>
                      <w:lang w:eastAsia="zh-CN"/>
                    </w:rPr>
                    <w:t>，</w:t>
                  </w:r>
                  <w:r>
                    <w:rPr>
                      <w:rFonts w:hint="eastAsia" w:ascii="Times New Roman" w:hAnsi="Times New Roman" w:cs="Times New Roman"/>
                      <w:color w:val="000000" w:themeColor="text1"/>
                      <w:sz w:val="21"/>
                      <w:szCs w:val="21"/>
                      <w:lang w:val="en-US" w:eastAsia="zh-CN"/>
                    </w:rPr>
                    <w:t>30</w:t>
                  </w:r>
                  <w:r>
                    <w:rPr>
                      <w:rFonts w:hint="default" w:ascii="Times New Roman" w:hAnsi="Times New Roman" w:eastAsia="宋体" w:cs="Times New Roman"/>
                      <w:color w:val="000000" w:themeColor="text1"/>
                      <w:sz w:val="21"/>
                      <w:szCs w:val="21"/>
                    </w:rPr>
                    <w:t>m</w:t>
                  </w:r>
                  <w:r>
                    <w:rPr>
                      <w:rFonts w:hint="default" w:ascii="Times New Roman" w:hAnsi="Times New Roman" w:eastAsia="宋体" w:cs="Times New Roman"/>
                      <w:color w:val="000000" w:themeColor="text1"/>
                      <w:sz w:val="21"/>
                      <w:szCs w:val="21"/>
                      <w:vertAlign w:val="superscript"/>
                    </w:rPr>
                    <w:t>3</w:t>
                  </w:r>
                  <w:r>
                    <w:rPr>
                      <w:rFonts w:hint="eastAsia" w:ascii="Times New Roman" w:hAnsi="Times New Roman" w:cs="Times New Roman"/>
                      <w:color w:val="000000" w:themeColor="text1"/>
                      <w:sz w:val="21"/>
                      <w:szCs w:val="21"/>
                      <w:vertAlign w:val="baseline"/>
                      <w:lang w:val="en-US" w:eastAsia="zh-CN"/>
                    </w:rPr>
                    <w:t>LNG储罐1座。</w:t>
                  </w:r>
                </w:p>
              </w:tc>
              <w:tc>
                <w:tcPr>
                  <w:tcW w:w="2606" w:type="dxa"/>
                  <w:vAlign w:val="center"/>
                </w:tcPr>
                <w:p w14:paraId="72832C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bCs/>
                      <w:color w:val="000000" w:themeColor="text1"/>
                      <w:sz w:val="21"/>
                      <w:szCs w:val="21"/>
                    </w:rPr>
                  </w:pPr>
                  <w:r>
                    <w:rPr>
                      <w:rFonts w:hint="default" w:ascii="Times New Roman" w:hAnsi="Times New Roman" w:eastAsia="宋体" w:cs="Times New Roman"/>
                      <w:bCs/>
                      <w:color w:val="000000" w:themeColor="text1"/>
                      <w:sz w:val="21"/>
                      <w:szCs w:val="21"/>
                    </w:rPr>
                    <w:t>根据储量及储罐，确定本</w:t>
                  </w:r>
                  <w:r>
                    <w:rPr>
                      <w:rFonts w:hint="eastAsia" w:ascii="Times New Roman" w:hAnsi="Times New Roman" w:cs="Times New Roman"/>
                      <w:bCs/>
                      <w:color w:val="000000" w:themeColor="text1"/>
                      <w:sz w:val="21"/>
                      <w:szCs w:val="21"/>
                      <w:lang w:val="en-US" w:eastAsia="zh-CN"/>
                    </w:rPr>
                    <w:t>项目为</w:t>
                  </w:r>
                  <w:r>
                    <w:rPr>
                      <w:rFonts w:hint="eastAsia" w:ascii="Times New Roman" w:hAnsi="Times New Roman" w:cs="Times New Roman"/>
                      <w:color w:val="000000" w:themeColor="text1"/>
                      <w:sz w:val="21"/>
                      <w:szCs w:val="21"/>
                      <w:vertAlign w:val="baseline"/>
                      <w:lang w:val="en-US" w:eastAsia="zh-CN"/>
                    </w:rPr>
                    <w:t>二级加油与LNG加气和CNG加气站合建站</w:t>
                  </w:r>
                  <w:r>
                    <w:rPr>
                      <w:rFonts w:hint="default" w:ascii="Times New Roman" w:hAnsi="Times New Roman" w:eastAsia="宋体" w:cs="Times New Roman"/>
                      <w:bCs/>
                      <w:color w:val="000000" w:themeColor="text1"/>
                      <w:sz w:val="21"/>
                      <w:szCs w:val="21"/>
                    </w:rPr>
                    <w:t>，油罐采用双层</w:t>
                  </w:r>
                  <w:r>
                    <w:rPr>
                      <w:rFonts w:hint="eastAsia" w:ascii="Times New Roman" w:hAnsi="Times New Roman" w:cs="Times New Roman"/>
                      <w:bCs/>
                      <w:color w:val="000000" w:themeColor="text1"/>
                      <w:sz w:val="21"/>
                      <w:szCs w:val="21"/>
                      <w:lang w:val="en-US" w:eastAsia="zh-CN"/>
                    </w:rPr>
                    <w:t>S</w:t>
                  </w:r>
                  <w:r>
                    <w:rPr>
                      <w:rFonts w:hint="default" w:ascii="Times New Roman" w:hAnsi="Times New Roman" w:eastAsia="宋体" w:cs="Times New Roman"/>
                      <w:bCs/>
                      <w:color w:val="000000" w:themeColor="text1"/>
                      <w:sz w:val="21"/>
                      <w:szCs w:val="21"/>
                    </w:rPr>
                    <w:t>F罐</w:t>
                  </w:r>
                </w:p>
              </w:tc>
            </w:tr>
            <w:tr w14:paraId="773F441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222" w:type="dxa"/>
                  <w:vMerge w:val="restart"/>
                  <w:vAlign w:val="center"/>
                </w:tcPr>
                <w:p w14:paraId="13919EEA">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辅助</w:t>
                  </w:r>
                  <w:r>
                    <w:rPr>
                      <w:rFonts w:hint="default" w:ascii="Times New Roman" w:hAnsi="Times New Roman" w:cs="Times New Roman"/>
                      <w:color w:val="000000" w:themeColor="text1"/>
                      <w:sz w:val="21"/>
                      <w:szCs w:val="21"/>
                      <w:vertAlign w:val="baseline"/>
                      <w:lang w:val="en-US" w:eastAsia="zh-CN"/>
                    </w:rPr>
                    <w:t>工程</w:t>
                  </w:r>
                </w:p>
              </w:tc>
              <w:tc>
                <w:tcPr>
                  <w:tcW w:w="2154" w:type="dxa"/>
                  <w:vAlign w:val="center"/>
                </w:tcPr>
                <w:p w14:paraId="74812170">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油气在线监测系统</w:t>
                  </w:r>
                </w:p>
              </w:tc>
              <w:tc>
                <w:tcPr>
                  <w:tcW w:w="2238" w:type="dxa"/>
                  <w:vAlign w:val="center"/>
                </w:tcPr>
                <w:p w14:paraId="3F9AE64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2套，一用一备</w:t>
                  </w:r>
                </w:p>
              </w:tc>
              <w:tc>
                <w:tcPr>
                  <w:tcW w:w="2606" w:type="dxa"/>
                  <w:vMerge w:val="restart"/>
                  <w:vAlign w:val="center"/>
                </w:tcPr>
                <w:p w14:paraId="2EB624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bCs/>
                      <w:color w:val="000000" w:themeColor="text1"/>
                      <w:sz w:val="21"/>
                      <w:szCs w:val="21"/>
                    </w:rPr>
                  </w:pPr>
                  <w:r>
                    <w:rPr>
                      <w:rFonts w:hint="default" w:ascii="Times New Roman" w:hAnsi="Times New Roman" w:eastAsia="宋体" w:cs="Times New Roman"/>
                      <w:bCs/>
                      <w:color w:val="000000" w:themeColor="text1"/>
                      <w:sz w:val="21"/>
                      <w:szCs w:val="21"/>
                    </w:rPr>
                    <w:t>均为加油机及油罐配套</w:t>
                  </w:r>
                </w:p>
              </w:tc>
            </w:tr>
            <w:tr w14:paraId="0BEB3B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222" w:type="dxa"/>
                  <w:vMerge w:val="continue"/>
                  <w:vAlign w:val="center"/>
                </w:tcPr>
                <w:p w14:paraId="5B4BC8A9">
                  <w:pPr>
                    <w:spacing w:line="240" w:lineRule="auto"/>
                    <w:jc w:val="center"/>
                    <w:rPr>
                      <w:rFonts w:hint="default" w:ascii="Times New Roman" w:hAnsi="Times New Roman" w:cs="Times New Roman"/>
                      <w:color w:val="000000" w:themeColor="text1"/>
                      <w:sz w:val="21"/>
                      <w:szCs w:val="21"/>
                      <w:vertAlign w:val="baseline"/>
                      <w:lang w:val="en-US" w:eastAsia="zh-CN"/>
                    </w:rPr>
                  </w:pPr>
                </w:p>
              </w:tc>
              <w:tc>
                <w:tcPr>
                  <w:tcW w:w="2154" w:type="dxa"/>
                  <w:vAlign w:val="center"/>
                </w:tcPr>
                <w:p w14:paraId="7E98B487">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地下水防渗监测系统</w:t>
                  </w:r>
                </w:p>
              </w:tc>
              <w:tc>
                <w:tcPr>
                  <w:tcW w:w="2238" w:type="dxa"/>
                  <w:vAlign w:val="center"/>
                </w:tcPr>
                <w:p w14:paraId="438D9B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2套</w:t>
                  </w:r>
                </w:p>
              </w:tc>
              <w:tc>
                <w:tcPr>
                  <w:tcW w:w="2606" w:type="dxa"/>
                  <w:vMerge w:val="continue"/>
                  <w:vAlign w:val="center"/>
                </w:tcPr>
                <w:p w14:paraId="2026F08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bCs/>
                      <w:color w:val="000000" w:themeColor="text1"/>
                      <w:sz w:val="21"/>
                      <w:szCs w:val="21"/>
                    </w:rPr>
                  </w:pPr>
                </w:p>
              </w:tc>
            </w:tr>
            <w:tr w14:paraId="23A282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222" w:type="dxa"/>
                  <w:vMerge w:val="continue"/>
                  <w:vAlign w:val="center"/>
                </w:tcPr>
                <w:p w14:paraId="6721F5A6">
                  <w:pPr>
                    <w:spacing w:line="240" w:lineRule="auto"/>
                    <w:jc w:val="center"/>
                    <w:rPr>
                      <w:rFonts w:hint="default" w:ascii="Times New Roman" w:hAnsi="Times New Roman" w:cs="Times New Roman"/>
                      <w:color w:val="000000" w:themeColor="text1"/>
                      <w:sz w:val="21"/>
                      <w:szCs w:val="21"/>
                      <w:vertAlign w:val="baseline"/>
                      <w:lang w:val="en-US" w:eastAsia="zh-CN"/>
                    </w:rPr>
                  </w:pPr>
                </w:p>
              </w:tc>
              <w:tc>
                <w:tcPr>
                  <w:tcW w:w="2154" w:type="dxa"/>
                  <w:vAlign w:val="center"/>
                </w:tcPr>
                <w:p w14:paraId="6DC36D37">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油气回收系统</w:t>
                  </w:r>
                </w:p>
              </w:tc>
              <w:tc>
                <w:tcPr>
                  <w:tcW w:w="2238" w:type="dxa"/>
                  <w:vAlign w:val="center"/>
                </w:tcPr>
                <w:p w14:paraId="026F85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2套</w:t>
                  </w:r>
                </w:p>
              </w:tc>
              <w:tc>
                <w:tcPr>
                  <w:tcW w:w="2606" w:type="dxa"/>
                  <w:vMerge w:val="continue"/>
                  <w:vAlign w:val="center"/>
                </w:tcPr>
                <w:p w14:paraId="410609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bCs/>
                      <w:color w:val="000000" w:themeColor="text1"/>
                      <w:sz w:val="21"/>
                      <w:szCs w:val="21"/>
                    </w:rPr>
                  </w:pPr>
                </w:p>
              </w:tc>
            </w:tr>
            <w:tr w14:paraId="2AA61A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222" w:type="dxa"/>
                  <w:vMerge w:val="restart"/>
                  <w:vAlign w:val="center"/>
                </w:tcPr>
                <w:p w14:paraId="64CBC7D3">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公用</w:t>
                  </w:r>
                  <w:r>
                    <w:rPr>
                      <w:rFonts w:hint="default" w:ascii="Times New Roman" w:hAnsi="Times New Roman" w:cs="Times New Roman"/>
                      <w:color w:val="000000" w:themeColor="text1"/>
                      <w:sz w:val="21"/>
                      <w:szCs w:val="21"/>
                      <w:vertAlign w:val="baseline"/>
                      <w:lang w:val="en-US" w:eastAsia="zh-CN"/>
                    </w:rPr>
                    <w:t>工程</w:t>
                  </w:r>
                </w:p>
              </w:tc>
              <w:tc>
                <w:tcPr>
                  <w:tcW w:w="2154" w:type="dxa"/>
                  <w:vAlign w:val="center"/>
                </w:tcPr>
                <w:p w14:paraId="7E8FC304">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给水工程</w:t>
                  </w:r>
                </w:p>
              </w:tc>
              <w:tc>
                <w:tcPr>
                  <w:tcW w:w="2238" w:type="dxa"/>
                  <w:vAlign w:val="center"/>
                </w:tcPr>
                <w:p w14:paraId="72261E8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新增用水584</w:t>
                  </w:r>
                  <w:r>
                    <w:rPr>
                      <w:rFonts w:hint="default" w:ascii="Times New Roman" w:hAnsi="Times New Roman" w:eastAsia="宋体" w:cs="Times New Roman"/>
                      <w:color w:val="000000" w:themeColor="text1"/>
                      <w:sz w:val="21"/>
                      <w:szCs w:val="21"/>
                    </w:rPr>
                    <w:t>m</w:t>
                  </w:r>
                  <w:r>
                    <w:rPr>
                      <w:rFonts w:hint="default" w:ascii="Times New Roman" w:hAnsi="Times New Roman" w:eastAsia="宋体" w:cs="Times New Roman"/>
                      <w:color w:val="000000" w:themeColor="text1"/>
                      <w:sz w:val="21"/>
                      <w:szCs w:val="21"/>
                      <w:vertAlign w:val="superscript"/>
                    </w:rPr>
                    <w:t>3</w:t>
                  </w:r>
                  <w:r>
                    <w:rPr>
                      <w:rFonts w:hint="default" w:ascii="Times New Roman" w:hAnsi="Times New Roman" w:eastAsia="宋体" w:cs="Times New Roman"/>
                      <w:color w:val="000000" w:themeColor="text1"/>
                      <w:sz w:val="21"/>
                      <w:szCs w:val="21"/>
                    </w:rPr>
                    <w:t>/a</w:t>
                  </w:r>
                </w:p>
              </w:tc>
              <w:tc>
                <w:tcPr>
                  <w:tcW w:w="2606" w:type="dxa"/>
                  <w:vAlign w:val="center"/>
                </w:tcPr>
                <w:p w14:paraId="68E674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bCs/>
                      <w:color w:val="000000" w:themeColor="text1"/>
                      <w:sz w:val="21"/>
                      <w:szCs w:val="21"/>
                    </w:rPr>
                  </w:pPr>
                  <w:r>
                    <w:rPr>
                      <w:rFonts w:hint="eastAsia" w:ascii="Times New Roman" w:hAnsi="Times New Roman" w:cs="Times New Roman"/>
                      <w:bCs/>
                      <w:color w:val="000000" w:themeColor="text1"/>
                      <w:sz w:val="21"/>
                      <w:szCs w:val="21"/>
                      <w:lang w:val="en-US" w:eastAsia="zh-CN"/>
                    </w:rPr>
                    <w:t>园区供水管网</w:t>
                  </w:r>
                  <w:r>
                    <w:rPr>
                      <w:rFonts w:hint="default" w:ascii="Times New Roman" w:hAnsi="Times New Roman" w:eastAsia="宋体" w:cs="Times New Roman"/>
                      <w:bCs/>
                      <w:color w:val="000000" w:themeColor="text1"/>
                      <w:sz w:val="21"/>
                      <w:szCs w:val="21"/>
                    </w:rPr>
                    <w:t>集中供水</w:t>
                  </w:r>
                </w:p>
              </w:tc>
            </w:tr>
            <w:tr w14:paraId="14A586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222" w:type="dxa"/>
                  <w:vMerge w:val="continue"/>
                  <w:vAlign w:val="center"/>
                </w:tcPr>
                <w:p w14:paraId="72437415">
                  <w:pPr>
                    <w:spacing w:line="240" w:lineRule="auto"/>
                    <w:jc w:val="center"/>
                    <w:rPr>
                      <w:rFonts w:hint="default" w:ascii="Times New Roman" w:hAnsi="Times New Roman" w:cs="Times New Roman"/>
                      <w:color w:val="000000" w:themeColor="text1"/>
                      <w:sz w:val="21"/>
                      <w:szCs w:val="21"/>
                      <w:vertAlign w:val="baseline"/>
                      <w:lang w:val="en-US" w:eastAsia="zh-CN"/>
                    </w:rPr>
                  </w:pPr>
                </w:p>
              </w:tc>
              <w:tc>
                <w:tcPr>
                  <w:tcW w:w="2154" w:type="dxa"/>
                  <w:vAlign w:val="center"/>
                </w:tcPr>
                <w:p w14:paraId="6C0D6607">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排水工程</w:t>
                  </w:r>
                </w:p>
              </w:tc>
              <w:tc>
                <w:tcPr>
                  <w:tcW w:w="2238" w:type="dxa"/>
                  <w:vAlign w:val="center"/>
                </w:tcPr>
                <w:p w14:paraId="3ADCF7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新增467.2</w:t>
                  </w:r>
                  <w:r>
                    <w:rPr>
                      <w:rFonts w:hint="default" w:ascii="Times New Roman" w:hAnsi="Times New Roman" w:eastAsia="宋体" w:cs="Times New Roman"/>
                      <w:color w:val="000000" w:themeColor="text1"/>
                      <w:sz w:val="21"/>
                      <w:szCs w:val="21"/>
                    </w:rPr>
                    <w:t>m</w:t>
                  </w:r>
                  <w:r>
                    <w:rPr>
                      <w:rFonts w:hint="default" w:ascii="Times New Roman" w:hAnsi="Times New Roman" w:eastAsia="宋体" w:cs="Times New Roman"/>
                      <w:color w:val="000000" w:themeColor="text1"/>
                      <w:sz w:val="21"/>
                      <w:szCs w:val="21"/>
                      <w:vertAlign w:val="superscript"/>
                    </w:rPr>
                    <w:t>3</w:t>
                  </w:r>
                  <w:r>
                    <w:rPr>
                      <w:rFonts w:hint="default" w:ascii="Times New Roman" w:hAnsi="Times New Roman" w:eastAsia="宋体" w:cs="Times New Roman"/>
                      <w:color w:val="000000" w:themeColor="text1"/>
                      <w:sz w:val="21"/>
                      <w:szCs w:val="21"/>
                    </w:rPr>
                    <w:t>/a</w:t>
                  </w:r>
                </w:p>
              </w:tc>
              <w:tc>
                <w:tcPr>
                  <w:tcW w:w="2606" w:type="dxa"/>
                  <w:vAlign w:val="center"/>
                </w:tcPr>
                <w:p w14:paraId="5D36437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eastAsia" w:ascii="Times New Roman" w:hAnsi="Times New Roman" w:eastAsia="宋体" w:cs="Times New Roman"/>
                      <w:bCs/>
                      <w:color w:val="000000" w:themeColor="text1"/>
                      <w:sz w:val="21"/>
                      <w:szCs w:val="21"/>
                      <w:lang w:val="en-US" w:eastAsia="zh-CN"/>
                    </w:rPr>
                  </w:pPr>
                  <w:r>
                    <w:rPr>
                      <w:rFonts w:hint="eastAsia" w:ascii="Times New Roman" w:hAnsi="Times New Roman" w:cs="Times New Roman"/>
                      <w:bCs/>
                      <w:color w:val="000000" w:themeColor="text1"/>
                      <w:sz w:val="21"/>
                      <w:szCs w:val="21"/>
                      <w:lang w:val="en-US" w:eastAsia="zh-CN"/>
                    </w:rPr>
                    <w:t>经隔油池处理后排入园区排水管网</w:t>
                  </w:r>
                </w:p>
              </w:tc>
            </w:tr>
            <w:tr w14:paraId="1FFB96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222" w:type="dxa"/>
                  <w:vMerge w:val="continue"/>
                  <w:vAlign w:val="center"/>
                </w:tcPr>
                <w:p w14:paraId="622ECC00">
                  <w:pPr>
                    <w:spacing w:line="240" w:lineRule="auto"/>
                    <w:jc w:val="center"/>
                    <w:rPr>
                      <w:rFonts w:hint="default" w:ascii="Times New Roman" w:hAnsi="Times New Roman" w:cs="Times New Roman"/>
                      <w:color w:val="000000" w:themeColor="text1"/>
                      <w:sz w:val="21"/>
                      <w:szCs w:val="21"/>
                      <w:vertAlign w:val="baseline"/>
                      <w:lang w:val="en-US" w:eastAsia="zh-CN"/>
                    </w:rPr>
                  </w:pPr>
                </w:p>
              </w:tc>
              <w:tc>
                <w:tcPr>
                  <w:tcW w:w="2154" w:type="dxa"/>
                  <w:vAlign w:val="center"/>
                </w:tcPr>
                <w:p w14:paraId="60C46E3C">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供电工程</w:t>
                  </w:r>
                </w:p>
              </w:tc>
              <w:tc>
                <w:tcPr>
                  <w:tcW w:w="2238" w:type="dxa"/>
                  <w:vAlign w:val="top"/>
                </w:tcPr>
                <w:p w14:paraId="57293D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电力网</w:t>
                  </w:r>
                </w:p>
              </w:tc>
              <w:tc>
                <w:tcPr>
                  <w:tcW w:w="2606" w:type="dxa"/>
                  <w:vAlign w:val="center"/>
                </w:tcPr>
                <w:p w14:paraId="75C2E2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bCs/>
                      <w:color w:val="000000" w:themeColor="text1"/>
                      <w:sz w:val="21"/>
                      <w:szCs w:val="21"/>
                    </w:rPr>
                  </w:pPr>
                  <w:r>
                    <w:rPr>
                      <w:rFonts w:hint="eastAsia" w:ascii="Times New Roman" w:hAnsi="Times New Roman" w:cs="Times New Roman"/>
                      <w:bCs/>
                      <w:color w:val="000000" w:themeColor="text1"/>
                      <w:sz w:val="21"/>
                      <w:szCs w:val="21"/>
                      <w:lang w:val="en-US" w:eastAsia="zh-CN"/>
                    </w:rPr>
                    <w:t>园区</w:t>
                  </w:r>
                  <w:r>
                    <w:rPr>
                      <w:rFonts w:hint="default" w:ascii="Times New Roman" w:hAnsi="Times New Roman" w:eastAsia="宋体" w:cs="Times New Roman"/>
                      <w:bCs/>
                      <w:color w:val="000000" w:themeColor="text1"/>
                      <w:sz w:val="21"/>
                      <w:szCs w:val="21"/>
                    </w:rPr>
                    <w:t>电力网，已接入</w:t>
                  </w:r>
                </w:p>
              </w:tc>
            </w:tr>
            <w:tr w14:paraId="5B09E4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222" w:type="dxa"/>
                  <w:vMerge w:val="continue"/>
                  <w:vAlign w:val="center"/>
                </w:tcPr>
                <w:p w14:paraId="4478C201">
                  <w:pPr>
                    <w:spacing w:line="240" w:lineRule="auto"/>
                    <w:jc w:val="center"/>
                    <w:rPr>
                      <w:rFonts w:hint="default" w:ascii="Times New Roman" w:hAnsi="Times New Roman" w:cs="Times New Roman"/>
                      <w:color w:val="000000" w:themeColor="text1"/>
                      <w:sz w:val="21"/>
                      <w:szCs w:val="21"/>
                      <w:vertAlign w:val="baseline"/>
                      <w:lang w:val="en-US" w:eastAsia="zh-CN"/>
                    </w:rPr>
                  </w:pPr>
                </w:p>
              </w:tc>
              <w:tc>
                <w:tcPr>
                  <w:tcW w:w="2154" w:type="dxa"/>
                  <w:vAlign w:val="center"/>
                </w:tcPr>
                <w:p w14:paraId="0DE56D3F">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供暖工程</w:t>
                  </w:r>
                </w:p>
              </w:tc>
              <w:tc>
                <w:tcPr>
                  <w:tcW w:w="2238" w:type="dxa"/>
                  <w:vAlign w:val="top"/>
                </w:tcPr>
                <w:p w14:paraId="36CA99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集中供热</w:t>
                  </w:r>
                </w:p>
              </w:tc>
              <w:tc>
                <w:tcPr>
                  <w:tcW w:w="2606" w:type="dxa"/>
                  <w:vAlign w:val="center"/>
                </w:tcPr>
                <w:p w14:paraId="70A67A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eastAsia" w:ascii="Times New Roman" w:hAnsi="Times New Roman" w:eastAsia="宋体" w:cs="Times New Roman"/>
                      <w:bCs/>
                      <w:color w:val="000000" w:themeColor="text1"/>
                      <w:sz w:val="21"/>
                      <w:szCs w:val="21"/>
                      <w:lang w:val="en-US" w:eastAsia="zh-CN"/>
                    </w:rPr>
                  </w:pPr>
                  <w:r>
                    <w:rPr>
                      <w:rFonts w:hint="eastAsia" w:ascii="Times New Roman" w:hAnsi="Times New Roman" w:cs="Times New Roman"/>
                      <w:bCs/>
                      <w:color w:val="000000" w:themeColor="text1"/>
                      <w:sz w:val="21"/>
                      <w:szCs w:val="21"/>
                      <w:lang w:val="en-US" w:eastAsia="zh-CN"/>
                    </w:rPr>
                    <w:t>园区热力站供暖</w:t>
                  </w:r>
                </w:p>
              </w:tc>
            </w:tr>
            <w:tr w14:paraId="6B57B97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222" w:type="dxa"/>
                  <w:vMerge w:val="restart"/>
                  <w:tcBorders>
                    <w:top w:val="single" w:color="auto" w:sz="4" w:space="0"/>
                  </w:tcBorders>
                  <w:vAlign w:val="center"/>
                </w:tcPr>
                <w:p w14:paraId="32C1975E">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环保工程</w:t>
                  </w:r>
                </w:p>
              </w:tc>
              <w:tc>
                <w:tcPr>
                  <w:tcW w:w="2154" w:type="dxa"/>
                  <w:tcBorders>
                    <w:top w:val="single" w:color="auto" w:sz="4" w:space="0"/>
                  </w:tcBorders>
                  <w:vAlign w:val="center"/>
                </w:tcPr>
                <w:p w14:paraId="60008F11">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消防工程</w:t>
                  </w:r>
                </w:p>
              </w:tc>
              <w:tc>
                <w:tcPr>
                  <w:tcW w:w="2238" w:type="dxa"/>
                  <w:vAlign w:val="center"/>
                </w:tcPr>
                <w:p w14:paraId="6F58FF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配套沙、石料及灭火器</w:t>
                  </w:r>
                </w:p>
              </w:tc>
              <w:tc>
                <w:tcPr>
                  <w:tcW w:w="2606" w:type="dxa"/>
                  <w:vAlign w:val="center"/>
                </w:tcPr>
                <w:p w14:paraId="554663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eastAsia" w:ascii="Times New Roman" w:hAnsi="Times New Roman" w:eastAsia="宋体" w:cs="Times New Roman"/>
                      <w:bCs/>
                      <w:color w:val="000000" w:themeColor="text1"/>
                      <w:sz w:val="21"/>
                      <w:szCs w:val="21"/>
                      <w:lang w:eastAsia="zh-CN"/>
                    </w:rPr>
                  </w:pPr>
                  <w:r>
                    <w:rPr>
                      <w:rFonts w:hint="eastAsia" w:ascii="Times New Roman" w:hAnsi="Times New Roman" w:cs="Times New Roman"/>
                      <w:bCs/>
                      <w:color w:val="000000" w:themeColor="text1"/>
                      <w:sz w:val="21"/>
                      <w:szCs w:val="21"/>
                      <w:lang w:val="en-US" w:eastAsia="zh-CN"/>
                    </w:rPr>
                    <w:t>扩建</w:t>
                  </w:r>
                </w:p>
              </w:tc>
            </w:tr>
            <w:tr w14:paraId="2829DFC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222" w:type="dxa"/>
                  <w:vMerge w:val="continue"/>
                  <w:vAlign w:val="center"/>
                </w:tcPr>
                <w:p w14:paraId="604436D2">
                  <w:pPr>
                    <w:spacing w:line="240" w:lineRule="auto"/>
                    <w:jc w:val="center"/>
                    <w:rPr>
                      <w:rFonts w:hint="default" w:ascii="Times New Roman" w:hAnsi="Times New Roman" w:cs="Times New Roman"/>
                      <w:color w:val="000000" w:themeColor="text1"/>
                      <w:sz w:val="21"/>
                      <w:szCs w:val="21"/>
                      <w:vertAlign w:val="baseline"/>
                      <w:lang w:val="en-US" w:eastAsia="zh-CN"/>
                    </w:rPr>
                  </w:pPr>
                </w:p>
              </w:tc>
              <w:tc>
                <w:tcPr>
                  <w:tcW w:w="2154" w:type="dxa"/>
                  <w:vAlign w:val="center"/>
                </w:tcPr>
                <w:p w14:paraId="0882983A">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废气</w:t>
                  </w:r>
                </w:p>
              </w:tc>
              <w:tc>
                <w:tcPr>
                  <w:tcW w:w="2238" w:type="dxa"/>
                  <w:vAlign w:val="center"/>
                </w:tcPr>
                <w:p w14:paraId="5CA24E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一级、二级油气回收装置</w:t>
                  </w:r>
                </w:p>
              </w:tc>
              <w:tc>
                <w:tcPr>
                  <w:tcW w:w="2606" w:type="dxa"/>
                  <w:vAlign w:val="center"/>
                </w:tcPr>
                <w:p w14:paraId="0FAD0B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default" w:ascii="Times New Roman" w:hAnsi="Times New Roman" w:eastAsia="宋体" w:cs="Times New Roman"/>
                      <w:bCs/>
                      <w:color w:val="000000" w:themeColor="text1"/>
                      <w:sz w:val="21"/>
                      <w:szCs w:val="21"/>
                    </w:rPr>
                  </w:pPr>
                  <w:r>
                    <w:rPr>
                      <w:rFonts w:hint="default" w:ascii="Times New Roman" w:hAnsi="Times New Roman" w:eastAsia="宋体" w:cs="Times New Roman"/>
                      <w:bCs/>
                      <w:color w:val="000000" w:themeColor="text1"/>
                      <w:sz w:val="21"/>
                      <w:szCs w:val="21"/>
                    </w:rPr>
                    <w:t>油罐区、加油机配套</w:t>
                  </w:r>
                </w:p>
              </w:tc>
            </w:tr>
            <w:tr w14:paraId="662AB1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222" w:type="dxa"/>
                  <w:vMerge w:val="continue"/>
                  <w:vAlign w:val="center"/>
                </w:tcPr>
                <w:p w14:paraId="117C0619">
                  <w:pPr>
                    <w:spacing w:line="240" w:lineRule="auto"/>
                    <w:jc w:val="center"/>
                    <w:rPr>
                      <w:rFonts w:hint="default" w:ascii="Times New Roman" w:hAnsi="Times New Roman" w:cs="Times New Roman"/>
                      <w:color w:val="000000" w:themeColor="text1"/>
                      <w:sz w:val="21"/>
                      <w:szCs w:val="21"/>
                      <w:vertAlign w:val="baseline"/>
                      <w:lang w:val="en-US" w:eastAsia="zh-CN"/>
                    </w:rPr>
                  </w:pPr>
                </w:p>
              </w:tc>
              <w:tc>
                <w:tcPr>
                  <w:tcW w:w="2154" w:type="dxa"/>
                  <w:vAlign w:val="center"/>
                </w:tcPr>
                <w:p w14:paraId="3029A24C">
                  <w:pPr>
                    <w:spacing w:line="240" w:lineRule="auto"/>
                    <w:jc w:val="center"/>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废水</w:t>
                  </w:r>
                </w:p>
              </w:tc>
              <w:tc>
                <w:tcPr>
                  <w:tcW w:w="2238" w:type="dxa"/>
                  <w:vAlign w:val="center"/>
                </w:tcPr>
                <w:p w14:paraId="7B5D08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经隔油池处理后接入园区管网</w:t>
                  </w:r>
                </w:p>
              </w:tc>
              <w:tc>
                <w:tcPr>
                  <w:tcW w:w="2606" w:type="dxa"/>
                  <w:vAlign w:val="center"/>
                </w:tcPr>
                <w:p w14:paraId="5A19CA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1"/>
                    <w:rPr>
                      <w:rFonts w:hint="eastAsia" w:ascii="Times New Roman" w:hAnsi="Times New Roman" w:eastAsia="宋体" w:cs="Times New Roman"/>
                      <w:bCs/>
                      <w:color w:val="000000" w:themeColor="text1"/>
                      <w:sz w:val="21"/>
                      <w:szCs w:val="21"/>
                      <w:lang w:val="en-US" w:eastAsia="zh-CN"/>
                    </w:rPr>
                  </w:pPr>
                  <w:r>
                    <w:rPr>
                      <w:rFonts w:hint="eastAsia" w:ascii="Times New Roman" w:hAnsi="Times New Roman" w:cs="Times New Roman"/>
                      <w:bCs/>
                      <w:color w:val="000000" w:themeColor="text1"/>
                      <w:sz w:val="21"/>
                      <w:szCs w:val="21"/>
                      <w:lang w:val="en-US" w:eastAsia="zh-CN"/>
                    </w:rPr>
                    <w:t>/</w:t>
                  </w:r>
                </w:p>
              </w:tc>
            </w:tr>
          </w:tbl>
          <w:p w14:paraId="651FF651">
            <w:pPr>
              <w:spacing w:line="360" w:lineRule="auto"/>
              <w:ind w:firstLine="480" w:firstLineChars="200"/>
              <w:rPr>
                <w:color w:val="000000" w:themeColor="text1"/>
                <w:sz w:val="24"/>
                <w:szCs w:val="24"/>
              </w:rPr>
            </w:pPr>
            <w:r>
              <w:rPr>
                <w:rFonts w:hint="default" w:ascii="Times New Roman" w:hAnsi="Times New Roman" w:eastAsia="宋体" w:cs="Times New Roman"/>
                <w:color w:val="000000" w:themeColor="text1"/>
                <w:sz w:val="24"/>
                <w:szCs w:val="24"/>
              </w:rPr>
              <w:t>按照国家《加油站地下水污染防治技术指南</w:t>
            </w:r>
            <w:r>
              <w:rPr>
                <w:rFonts w:hint="eastAsia" w:ascii="Times New Roman" w:hAnsi="Times New Roman" w:cs="Times New Roman"/>
                <w:color w:val="000000" w:themeColor="text1"/>
                <w:sz w:val="24"/>
                <w:szCs w:val="24"/>
                <w:lang w:eastAsia="zh-CN"/>
              </w:rPr>
              <w:t>（试行）》</w:t>
            </w:r>
            <w:r>
              <w:rPr>
                <w:rFonts w:hint="default" w:ascii="Times New Roman" w:hAnsi="Times New Roman" w:eastAsia="宋体" w:cs="Times New Roman"/>
                <w:color w:val="000000" w:themeColor="text1"/>
                <w:sz w:val="24"/>
                <w:szCs w:val="24"/>
              </w:rPr>
              <w:t>及自治区环保厅《关于加快加油站地下油罐防渗改造有关工作的通知》，本项目采取双层</w:t>
            </w:r>
            <w:r>
              <w:rPr>
                <w:rFonts w:hint="eastAsia" w:ascii="Times New Roman" w:hAnsi="Times New Roman" w:cs="Times New Roman"/>
                <w:color w:val="000000" w:themeColor="text1"/>
                <w:sz w:val="24"/>
                <w:szCs w:val="24"/>
                <w:lang w:val="en-US" w:eastAsia="zh-CN"/>
              </w:rPr>
              <w:t>S</w:t>
            </w:r>
            <w:r>
              <w:rPr>
                <w:rFonts w:hint="default" w:ascii="Times New Roman" w:hAnsi="Times New Roman" w:eastAsia="宋体" w:cs="Times New Roman"/>
                <w:color w:val="000000" w:themeColor="text1"/>
                <w:sz w:val="24"/>
                <w:szCs w:val="24"/>
              </w:rPr>
              <w:t>F油罐设计，双层罐设计及施工符合《汽车加油加气设计与施工规范》（GB50156</w:t>
            </w:r>
            <w:r>
              <w:rPr>
                <w:rFonts w:hint="default" w:ascii="Times New Roman" w:hAnsi="Times New Roman" w:eastAsia="宋体" w:cs="Times New Roman"/>
                <w:color w:val="000000" w:themeColor="text1"/>
                <w:sz w:val="24"/>
                <w:szCs w:val="24"/>
                <w:lang w:val="en-US" w:eastAsia="zh-CN"/>
              </w:rPr>
              <w:t>-2012</w:t>
            </w:r>
            <w:r>
              <w:rPr>
                <w:rFonts w:hint="default" w:ascii="Times New Roman" w:hAnsi="Times New Roman" w:eastAsia="宋体" w:cs="Times New Roman"/>
                <w:color w:val="000000" w:themeColor="text1"/>
                <w:sz w:val="24"/>
                <w:szCs w:val="24"/>
              </w:rPr>
              <w:t>）</w:t>
            </w:r>
            <w:r>
              <w:rPr>
                <w:rFonts w:hint="default" w:ascii="Times New Roman" w:hAnsi="Times New Roman" w:eastAsia="宋体" w:cs="Times New Roman"/>
                <w:color w:val="000000" w:themeColor="text1"/>
                <w:sz w:val="24"/>
                <w:szCs w:val="24"/>
                <w:lang w:eastAsia="zh-CN"/>
              </w:rPr>
              <w:t>（</w:t>
            </w:r>
            <w:r>
              <w:rPr>
                <w:rFonts w:hint="default" w:ascii="Times New Roman" w:hAnsi="Times New Roman" w:eastAsia="宋体" w:cs="Times New Roman"/>
                <w:color w:val="000000" w:themeColor="text1"/>
                <w:sz w:val="24"/>
                <w:szCs w:val="24"/>
                <w:lang w:val="en-US" w:eastAsia="zh-CN"/>
              </w:rPr>
              <w:t>2014</w:t>
            </w:r>
            <w:r>
              <w:rPr>
                <w:rFonts w:hint="eastAsia" w:ascii="Times New Roman" w:hAnsi="Times New Roman" w:cs="Times New Roman"/>
                <w:color w:val="000000" w:themeColor="text1"/>
                <w:sz w:val="24"/>
                <w:szCs w:val="24"/>
                <w:lang w:val="en-US" w:eastAsia="zh-CN"/>
              </w:rPr>
              <w:t>局部修订</w:t>
            </w:r>
            <w:r>
              <w:rPr>
                <w:rFonts w:hint="default" w:ascii="Times New Roman" w:hAnsi="Times New Roman" w:eastAsia="宋体" w:cs="Times New Roman"/>
                <w:color w:val="000000" w:themeColor="text1"/>
                <w:sz w:val="24"/>
                <w:szCs w:val="24"/>
                <w:lang w:val="en-US" w:eastAsia="zh-CN"/>
              </w:rPr>
              <w:t>版</w:t>
            </w:r>
            <w:r>
              <w:rPr>
                <w:rFonts w:hint="default" w:ascii="Times New Roman" w:hAnsi="Times New Roman" w:eastAsia="宋体" w:cs="Times New Roman"/>
                <w:color w:val="000000" w:themeColor="text1"/>
                <w:sz w:val="24"/>
                <w:szCs w:val="24"/>
                <w:lang w:eastAsia="zh-CN"/>
              </w:rPr>
              <w:t>）</w:t>
            </w:r>
            <w:r>
              <w:rPr>
                <w:rFonts w:hint="default" w:ascii="Times New Roman" w:hAnsi="Times New Roman" w:eastAsia="宋体" w:cs="Times New Roman"/>
                <w:color w:val="000000" w:themeColor="text1"/>
                <w:sz w:val="24"/>
                <w:szCs w:val="24"/>
              </w:rPr>
              <w:t>要求</w:t>
            </w:r>
            <w:r>
              <w:rPr>
                <w:color w:val="000000" w:themeColor="text1"/>
                <w:sz w:val="24"/>
                <w:szCs w:val="24"/>
              </w:rPr>
              <w:t>。</w:t>
            </w:r>
          </w:p>
          <w:p w14:paraId="40515EDD">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4</w:t>
            </w:r>
            <w:r>
              <w:rPr>
                <w:rFonts w:hint="eastAsia" w:ascii="Times New Roman" w:hAnsi="Times New Roman"/>
                <w:b/>
                <w:bCs/>
                <w:color w:val="000000" w:themeColor="text1"/>
                <w:sz w:val="24"/>
                <w:szCs w:val="24"/>
              </w:rPr>
              <w:t>、主要生产设备</w:t>
            </w:r>
          </w:p>
          <w:p w14:paraId="3D8DBA92">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本项目</w:t>
            </w:r>
            <w:r>
              <w:rPr>
                <w:rFonts w:hint="eastAsia" w:ascii="Times New Roman" w:hAnsi="Times New Roman"/>
                <w:color w:val="000000" w:themeColor="text1"/>
                <w:sz w:val="24"/>
                <w:szCs w:val="24"/>
                <w:lang w:val="en-US" w:eastAsia="zh-CN"/>
              </w:rPr>
              <w:t>加油部分新增</w:t>
            </w:r>
            <w:r>
              <w:rPr>
                <w:rFonts w:hint="eastAsia" w:ascii="Times New Roman" w:hAnsi="Times New Roman"/>
                <w:color w:val="000000" w:themeColor="text1"/>
                <w:sz w:val="24"/>
                <w:szCs w:val="24"/>
              </w:rPr>
              <w:t>主要生产设备见表</w:t>
            </w:r>
            <w:r>
              <w:rPr>
                <w:rFonts w:hint="eastAsia" w:ascii="Times New Roman" w:hAnsi="Times New Roman"/>
                <w:color w:val="000000" w:themeColor="text1"/>
                <w:sz w:val="24"/>
                <w:szCs w:val="24"/>
                <w:lang w:val="en-US" w:eastAsia="zh-CN"/>
              </w:rPr>
              <w:t>6</w:t>
            </w:r>
            <w:r>
              <w:rPr>
                <w:rFonts w:hint="eastAsia" w:ascii="Times New Roman" w:hAnsi="Times New Roman"/>
                <w:color w:val="000000" w:themeColor="text1"/>
                <w:sz w:val="24"/>
                <w:szCs w:val="24"/>
              </w:rPr>
              <w:t>。</w:t>
            </w:r>
          </w:p>
          <w:p w14:paraId="452072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2" w:firstLineChars="200"/>
              <w:jc w:val="both"/>
              <w:textAlignment w:val="auto"/>
              <w:outlineLvl w:val="9"/>
              <w:rPr>
                <w:rFonts w:hint="eastAsia" w:ascii="黑体" w:hAnsi="宋体" w:eastAsia="黑体"/>
                <w:b/>
                <w:color w:val="000000" w:themeColor="text1"/>
                <w:sz w:val="21"/>
                <w:szCs w:val="21"/>
              </w:rPr>
            </w:pPr>
            <w:bookmarkStart w:id="4" w:name="OLE_LINK3"/>
            <w:r>
              <w:rPr>
                <w:rFonts w:hint="eastAsia" w:ascii="黑体" w:hAnsi="宋体" w:eastAsia="黑体"/>
                <w:b/>
                <w:color w:val="000000" w:themeColor="text1"/>
                <w:sz w:val="21"/>
                <w:szCs w:val="21"/>
              </w:rPr>
              <w:t>表</w:t>
            </w:r>
            <w:r>
              <w:rPr>
                <w:rFonts w:hint="eastAsia" w:ascii="黑体" w:hAnsi="宋体" w:eastAsia="黑体"/>
                <w:b/>
                <w:color w:val="000000" w:themeColor="text1"/>
                <w:sz w:val="21"/>
                <w:szCs w:val="21"/>
                <w:lang w:val="en-US" w:eastAsia="zh-CN"/>
              </w:rPr>
              <w:t xml:space="preserve">6  </w:t>
            </w:r>
            <w:r>
              <w:rPr>
                <w:rFonts w:ascii="黑体" w:hAnsi="宋体" w:eastAsia="黑体"/>
                <w:b/>
                <w:color w:val="000000" w:themeColor="text1"/>
                <w:sz w:val="21"/>
                <w:szCs w:val="21"/>
              </w:rPr>
              <w:t xml:space="preserve">                 </w:t>
            </w:r>
            <w:r>
              <w:rPr>
                <w:rFonts w:hint="eastAsia" w:ascii="黑体" w:hAnsi="宋体" w:eastAsia="黑体"/>
                <w:b/>
                <w:color w:val="000000" w:themeColor="text1"/>
                <w:sz w:val="21"/>
                <w:szCs w:val="21"/>
                <w:lang w:val="en-US" w:eastAsia="zh-CN"/>
              </w:rPr>
              <w:t>加油部分新增</w:t>
            </w:r>
            <w:r>
              <w:rPr>
                <w:rFonts w:hint="eastAsia" w:ascii="黑体" w:hAnsi="宋体" w:eastAsia="黑体"/>
                <w:b/>
                <w:color w:val="000000" w:themeColor="text1"/>
                <w:sz w:val="21"/>
                <w:szCs w:val="21"/>
              </w:rPr>
              <w:t>生产设备一览表</w:t>
            </w:r>
          </w:p>
          <w:bookmarkEnd w:id="4"/>
          <w:tbl>
            <w:tblPr>
              <w:tblStyle w:val="19"/>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02"/>
              <w:gridCol w:w="1354"/>
              <w:gridCol w:w="660"/>
              <w:gridCol w:w="703"/>
              <w:gridCol w:w="2107"/>
              <w:gridCol w:w="1202"/>
              <w:gridCol w:w="795"/>
              <w:gridCol w:w="797"/>
            </w:tblGrid>
            <w:tr w14:paraId="17AA78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02" w:type="dxa"/>
                  <w:tcBorders>
                    <w:bottom w:val="single" w:color="auto" w:sz="12" w:space="0"/>
                  </w:tcBorders>
                  <w:vAlign w:val="center"/>
                </w:tcPr>
                <w:p w14:paraId="40BA13DE">
                  <w:pPr>
                    <w:spacing w:line="320" w:lineRule="exact"/>
                    <w:ind w:firstLine="0" w:firstLineChars="0"/>
                    <w:jc w:val="center"/>
                    <w:rPr>
                      <w:rFonts w:hint="default" w:ascii="Times New Roman" w:hAnsi="Times New Roman" w:eastAsia="宋体" w:cs="Times New Roman"/>
                      <w:b/>
                      <w:color w:val="000000" w:themeColor="text1"/>
                      <w:sz w:val="21"/>
                      <w:szCs w:val="21"/>
                    </w:rPr>
                  </w:pPr>
                  <w:r>
                    <w:rPr>
                      <w:rFonts w:hint="default" w:ascii="Times New Roman" w:hAnsi="Times New Roman" w:eastAsia="宋体" w:cs="Times New Roman"/>
                      <w:b/>
                      <w:color w:val="000000" w:themeColor="text1"/>
                      <w:sz w:val="21"/>
                      <w:szCs w:val="21"/>
                    </w:rPr>
                    <w:t>序号</w:t>
                  </w:r>
                </w:p>
              </w:tc>
              <w:tc>
                <w:tcPr>
                  <w:tcW w:w="1354" w:type="dxa"/>
                  <w:tcBorders>
                    <w:bottom w:val="single" w:color="auto" w:sz="12" w:space="0"/>
                  </w:tcBorders>
                  <w:vAlign w:val="center"/>
                </w:tcPr>
                <w:p w14:paraId="216A8895">
                  <w:pPr>
                    <w:spacing w:line="320" w:lineRule="exact"/>
                    <w:ind w:firstLine="0" w:firstLineChars="0"/>
                    <w:jc w:val="center"/>
                    <w:rPr>
                      <w:rFonts w:hint="default" w:ascii="Times New Roman" w:hAnsi="Times New Roman" w:eastAsia="宋体" w:cs="Times New Roman"/>
                      <w:b/>
                      <w:color w:val="000000" w:themeColor="text1"/>
                      <w:sz w:val="21"/>
                      <w:szCs w:val="21"/>
                    </w:rPr>
                  </w:pPr>
                  <w:r>
                    <w:rPr>
                      <w:rFonts w:hint="default" w:ascii="Times New Roman" w:hAnsi="Times New Roman" w:eastAsia="宋体" w:cs="Times New Roman"/>
                      <w:b/>
                      <w:color w:val="000000" w:themeColor="text1"/>
                      <w:sz w:val="21"/>
                      <w:szCs w:val="21"/>
                      <w:lang w:eastAsia="zh-CN"/>
                    </w:rPr>
                    <w:t>设备</w:t>
                  </w:r>
                  <w:r>
                    <w:rPr>
                      <w:rFonts w:hint="default" w:ascii="Times New Roman" w:hAnsi="Times New Roman" w:eastAsia="宋体" w:cs="Times New Roman"/>
                      <w:b/>
                      <w:color w:val="000000" w:themeColor="text1"/>
                      <w:sz w:val="21"/>
                      <w:szCs w:val="21"/>
                    </w:rPr>
                    <w:t>名称</w:t>
                  </w:r>
                </w:p>
              </w:tc>
              <w:tc>
                <w:tcPr>
                  <w:tcW w:w="660" w:type="dxa"/>
                  <w:tcBorders>
                    <w:bottom w:val="single" w:color="auto" w:sz="12" w:space="0"/>
                  </w:tcBorders>
                  <w:vAlign w:val="center"/>
                </w:tcPr>
                <w:p w14:paraId="4E3C551A">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b/>
                      <w:color w:val="000000" w:themeColor="text1"/>
                      <w:sz w:val="21"/>
                      <w:szCs w:val="21"/>
                    </w:rPr>
                    <w:t>单位</w:t>
                  </w:r>
                </w:p>
              </w:tc>
              <w:tc>
                <w:tcPr>
                  <w:tcW w:w="703" w:type="dxa"/>
                  <w:tcBorders>
                    <w:bottom w:val="single" w:color="auto" w:sz="12" w:space="0"/>
                  </w:tcBorders>
                  <w:vAlign w:val="center"/>
                </w:tcPr>
                <w:p w14:paraId="39E66F9B">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b/>
                      <w:color w:val="000000" w:themeColor="text1"/>
                      <w:sz w:val="21"/>
                      <w:szCs w:val="21"/>
                    </w:rPr>
                    <w:t>数量</w:t>
                  </w:r>
                </w:p>
              </w:tc>
              <w:tc>
                <w:tcPr>
                  <w:tcW w:w="2107" w:type="dxa"/>
                  <w:tcBorders>
                    <w:bottom w:val="single" w:color="auto" w:sz="12" w:space="0"/>
                  </w:tcBorders>
                  <w:vAlign w:val="center"/>
                </w:tcPr>
                <w:p w14:paraId="3B7F2043">
                  <w:pPr>
                    <w:spacing w:line="320" w:lineRule="exact"/>
                    <w:ind w:firstLine="0" w:firstLineChars="0"/>
                    <w:jc w:val="center"/>
                    <w:rPr>
                      <w:rFonts w:hint="default" w:ascii="Times New Roman" w:hAnsi="Times New Roman" w:eastAsia="宋体" w:cs="Times New Roman"/>
                      <w:b/>
                      <w:color w:val="000000" w:themeColor="text1"/>
                      <w:sz w:val="21"/>
                      <w:szCs w:val="21"/>
                    </w:rPr>
                  </w:pPr>
                  <w:r>
                    <w:rPr>
                      <w:rFonts w:hint="default" w:ascii="Times New Roman" w:hAnsi="Times New Roman" w:eastAsia="宋体" w:cs="Times New Roman"/>
                      <w:b/>
                      <w:color w:val="000000" w:themeColor="text1"/>
                      <w:sz w:val="21"/>
                      <w:szCs w:val="21"/>
                    </w:rPr>
                    <w:t>型号、规格</w:t>
                  </w:r>
                </w:p>
              </w:tc>
              <w:tc>
                <w:tcPr>
                  <w:tcW w:w="1202" w:type="dxa"/>
                  <w:tcBorders>
                    <w:bottom w:val="single" w:color="auto" w:sz="12" w:space="0"/>
                  </w:tcBorders>
                  <w:vAlign w:val="center"/>
                </w:tcPr>
                <w:p w14:paraId="2528A66A">
                  <w:pPr>
                    <w:spacing w:line="320" w:lineRule="exact"/>
                    <w:ind w:firstLine="0" w:firstLineChars="0"/>
                    <w:jc w:val="center"/>
                    <w:rPr>
                      <w:rFonts w:hint="default" w:ascii="Times New Roman" w:hAnsi="Times New Roman" w:eastAsia="宋体" w:cs="Times New Roman"/>
                      <w:b/>
                      <w:color w:val="000000" w:themeColor="text1"/>
                      <w:sz w:val="21"/>
                      <w:szCs w:val="21"/>
                      <w:lang w:eastAsia="zh-CN"/>
                    </w:rPr>
                  </w:pPr>
                  <w:r>
                    <w:rPr>
                      <w:rFonts w:hint="default" w:ascii="Times New Roman" w:hAnsi="Times New Roman" w:eastAsia="宋体" w:cs="Times New Roman"/>
                      <w:b/>
                      <w:color w:val="000000" w:themeColor="text1"/>
                      <w:sz w:val="21"/>
                      <w:szCs w:val="21"/>
                      <w:lang w:eastAsia="zh-CN"/>
                    </w:rPr>
                    <w:t>材质</w:t>
                  </w:r>
                </w:p>
              </w:tc>
              <w:tc>
                <w:tcPr>
                  <w:tcW w:w="795" w:type="dxa"/>
                  <w:tcBorders>
                    <w:bottom w:val="single" w:color="auto" w:sz="12" w:space="0"/>
                  </w:tcBorders>
                  <w:vAlign w:val="center"/>
                </w:tcPr>
                <w:p w14:paraId="71C2104D">
                  <w:pPr>
                    <w:spacing w:line="320" w:lineRule="exact"/>
                    <w:ind w:firstLine="0" w:firstLineChars="0"/>
                    <w:jc w:val="center"/>
                    <w:rPr>
                      <w:rFonts w:hint="default" w:ascii="Times New Roman" w:hAnsi="Times New Roman" w:eastAsia="宋体" w:cs="Times New Roman"/>
                      <w:b/>
                      <w:color w:val="000000" w:themeColor="text1"/>
                      <w:sz w:val="21"/>
                      <w:szCs w:val="21"/>
                      <w:lang w:eastAsia="zh-CN"/>
                    </w:rPr>
                  </w:pPr>
                  <w:r>
                    <w:rPr>
                      <w:rFonts w:hint="default" w:ascii="Times New Roman" w:hAnsi="Times New Roman" w:eastAsia="宋体" w:cs="Times New Roman"/>
                      <w:b/>
                      <w:color w:val="000000" w:themeColor="text1"/>
                      <w:sz w:val="21"/>
                      <w:szCs w:val="21"/>
                      <w:lang w:eastAsia="zh-CN"/>
                    </w:rPr>
                    <w:t>操作</w:t>
                  </w:r>
                </w:p>
                <w:p w14:paraId="6FF43440">
                  <w:pPr>
                    <w:spacing w:line="320" w:lineRule="exact"/>
                    <w:ind w:firstLine="0" w:firstLineChars="0"/>
                    <w:jc w:val="center"/>
                    <w:rPr>
                      <w:rFonts w:hint="default" w:ascii="Times New Roman" w:hAnsi="Times New Roman" w:eastAsia="宋体" w:cs="Times New Roman"/>
                      <w:b/>
                      <w:color w:val="000000" w:themeColor="text1"/>
                      <w:sz w:val="21"/>
                      <w:szCs w:val="21"/>
                      <w:lang w:eastAsia="zh-CN"/>
                    </w:rPr>
                  </w:pPr>
                  <w:r>
                    <w:rPr>
                      <w:rFonts w:hint="default" w:ascii="Times New Roman" w:hAnsi="Times New Roman" w:eastAsia="宋体" w:cs="Times New Roman"/>
                      <w:b/>
                      <w:color w:val="000000" w:themeColor="text1"/>
                      <w:sz w:val="21"/>
                      <w:szCs w:val="21"/>
                      <w:lang w:eastAsia="zh-CN"/>
                    </w:rPr>
                    <w:t>条件</w:t>
                  </w:r>
                </w:p>
              </w:tc>
              <w:tc>
                <w:tcPr>
                  <w:tcW w:w="797" w:type="dxa"/>
                  <w:tcBorders>
                    <w:bottom w:val="single" w:color="auto" w:sz="12" w:space="0"/>
                  </w:tcBorders>
                  <w:vAlign w:val="center"/>
                </w:tcPr>
                <w:p w14:paraId="756CFB06">
                  <w:pPr>
                    <w:spacing w:line="320" w:lineRule="exact"/>
                    <w:ind w:firstLine="0" w:firstLineChars="0"/>
                    <w:jc w:val="center"/>
                    <w:rPr>
                      <w:rFonts w:hint="default" w:ascii="Times New Roman" w:hAnsi="Times New Roman" w:eastAsia="宋体" w:cs="Times New Roman"/>
                      <w:b/>
                      <w:color w:val="000000" w:themeColor="text1"/>
                      <w:sz w:val="21"/>
                      <w:szCs w:val="21"/>
                    </w:rPr>
                  </w:pPr>
                  <w:r>
                    <w:rPr>
                      <w:rFonts w:hint="default" w:ascii="Times New Roman" w:hAnsi="Times New Roman" w:eastAsia="宋体" w:cs="Times New Roman"/>
                      <w:b/>
                      <w:color w:val="000000" w:themeColor="text1"/>
                      <w:sz w:val="21"/>
                      <w:szCs w:val="21"/>
                    </w:rPr>
                    <w:t>备注</w:t>
                  </w:r>
                </w:p>
              </w:tc>
            </w:tr>
            <w:tr w14:paraId="1B3578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602" w:type="dxa"/>
                  <w:tcBorders>
                    <w:top w:val="single" w:color="auto" w:sz="12" w:space="0"/>
                    <w:tl2br w:val="nil"/>
                    <w:tr2bl w:val="nil"/>
                  </w:tcBorders>
                  <w:vAlign w:val="center"/>
                </w:tcPr>
                <w:p w14:paraId="316F55B3">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w:t>
                  </w:r>
                </w:p>
              </w:tc>
              <w:tc>
                <w:tcPr>
                  <w:tcW w:w="1354" w:type="dxa"/>
                  <w:tcBorders>
                    <w:top w:val="single" w:color="auto" w:sz="12" w:space="0"/>
                    <w:tl2br w:val="nil"/>
                    <w:tr2bl w:val="nil"/>
                  </w:tcBorders>
                  <w:vAlign w:val="center"/>
                </w:tcPr>
                <w:p w14:paraId="3F89A9B9">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汽油储罐</w:t>
                  </w:r>
                </w:p>
              </w:tc>
              <w:tc>
                <w:tcPr>
                  <w:tcW w:w="660" w:type="dxa"/>
                  <w:tcBorders>
                    <w:top w:val="single" w:color="auto" w:sz="12" w:space="0"/>
                    <w:tl2br w:val="nil"/>
                    <w:tr2bl w:val="nil"/>
                  </w:tcBorders>
                  <w:vAlign w:val="center"/>
                </w:tcPr>
                <w:p w14:paraId="286C501D">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台</w:t>
                  </w:r>
                </w:p>
              </w:tc>
              <w:tc>
                <w:tcPr>
                  <w:tcW w:w="703" w:type="dxa"/>
                  <w:tcBorders>
                    <w:top w:val="single" w:color="auto" w:sz="12" w:space="0"/>
                    <w:tl2br w:val="nil"/>
                    <w:tr2bl w:val="nil"/>
                  </w:tcBorders>
                  <w:vAlign w:val="center"/>
                </w:tcPr>
                <w:p w14:paraId="66EAC90F">
                  <w:pPr>
                    <w:spacing w:line="320" w:lineRule="exact"/>
                    <w:ind w:firstLine="0" w:firstLineChars="0"/>
                    <w:jc w:val="center"/>
                    <w:rPr>
                      <w:rFonts w:hint="default" w:ascii="Times New Roman" w:hAnsi="Times New Roman" w:eastAsia="宋体" w:cs="Times New Roman"/>
                      <w:color w:val="000000" w:themeColor="text1"/>
                      <w:sz w:val="21"/>
                      <w:szCs w:val="21"/>
                      <w:lang w:eastAsia="zh-CN"/>
                    </w:rPr>
                  </w:pPr>
                  <w:r>
                    <w:rPr>
                      <w:rFonts w:hint="default" w:ascii="Times New Roman" w:hAnsi="Times New Roman" w:eastAsia="宋体" w:cs="Times New Roman"/>
                      <w:color w:val="000000" w:themeColor="text1"/>
                      <w:sz w:val="21"/>
                      <w:szCs w:val="21"/>
                      <w:lang w:val="en-US" w:eastAsia="zh-CN"/>
                    </w:rPr>
                    <w:t>3</w:t>
                  </w:r>
                </w:p>
              </w:tc>
              <w:tc>
                <w:tcPr>
                  <w:tcW w:w="2107" w:type="dxa"/>
                  <w:tcBorders>
                    <w:top w:val="single" w:color="auto" w:sz="12" w:space="0"/>
                    <w:tl2br w:val="nil"/>
                    <w:tr2bl w:val="nil"/>
                  </w:tcBorders>
                  <w:vAlign w:val="center"/>
                </w:tcPr>
                <w:p w14:paraId="7CD4D9DE">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lang w:val="en-US" w:eastAsia="zh-CN"/>
                    </w:rPr>
                    <w:t>2</w:t>
                  </w:r>
                  <w:r>
                    <w:rPr>
                      <w:rFonts w:hint="default" w:ascii="Times New Roman" w:hAnsi="Times New Roman" w:eastAsia="宋体" w:cs="Times New Roman"/>
                      <w:color w:val="000000" w:themeColor="text1"/>
                      <w:sz w:val="21"/>
                      <w:szCs w:val="21"/>
                    </w:rPr>
                    <w:t>0m</w:t>
                  </w:r>
                  <w:r>
                    <w:rPr>
                      <w:rFonts w:hint="default" w:ascii="Times New Roman" w:hAnsi="Times New Roman" w:eastAsia="宋体" w:cs="Times New Roman"/>
                      <w:color w:val="000000" w:themeColor="text1"/>
                      <w:sz w:val="21"/>
                      <w:szCs w:val="21"/>
                      <w:vertAlign w:val="superscript"/>
                    </w:rPr>
                    <w:t>3</w:t>
                  </w:r>
                  <w:r>
                    <w:rPr>
                      <w:rFonts w:hint="default" w:ascii="Times New Roman" w:hAnsi="Times New Roman" w:eastAsia="宋体" w:cs="Times New Roman"/>
                      <w:color w:val="000000" w:themeColor="text1"/>
                      <w:sz w:val="21"/>
                      <w:szCs w:val="21"/>
                    </w:rPr>
                    <w:t xml:space="preserve">  φ2</w:t>
                  </w:r>
                  <w:r>
                    <w:rPr>
                      <w:rFonts w:hint="default" w:ascii="Times New Roman" w:hAnsi="Times New Roman" w:eastAsia="宋体" w:cs="Times New Roman"/>
                      <w:color w:val="000000" w:themeColor="text1"/>
                      <w:sz w:val="21"/>
                      <w:szCs w:val="21"/>
                      <w:lang w:val="en-US" w:eastAsia="zh-CN"/>
                    </w:rPr>
                    <w:t>0</w:t>
                  </w:r>
                  <w:r>
                    <w:rPr>
                      <w:rFonts w:hint="default" w:ascii="Times New Roman" w:hAnsi="Times New Roman" w:eastAsia="宋体" w:cs="Times New Roman"/>
                      <w:color w:val="000000" w:themeColor="text1"/>
                      <w:sz w:val="21"/>
                      <w:szCs w:val="21"/>
                    </w:rPr>
                    <w:t>00×</w:t>
                  </w:r>
                  <w:r>
                    <w:rPr>
                      <w:rFonts w:hint="default" w:ascii="Times New Roman" w:hAnsi="Times New Roman" w:eastAsia="宋体" w:cs="Times New Roman"/>
                      <w:color w:val="000000" w:themeColor="text1"/>
                      <w:sz w:val="21"/>
                      <w:szCs w:val="21"/>
                      <w:lang w:val="en-US" w:eastAsia="zh-CN"/>
                    </w:rPr>
                    <w:t>6920</w:t>
                  </w:r>
                  <w:r>
                    <w:rPr>
                      <w:rFonts w:hint="default" w:ascii="Times New Roman" w:hAnsi="Times New Roman" w:eastAsia="宋体" w:cs="Times New Roman"/>
                      <w:color w:val="000000" w:themeColor="text1"/>
                      <w:sz w:val="21"/>
                      <w:szCs w:val="21"/>
                    </w:rPr>
                    <w:t xml:space="preserve"> </w:t>
                  </w:r>
                </w:p>
                <w:p w14:paraId="0DDE6E2C">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内层罐体δ=6mm</w:t>
                  </w:r>
                </w:p>
                <w:p w14:paraId="2F05F5D7">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内层封头δ=7mm</w:t>
                  </w:r>
                </w:p>
                <w:p w14:paraId="42D35B3F">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外层罐体δ=5mm</w:t>
                  </w:r>
                </w:p>
                <w:p w14:paraId="4B6C9BF1">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外层封头δ=6mm</w:t>
                  </w:r>
                </w:p>
              </w:tc>
              <w:tc>
                <w:tcPr>
                  <w:tcW w:w="1202" w:type="dxa"/>
                  <w:tcBorders>
                    <w:top w:val="single" w:color="auto" w:sz="12" w:space="0"/>
                    <w:tl2br w:val="nil"/>
                    <w:tr2bl w:val="nil"/>
                  </w:tcBorders>
                  <w:vAlign w:val="center"/>
                </w:tcPr>
                <w:p w14:paraId="73240689">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内层Q235B外层聚乙烯</w:t>
                  </w:r>
                </w:p>
              </w:tc>
              <w:tc>
                <w:tcPr>
                  <w:tcW w:w="795" w:type="dxa"/>
                  <w:tcBorders>
                    <w:top w:val="single" w:color="auto" w:sz="12" w:space="0"/>
                    <w:tl2br w:val="nil"/>
                    <w:tr2bl w:val="nil"/>
                  </w:tcBorders>
                  <w:vAlign w:val="center"/>
                </w:tcPr>
                <w:p w14:paraId="73282930">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常温</w:t>
                  </w:r>
                </w:p>
                <w:p w14:paraId="6347459D">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常压</w:t>
                  </w:r>
                </w:p>
              </w:tc>
              <w:tc>
                <w:tcPr>
                  <w:tcW w:w="797" w:type="dxa"/>
                  <w:tcBorders>
                    <w:top w:val="single" w:color="auto" w:sz="12" w:space="0"/>
                    <w:tl2br w:val="nil"/>
                    <w:tr2bl w:val="nil"/>
                  </w:tcBorders>
                  <w:vAlign w:val="center"/>
                </w:tcPr>
                <w:p w14:paraId="581F7FD2">
                  <w:pPr>
                    <w:spacing w:line="320" w:lineRule="exact"/>
                    <w:ind w:firstLine="0" w:firstLineChars="0"/>
                    <w:jc w:val="center"/>
                    <w:rPr>
                      <w:rFonts w:hint="default" w:ascii="Times New Roman" w:hAnsi="Times New Roman" w:eastAsia="宋体" w:cs="Times New Roman"/>
                      <w:color w:val="000000" w:themeColor="text1"/>
                      <w:sz w:val="21"/>
                      <w:szCs w:val="21"/>
                      <w:lang w:eastAsia="zh-CN"/>
                    </w:rPr>
                  </w:pPr>
                  <w:r>
                    <w:rPr>
                      <w:rFonts w:hint="default" w:ascii="Times New Roman" w:hAnsi="Times New Roman" w:eastAsia="宋体" w:cs="Times New Roman"/>
                      <w:color w:val="000000" w:themeColor="text1"/>
                      <w:sz w:val="21"/>
                      <w:szCs w:val="21"/>
                      <w:lang w:eastAsia="zh-CN"/>
                    </w:rPr>
                    <w:t>双层罐</w:t>
                  </w:r>
                </w:p>
              </w:tc>
            </w:tr>
            <w:tr w14:paraId="70F38B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02" w:type="dxa"/>
                  <w:tcBorders>
                    <w:tl2br w:val="nil"/>
                    <w:tr2bl w:val="nil"/>
                  </w:tcBorders>
                  <w:vAlign w:val="center"/>
                </w:tcPr>
                <w:p w14:paraId="7C646FB9">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w:t>
                  </w:r>
                </w:p>
              </w:tc>
              <w:tc>
                <w:tcPr>
                  <w:tcW w:w="1354" w:type="dxa"/>
                  <w:tcBorders>
                    <w:tl2br w:val="nil"/>
                    <w:tr2bl w:val="nil"/>
                  </w:tcBorders>
                  <w:vAlign w:val="center"/>
                </w:tcPr>
                <w:p w14:paraId="386193AB">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柴油储罐</w:t>
                  </w:r>
                </w:p>
              </w:tc>
              <w:tc>
                <w:tcPr>
                  <w:tcW w:w="660" w:type="dxa"/>
                  <w:tcBorders>
                    <w:tl2br w:val="nil"/>
                    <w:tr2bl w:val="nil"/>
                  </w:tcBorders>
                  <w:vAlign w:val="center"/>
                </w:tcPr>
                <w:p w14:paraId="593437A3">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台</w:t>
                  </w:r>
                </w:p>
              </w:tc>
              <w:tc>
                <w:tcPr>
                  <w:tcW w:w="703" w:type="dxa"/>
                  <w:tcBorders>
                    <w:tl2br w:val="nil"/>
                    <w:tr2bl w:val="nil"/>
                  </w:tcBorders>
                  <w:vAlign w:val="center"/>
                </w:tcPr>
                <w:p w14:paraId="28E3FB2C">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lang w:val="en-US" w:eastAsia="zh-CN"/>
                    </w:rPr>
                    <w:t>3</w:t>
                  </w:r>
                </w:p>
              </w:tc>
              <w:tc>
                <w:tcPr>
                  <w:tcW w:w="2107" w:type="dxa"/>
                  <w:tcBorders>
                    <w:tl2br w:val="nil"/>
                    <w:tr2bl w:val="nil"/>
                  </w:tcBorders>
                  <w:vAlign w:val="center"/>
                </w:tcPr>
                <w:p w14:paraId="34E96288">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lang w:val="en-US" w:eastAsia="zh-CN"/>
                    </w:rPr>
                    <w:t>2</w:t>
                  </w:r>
                  <w:r>
                    <w:rPr>
                      <w:rFonts w:hint="default" w:ascii="Times New Roman" w:hAnsi="Times New Roman" w:eastAsia="宋体" w:cs="Times New Roman"/>
                      <w:color w:val="000000" w:themeColor="text1"/>
                      <w:sz w:val="21"/>
                      <w:szCs w:val="21"/>
                    </w:rPr>
                    <w:t>0m</w:t>
                  </w:r>
                  <w:r>
                    <w:rPr>
                      <w:rFonts w:hint="default" w:ascii="Times New Roman" w:hAnsi="Times New Roman" w:eastAsia="宋体" w:cs="Times New Roman"/>
                      <w:color w:val="000000" w:themeColor="text1"/>
                      <w:sz w:val="21"/>
                      <w:szCs w:val="21"/>
                      <w:vertAlign w:val="superscript"/>
                    </w:rPr>
                    <w:t>3</w:t>
                  </w:r>
                  <w:r>
                    <w:rPr>
                      <w:rFonts w:hint="default" w:ascii="Times New Roman" w:hAnsi="Times New Roman" w:eastAsia="宋体" w:cs="Times New Roman"/>
                      <w:color w:val="000000" w:themeColor="text1"/>
                      <w:sz w:val="21"/>
                      <w:szCs w:val="21"/>
                    </w:rPr>
                    <w:t xml:space="preserve">  φ2</w:t>
                  </w:r>
                  <w:r>
                    <w:rPr>
                      <w:rFonts w:hint="default" w:ascii="Times New Roman" w:hAnsi="Times New Roman" w:eastAsia="宋体" w:cs="Times New Roman"/>
                      <w:color w:val="000000" w:themeColor="text1"/>
                      <w:sz w:val="21"/>
                      <w:szCs w:val="21"/>
                      <w:lang w:val="en-US" w:eastAsia="zh-CN"/>
                    </w:rPr>
                    <w:t>0</w:t>
                  </w:r>
                  <w:r>
                    <w:rPr>
                      <w:rFonts w:hint="default" w:ascii="Times New Roman" w:hAnsi="Times New Roman" w:eastAsia="宋体" w:cs="Times New Roman"/>
                      <w:color w:val="000000" w:themeColor="text1"/>
                      <w:sz w:val="21"/>
                      <w:szCs w:val="21"/>
                    </w:rPr>
                    <w:t>00×</w:t>
                  </w:r>
                  <w:r>
                    <w:rPr>
                      <w:rFonts w:hint="default" w:ascii="Times New Roman" w:hAnsi="Times New Roman" w:eastAsia="宋体" w:cs="Times New Roman"/>
                      <w:color w:val="000000" w:themeColor="text1"/>
                      <w:sz w:val="21"/>
                      <w:szCs w:val="21"/>
                      <w:lang w:val="en-US" w:eastAsia="zh-CN"/>
                    </w:rPr>
                    <w:t>6920</w:t>
                  </w:r>
                  <w:r>
                    <w:rPr>
                      <w:rFonts w:hint="default" w:ascii="Times New Roman" w:hAnsi="Times New Roman" w:eastAsia="宋体" w:cs="Times New Roman"/>
                      <w:color w:val="000000" w:themeColor="text1"/>
                      <w:sz w:val="21"/>
                      <w:szCs w:val="21"/>
                    </w:rPr>
                    <w:t xml:space="preserve"> </w:t>
                  </w:r>
                </w:p>
                <w:p w14:paraId="2F97F087">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内层罐体δ=6mm</w:t>
                  </w:r>
                </w:p>
                <w:p w14:paraId="76FAC1AB">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内层封头δ=7mm</w:t>
                  </w:r>
                </w:p>
                <w:p w14:paraId="009A8377">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外层罐体δ=5mm</w:t>
                  </w:r>
                </w:p>
                <w:p w14:paraId="305AFF8A">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外层封头δ=6mm</w:t>
                  </w:r>
                </w:p>
              </w:tc>
              <w:tc>
                <w:tcPr>
                  <w:tcW w:w="1202" w:type="dxa"/>
                  <w:tcBorders>
                    <w:tl2br w:val="nil"/>
                    <w:tr2bl w:val="nil"/>
                  </w:tcBorders>
                  <w:vAlign w:val="center"/>
                </w:tcPr>
                <w:p w14:paraId="446B3895">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内层Q235B外层聚乙烯</w:t>
                  </w:r>
                </w:p>
              </w:tc>
              <w:tc>
                <w:tcPr>
                  <w:tcW w:w="795" w:type="dxa"/>
                  <w:tcBorders>
                    <w:tl2br w:val="nil"/>
                    <w:tr2bl w:val="nil"/>
                  </w:tcBorders>
                  <w:vAlign w:val="center"/>
                </w:tcPr>
                <w:p w14:paraId="53B21047">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常温</w:t>
                  </w:r>
                </w:p>
                <w:p w14:paraId="46C36D1C">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常压</w:t>
                  </w:r>
                </w:p>
              </w:tc>
              <w:tc>
                <w:tcPr>
                  <w:tcW w:w="797" w:type="dxa"/>
                  <w:tcBorders>
                    <w:tl2br w:val="nil"/>
                    <w:tr2bl w:val="nil"/>
                  </w:tcBorders>
                  <w:vAlign w:val="center"/>
                </w:tcPr>
                <w:p w14:paraId="740C6270">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lang w:eastAsia="zh-CN"/>
                    </w:rPr>
                    <w:t>双层罐</w:t>
                  </w:r>
                </w:p>
              </w:tc>
            </w:tr>
            <w:tr w14:paraId="43405E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602" w:type="dxa"/>
                  <w:tcBorders>
                    <w:tl2br w:val="nil"/>
                    <w:tr2bl w:val="nil"/>
                  </w:tcBorders>
                  <w:vAlign w:val="center"/>
                </w:tcPr>
                <w:p w14:paraId="11DCBF61">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w:t>
                  </w:r>
                </w:p>
              </w:tc>
              <w:tc>
                <w:tcPr>
                  <w:tcW w:w="1354" w:type="dxa"/>
                  <w:tcBorders>
                    <w:tl2br w:val="nil"/>
                    <w:tr2bl w:val="nil"/>
                  </w:tcBorders>
                  <w:vAlign w:val="center"/>
                </w:tcPr>
                <w:p w14:paraId="3F64405E">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加油机</w:t>
                  </w:r>
                </w:p>
              </w:tc>
              <w:tc>
                <w:tcPr>
                  <w:tcW w:w="660" w:type="dxa"/>
                  <w:tcBorders>
                    <w:tl2br w:val="nil"/>
                    <w:tr2bl w:val="nil"/>
                  </w:tcBorders>
                  <w:vAlign w:val="center"/>
                </w:tcPr>
                <w:p w14:paraId="7A0DD1F9">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台</w:t>
                  </w:r>
                </w:p>
              </w:tc>
              <w:tc>
                <w:tcPr>
                  <w:tcW w:w="703" w:type="dxa"/>
                  <w:tcBorders>
                    <w:tl2br w:val="nil"/>
                    <w:tr2bl w:val="nil"/>
                  </w:tcBorders>
                  <w:vAlign w:val="center"/>
                </w:tcPr>
                <w:p w14:paraId="395A78D0">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lang w:val="en-US" w:eastAsia="zh-CN"/>
                    </w:rPr>
                    <w:t>5</w:t>
                  </w:r>
                </w:p>
              </w:tc>
              <w:tc>
                <w:tcPr>
                  <w:tcW w:w="2107" w:type="dxa"/>
                  <w:tcBorders>
                    <w:tl2br w:val="nil"/>
                    <w:tr2bl w:val="nil"/>
                  </w:tcBorders>
                  <w:vAlign w:val="center"/>
                </w:tcPr>
                <w:p w14:paraId="190471D1">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税控、双枪Q=（5-50）L/min</w:t>
                  </w:r>
                </w:p>
              </w:tc>
              <w:tc>
                <w:tcPr>
                  <w:tcW w:w="1202" w:type="dxa"/>
                  <w:tcBorders>
                    <w:tl2br w:val="nil"/>
                    <w:tr2bl w:val="nil"/>
                  </w:tcBorders>
                  <w:vAlign w:val="center"/>
                </w:tcPr>
                <w:p w14:paraId="32B7DCCA">
                  <w:pPr>
                    <w:spacing w:line="320" w:lineRule="exact"/>
                    <w:ind w:firstLine="0" w:firstLineChars="0"/>
                    <w:jc w:val="center"/>
                    <w:rPr>
                      <w:rFonts w:hint="default" w:ascii="Times New Roman" w:hAnsi="Times New Roman" w:eastAsia="宋体" w:cs="Times New Roman"/>
                      <w:color w:val="000000" w:themeColor="text1"/>
                      <w:sz w:val="21"/>
                      <w:szCs w:val="21"/>
                      <w:lang w:eastAsia="zh-CN"/>
                    </w:rPr>
                  </w:pPr>
                  <w:r>
                    <w:rPr>
                      <w:rFonts w:hint="default" w:ascii="Times New Roman" w:hAnsi="Times New Roman" w:eastAsia="宋体" w:cs="Times New Roman"/>
                      <w:color w:val="000000" w:themeColor="text1"/>
                      <w:sz w:val="21"/>
                      <w:szCs w:val="21"/>
                      <w:lang w:eastAsia="zh-CN"/>
                    </w:rPr>
                    <w:t>组合件</w:t>
                  </w:r>
                </w:p>
              </w:tc>
              <w:tc>
                <w:tcPr>
                  <w:tcW w:w="795" w:type="dxa"/>
                  <w:tcBorders>
                    <w:tl2br w:val="nil"/>
                    <w:tr2bl w:val="nil"/>
                  </w:tcBorders>
                  <w:vAlign w:val="center"/>
                </w:tcPr>
                <w:p w14:paraId="20DE5EF7">
                  <w:pPr>
                    <w:spacing w:line="320" w:lineRule="exact"/>
                    <w:ind w:firstLine="0" w:firstLineChars="0"/>
                    <w:jc w:val="center"/>
                    <w:rPr>
                      <w:rFonts w:hint="default" w:ascii="Times New Roman" w:hAnsi="Times New Roman" w:eastAsia="宋体" w:cs="Times New Roman"/>
                      <w:color w:val="000000" w:themeColor="text1"/>
                      <w:sz w:val="21"/>
                      <w:szCs w:val="21"/>
                    </w:rPr>
                  </w:pPr>
                </w:p>
              </w:tc>
              <w:tc>
                <w:tcPr>
                  <w:tcW w:w="797" w:type="dxa"/>
                  <w:tcBorders>
                    <w:tl2br w:val="nil"/>
                    <w:tr2bl w:val="nil"/>
                  </w:tcBorders>
                  <w:vAlign w:val="center"/>
                </w:tcPr>
                <w:p w14:paraId="1D1A6B8B">
                  <w:pPr>
                    <w:spacing w:line="320" w:lineRule="exact"/>
                    <w:ind w:firstLine="0" w:firstLineChars="0"/>
                    <w:jc w:val="center"/>
                    <w:rPr>
                      <w:rFonts w:hint="default" w:ascii="Times New Roman" w:hAnsi="Times New Roman" w:eastAsia="宋体" w:cs="Times New Roman"/>
                      <w:color w:val="000000" w:themeColor="text1"/>
                      <w:sz w:val="21"/>
                      <w:szCs w:val="21"/>
                    </w:rPr>
                  </w:pPr>
                </w:p>
              </w:tc>
            </w:tr>
            <w:tr w14:paraId="447FA7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602" w:type="dxa"/>
                  <w:tcBorders>
                    <w:tl2br w:val="nil"/>
                    <w:tr2bl w:val="nil"/>
                  </w:tcBorders>
                  <w:vAlign w:val="center"/>
                </w:tcPr>
                <w:p w14:paraId="301F30EF">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4</w:t>
                  </w:r>
                </w:p>
              </w:tc>
              <w:tc>
                <w:tcPr>
                  <w:tcW w:w="1354" w:type="dxa"/>
                  <w:tcBorders>
                    <w:tl2br w:val="nil"/>
                    <w:tr2bl w:val="nil"/>
                  </w:tcBorders>
                  <w:vAlign w:val="center"/>
                </w:tcPr>
                <w:p w14:paraId="1B91B2C4">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潜油泵</w:t>
                  </w:r>
                </w:p>
              </w:tc>
              <w:tc>
                <w:tcPr>
                  <w:tcW w:w="660" w:type="dxa"/>
                  <w:tcBorders>
                    <w:tl2br w:val="nil"/>
                    <w:tr2bl w:val="nil"/>
                  </w:tcBorders>
                  <w:vAlign w:val="center"/>
                </w:tcPr>
                <w:p w14:paraId="5EAD65B5">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台</w:t>
                  </w:r>
                </w:p>
              </w:tc>
              <w:tc>
                <w:tcPr>
                  <w:tcW w:w="703" w:type="dxa"/>
                  <w:tcBorders>
                    <w:tl2br w:val="nil"/>
                    <w:tr2bl w:val="nil"/>
                  </w:tcBorders>
                  <w:vAlign w:val="center"/>
                </w:tcPr>
                <w:p w14:paraId="447999D4">
                  <w:pPr>
                    <w:spacing w:line="320" w:lineRule="exact"/>
                    <w:ind w:firstLine="0" w:firstLineChars="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lang w:val="en-US" w:eastAsia="zh-CN"/>
                    </w:rPr>
                    <w:t>6</w:t>
                  </w:r>
                </w:p>
              </w:tc>
              <w:tc>
                <w:tcPr>
                  <w:tcW w:w="2107" w:type="dxa"/>
                  <w:tcBorders>
                    <w:tl2br w:val="nil"/>
                    <w:tr2bl w:val="nil"/>
                  </w:tcBorders>
                  <w:vAlign w:val="center"/>
                </w:tcPr>
                <w:p w14:paraId="55E73FCD">
                  <w:pPr>
                    <w:spacing w:line="320" w:lineRule="exact"/>
                    <w:ind w:firstLine="42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250L/min，1.1k</w:t>
                  </w:r>
                  <w:r>
                    <w:rPr>
                      <w:rFonts w:hint="default" w:ascii="Times New Roman" w:hAnsi="Times New Roman" w:eastAsia="宋体" w:cs="Times New Roman"/>
                      <w:color w:val="000000" w:themeColor="text1"/>
                      <w:sz w:val="21"/>
                      <w:szCs w:val="21"/>
                      <w:lang w:val="en-US" w:eastAsia="zh-CN"/>
                    </w:rPr>
                    <w:t>W</w:t>
                  </w:r>
                  <w:r>
                    <w:rPr>
                      <w:rFonts w:hint="default" w:ascii="Times New Roman" w:hAnsi="Times New Roman" w:eastAsia="宋体" w:cs="Times New Roman"/>
                      <w:color w:val="000000" w:themeColor="text1"/>
                      <w:sz w:val="21"/>
                      <w:szCs w:val="21"/>
                    </w:rPr>
                    <w:t>/h</w:t>
                  </w:r>
                </w:p>
              </w:tc>
              <w:tc>
                <w:tcPr>
                  <w:tcW w:w="1202" w:type="dxa"/>
                  <w:tcBorders>
                    <w:tl2br w:val="nil"/>
                    <w:tr2bl w:val="nil"/>
                  </w:tcBorders>
                  <w:vAlign w:val="center"/>
                </w:tcPr>
                <w:p w14:paraId="2B72282C">
                  <w:pPr>
                    <w:spacing w:line="320" w:lineRule="exact"/>
                    <w:ind w:left="0" w:leftChars="0" w:firstLine="0" w:firstLineChars="0"/>
                    <w:jc w:val="center"/>
                    <w:rPr>
                      <w:rFonts w:hint="default" w:ascii="Times New Roman" w:hAnsi="Times New Roman" w:eastAsia="宋体" w:cs="Times New Roman"/>
                      <w:color w:val="000000" w:themeColor="text1"/>
                      <w:sz w:val="21"/>
                      <w:szCs w:val="21"/>
                      <w:lang w:eastAsia="zh-CN"/>
                    </w:rPr>
                  </w:pPr>
                  <w:r>
                    <w:rPr>
                      <w:rFonts w:hint="default" w:ascii="Times New Roman" w:hAnsi="Times New Roman" w:eastAsia="宋体" w:cs="Times New Roman"/>
                      <w:color w:val="000000" w:themeColor="text1"/>
                      <w:sz w:val="21"/>
                      <w:szCs w:val="21"/>
                      <w:lang w:eastAsia="zh-CN"/>
                    </w:rPr>
                    <w:t>组合件</w:t>
                  </w:r>
                </w:p>
              </w:tc>
              <w:tc>
                <w:tcPr>
                  <w:tcW w:w="795" w:type="dxa"/>
                  <w:tcBorders>
                    <w:tl2br w:val="nil"/>
                    <w:tr2bl w:val="nil"/>
                  </w:tcBorders>
                  <w:vAlign w:val="center"/>
                </w:tcPr>
                <w:p w14:paraId="2AE65241">
                  <w:pPr>
                    <w:spacing w:line="320" w:lineRule="exact"/>
                    <w:ind w:firstLine="420"/>
                    <w:jc w:val="center"/>
                    <w:rPr>
                      <w:rFonts w:hint="default" w:ascii="Times New Roman" w:hAnsi="Times New Roman" w:eastAsia="宋体" w:cs="Times New Roman"/>
                      <w:color w:val="000000" w:themeColor="text1"/>
                      <w:sz w:val="21"/>
                      <w:szCs w:val="21"/>
                    </w:rPr>
                  </w:pPr>
                </w:p>
              </w:tc>
              <w:tc>
                <w:tcPr>
                  <w:tcW w:w="797" w:type="dxa"/>
                  <w:tcBorders>
                    <w:tl2br w:val="nil"/>
                    <w:tr2bl w:val="nil"/>
                  </w:tcBorders>
                  <w:vAlign w:val="center"/>
                </w:tcPr>
                <w:p w14:paraId="3124E1D7">
                  <w:pPr>
                    <w:spacing w:line="320" w:lineRule="exact"/>
                    <w:ind w:firstLine="420"/>
                    <w:jc w:val="center"/>
                    <w:rPr>
                      <w:rFonts w:hint="default" w:ascii="Times New Roman" w:hAnsi="Times New Roman" w:eastAsia="宋体" w:cs="Times New Roman"/>
                      <w:color w:val="000000" w:themeColor="text1"/>
                      <w:sz w:val="21"/>
                      <w:szCs w:val="21"/>
                    </w:rPr>
                  </w:pPr>
                </w:p>
              </w:tc>
            </w:tr>
          </w:tbl>
          <w:p w14:paraId="5F02D548">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本项目加气部分新增主要生产设备见表7。</w:t>
            </w:r>
          </w:p>
          <w:p w14:paraId="4180B8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2" w:firstLineChars="200"/>
              <w:jc w:val="both"/>
              <w:textAlignment w:val="auto"/>
              <w:outlineLvl w:val="9"/>
              <w:rPr>
                <w:rFonts w:hint="eastAsia" w:ascii="黑体" w:hAnsi="宋体" w:eastAsia="黑体"/>
                <w:b/>
                <w:color w:val="000000" w:themeColor="text1"/>
                <w:sz w:val="21"/>
                <w:szCs w:val="21"/>
              </w:rPr>
            </w:pPr>
            <w:r>
              <w:rPr>
                <w:rFonts w:hint="eastAsia" w:ascii="黑体" w:hAnsi="宋体" w:eastAsia="黑体"/>
                <w:b/>
                <w:color w:val="000000" w:themeColor="text1"/>
                <w:sz w:val="21"/>
                <w:szCs w:val="21"/>
              </w:rPr>
              <w:t>表</w:t>
            </w:r>
            <w:r>
              <w:rPr>
                <w:rFonts w:hint="eastAsia" w:ascii="黑体" w:hAnsi="宋体" w:eastAsia="黑体"/>
                <w:b/>
                <w:color w:val="000000" w:themeColor="text1"/>
                <w:sz w:val="21"/>
                <w:szCs w:val="21"/>
                <w:lang w:val="en-US" w:eastAsia="zh-CN"/>
              </w:rPr>
              <w:t xml:space="preserve">7  </w:t>
            </w:r>
            <w:r>
              <w:rPr>
                <w:rFonts w:ascii="黑体" w:hAnsi="宋体" w:eastAsia="黑体"/>
                <w:b/>
                <w:color w:val="000000" w:themeColor="text1"/>
                <w:sz w:val="21"/>
                <w:szCs w:val="21"/>
              </w:rPr>
              <w:t xml:space="preserve">                </w:t>
            </w:r>
            <w:r>
              <w:rPr>
                <w:rFonts w:hint="eastAsia" w:ascii="黑体" w:hAnsi="宋体" w:eastAsia="黑体"/>
                <w:b/>
                <w:color w:val="000000" w:themeColor="text1"/>
                <w:sz w:val="21"/>
                <w:szCs w:val="21"/>
                <w:lang w:val="en-US" w:eastAsia="zh-CN"/>
              </w:rPr>
              <w:t xml:space="preserve"> 加气部分新增</w:t>
            </w:r>
            <w:r>
              <w:rPr>
                <w:rFonts w:hint="eastAsia" w:ascii="黑体" w:hAnsi="宋体" w:eastAsia="黑体"/>
                <w:b/>
                <w:color w:val="000000" w:themeColor="text1"/>
                <w:sz w:val="21"/>
                <w:szCs w:val="21"/>
              </w:rPr>
              <w:t>生产设备一览表</w:t>
            </w:r>
          </w:p>
          <w:tbl>
            <w:tblPr>
              <w:tblStyle w:val="19"/>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6"/>
              <w:gridCol w:w="1079"/>
              <w:gridCol w:w="464"/>
              <w:gridCol w:w="395"/>
              <w:gridCol w:w="2345"/>
              <w:gridCol w:w="846"/>
              <w:gridCol w:w="1862"/>
              <w:gridCol w:w="793"/>
            </w:tblGrid>
            <w:tr w14:paraId="55D0FD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436" w:type="dxa"/>
                  <w:tcBorders>
                    <w:bottom w:val="single" w:color="auto" w:sz="12" w:space="0"/>
                  </w:tcBorders>
                  <w:vAlign w:val="center"/>
                </w:tcPr>
                <w:p w14:paraId="2D108F0F">
                  <w:pPr>
                    <w:spacing w:line="320" w:lineRule="exact"/>
                    <w:ind w:firstLine="0" w:firstLineChars="0"/>
                    <w:jc w:val="center"/>
                    <w:rPr>
                      <w:rFonts w:hint="default" w:ascii="Times New Roman" w:hAnsi="Times New Roman" w:eastAsia="宋体" w:cs="Times New Roman"/>
                      <w:b/>
                      <w:bCs w:val="0"/>
                      <w:color w:val="000000" w:themeColor="text1"/>
                      <w:sz w:val="21"/>
                      <w:szCs w:val="21"/>
                      <w:lang w:eastAsia="zh-CN"/>
                    </w:rPr>
                  </w:pPr>
                  <w:r>
                    <w:rPr>
                      <w:rFonts w:hint="default" w:ascii="Times New Roman" w:hAnsi="Times New Roman" w:eastAsia="宋体" w:cs="Times New Roman"/>
                      <w:b/>
                      <w:bCs w:val="0"/>
                      <w:color w:val="000000" w:themeColor="text1"/>
                      <w:sz w:val="21"/>
                      <w:szCs w:val="21"/>
                      <w:lang w:eastAsia="zh-CN"/>
                    </w:rPr>
                    <w:t>序号</w:t>
                  </w:r>
                </w:p>
              </w:tc>
              <w:tc>
                <w:tcPr>
                  <w:tcW w:w="1079" w:type="dxa"/>
                  <w:tcBorders>
                    <w:bottom w:val="single" w:color="auto" w:sz="12" w:space="0"/>
                  </w:tcBorders>
                  <w:vAlign w:val="center"/>
                </w:tcPr>
                <w:p w14:paraId="322E7BF2">
                  <w:pPr>
                    <w:spacing w:line="320" w:lineRule="exact"/>
                    <w:ind w:firstLine="0" w:firstLineChars="0"/>
                    <w:jc w:val="center"/>
                    <w:rPr>
                      <w:rFonts w:hint="default" w:ascii="Times New Roman" w:hAnsi="Times New Roman" w:eastAsia="宋体" w:cs="Times New Roman"/>
                      <w:b/>
                      <w:bCs w:val="0"/>
                      <w:color w:val="000000" w:themeColor="text1"/>
                      <w:sz w:val="21"/>
                      <w:szCs w:val="21"/>
                      <w:lang w:eastAsia="zh-CN"/>
                    </w:rPr>
                  </w:pPr>
                  <w:r>
                    <w:rPr>
                      <w:rFonts w:hint="default" w:ascii="Times New Roman" w:hAnsi="Times New Roman" w:eastAsia="宋体" w:cs="Times New Roman"/>
                      <w:b/>
                      <w:bCs w:val="0"/>
                      <w:color w:val="000000" w:themeColor="text1"/>
                      <w:sz w:val="21"/>
                      <w:szCs w:val="21"/>
                      <w:lang w:eastAsia="zh-CN"/>
                    </w:rPr>
                    <w:t>设备名称</w:t>
                  </w:r>
                </w:p>
              </w:tc>
              <w:tc>
                <w:tcPr>
                  <w:tcW w:w="464" w:type="dxa"/>
                  <w:tcBorders>
                    <w:bottom w:val="single" w:color="auto" w:sz="12" w:space="0"/>
                  </w:tcBorders>
                  <w:vAlign w:val="center"/>
                </w:tcPr>
                <w:p w14:paraId="1FFBF9BD">
                  <w:pPr>
                    <w:spacing w:line="320" w:lineRule="exact"/>
                    <w:ind w:firstLine="0" w:firstLineChars="0"/>
                    <w:jc w:val="center"/>
                    <w:rPr>
                      <w:rFonts w:hint="default" w:ascii="Times New Roman" w:hAnsi="Times New Roman" w:eastAsia="宋体" w:cs="Times New Roman"/>
                      <w:b/>
                      <w:bCs w:val="0"/>
                      <w:color w:val="000000" w:themeColor="text1"/>
                      <w:sz w:val="21"/>
                      <w:szCs w:val="21"/>
                      <w:lang w:eastAsia="zh-CN"/>
                    </w:rPr>
                  </w:pPr>
                  <w:r>
                    <w:rPr>
                      <w:rFonts w:hint="default" w:ascii="Times New Roman" w:hAnsi="Times New Roman" w:eastAsia="宋体" w:cs="Times New Roman"/>
                      <w:b/>
                      <w:bCs w:val="0"/>
                      <w:color w:val="000000" w:themeColor="text1"/>
                      <w:sz w:val="21"/>
                      <w:szCs w:val="21"/>
                      <w:lang w:eastAsia="zh-CN"/>
                    </w:rPr>
                    <w:t>单位</w:t>
                  </w:r>
                </w:p>
              </w:tc>
              <w:tc>
                <w:tcPr>
                  <w:tcW w:w="395" w:type="dxa"/>
                  <w:tcBorders>
                    <w:bottom w:val="single" w:color="auto" w:sz="12" w:space="0"/>
                  </w:tcBorders>
                  <w:vAlign w:val="center"/>
                </w:tcPr>
                <w:p w14:paraId="4D392E4B">
                  <w:pPr>
                    <w:spacing w:line="320" w:lineRule="exact"/>
                    <w:ind w:firstLine="0" w:firstLineChars="0"/>
                    <w:jc w:val="center"/>
                    <w:rPr>
                      <w:rFonts w:hint="default" w:ascii="Times New Roman" w:hAnsi="Times New Roman" w:eastAsia="宋体" w:cs="Times New Roman"/>
                      <w:b/>
                      <w:bCs w:val="0"/>
                      <w:color w:val="000000" w:themeColor="text1"/>
                      <w:sz w:val="21"/>
                      <w:szCs w:val="21"/>
                      <w:lang w:eastAsia="zh-CN"/>
                    </w:rPr>
                  </w:pPr>
                  <w:r>
                    <w:rPr>
                      <w:rFonts w:hint="default" w:ascii="Times New Roman" w:hAnsi="Times New Roman" w:eastAsia="宋体" w:cs="Times New Roman"/>
                      <w:b/>
                      <w:bCs w:val="0"/>
                      <w:color w:val="000000" w:themeColor="text1"/>
                      <w:sz w:val="21"/>
                      <w:szCs w:val="21"/>
                      <w:lang w:eastAsia="zh-CN"/>
                    </w:rPr>
                    <w:t>数量</w:t>
                  </w:r>
                </w:p>
              </w:tc>
              <w:tc>
                <w:tcPr>
                  <w:tcW w:w="2345" w:type="dxa"/>
                  <w:tcBorders>
                    <w:bottom w:val="single" w:color="auto" w:sz="12" w:space="0"/>
                  </w:tcBorders>
                  <w:vAlign w:val="center"/>
                </w:tcPr>
                <w:p w14:paraId="5D4C40F5">
                  <w:pPr>
                    <w:spacing w:line="320" w:lineRule="exact"/>
                    <w:ind w:firstLine="0" w:firstLineChars="0"/>
                    <w:jc w:val="center"/>
                    <w:rPr>
                      <w:rFonts w:hint="default" w:ascii="Times New Roman" w:hAnsi="Times New Roman" w:eastAsia="宋体" w:cs="Times New Roman"/>
                      <w:b/>
                      <w:bCs w:val="0"/>
                      <w:color w:val="000000" w:themeColor="text1"/>
                      <w:sz w:val="21"/>
                      <w:szCs w:val="21"/>
                      <w:lang w:eastAsia="zh-CN"/>
                    </w:rPr>
                  </w:pPr>
                  <w:r>
                    <w:rPr>
                      <w:rFonts w:hint="default" w:ascii="Times New Roman" w:hAnsi="Times New Roman" w:eastAsia="宋体" w:cs="Times New Roman"/>
                      <w:b/>
                      <w:bCs w:val="0"/>
                      <w:color w:val="000000" w:themeColor="text1"/>
                      <w:sz w:val="21"/>
                      <w:szCs w:val="21"/>
                    </w:rPr>
                    <w:t>型号、规格</w:t>
                  </w:r>
                </w:p>
              </w:tc>
              <w:tc>
                <w:tcPr>
                  <w:tcW w:w="846" w:type="dxa"/>
                  <w:tcBorders>
                    <w:bottom w:val="single" w:color="auto" w:sz="12" w:space="0"/>
                  </w:tcBorders>
                  <w:vAlign w:val="center"/>
                </w:tcPr>
                <w:p w14:paraId="67855F89">
                  <w:pPr>
                    <w:spacing w:line="320" w:lineRule="exact"/>
                    <w:ind w:firstLine="0" w:firstLineChars="0"/>
                    <w:jc w:val="center"/>
                    <w:rPr>
                      <w:rFonts w:hint="default" w:ascii="Times New Roman" w:hAnsi="Times New Roman" w:eastAsia="宋体" w:cs="Times New Roman"/>
                      <w:b/>
                      <w:bCs w:val="0"/>
                      <w:color w:val="000000" w:themeColor="text1"/>
                      <w:sz w:val="21"/>
                      <w:szCs w:val="21"/>
                      <w:lang w:eastAsia="zh-CN"/>
                    </w:rPr>
                  </w:pPr>
                  <w:r>
                    <w:rPr>
                      <w:rFonts w:hint="default" w:ascii="Times New Roman" w:hAnsi="Times New Roman" w:eastAsia="宋体" w:cs="Times New Roman"/>
                      <w:b/>
                      <w:bCs w:val="0"/>
                      <w:color w:val="000000" w:themeColor="text1"/>
                      <w:sz w:val="21"/>
                      <w:szCs w:val="21"/>
                      <w:lang w:eastAsia="zh-CN"/>
                    </w:rPr>
                    <w:t>材质</w:t>
                  </w:r>
                </w:p>
              </w:tc>
              <w:tc>
                <w:tcPr>
                  <w:tcW w:w="1862" w:type="dxa"/>
                  <w:tcBorders>
                    <w:bottom w:val="single" w:color="auto" w:sz="12" w:space="0"/>
                  </w:tcBorders>
                  <w:vAlign w:val="center"/>
                </w:tcPr>
                <w:p w14:paraId="5930F837">
                  <w:pPr>
                    <w:spacing w:line="320" w:lineRule="exact"/>
                    <w:ind w:firstLine="0" w:firstLineChars="0"/>
                    <w:jc w:val="center"/>
                    <w:rPr>
                      <w:rFonts w:hint="default" w:ascii="Times New Roman" w:hAnsi="Times New Roman" w:eastAsia="宋体" w:cs="Times New Roman"/>
                      <w:b/>
                      <w:bCs w:val="0"/>
                      <w:color w:val="000000" w:themeColor="text1"/>
                      <w:sz w:val="21"/>
                      <w:szCs w:val="21"/>
                      <w:lang w:eastAsia="zh-CN"/>
                    </w:rPr>
                  </w:pPr>
                  <w:r>
                    <w:rPr>
                      <w:rFonts w:hint="default" w:ascii="Times New Roman" w:hAnsi="Times New Roman" w:eastAsia="宋体" w:cs="Times New Roman"/>
                      <w:b/>
                      <w:bCs w:val="0"/>
                      <w:color w:val="000000" w:themeColor="text1"/>
                      <w:sz w:val="21"/>
                      <w:szCs w:val="21"/>
                      <w:lang w:eastAsia="zh-CN"/>
                    </w:rPr>
                    <w:t>操作条件</w:t>
                  </w:r>
                </w:p>
              </w:tc>
              <w:tc>
                <w:tcPr>
                  <w:tcW w:w="793" w:type="dxa"/>
                  <w:tcBorders>
                    <w:bottom w:val="single" w:color="auto" w:sz="12" w:space="0"/>
                  </w:tcBorders>
                  <w:vAlign w:val="center"/>
                </w:tcPr>
                <w:p w14:paraId="712AD553">
                  <w:pPr>
                    <w:spacing w:line="320" w:lineRule="exact"/>
                    <w:ind w:firstLine="0" w:firstLineChars="0"/>
                    <w:jc w:val="center"/>
                    <w:rPr>
                      <w:rFonts w:hint="default" w:ascii="Times New Roman" w:hAnsi="Times New Roman" w:eastAsia="宋体" w:cs="Times New Roman"/>
                      <w:b/>
                      <w:bCs w:val="0"/>
                      <w:color w:val="000000" w:themeColor="text1"/>
                      <w:sz w:val="21"/>
                      <w:szCs w:val="21"/>
                      <w:lang w:eastAsia="zh-CN"/>
                    </w:rPr>
                  </w:pPr>
                  <w:r>
                    <w:rPr>
                      <w:rFonts w:hint="default" w:ascii="Times New Roman" w:hAnsi="Times New Roman" w:eastAsia="宋体" w:cs="Times New Roman"/>
                      <w:b/>
                      <w:bCs w:val="0"/>
                      <w:color w:val="000000" w:themeColor="text1"/>
                      <w:sz w:val="21"/>
                      <w:szCs w:val="21"/>
                      <w:lang w:eastAsia="zh-CN"/>
                    </w:rPr>
                    <w:t>备注</w:t>
                  </w:r>
                </w:p>
              </w:tc>
            </w:tr>
            <w:tr w14:paraId="547440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6" w:type="dxa"/>
                  <w:tcBorders>
                    <w:top w:val="single" w:color="auto" w:sz="12" w:space="0"/>
                    <w:tl2br w:val="nil"/>
                    <w:tr2bl w:val="nil"/>
                  </w:tcBorders>
                  <w:vAlign w:val="center"/>
                </w:tcPr>
                <w:p w14:paraId="3BD1EB5D">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1</w:t>
                  </w:r>
                </w:p>
              </w:tc>
              <w:tc>
                <w:tcPr>
                  <w:tcW w:w="1079" w:type="dxa"/>
                  <w:tcBorders>
                    <w:top w:val="single" w:color="auto" w:sz="12" w:space="0"/>
                    <w:tl2br w:val="nil"/>
                    <w:tr2bl w:val="nil"/>
                  </w:tcBorders>
                  <w:vAlign w:val="center"/>
                </w:tcPr>
                <w:p w14:paraId="5FB8DCA0">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LNG</w:t>
                  </w:r>
                  <w:r>
                    <w:rPr>
                      <w:rFonts w:hint="default" w:ascii="Times New Roman" w:hAnsi="Times New Roman" w:eastAsia="宋体" w:cs="Times New Roman"/>
                      <w:b w:val="0"/>
                      <w:bCs/>
                      <w:color w:val="000000" w:themeColor="text1"/>
                      <w:sz w:val="21"/>
                      <w:szCs w:val="21"/>
                      <w:lang w:eastAsia="zh-CN"/>
                    </w:rPr>
                    <w:t>立式</w:t>
                  </w:r>
                  <w:r>
                    <w:rPr>
                      <w:rFonts w:hint="default" w:ascii="Times New Roman" w:hAnsi="Times New Roman" w:eastAsia="宋体" w:cs="Times New Roman"/>
                      <w:b w:val="0"/>
                      <w:bCs/>
                      <w:color w:val="000000" w:themeColor="text1"/>
                      <w:sz w:val="21"/>
                      <w:szCs w:val="21"/>
                    </w:rPr>
                    <w:t>储罐</w:t>
                  </w:r>
                </w:p>
              </w:tc>
              <w:tc>
                <w:tcPr>
                  <w:tcW w:w="464" w:type="dxa"/>
                  <w:tcBorders>
                    <w:top w:val="single" w:color="auto" w:sz="12" w:space="0"/>
                    <w:tl2br w:val="nil"/>
                    <w:tr2bl w:val="nil"/>
                  </w:tcBorders>
                  <w:vAlign w:val="center"/>
                </w:tcPr>
                <w:p w14:paraId="10D34AFA">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座</w:t>
                  </w:r>
                </w:p>
              </w:tc>
              <w:tc>
                <w:tcPr>
                  <w:tcW w:w="395" w:type="dxa"/>
                  <w:tcBorders>
                    <w:top w:val="single" w:color="auto" w:sz="12" w:space="0"/>
                    <w:tl2br w:val="nil"/>
                    <w:tr2bl w:val="nil"/>
                  </w:tcBorders>
                  <w:vAlign w:val="center"/>
                </w:tcPr>
                <w:p w14:paraId="7EA905B0">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1</w:t>
                  </w:r>
                </w:p>
              </w:tc>
              <w:tc>
                <w:tcPr>
                  <w:tcW w:w="2345" w:type="dxa"/>
                  <w:tcBorders>
                    <w:top w:val="single" w:color="auto" w:sz="12" w:space="0"/>
                    <w:tl2br w:val="nil"/>
                    <w:tr2bl w:val="nil"/>
                  </w:tcBorders>
                  <w:vAlign w:val="center"/>
                </w:tcPr>
                <w:p w14:paraId="1DB7DA69">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φ2800*14420  V=60m</w:t>
                  </w:r>
                  <w:r>
                    <w:rPr>
                      <w:rFonts w:hint="default" w:ascii="Times New Roman" w:hAnsi="Times New Roman" w:eastAsia="宋体" w:cs="Times New Roman"/>
                      <w:b w:val="0"/>
                      <w:bCs/>
                      <w:color w:val="000000" w:themeColor="text1"/>
                      <w:sz w:val="21"/>
                      <w:szCs w:val="21"/>
                      <w:lang w:val="en-US" w:eastAsia="zh-CN"/>
                    </w:rPr>
                    <w:t>3</w:t>
                  </w:r>
                  <w:r>
                    <w:rPr>
                      <w:rFonts w:hint="default" w:ascii="Times New Roman" w:hAnsi="Times New Roman" w:eastAsia="宋体" w:cs="Times New Roman"/>
                      <w:b w:val="0"/>
                      <w:bCs/>
                      <w:color w:val="000000" w:themeColor="text1"/>
                      <w:sz w:val="21"/>
                      <w:szCs w:val="21"/>
                    </w:rPr>
                    <w:t xml:space="preserve">  </w:t>
                  </w:r>
                </w:p>
              </w:tc>
              <w:tc>
                <w:tcPr>
                  <w:tcW w:w="846" w:type="dxa"/>
                  <w:tcBorders>
                    <w:top w:val="single" w:color="auto" w:sz="12" w:space="0"/>
                    <w:tl2br w:val="nil"/>
                    <w:tr2bl w:val="nil"/>
                  </w:tcBorders>
                  <w:vAlign w:val="center"/>
                </w:tcPr>
                <w:p w14:paraId="455B6573">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Q345R</w:t>
                  </w:r>
                </w:p>
              </w:tc>
              <w:tc>
                <w:tcPr>
                  <w:tcW w:w="1862" w:type="dxa"/>
                  <w:tcBorders>
                    <w:top w:val="single" w:color="auto" w:sz="12" w:space="0"/>
                    <w:tl2br w:val="nil"/>
                    <w:tr2bl w:val="nil"/>
                  </w:tcBorders>
                  <w:vAlign w:val="center"/>
                </w:tcPr>
                <w:p w14:paraId="4A80E3C9">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 xml:space="preserve">工作温度-162℃ </w:t>
                  </w:r>
                </w:p>
                <w:p w14:paraId="1FF8E221">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工作压力：0.7MPa</w:t>
                  </w:r>
                </w:p>
              </w:tc>
              <w:tc>
                <w:tcPr>
                  <w:tcW w:w="793" w:type="dxa"/>
                  <w:tcBorders>
                    <w:top w:val="single" w:color="auto" w:sz="12" w:space="0"/>
                    <w:tl2br w:val="nil"/>
                    <w:tr2bl w:val="nil"/>
                  </w:tcBorders>
                  <w:vAlign w:val="center"/>
                </w:tcPr>
                <w:p w14:paraId="15AC8ACD">
                  <w:pPr>
                    <w:spacing w:line="320" w:lineRule="exact"/>
                    <w:ind w:firstLine="0" w:firstLineChars="0"/>
                    <w:jc w:val="center"/>
                    <w:rPr>
                      <w:rFonts w:hint="default" w:ascii="Times New Roman" w:hAnsi="Times New Roman" w:eastAsia="宋体" w:cs="Times New Roman"/>
                      <w:b w:val="0"/>
                      <w:bCs/>
                      <w:color w:val="000000" w:themeColor="text1"/>
                      <w:sz w:val="21"/>
                      <w:szCs w:val="21"/>
                      <w:lang w:eastAsia="zh-CN"/>
                    </w:rPr>
                  </w:pPr>
                  <w:r>
                    <w:rPr>
                      <w:rFonts w:hint="default" w:ascii="Times New Roman" w:hAnsi="Times New Roman" w:eastAsia="宋体" w:cs="Times New Roman"/>
                      <w:b w:val="0"/>
                      <w:bCs/>
                      <w:color w:val="000000" w:themeColor="text1"/>
                      <w:sz w:val="21"/>
                      <w:szCs w:val="21"/>
                      <w:lang w:eastAsia="zh-CN"/>
                    </w:rPr>
                    <w:t>特种</w:t>
                  </w:r>
                </w:p>
                <w:p w14:paraId="259E26B6">
                  <w:pPr>
                    <w:spacing w:line="320" w:lineRule="exact"/>
                    <w:ind w:firstLine="0" w:firstLineChars="0"/>
                    <w:jc w:val="center"/>
                    <w:rPr>
                      <w:rFonts w:hint="default" w:ascii="Times New Roman" w:hAnsi="Times New Roman" w:eastAsia="宋体" w:cs="Times New Roman"/>
                      <w:b w:val="0"/>
                      <w:bCs/>
                      <w:color w:val="000000" w:themeColor="text1"/>
                      <w:sz w:val="21"/>
                      <w:szCs w:val="21"/>
                      <w:lang w:eastAsia="zh-CN"/>
                    </w:rPr>
                  </w:pPr>
                  <w:r>
                    <w:rPr>
                      <w:rFonts w:hint="default" w:ascii="Times New Roman" w:hAnsi="Times New Roman" w:eastAsia="宋体" w:cs="Times New Roman"/>
                      <w:b w:val="0"/>
                      <w:bCs/>
                      <w:color w:val="000000" w:themeColor="text1"/>
                      <w:sz w:val="21"/>
                      <w:szCs w:val="21"/>
                      <w:lang w:eastAsia="zh-CN"/>
                    </w:rPr>
                    <w:t>设备</w:t>
                  </w:r>
                </w:p>
              </w:tc>
            </w:tr>
            <w:tr w14:paraId="67A6F8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6" w:type="dxa"/>
                  <w:tcBorders>
                    <w:tl2br w:val="nil"/>
                    <w:tr2bl w:val="nil"/>
                  </w:tcBorders>
                  <w:vAlign w:val="center"/>
                </w:tcPr>
                <w:p w14:paraId="0BDA6D1D">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2</w:t>
                  </w:r>
                </w:p>
              </w:tc>
              <w:tc>
                <w:tcPr>
                  <w:tcW w:w="1079" w:type="dxa"/>
                  <w:tcBorders>
                    <w:tl2br w:val="nil"/>
                    <w:tr2bl w:val="nil"/>
                  </w:tcBorders>
                  <w:vAlign w:val="center"/>
                </w:tcPr>
                <w:p w14:paraId="4C3EAA00">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卸车组件</w:t>
                  </w:r>
                </w:p>
              </w:tc>
              <w:tc>
                <w:tcPr>
                  <w:tcW w:w="464" w:type="dxa"/>
                  <w:tcBorders>
                    <w:tl2br w:val="nil"/>
                    <w:tr2bl w:val="nil"/>
                  </w:tcBorders>
                  <w:vAlign w:val="center"/>
                </w:tcPr>
                <w:p w14:paraId="5008B963">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台</w:t>
                  </w:r>
                </w:p>
              </w:tc>
              <w:tc>
                <w:tcPr>
                  <w:tcW w:w="395" w:type="dxa"/>
                  <w:tcBorders>
                    <w:tl2br w:val="nil"/>
                    <w:tr2bl w:val="nil"/>
                  </w:tcBorders>
                  <w:vAlign w:val="center"/>
                </w:tcPr>
                <w:p w14:paraId="5C67F0B6">
                  <w:pPr>
                    <w:spacing w:line="320" w:lineRule="exact"/>
                    <w:ind w:firstLine="0" w:firstLineChars="0"/>
                    <w:jc w:val="center"/>
                    <w:rPr>
                      <w:rFonts w:hint="default" w:ascii="Times New Roman" w:hAnsi="Times New Roman" w:eastAsia="宋体" w:cs="Times New Roman"/>
                      <w:b w:val="0"/>
                      <w:bCs/>
                      <w:color w:val="000000" w:themeColor="text1"/>
                      <w:sz w:val="21"/>
                      <w:szCs w:val="21"/>
                      <w:lang w:eastAsia="zh-CN"/>
                    </w:rPr>
                  </w:pPr>
                  <w:r>
                    <w:rPr>
                      <w:rFonts w:hint="default" w:ascii="Times New Roman" w:hAnsi="Times New Roman" w:eastAsia="宋体" w:cs="Times New Roman"/>
                      <w:b w:val="0"/>
                      <w:bCs/>
                      <w:color w:val="000000" w:themeColor="text1"/>
                      <w:sz w:val="21"/>
                      <w:szCs w:val="21"/>
                      <w:lang w:val="en-US" w:eastAsia="zh-CN"/>
                    </w:rPr>
                    <w:t>1</w:t>
                  </w:r>
                </w:p>
              </w:tc>
              <w:tc>
                <w:tcPr>
                  <w:tcW w:w="2345" w:type="dxa"/>
                  <w:tcBorders>
                    <w:tl2br w:val="nil"/>
                    <w:tr2bl w:val="nil"/>
                  </w:tcBorders>
                  <w:vAlign w:val="center"/>
                </w:tcPr>
                <w:p w14:paraId="168C8889">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卸车增压器、低压放散汽化器、卸车液相管道紧急切断阀，止回阀等集成组件</w:t>
                  </w:r>
                </w:p>
              </w:tc>
              <w:tc>
                <w:tcPr>
                  <w:tcW w:w="846" w:type="dxa"/>
                  <w:tcBorders>
                    <w:tl2br w:val="nil"/>
                    <w:tr2bl w:val="nil"/>
                  </w:tcBorders>
                  <w:vAlign w:val="center"/>
                </w:tcPr>
                <w:p w14:paraId="1D96BA1A">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组合件</w:t>
                  </w:r>
                </w:p>
              </w:tc>
              <w:tc>
                <w:tcPr>
                  <w:tcW w:w="1862" w:type="dxa"/>
                  <w:tcBorders>
                    <w:tl2br w:val="nil"/>
                    <w:tr2bl w:val="nil"/>
                  </w:tcBorders>
                  <w:vAlign w:val="center"/>
                </w:tcPr>
                <w:p w14:paraId="68742391">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 xml:space="preserve">工作压力1.6MPa  </w:t>
                  </w:r>
                </w:p>
                <w:p w14:paraId="7EC14331">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工作温度 -162℃</w:t>
                  </w:r>
                </w:p>
              </w:tc>
              <w:tc>
                <w:tcPr>
                  <w:tcW w:w="793" w:type="dxa"/>
                  <w:tcBorders>
                    <w:tl2br w:val="nil"/>
                    <w:tr2bl w:val="nil"/>
                  </w:tcBorders>
                  <w:vAlign w:val="center"/>
                </w:tcPr>
                <w:p w14:paraId="0E928B30">
                  <w:pPr>
                    <w:spacing w:line="320" w:lineRule="exact"/>
                    <w:ind w:firstLine="0" w:firstLineChars="0"/>
                    <w:jc w:val="center"/>
                    <w:rPr>
                      <w:rFonts w:hint="default" w:ascii="Times New Roman" w:hAnsi="Times New Roman" w:eastAsia="宋体" w:cs="Times New Roman"/>
                      <w:b w:val="0"/>
                      <w:bCs/>
                      <w:color w:val="000000" w:themeColor="text1"/>
                      <w:sz w:val="21"/>
                      <w:szCs w:val="21"/>
                    </w:rPr>
                  </w:pPr>
                </w:p>
              </w:tc>
            </w:tr>
            <w:tr w14:paraId="4004DD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6" w:type="dxa"/>
                  <w:tcBorders>
                    <w:tl2br w:val="nil"/>
                    <w:tr2bl w:val="nil"/>
                  </w:tcBorders>
                  <w:vAlign w:val="center"/>
                </w:tcPr>
                <w:p w14:paraId="50260436">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3</w:t>
                  </w:r>
                </w:p>
              </w:tc>
              <w:tc>
                <w:tcPr>
                  <w:tcW w:w="1079" w:type="dxa"/>
                  <w:tcBorders>
                    <w:tl2br w:val="nil"/>
                    <w:tr2bl w:val="nil"/>
                  </w:tcBorders>
                  <w:vAlign w:val="center"/>
                </w:tcPr>
                <w:p w14:paraId="1C6977A1">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低压放散管</w:t>
                  </w:r>
                </w:p>
              </w:tc>
              <w:tc>
                <w:tcPr>
                  <w:tcW w:w="464" w:type="dxa"/>
                  <w:tcBorders>
                    <w:tl2br w:val="nil"/>
                    <w:tr2bl w:val="nil"/>
                  </w:tcBorders>
                  <w:vAlign w:val="center"/>
                </w:tcPr>
                <w:p w14:paraId="29BF7D47">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lang w:eastAsia="zh-CN"/>
                    </w:rPr>
                    <w:t>根</w:t>
                  </w:r>
                </w:p>
              </w:tc>
              <w:tc>
                <w:tcPr>
                  <w:tcW w:w="395" w:type="dxa"/>
                  <w:tcBorders>
                    <w:tl2br w:val="nil"/>
                    <w:tr2bl w:val="nil"/>
                  </w:tcBorders>
                  <w:vAlign w:val="center"/>
                </w:tcPr>
                <w:p w14:paraId="42D5D445">
                  <w:pPr>
                    <w:spacing w:line="320" w:lineRule="exact"/>
                    <w:ind w:firstLine="0" w:firstLineChars="0"/>
                    <w:jc w:val="center"/>
                    <w:rPr>
                      <w:rFonts w:hint="default" w:ascii="Times New Roman" w:hAnsi="Times New Roman" w:eastAsia="宋体" w:cs="Times New Roman"/>
                      <w:b w:val="0"/>
                      <w:bCs/>
                      <w:color w:val="000000" w:themeColor="text1"/>
                      <w:sz w:val="21"/>
                      <w:szCs w:val="21"/>
                      <w:lang w:eastAsia="zh-CN"/>
                    </w:rPr>
                  </w:pPr>
                  <w:r>
                    <w:rPr>
                      <w:rFonts w:hint="default" w:ascii="Times New Roman" w:hAnsi="Times New Roman" w:eastAsia="宋体" w:cs="Times New Roman"/>
                      <w:b w:val="0"/>
                      <w:bCs/>
                      <w:color w:val="000000" w:themeColor="text1"/>
                      <w:sz w:val="21"/>
                      <w:szCs w:val="21"/>
                      <w:lang w:val="en-US" w:eastAsia="zh-CN"/>
                    </w:rPr>
                    <w:t>1</w:t>
                  </w:r>
                </w:p>
              </w:tc>
              <w:tc>
                <w:tcPr>
                  <w:tcW w:w="2345" w:type="dxa"/>
                  <w:tcBorders>
                    <w:tl2br w:val="nil"/>
                    <w:tr2bl w:val="nil"/>
                  </w:tcBorders>
                  <w:vAlign w:val="center"/>
                </w:tcPr>
                <w:p w14:paraId="107B6E7C">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H=6m</w:t>
                  </w:r>
                  <w:r>
                    <w:rPr>
                      <w:rFonts w:hint="default" w:ascii="Times New Roman" w:hAnsi="Times New Roman" w:eastAsia="宋体" w:cs="Times New Roman"/>
                      <w:b w:val="0"/>
                      <w:bCs/>
                      <w:color w:val="000000" w:themeColor="text1"/>
                      <w:sz w:val="21"/>
                      <w:szCs w:val="21"/>
                      <w:lang w:eastAsia="zh-CN"/>
                    </w:rPr>
                    <w:t>，</w:t>
                  </w:r>
                  <w:r>
                    <w:rPr>
                      <w:rFonts w:hint="default" w:ascii="Times New Roman" w:hAnsi="Times New Roman" w:eastAsia="宋体" w:cs="Times New Roman"/>
                      <w:b w:val="0"/>
                      <w:bCs/>
                      <w:color w:val="000000" w:themeColor="text1"/>
                      <w:sz w:val="21"/>
                      <w:szCs w:val="21"/>
                    </w:rPr>
                    <w:t>直径100mm，碳钢管。</w:t>
                  </w:r>
                </w:p>
              </w:tc>
              <w:tc>
                <w:tcPr>
                  <w:tcW w:w="846" w:type="dxa"/>
                  <w:tcBorders>
                    <w:tl2br w:val="nil"/>
                    <w:tr2bl w:val="nil"/>
                  </w:tcBorders>
                  <w:vAlign w:val="center"/>
                </w:tcPr>
                <w:p w14:paraId="00D71744">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碳钢管</w:t>
                  </w:r>
                </w:p>
              </w:tc>
              <w:tc>
                <w:tcPr>
                  <w:tcW w:w="1862" w:type="dxa"/>
                  <w:tcBorders>
                    <w:tl2br w:val="nil"/>
                    <w:tr2bl w:val="nil"/>
                  </w:tcBorders>
                  <w:vAlign w:val="center"/>
                </w:tcPr>
                <w:p w14:paraId="25AAF9D2">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工作温度T=常温;</w:t>
                  </w:r>
                </w:p>
                <w:p w14:paraId="5F629EF6">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设计温度T=-20～40℃；</w:t>
                  </w:r>
                </w:p>
              </w:tc>
              <w:tc>
                <w:tcPr>
                  <w:tcW w:w="793" w:type="dxa"/>
                  <w:tcBorders>
                    <w:tl2br w:val="nil"/>
                    <w:tr2bl w:val="nil"/>
                  </w:tcBorders>
                  <w:vAlign w:val="center"/>
                </w:tcPr>
                <w:p w14:paraId="3839865D">
                  <w:pPr>
                    <w:spacing w:line="320" w:lineRule="exact"/>
                    <w:ind w:firstLine="0" w:firstLineChars="0"/>
                    <w:jc w:val="center"/>
                    <w:rPr>
                      <w:rFonts w:hint="default" w:ascii="Times New Roman" w:hAnsi="Times New Roman" w:eastAsia="宋体" w:cs="Times New Roman"/>
                      <w:b w:val="0"/>
                      <w:bCs/>
                      <w:color w:val="000000" w:themeColor="text1"/>
                      <w:sz w:val="21"/>
                      <w:szCs w:val="21"/>
                    </w:rPr>
                  </w:pPr>
                </w:p>
              </w:tc>
            </w:tr>
            <w:tr w14:paraId="3425BF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6" w:type="dxa"/>
                  <w:tcBorders>
                    <w:tl2br w:val="nil"/>
                    <w:tr2bl w:val="nil"/>
                  </w:tcBorders>
                  <w:vAlign w:val="center"/>
                </w:tcPr>
                <w:p w14:paraId="20273BFF">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4</w:t>
                  </w:r>
                </w:p>
              </w:tc>
              <w:tc>
                <w:tcPr>
                  <w:tcW w:w="1079" w:type="dxa"/>
                  <w:tcBorders>
                    <w:tl2br w:val="nil"/>
                    <w:tr2bl w:val="nil"/>
                  </w:tcBorders>
                  <w:vAlign w:val="center"/>
                </w:tcPr>
                <w:p w14:paraId="4B6AD465">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lang w:val="en-US" w:eastAsia="zh-CN"/>
                    </w:rPr>
                    <w:t>LNG潜液泵撬</w:t>
                  </w:r>
                </w:p>
              </w:tc>
              <w:tc>
                <w:tcPr>
                  <w:tcW w:w="464" w:type="dxa"/>
                  <w:tcBorders>
                    <w:tl2br w:val="nil"/>
                    <w:tr2bl w:val="nil"/>
                  </w:tcBorders>
                  <w:vAlign w:val="center"/>
                </w:tcPr>
                <w:p w14:paraId="258BA0E6">
                  <w:pPr>
                    <w:spacing w:line="320" w:lineRule="exact"/>
                    <w:ind w:firstLine="0" w:firstLineChars="0"/>
                    <w:jc w:val="center"/>
                    <w:rPr>
                      <w:rFonts w:hint="default" w:ascii="Times New Roman" w:hAnsi="Times New Roman" w:eastAsia="宋体" w:cs="Times New Roman"/>
                      <w:b w:val="0"/>
                      <w:bCs/>
                      <w:color w:val="000000" w:themeColor="text1"/>
                      <w:sz w:val="21"/>
                      <w:szCs w:val="21"/>
                      <w:lang w:eastAsia="zh-CN"/>
                    </w:rPr>
                  </w:pPr>
                  <w:r>
                    <w:rPr>
                      <w:rFonts w:hint="default" w:ascii="Times New Roman" w:hAnsi="Times New Roman" w:eastAsia="宋体" w:cs="Times New Roman"/>
                      <w:b w:val="0"/>
                      <w:bCs/>
                      <w:color w:val="000000" w:themeColor="text1"/>
                      <w:sz w:val="21"/>
                      <w:szCs w:val="21"/>
                    </w:rPr>
                    <w:t>台</w:t>
                  </w:r>
                </w:p>
              </w:tc>
              <w:tc>
                <w:tcPr>
                  <w:tcW w:w="395" w:type="dxa"/>
                  <w:tcBorders>
                    <w:tl2br w:val="nil"/>
                    <w:tr2bl w:val="nil"/>
                  </w:tcBorders>
                  <w:vAlign w:val="center"/>
                </w:tcPr>
                <w:p w14:paraId="6D502C6B">
                  <w:pPr>
                    <w:spacing w:line="320" w:lineRule="exact"/>
                    <w:ind w:firstLine="0" w:firstLineChars="0"/>
                    <w:jc w:val="center"/>
                    <w:rPr>
                      <w:rFonts w:hint="default" w:ascii="Times New Roman" w:hAnsi="Times New Roman" w:eastAsia="宋体" w:cs="Times New Roman"/>
                      <w:b w:val="0"/>
                      <w:bCs/>
                      <w:color w:val="000000" w:themeColor="text1"/>
                      <w:sz w:val="21"/>
                      <w:szCs w:val="21"/>
                      <w:lang w:eastAsia="zh-CN"/>
                    </w:rPr>
                  </w:pPr>
                  <w:r>
                    <w:rPr>
                      <w:rFonts w:hint="default" w:ascii="Times New Roman" w:hAnsi="Times New Roman" w:eastAsia="宋体" w:cs="Times New Roman"/>
                      <w:b w:val="0"/>
                      <w:bCs/>
                      <w:color w:val="000000" w:themeColor="text1"/>
                      <w:sz w:val="21"/>
                      <w:szCs w:val="21"/>
                    </w:rPr>
                    <w:t>1</w:t>
                  </w:r>
                </w:p>
              </w:tc>
              <w:tc>
                <w:tcPr>
                  <w:tcW w:w="2345" w:type="dxa"/>
                  <w:tcBorders>
                    <w:tl2br w:val="nil"/>
                    <w:tr2bl w:val="nil"/>
                  </w:tcBorders>
                  <w:vAlign w:val="center"/>
                </w:tcPr>
                <w:p w14:paraId="70DCE09F">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lang w:val="en-US" w:eastAsia="zh-CN"/>
                    </w:rPr>
                    <w:t>1台</w:t>
                  </w:r>
                </w:p>
              </w:tc>
              <w:tc>
                <w:tcPr>
                  <w:tcW w:w="846" w:type="dxa"/>
                  <w:tcBorders>
                    <w:tl2br w:val="nil"/>
                    <w:tr2bl w:val="nil"/>
                  </w:tcBorders>
                  <w:vAlign w:val="center"/>
                </w:tcPr>
                <w:p w14:paraId="002A8EC9">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组合件</w:t>
                  </w:r>
                </w:p>
              </w:tc>
              <w:tc>
                <w:tcPr>
                  <w:tcW w:w="1862" w:type="dxa"/>
                  <w:tcBorders>
                    <w:tl2br w:val="nil"/>
                    <w:tr2bl w:val="nil"/>
                  </w:tcBorders>
                  <w:vAlign w:val="center"/>
                </w:tcPr>
                <w:p w14:paraId="7000DA0B">
                  <w:pPr>
                    <w:spacing w:line="320" w:lineRule="exact"/>
                    <w:ind w:firstLine="0" w:firstLineChars="0"/>
                    <w:jc w:val="center"/>
                    <w:rPr>
                      <w:rFonts w:hint="default" w:ascii="Times New Roman" w:hAnsi="Times New Roman" w:eastAsia="宋体" w:cs="Times New Roman"/>
                      <w:b w:val="0"/>
                      <w:bCs/>
                      <w:color w:val="000000" w:themeColor="text1"/>
                      <w:sz w:val="21"/>
                      <w:szCs w:val="21"/>
                      <w:lang w:val="en-US" w:eastAsia="zh-CN"/>
                    </w:rPr>
                  </w:pPr>
                  <w:r>
                    <w:rPr>
                      <w:rFonts w:hint="default" w:ascii="Times New Roman" w:hAnsi="Times New Roman" w:eastAsia="宋体" w:cs="Times New Roman"/>
                      <w:b w:val="0"/>
                      <w:bCs/>
                      <w:color w:val="000000" w:themeColor="text1"/>
                      <w:sz w:val="21"/>
                      <w:szCs w:val="21"/>
                      <w:lang w:val="en-US" w:eastAsia="zh-CN"/>
                    </w:rPr>
                    <w:t>工作温度T=-162℃；</w:t>
                  </w:r>
                </w:p>
                <w:p w14:paraId="0755FCC5">
                  <w:pPr>
                    <w:spacing w:line="320" w:lineRule="exact"/>
                    <w:ind w:firstLine="0" w:firstLineChars="0"/>
                    <w:jc w:val="center"/>
                    <w:rPr>
                      <w:rFonts w:hint="default" w:ascii="Times New Roman" w:hAnsi="Times New Roman" w:eastAsia="宋体" w:cs="Times New Roman"/>
                      <w:b w:val="0"/>
                      <w:bCs/>
                      <w:color w:val="000000" w:themeColor="text1"/>
                      <w:sz w:val="21"/>
                      <w:szCs w:val="21"/>
                      <w:lang w:val="en-US" w:eastAsia="zh-CN"/>
                    </w:rPr>
                  </w:pPr>
                  <w:r>
                    <w:rPr>
                      <w:rFonts w:hint="default" w:ascii="Times New Roman" w:hAnsi="Times New Roman" w:eastAsia="宋体" w:cs="Times New Roman"/>
                      <w:b w:val="0"/>
                      <w:bCs/>
                      <w:color w:val="000000" w:themeColor="text1"/>
                      <w:sz w:val="21"/>
                      <w:szCs w:val="21"/>
                      <w:lang w:val="en-US" w:eastAsia="zh-CN"/>
                    </w:rPr>
                    <w:t>设计温度T=-196℃；</w:t>
                  </w:r>
                </w:p>
                <w:p w14:paraId="033EA383">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lang w:val="en-US" w:eastAsia="zh-CN"/>
                    </w:rPr>
                    <w:t>泵前工作压力P=1.2MPa，设计压力P=1.44MPa</w:t>
                  </w:r>
                </w:p>
              </w:tc>
              <w:tc>
                <w:tcPr>
                  <w:tcW w:w="793" w:type="dxa"/>
                  <w:tcBorders>
                    <w:tl2br w:val="nil"/>
                    <w:tr2bl w:val="nil"/>
                  </w:tcBorders>
                  <w:vAlign w:val="center"/>
                </w:tcPr>
                <w:p w14:paraId="2231F317">
                  <w:pPr>
                    <w:spacing w:line="320" w:lineRule="exact"/>
                    <w:ind w:firstLine="0" w:firstLineChars="0"/>
                    <w:jc w:val="center"/>
                    <w:rPr>
                      <w:rFonts w:hint="default" w:ascii="Times New Roman" w:hAnsi="Times New Roman" w:eastAsia="宋体" w:cs="Times New Roman"/>
                      <w:b w:val="0"/>
                      <w:bCs/>
                      <w:color w:val="000000" w:themeColor="text1"/>
                      <w:sz w:val="21"/>
                      <w:szCs w:val="21"/>
                    </w:rPr>
                  </w:pPr>
                </w:p>
              </w:tc>
            </w:tr>
            <w:tr w14:paraId="3EF4EE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6" w:type="dxa"/>
                  <w:tcBorders>
                    <w:tl2br w:val="nil"/>
                    <w:tr2bl w:val="nil"/>
                  </w:tcBorders>
                  <w:vAlign w:val="center"/>
                </w:tcPr>
                <w:p w14:paraId="773E5193">
                  <w:pPr>
                    <w:spacing w:line="320" w:lineRule="exact"/>
                    <w:ind w:firstLine="0" w:firstLineChars="0"/>
                    <w:jc w:val="center"/>
                    <w:rPr>
                      <w:rFonts w:hint="default" w:ascii="Times New Roman" w:hAnsi="Times New Roman" w:eastAsia="宋体" w:cs="Times New Roman"/>
                      <w:b w:val="0"/>
                      <w:bCs/>
                      <w:color w:val="000000" w:themeColor="text1"/>
                      <w:sz w:val="21"/>
                      <w:szCs w:val="21"/>
                      <w:lang w:eastAsia="zh-CN"/>
                    </w:rPr>
                  </w:pPr>
                  <w:r>
                    <w:rPr>
                      <w:rFonts w:hint="default" w:ascii="Times New Roman" w:hAnsi="Times New Roman" w:eastAsia="宋体" w:cs="Times New Roman"/>
                      <w:b w:val="0"/>
                      <w:bCs/>
                      <w:color w:val="000000" w:themeColor="text1"/>
                      <w:sz w:val="21"/>
                      <w:szCs w:val="21"/>
                      <w:lang w:val="en-US" w:eastAsia="zh-CN"/>
                    </w:rPr>
                    <w:t>5</w:t>
                  </w:r>
                </w:p>
              </w:tc>
              <w:tc>
                <w:tcPr>
                  <w:tcW w:w="1079" w:type="dxa"/>
                  <w:tcBorders>
                    <w:tl2br w:val="nil"/>
                    <w:tr2bl w:val="nil"/>
                  </w:tcBorders>
                  <w:vAlign w:val="center"/>
                </w:tcPr>
                <w:p w14:paraId="6FA956B5">
                  <w:pPr>
                    <w:spacing w:line="320" w:lineRule="exact"/>
                    <w:ind w:firstLine="0" w:firstLineChars="0"/>
                    <w:jc w:val="center"/>
                    <w:rPr>
                      <w:rFonts w:hint="default" w:ascii="Times New Roman" w:hAnsi="Times New Roman" w:eastAsia="宋体" w:cs="Times New Roman"/>
                      <w:b w:val="0"/>
                      <w:bCs/>
                      <w:color w:val="000000" w:themeColor="text1"/>
                      <w:sz w:val="21"/>
                      <w:szCs w:val="21"/>
                      <w:lang w:val="en-US" w:eastAsia="zh-CN"/>
                    </w:rPr>
                  </w:pPr>
                  <w:r>
                    <w:rPr>
                      <w:rFonts w:hint="default" w:ascii="Times New Roman" w:hAnsi="Times New Roman" w:eastAsia="宋体" w:cs="Times New Roman"/>
                      <w:b w:val="0"/>
                      <w:bCs/>
                      <w:color w:val="000000" w:themeColor="text1"/>
                      <w:sz w:val="21"/>
                      <w:szCs w:val="21"/>
                      <w:lang w:val="en-US" w:eastAsia="zh-CN"/>
                    </w:rPr>
                    <w:t>CNG电加热器</w:t>
                  </w:r>
                </w:p>
              </w:tc>
              <w:tc>
                <w:tcPr>
                  <w:tcW w:w="464" w:type="dxa"/>
                  <w:tcBorders>
                    <w:tl2br w:val="nil"/>
                    <w:tr2bl w:val="nil"/>
                  </w:tcBorders>
                  <w:vAlign w:val="center"/>
                </w:tcPr>
                <w:p w14:paraId="21BFCEB0">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台</w:t>
                  </w:r>
                </w:p>
              </w:tc>
              <w:tc>
                <w:tcPr>
                  <w:tcW w:w="395" w:type="dxa"/>
                  <w:tcBorders>
                    <w:tl2br w:val="nil"/>
                    <w:tr2bl w:val="nil"/>
                  </w:tcBorders>
                  <w:vAlign w:val="center"/>
                </w:tcPr>
                <w:p w14:paraId="781D906B">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lang w:val="en-US" w:eastAsia="zh-CN"/>
                    </w:rPr>
                    <w:t>1</w:t>
                  </w:r>
                </w:p>
              </w:tc>
              <w:tc>
                <w:tcPr>
                  <w:tcW w:w="2345" w:type="dxa"/>
                  <w:tcBorders>
                    <w:tl2br w:val="nil"/>
                    <w:tr2bl w:val="nil"/>
                  </w:tcBorders>
                  <w:vAlign w:val="center"/>
                </w:tcPr>
                <w:p w14:paraId="05FC5AED">
                  <w:pPr>
                    <w:spacing w:line="320" w:lineRule="exact"/>
                    <w:ind w:firstLine="0" w:firstLineChars="0"/>
                    <w:jc w:val="center"/>
                    <w:rPr>
                      <w:rFonts w:hint="default" w:ascii="Times New Roman" w:hAnsi="Times New Roman" w:eastAsia="宋体" w:cs="Times New Roman"/>
                      <w:b w:val="0"/>
                      <w:bCs/>
                      <w:color w:val="000000" w:themeColor="text1"/>
                      <w:sz w:val="21"/>
                      <w:szCs w:val="21"/>
                      <w:lang w:val="en-US" w:eastAsia="zh-CN"/>
                    </w:rPr>
                  </w:pPr>
                  <w:r>
                    <w:rPr>
                      <w:rFonts w:hint="default" w:ascii="Times New Roman" w:hAnsi="Times New Roman" w:eastAsia="宋体" w:cs="Times New Roman"/>
                      <w:b w:val="0"/>
                      <w:bCs/>
                      <w:color w:val="000000" w:themeColor="text1"/>
                      <w:sz w:val="21"/>
                      <w:szCs w:val="21"/>
                    </w:rPr>
                    <w:t>功率P=40kW;</w:t>
                  </w:r>
                </w:p>
              </w:tc>
              <w:tc>
                <w:tcPr>
                  <w:tcW w:w="846" w:type="dxa"/>
                  <w:tcBorders>
                    <w:tl2br w:val="nil"/>
                    <w:tr2bl w:val="nil"/>
                  </w:tcBorders>
                  <w:vAlign w:val="center"/>
                </w:tcPr>
                <w:p w14:paraId="3FD3551D">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组合件</w:t>
                  </w:r>
                </w:p>
              </w:tc>
              <w:tc>
                <w:tcPr>
                  <w:tcW w:w="1862" w:type="dxa"/>
                  <w:tcBorders>
                    <w:tl2br w:val="nil"/>
                    <w:tr2bl w:val="nil"/>
                  </w:tcBorders>
                  <w:vAlign w:val="center"/>
                </w:tcPr>
                <w:p w14:paraId="4A3D5029">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工作压力P=25.0MPa，设计压力P=30.0MPa;工作温度T=-162℃;设计温度T=-196℃；</w:t>
                  </w:r>
                </w:p>
              </w:tc>
              <w:tc>
                <w:tcPr>
                  <w:tcW w:w="793" w:type="dxa"/>
                  <w:tcBorders>
                    <w:tl2br w:val="nil"/>
                    <w:tr2bl w:val="nil"/>
                  </w:tcBorders>
                  <w:vAlign w:val="center"/>
                </w:tcPr>
                <w:p w14:paraId="5CD959F5">
                  <w:pPr>
                    <w:spacing w:line="320" w:lineRule="exact"/>
                    <w:ind w:firstLine="0" w:firstLineChars="0"/>
                    <w:jc w:val="center"/>
                    <w:rPr>
                      <w:rFonts w:hint="default" w:ascii="Times New Roman" w:hAnsi="Times New Roman" w:eastAsia="宋体" w:cs="Times New Roman"/>
                      <w:b w:val="0"/>
                      <w:bCs/>
                      <w:color w:val="000000" w:themeColor="text1"/>
                      <w:sz w:val="21"/>
                      <w:szCs w:val="21"/>
                    </w:rPr>
                  </w:pPr>
                </w:p>
              </w:tc>
            </w:tr>
            <w:tr w14:paraId="3D9DC6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6" w:type="dxa"/>
                  <w:tcBorders>
                    <w:tl2br w:val="nil"/>
                    <w:tr2bl w:val="nil"/>
                  </w:tcBorders>
                  <w:vAlign w:val="center"/>
                </w:tcPr>
                <w:p w14:paraId="3250BA17">
                  <w:pPr>
                    <w:spacing w:line="320" w:lineRule="exact"/>
                    <w:ind w:firstLine="0" w:firstLineChars="0"/>
                    <w:jc w:val="center"/>
                    <w:rPr>
                      <w:rFonts w:hint="default" w:ascii="Times New Roman" w:hAnsi="Times New Roman" w:eastAsia="宋体" w:cs="Times New Roman"/>
                      <w:b w:val="0"/>
                      <w:bCs/>
                      <w:color w:val="000000" w:themeColor="text1"/>
                      <w:sz w:val="21"/>
                      <w:szCs w:val="21"/>
                      <w:lang w:val="en-US" w:eastAsia="zh-CN"/>
                    </w:rPr>
                  </w:pPr>
                  <w:r>
                    <w:rPr>
                      <w:rFonts w:hint="default" w:ascii="Times New Roman" w:hAnsi="Times New Roman" w:eastAsia="宋体" w:cs="Times New Roman"/>
                      <w:b w:val="0"/>
                      <w:bCs/>
                      <w:color w:val="000000" w:themeColor="text1"/>
                      <w:sz w:val="21"/>
                      <w:szCs w:val="21"/>
                      <w:lang w:val="en-US" w:eastAsia="zh-CN"/>
                    </w:rPr>
                    <w:t>6</w:t>
                  </w:r>
                </w:p>
              </w:tc>
              <w:tc>
                <w:tcPr>
                  <w:tcW w:w="1079" w:type="dxa"/>
                  <w:tcBorders>
                    <w:tl2br w:val="nil"/>
                    <w:tr2bl w:val="nil"/>
                  </w:tcBorders>
                  <w:vAlign w:val="center"/>
                </w:tcPr>
                <w:p w14:paraId="09A01AED">
                  <w:pPr>
                    <w:spacing w:line="320" w:lineRule="exact"/>
                    <w:ind w:firstLine="0" w:firstLineChars="0"/>
                    <w:jc w:val="center"/>
                    <w:rPr>
                      <w:rFonts w:hint="default" w:ascii="Times New Roman" w:hAnsi="Times New Roman" w:eastAsia="宋体" w:cs="Times New Roman"/>
                      <w:b w:val="0"/>
                      <w:bCs/>
                      <w:color w:val="000000" w:themeColor="text1"/>
                      <w:sz w:val="21"/>
                      <w:szCs w:val="21"/>
                      <w:lang w:val="en-US" w:eastAsia="zh-CN"/>
                    </w:rPr>
                  </w:pPr>
                  <w:r>
                    <w:rPr>
                      <w:rFonts w:hint="default" w:ascii="Times New Roman" w:hAnsi="Times New Roman" w:eastAsia="宋体" w:cs="Times New Roman"/>
                      <w:b w:val="0"/>
                      <w:bCs/>
                      <w:color w:val="000000" w:themeColor="text1"/>
                      <w:sz w:val="21"/>
                      <w:szCs w:val="21"/>
                      <w:lang w:val="en-US" w:eastAsia="zh-CN"/>
                    </w:rPr>
                    <w:t>LNG加注机</w:t>
                  </w:r>
                </w:p>
              </w:tc>
              <w:tc>
                <w:tcPr>
                  <w:tcW w:w="464" w:type="dxa"/>
                  <w:tcBorders>
                    <w:tl2br w:val="nil"/>
                    <w:tr2bl w:val="nil"/>
                  </w:tcBorders>
                  <w:vAlign w:val="center"/>
                </w:tcPr>
                <w:p w14:paraId="46A151FA">
                  <w:pPr>
                    <w:spacing w:line="320" w:lineRule="exact"/>
                    <w:ind w:firstLine="0" w:firstLineChars="0"/>
                    <w:jc w:val="center"/>
                    <w:rPr>
                      <w:rFonts w:hint="default" w:ascii="Times New Roman" w:hAnsi="Times New Roman" w:eastAsia="宋体" w:cs="Times New Roman"/>
                      <w:b w:val="0"/>
                      <w:bCs/>
                      <w:color w:val="000000" w:themeColor="text1"/>
                      <w:sz w:val="21"/>
                      <w:szCs w:val="21"/>
                    </w:rPr>
                  </w:pPr>
                  <w:r>
                    <w:rPr>
                      <w:rFonts w:hint="default" w:ascii="Times New Roman" w:hAnsi="Times New Roman" w:eastAsia="宋体" w:cs="Times New Roman"/>
                      <w:b w:val="0"/>
                      <w:bCs/>
                      <w:color w:val="000000" w:themeColor="text1"/>
                      <w:sz w:val="21"/>
                      <w:szCs w:val="21"/>
                    </w:rPr>
                    <w:t>台</w:t>
                  </w:r>
                </w:p>
              </w:tc>
              <w:tc>
                <w:tcPr>
                  <w:tcW w:w="395" w:type="dxa"/>
                  <w:tcBorders>
                    <w:tl2br w:val="nil"/>
                    <w:tr2bl w:val="nil"/>
                  </w:tcBorders>
                  <w:vAlign w:val="center"/>
                </w:tcPr>
                <w:p w14:paraId="0DED6C20">
                  <w:pPr>
                    <w:spacing w:line="320" w:lineRule="exact"/>
                    <w:ind w:firstLine="0" w:firstLineChars="0"/>
                    <w:jc w:val="center"/>
                    <w:rPr>
                      <w:rFonts w:hint="default" w:ascii="Times New Roman" w:hAnsi="Times New Roman" w:eastAsia="宋体" w:cs="Times New Roman"/>
                      <w:b w:val="0"/>
                      <w:bCs/>
                      <w:color w:val="000000" w:themeColor="text1"/>
                      <w:sz w:val="21"/>
                      <w:szCs w:val="21"/>
                      <w:lang w:val="en-US" w:eastAsia="zh-CN"/>
                    </w:rPr>
                  </w:pPr>
                  <w:r>
                    <w:rPr>
                      <w:rFonts w:hint="default" w:ascii="Times New Roman" w:hAnsi="Times New Roman" w:eastAsia="宋体" w:cs="Times New Roman"/>
                      <w:b w:val="0"/>
                      <w:bCs/>
                      <w:color w:val="000000" w:themeColor="text1"/>
                      <w:sz w:val="21"/>
                      <w:szCs w:val="21"/>
                      <w:lang w:val="en-US" w:eastAsia="zh-CN"/>
                    </w:rPr>
                    <w:t>2</w:t>
                  </w:r>
                </w:p>
              </w:tc>
              <w:tc>
                <w:tcPr>
                  <w:tcW w:w="2345" w:type="dxa"/>
                  <w:tcBorders>
                    <w:tl2br w:val="nil"/>
                    <w:tr2bl w:val="nil"/>
                  </w:tcBorders>
                  <w:vAlign w:val="center"/>
                </w:tcPr>
                <w:p w14:paraId="59FC9DC4">
                  <w:pPr>
                    <w:spacing w:line="320" w:lineRule="exact"/>
                    <w:ind w:firstLine="0" w:firstLineChars="0"/>
                    <w:jc w:val="center"/>
                    <w:rPr>
                      <w:rFonts w:hint="default" w:ascii="Times New Roman" w:hAnsi="Times New Roman" w:eastAsia="宋体" w:cs="Times New Roman"/>
                      <w:b w:val="0"/>
                      <w:bCs/>
                      <w:color w:val="000000" w:themeColor="text1"/>
                      <w:sz w:val="21"/>
                      <w:szCs w:val="21"/>
                    </w:rPr>
                  </w:pPr>
                </w:p>
              </w:tc>
              <w:tc>
                <w:tcPr>
                  <w:tcW w:w="846" w:type="dxa"/>
                  <w:tcBorders>
                    <w:tl2br w:val="nil"/>
                    <w:tr2bl w:val="nil"/>
                  </w:tcBorders>
                  <w:vAlign w:val="center"/>
                </w:tcPr>
                <w:p w14:paraId="1521D59B">
                  <w:pPr>
                    <w:spacing w:line="320" w:lineRule="exact"/>
                    <w:ind w:firstLine="0" w:firstLineChars="0"/>
                    <w:jc w:val="center"/>
                    <w:rPr>
                      <w:rFonts w:hint="default" w:ascii="Times New Roman" w:hAnsi="Times New Roman" w:eastAsia="宋体" w:cs="Times New Roman"/>
                      <w:b w:val="0"/>
                      <w:bCs/>
                      <w:color w:val="000000" w:themeColor="text1"/>
                      <w:sz w:val="21"/>
                      <w:szCs w:val="21"/>
                    </w:rPr>
                  </w:pPr>
                </w:p>
              </w:tc>
              <w:tc>
                <w:tcPr>
                  <w:tcW w:w="1862" w:type="dxa"/>
                  <w:tcBorders>
                    <w:tl2br w:val="nil"/>
                    <w:tr2bl w:val="nil"/>
                  </w:tcBorders>
                  <w:vAlign w:val="center"/>
                </w:tcPr>
                <w:p w14:paraId="31364379">
                  <w:pPr>
                    <w:spacing w:line="320" w:lineRule="exact"/>
                    <w:ind w:firstLine="0" w:firstLineChars="0"/>
                    <w:jc w:val="center"/>
                    <w:rPr>
                      <w:rFonts w:hint="default" w:ascii="Times New Roman" w:hAnsi="Times New Roman" w:eastAsia="宋体" w:cs="Times New Roman"/>
                      <w:b w:val="0"/>
                      <w:bCs/>
                      <w:color w:val="000000" w:themeColor="text1"/>
                      <w:sz w:val="21"/>
                      <w:szCs w:val="21"/>
                    </w:rPr>
                  </w:pPr>
                </w:p>
              </w:tc>
              <w:tc>
                <w:tcPr>
                  <w:tcW w:w="793" w:type="dxa"/>
                  <w:tcBorders>
                    <w:tl2br w:val="nil"/>
                    <w:tr2bl w:val="nil"/>
                  </w:tcBorders>
                  <w:vAlign w:val="center"/>
                </w:tcPr>
                <w:p w14:paraId="53524C8A">
                  <w:pPr>
                    <w:spacing w:line="320" w:lineRule="exact"/>
                    <w:ind w:firstLine="0" w:firstLineChars="0"/>
                    <w:jc w:val="center"/>
                    <w:rPr>
                      <w:rFonts w:hint="default" w:ascii="Times New Roman" w:hAnsi="Times New Roman" w:eastAsia="宋体" w:cs="Times New Roman"/>
                      <w:b w:val="0"/>
                      <w:bCs/>
                      <w:color w:val="000000" w:themeColor="text1"/>
                      <w:sz w:val="21"/>
                      <w:szCs w:val="21"/>
                    </w:rPr>
                  </w:pPr>
                </w:p>
              </w:tc>
            </w:tr>
            <w:tr w14:paraId="04D4BC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6" w:type="dxa"/>
                  <w:tcBorders>
                    <w:tl2br w:val="nil"/>
                    <w:tr2bl w:val="nil"/>
                  </w:tcBorders>
                  <w:vAlign w:val="center"/>
                </w:tcPr>
                <w:p w14:paraId="6FD341C4">
                  <w:pPr>
                    <w:spacing w:line="320" w:lineRule="exact"/>
                    <w:ind w:firstLine="0" w:firstLineChars="0"/>
                    <w:jc w:val="center"/>
                    <w:rPr>
                      <w:rFonts w:hint="default" w:ascii="Times New Roman" w:hAnsi="Times New Roman" w:eastAsia="宋体" w:cs="Times New Roman"/>
                      <w:b w:val="0"/>
                      <w:bCs/>
                      <w:color w:val="000000" w:themeColor="text1"/>
                      <w:sz w:val="21"/>
                      <w:szCs w:val="21"/>
                      <w:lang w:val="en-US" w:eastAsia="zh-CN"/>
                    </w:rPr>
                  </w:pPr>
                  <w:r>
                    <w:rPr>
                      <w:rFonts w:hint="default" w:ascii="Times New Roman" w:hAnsi="Times New Roman" w:eastAsia="宋体" w:cs="Times New Roman"/>
                      <w:b w:val="0"/>
                      <w:bCs/>
                      <w:color w:val="000000" w:themeColor="text1"/>
                      <w:sz w:val="21"/>
                      <w:szCs w:val="21"/>
                      <w:lang w:val="en-US" w:eastAsia="zh-CN"/>
                    </w:rPr>
                    <w:t>7</w:t>
                  </w:r>
                </w:p>
              </w:tc>
              <w:tc>
                <w:tcPr>
                  <w:tcW w:w="1079" w:type="dxa"/>
                  <w:tcBorders>
                    <w:tl2br w:val="nil"/>
                    <w:tr2bl w:val="nil"/>
                  </w:tcBorders>
                  <w:vAlign w:val="center"/>
                </w:tcPr>
                <w:p w14:paraId="75112F6F">
                  <w:pPr>
                    <w:spacing w:line="320" w:lineRule="exact"/>
                    <w:ind w:firstLine="0" w:firstLineChars="0"/>
                    <w:jc w:val="center"/>
                    <w:rPr>
                      <w:rFonts w:hint="default" w:ascii="Times New Roman" w:hAnsi="Times New Roman" w:eastAsia="宋体" w:cs="Times New Roman"/>
                      <w:b w:val="0"/>
                      <w:bCs/>
                      <w:color w:val="000000" w:themeColor="text1"/>
                      <w:sz w:val="21"/>
                      <w:szCs w:val="21"/>
                      <w:lang w:val="en-US" w:eastAsia="zh-CN"/>
                    </w:rPr>
                  </w:pPr>
                  <w:r>
                    <w:rPr>
                      <w:rFonts w:hint="default" w:ascii="Times New Roman" w:hAnsi="Times New Roman" w:eastAsia="宋体" w:cs="Times New Roman"/>
                      <w:b w:val="0"/>
                      <w:bCs/>
                      <w:color w:val="000000" w:themeColor="text1"/>
                      <w:sz w:val="21"/>
                      <w:szCs w:val="21"/>
                      <w:lang w:val="en-US" w:eastAsia="zh-CN"/>
                    </w:rPr>
                    <w:t>CNG加气机</w:t>
                  </w:r>
                </w:p>
              </w:tc>
              <w:tc>
                <w:tcPr>
                  <w:tcW w:w="464" w:type="dxa"/>
                  <w:tcBorders>
                    <w:tl2br w:val="nil"/>
                    <w:tr2bl w:val="nil"/>
                  </w:tcBorders>
                  <w:vAlign w:val="center"/>
                </w:tcPr>
                <w:p w14:paraId="136A8664">
                  <w:pPr>
                    <w:spacing w:line="320" w:lineRule="exact"/>
                    <w:ind w:firstLine="0" w:firstLineChars="0"/>
                    <w:jc w:val="center"/>
                    <w:rPr>
                      <w:rFonts w:hint="default" w:ascii="Times New Roman" w:hAnsi="Times New Roman" w:eastAsia="宋体" w:cs="Times New Roman"/>
                      <w:b w:val="0"/>
                      <w:bCs/>
                      <w:color w:val="000000" w:themeColor="text1"/>
                      <w:sz w:val="21"/>
                      <w:szCs w:val="21"/>
                      <w:lang w:eastAsia="zh-CN"/>
                    </w:rPr>
                  </w:pPr>
                  <w:r>
                    <w:rPr>
                      <w:rFonts w:hint="default" w:ascii="Times New Roman" w:hAnsi="Times New Roman" w:eastAsia="宋体" w:cs="Times New Roman"/>
                      <w:b w:val="0"/>
                      <w:bCs/>
                      <w:color w:val="000000" w:themeColor="text1"/>
                      <w:sz w:val="21"/>
                      <w:szCs w:val="21"/>
                      <w:lang w:eastAsia="zh-CN"/>
                    </w:rPr>
                    <w:t>台</w:t>
                  </w:r>
                </w:p>
              </w:tc>
              <w:tc>
                <w:tcPr>
                  <w:tcW w:w="395" w:type="dxa"/>
                  <w:tcBorders>
                    <w:tl2br w:val="nil"/>
                    <w:tr2bl w:val="nil"/>
                  </w:tcBorders>
                  <w:vAlign w:val="center"/>
                </w:tcPr>
                <w:p w14:paraId="4DD62692">
                  <w:pPr>
                    <w:spacing w:line="320" w:lineRule="exact"/>
                    <w:ind w:firstLine="0" w:firstLineChars="0"/>
                    <w:jc w:val="center"/>
                    <w:rPr>
                      <w:rFonts w:hint="default" w:ascii="Times New Roman" w:hAnsi="Times New Roman" w:eastAsia="宋体" w:cs="Times New Roman"/>
                      <w:b w:val="0"/>
                      <w:bCs/>
                      <w:color w:val="000000" w:themeColor="text1"/>
                      <w:sz w:val="21"/>
                      <w:szCs w:val="21"/>
                      <w:lang w:val="en-US" w:eastAsia="zh-CN"/>
                    </w:rPr>
                  </w:pPr>
                  <w:r>
                    <w:rPr>
                      <w:rFonts w:hint="default" w:ascii="Times New Roman" w:hAnsi="Times New Roman" w:eastAsia="宋体" w:cs="Times New Roman"/>
                      <w:b w:val="0"/>
                      <w:bCs/>
                      <w:color w:val="000000" w:themeColor="text1"/>
                      <w:sz w:val="21"/>
                      <w:szCs w:val="21"/>
                      <w:lang w:val="en-US" w:eastAsia="zh-CN"/>
                    </w:rPr>
                    <w:t>5</w:t>
                  </w:r>
                </w:p>
              </w:tc>
              <w:tc>
                <w:tcPr>
                  <w:tcW w:w="2345" w:type="dxa"/>
                  <w:tcBorders>
                    <w:tl2br w:val="nil"/>
                    <w:tr2bl w:val="nil"/>
                  </w:tcBorders>
                  <w:vAlign w:val="center"/>
                </w:tcPr>
                <w:p w14:paraId="3C053883">
                  <w:pPr>
                    <w:spacing w:line="320" w:lineRule="exact"/>
                    <w:ind w:firstLine="0" w:firstLineChars="0"/>
                    <w:jc w:val="center"/>
                    <w:rPr>
                      <w:rFonts w:hint="default" w:ascii="Times New Roman" w:hAnsi="Times New Roman" w:eastAsia="宋体" w:cs="Times New Roman"/>
                      <w:b w:val="0"/>
                      <w:bCs/>
                      <w:color w:val="000000" w:themeColor="text1"/>
                      <w:sz w:val="21"/>
                      <w:szCs w:val="21"/>
                    </w:rPr>
                  </w:pPr>
                </w:p>
              </w:tc>
              <w:tc>
                <w:tcPr>
                  <w:tcW w:w="846" w:type="dxa"/>
                  <w:tcBorders>
                    <w:tl2br w:val="nil"/>
                    <w:tr2bl w:val="nil"/>
                  </w:tcBorders>
                  <w:vAlign w:val="center"/>
                </w:tcPr>
                <w:p w14:paraId="4BC15BD4">
                  <w:pPr>
                    <w:spacing w:line="320" w:lineRule="exact"/>
                    <w:ind w:firstLine="0" w:firstLineChars="0"/>
                    <w:jc w:val="center"/>
                    <w:rPr>
                      <w:rFonts w:hint="default" w:ascii="Times New Roman" w:hAnsi="Times New Roman" w:eastAsia="宋体" w:cs="Times New Roman"/>
                      <w:b w:val="0"/>
                      <w:bCs/>
                      <w:color w:val="000000" w:themeColor="text1"/>
                      <w:sz w:val="21"/>
                      <w:szCs w:val="21"/>
                    </w:rPr>
                  </w:pPr>
                </w:p>
              </w:tc>
              <w:tc>
                <w:tcPr>
                  <w:tcW w:w="1862" w:type="dxa"/>
                  <w:tcBorders>
                    <w:tl2br w:val="nil"/>
                    <w:tr2bl w:val="nil"/>
                  </w:tcBorders>
                  <w:vAlign w:val="center"/>
                </w:tcPr>
                <w:p w14:paraId="5210404D">
                  <w:pPr>
                    <w:spacing w:line="320" w:lineRule="exact"/>
                    <w:ind w:firstLine="0" w:firstLineChars="0"/>
                    <w:jc w:val="center"/>
                    <w:rPr>
                      <w:rFonts w:hint="default" w:ascii="Times New Roman" w:hAnsi="Times New Roman" w:eastAsia="宋体" w:cs="Times New Roman"/>
                      <w:b w:val="0"/>
                      <w:bCs/>
                      <w:color w:val="000000" w:themeColor="text1"/>
                      <w:sz w:val="21"/>
                      <w:szCs w:val="21"/>
                    </w:rPr>
                  </w:pPr>
                </w:p>
              </w:tc>
              <w:tc>
                <w:tcPr>
                  <w:tcW w:w="793" w:type="dxa"/>
                  <w:tcBorders>
                    <w:tl2br w:val="nil"/>
                    <w:tr2bl w:val="nil"/>
                  </w:tcBorders>
                  <w:vAlign w:val="center"/>
                </w:tcPr>
                <w:p w14:paraId="713342B8">
                  <w:pPr>
                    <w:spacing w:line="320" w:lineRule="exact"/>
                    <w:ind w:firstLine="0" w:firstLineChars="0"/>
                    <w:jc w:val="center"/>
                    <w:rPr>
                      <w:rFonts w:hint="default" w:ascii="Times New Roman" w:hAnsi="Times New Roman" w:eastAsia="宋体" w:cs="Times New Roman"/>
                      <w:b w:val="0"/>
                      <w:bCs/>
                      <w:color w:val="000000" w:themeColor="text1"/>
                      <w:sz w:val="21"/>
                      <w:szCs w:val="21"/>
                    </w:rPr>
                  </w:pPr>
                </w:p>
              </w:tc>
            </w:tr>
          </w:tbl>
          <w:p w14:paraId="7D308324">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5</w:t>
            </w:r>
            <w:r>
              <w:rPr>
                <w:rFonts w:hint="eastAsia" w:ascii="Times New Roman" w:hAnsi="Times New Roman"/>
                <w:b/>
                <w:bCs/>
                <w:color w:val="000000" w:themeColor="text1"/>
                <w:sz w:val="24"/>
                <w:szCs w:val="24"/>
              </w:rPr>
              <w:t>、主要原辅料</w:t>
            </w:r>
            <w:r>
              <w:rPr>
                <w:rFonts w:hint="eastAsia" w:ascii="Times New Roman" w:hAnsi="Times New Roman"/>
                <w:b/>
                <w:bCs/>
                <w:color w:val="000000" w:themeColor="text1"/>
                <w:sz w:val="24"/>
                <w:szCs w:val="24"/>
                <w:lang w:val="en-US" w:eastAsia="zh-CN"/>
              </w:rPr>
              <w:t>来源及运输</w:t>
            </w:r>
          </w:p>
          <w:p w14:paraId="631C02A2">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由于本项目</w:t>
            </w:r>
            <w:r>
              <w:rPr>
                <w:rFonts w:hint="default" w:ascii="Times New Roman" w:hAnsi="Times New Roman" w:cs="Times New Roman"/>
                <w:color w:val="000000" w:themeColor="text1"/>
                <w:sz w:val="24"/>
                <w:szCs w:val="24"/>
                <w:lang w:val="en-US" w:eastAsia="zh-CN"/>
              </w:rPr>
              <w:t>新建</w:t>
            </w:r>
            <w:r>
              <w:rPr>
                <w:rFonts w:hint="default" w:ascii="Times New Roman" w:hAnsi="Times New Roman" w:cs="Times New Roman"/>
                <w:color w:val="000000" w:themeColor="text1"/>
                <w:sz w:val="24"/>
                <w:szCs w:val="24"/>
              </w:rPr>
              <w:t>加油站仅供过往车辆停靠加油服务，主要出售车用汽油、柴油，主要原料消耗详见表</w:t>
            </w: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w:t>
            </w:r>
          </w:p>
          <w:p w14:paraId="06EB707E">
            <w:pPr>
              <w:ind w:firstLine="422" w:firstLineChars="200"/>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 xml:space="preserve">8 </w:t>
            </w:r>
            <w:r>
              <w:rPr>
                <w:rFonts w:hint="eastAsia"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 xml:space="preserve">      </w:t>
            </w:r>
            <w:r>
              <w:rPr>
                <w:rFonts w:hint="eastAsia" w:ascii="黑体" w:hAnsi="黑体" w:eastAsia="黑体" w:cs="黑体"/>
                <w:b/>
                <w:bCs/>
                <w:color w:val="000000" w:themeColor="text1"/>
                <w:sz w:val="21"/>
                <w:szCs w:val="21"/>
              </w:rPr>
              <w:t xml:space="preserve">    原料消耗表</w:t>
            </w:r>
          </w:p>
          <w:tbl>
            <w:tblPr>
              <w:tblStyle w:val="20"/>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45"/>
              <w:gridCol w:w="1646"/>
              <w:gridCol w:w="1321"/>
              <w:gridCol w:w="1646"/>
              <w:gridCol w:w="1962"/>
            </w:tblGrid>
            <w:tr w14:paraId="380E6C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45" w:type="dxa"/>
                  <w:tcBorders>
                    <w:bottom w:val="single" w:color="auto" w:sz="12" w:space="0"/>
                  </w:tcBorders>
                  <w:vAlign w:val="center"/>
                </w:tcPr>
                <w:p w14:paraId="30EBCBC1">
                  <w:pPr>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类别</w:t>
                  </w:r>
                </w:p>
              </w:tc>
              <w:tc>
                <w:tcPr>
                  <w:tcW w:w="1646" w:type="dxa"/>
                  <w:tcBorders>
                    <w:bottom w:val="single" w:color="auto" w:sz="12" w:space="0"/>
                  </w:tcBorders>
                  <w:vAlign w:val="center"/>
                </w:tcPr>
                <w:p w14:paraId="58A7FF34">
                  <w:pPr>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名称</w:t>
                  </w:r>
                </w:p>
              </w:tc>
              <w:tc>
                <w:tcPr>
                  <w:tcW w:w="1321" w:type="dxa"/>
                  <w:tcBorders>
                    <w:bottom w:val="single" w:color="auto" w:sz="12" w:space="0"/>
                  </w:tcBorders>
                  <w:vAlign w:val="center"/>
                </w:tcPr>
                <w:p w14:paraId="1A2FA936">
                  <w:pPr>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年消耗量</w:t>
                  </w:r>
                </w:p>
              </w:tc>
              <w:tc>
                <w:tcPr>
                  <w:tcW w:w="1646" w:type="dxa"/>
                  <w:tcBorders>
                    <w:bottom w:val="single" w:color="auto" w:sz="12" w:space="0"/>
                  </w:tcBorders>
                  <w:vAlign w:val="center"/>
                </w:tcPr>
                <w:p w14:paraId="7B7174A3">
                  <w:pPr>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来源</w:t>
                  </w:r>
                </w:p>
              </w:tc>
              <w:tc>
                <w:tcPr>
                  <w:tcW w:w="1962" w:type="dxa"/>
                  <w:tcBorders>
                    <w:bottom w:val="single" w:color="auto" w:sz="12" w:space="0"/>
                  </w:tcBorders>
                  <w:vAlign w:val="center"/>
                </w:tcPr>
                <w:p w14:paraId="5A543A6D">
                  <w:pPr>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运输</w:t>
                  </w:r>
                </w:p>
              </w:tc>
            </w:tr>
            <w:tr w14:paraId="393770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45" w:type="dxa"/>
                  <w:vMerge w:val="restart"/>
                  <w:tcBorders>
                    <w:top w:val="single" w:color="auto" w:sz="12" w:space="0"/>
                    <w:tl2br w:val="nil"/>
                    <w:tr2bl w:val="nil"/>
                  </w:tcBorders>
                  <w:vAlign w:val="center"/>
                </w:tcPr>
                <w:p w14:paraId="4E6C49B6">
                  <w:pPr>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原料</w:t>
                  </w:r>
                </w:p>
              </w:tc>
              <w:tc>
                <w:tcPr>
                  <w:tcW w:w="1646" w:type="dxa"/>
                  <w:tcBorders>
                    <w:top w:val="single" w:color="auto" w:sz="12" w:space="0"/>
                    <w:tl2br w:val="nil"/>
                    <w:tr2bl w:val="nil"/>
                  </w:tcBorders>
                  <w:vAlign w:val="center"/>
                </w:tcPr>
                <w:p w14:paraId="2096AD88">
                  <w:pPr>
                    <w:jc w:val="center"/>
                    <w:rPr>
                      <w:rFonts w:hint="default" w:ascii="Times New Roman" w:hAnsi="Times New Roman" w:eastAsia="宋体" w:cs="Times New Roman"/>
                      <w:color w:val="000000" w:themeColor="text1"/>
                      <w:sz w:val="21"/>
                      <w:szCs w:val="21"/>
                      <w:lang w:eastAsia="zh-CN"/>
                    </w:rPr>
                  </w:pPr>
                  <w:r>
                    <w:rPr>
                      <w:rFonts w:hint="eastAsia" w:ascii="Times New Roman" w:hAnsi="Times New Roman" w:eastAsia="宋体" w:cs="Times New Roman"/>
                      <w:color w:val="000000" w:themeColor="text1"/>
                      <w:sz w:val="21"/>
                      <w:szCs w:val="21"/>
                      <w:lang w:eastAsia="zh-CN"/>
                    </w:rPr>
                    <w:t>汽油</w:t>
                  </w:r>
                </w:p>
              </w:tc>
              <w:tc>
                <w:tcPr>
                  <w:tcW w:w="1321" w:type="dxa"/>
                  <w:tcBorders>
                    <w:top w:val="single" w:color="auto" w:sz="12" w:space="0"/>
                    <w:tl2br w:val="nil"/>
                    <w:tr2bl w:val="nil"/>
                  </w:tcBorders>
                  <w:vAlign w:val="center"/>
                </w:tcPr>
                <w:p w14:paraId="1D87AED8">
                  <w:pPr>
                    <w:jc w:val="center"/>
                    <w:rPr>
                      <w:rFonts w:hint="default" w:ascii="Times New Roman" w:hAnsi="Times New Roman" w:eastAsia="宋体" w:cs="Times New Roman"/>
                      <w:color w:val="000000" w:themeColor="text1"/>
                      <w:sz w:val="21"/>
                      <w:szCs w:val="21"/>
                      <w:lang w:eastAsia="zh-CN"/>
                    </w:rPr>
                  </w:pPr>
                  <w:r>
                    <w:rPr>
                      <w:rFonts w:hint="eastAsia" w:ascii="Times New Roman" w:hAnsi="Times New Roman" w:eastAsia="宋体" w:cs="Times New Roman"/>
                      <w:color w:val="000000" w:themeColor="text1"/>
                      <w:sz w:val="21"/>
                      <w:szCs w:val="21"/>
                      <w:lang w:eastAsia="zh-CN"/>
                    </w:rPr>
                    <w:t>2000</w:t>
                  </w:r>
                  <w:r>
                    <w:rPr>
                      <w:rFonts w:hint="eastAsia" w:ascii="Times New Roman" w:hAnsi="Times New Roman" w:eastAsia="宋体" w:cs="Times New Roman"/>
                      <w:color w:val="000000" w:themeColor="text1"/>
                      <w:sz w:val="21"/>
                      <w:szCs w:val="21"/>
                      <w:lang w:val="en-US" w:eastAsia="zh-CN"/>
                    </w:rPr>
                    <w:t>t/a</w:t>
                  </w:r>
                </w:p>
              </w:tc>
              <w:tc>
                <w:tcPr>
                  <w:tcW w:w="1646" w:type="dxa"/>
                  <w:vMerge w:val="restart"/>
                  <w:tcBorders>
                    <w:top w:val="single" w:color="auto" w:sz="12" w:space="0"/>
                    <w:tl2br w:val="nil"/>
                    <w:tr2bl w:val="nil"/>
                  </w:tcBorders>
                  <w:vAlign w:val="center"/>
                </w:tcPr>
                <w:p w14:paraId="659C5029">
                  <w:pPr>
                    <w:jc w:val="center"/>
                    <w:rPr>
                      <w:rFonts w:hint="default" w:ascii="Times New Roman" w:hAnsi="Times New Roman" w:eastAsia="宋体" w:cs="Times New Roman"/>
                      <w:color w:val="000000" w:themeColor="text1"/>
                      <w:sz w:val="21"/>
                      <w:szCs w:val="21"/>
                    </w:rPr>
                  </w:pPr>
                  <w:r>
                    <w:rPr>
                      <w:rFonts w:hint="eastAsia" w:ascii="Times New Roman" w:hAnsi="Times New Roman" w:eastAsia="宋体" w:cs="Times New Roman"/>
                      <w:color w:val="000000" w:themeColor="text1"/>
                      <w:sz w:val="21"/>
                      <w:szCs w:val="21"/>
                      <w:lang w:eastAsia="zh-CN"/>
                    </w:rPr>
                    <w:t>中石油新疆销售有限公司</w:t>
                  </w:r>
                </w:p>
              </w:tc>
              <w:tc>
                <w:tcPr>
                  <w:tcW w:w="1962" w:type="dxa"/>
                  <w:vMerge w:val="restart"/>
                  <w:tcBorders>
                    <w:top w:val="single" w:color="auto" w:sz="12" w:space="0"/>
                    <w:tl2br w:val="nil"/>
                    <w:tr2bl w:val="nil"/>
                  </w:tcBorders>
                  <w:vAlign w:val="center"/>
                </w:tcPr>
                <w:p w14:paraId="3A8B8030">
                  <w:pPr>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由销售方罐车运输至加油加气站</w:t>
                  </w:r>
                </w:p>
              </w:tc>
            </w:tr>
            <w:tr w14:paraId="778148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45" w:type="dxa"/>
                  <w:vMerge w:val="continue"/>
                  <w:tcBorders>
                    <w:tl2br w:val="nil"/>
                    <w:tr2bl w:val="nil"/>
                  </w:tcBorders>
                  <w:vAlign w:val="center"/>
                </w:tcPr>
                <w:p w14:paraId="1688C254">
                  <w:pPr>
                    <w:jc w:val="center"/>
                    <w:rPr>
                      <w:rFonts w:hint="default" w:ascii="Times New Roman" w:hAnsi="Times New Roman" w:eastAsia="宋体" w:cs="Times New Roman"/>
                      <w:color w:val="000000" w:themeColor="text1"/>
                      <w:sz w:val="21"/>
                      <w:szCs w:val="21"/>
                    </w:rPr>
                  </w:pPr>
                </w:p>
              </w:tc>
              <w:tc>
                <w:tcPr>
                  <w:tcW w:w="1646" w:type="dxa"/>
                  <w:tcBorders>
                    <w:tl2br w:val="nil"/>
                    <w:tr2bl w:val="nil"/>
                  </w:tcBorders>
                  <w:vAlign w:val="center"/>
                </w:tcPr>
                <w:p w14:paraId="7CEE8FC1">
                  <w:pPr>
                    <w:jc w:val="center"/>
                    <w:rPr>
                      <w:rFonts w:hint="default" w:ascii="Times New Roman" w:hAnsi="Times New Roman" w:eastAsia="宋体" w:cs="Times New Roman"/>
                      <w:color w:val="000000" w:themeColor="text1"/>
                      <w:sz w:val="21"/>
                      <w:szCs w:val="21"/>
                      <w:lang w:eastAsia="zh-CN"/>
                    </w:rPr>
                  </w:pPr>
                  <w:r>
                    <w:rPr>
                      <w:rFonts w:hint="eastAsia" w:ascii="Times New Roman" w:hAnsi="Times New Roman" w:eastAsia="宋体" w:cs="Times New Roman"/>
                      <w:color w:val="000000" w:themeColor="text1"/>
                      <w:sz w:val="21"/>
                      <w:szCs w:val="21"/>
                      <w:lang w:eastAsia="zh-CN"/>
                    </w:rPr>
                    <w:t>柴油</w:t>
                  </w:r>
                </w:p>
              </w:tc>
              <w:tc>
                <w:tcPr>
                  <w:tcW w:w="1321" w:type="dxa"/>
                  <w:tcBorders>
                    <w:tl2br w:val="nil"/>
                    <w:tr2bl w:val="nil"/>
                  </w:tcBorders>
                  <w:vAlign w:val="center"/>
                </w:tcPr>
                <w:p w14:paraId="22B897E2">
                  <w:pPr>
                    <w:jc w:val="center"/>
                    <w:rPr>
                      <w:rFonts w:hint="default"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3</w:t>
                  </w:r>
                  <w:r>
                    <w:rPr>
                      <w:rFonts w:hint="eastAsia" w:ascii="Times New Roman" w:hAnsi="Times New Roman" w:eastAsia="宋体" w:cs="Times New Roman"/>
                      <w:color w:val="000000" w:themeColor="text1"/>
                      <w:sz w:val="21"/>
                      <w:szCs w:val="21"/>
                      <w:lang w:eastAsia="zh-CN"/>
                    </w:rPr>
                    <w:t>000</w:t>
                  </w:r>
                  <w:r>
                    <w:rPr>
                      <w:rFonts w:hint="eastAsia" w:ascii="Times New Roman" w:hAnsi="Times New Roman" w:eastAsia="宋体" w:cs="Times New Roman"/>
                      <w:color w:val="000000" w:themeColor="text1"/>
                      <w:sz w:val="21"/>
                      <w:szCs w:val="21"/>
                      <w:lang w:val="en-US" w:eastAsia="zh-CN"/>
                    </w:rPr>
                    <w:t>t/a</w:t>
                  </w:r>
                </w:p>
              </w:tc>
              <w:tc>
                <w:tcPr>
                  <w:tcW w:w="1646" w:type="dxa"/>
                  <w:vMerge w:val="continue"/>
                  <w:tcBorders>
                    <w:tl2br w:val="nil"/>
                    <w:tr2bl w:val="nil"/>
                  </w:tcBorders>
                  <w:vAlign w:val="center"/>
                </w:tcPr>
                <w:p w14:paraId="214CF151">
                  <w:pPr>
                    <w:jc w:val="center"/>
                    <w:rPr>
                      <w:rFonts w:hint="default" w:ascii="Times New Roman" w:hAnsi="Times New Roman" w:eastAsia="宋体" w:cs="Times New Roman"/>
                      <w:color w:val="000000" w:themeColor="text1"/>
                      <w:sz w:val="21"/>
                      <w:szCs w:val="21"/>
                    </w:rPr>
                  </w:pPr>
                </w:p>
              </w:tc>
              <w:tc>
                <w:tcPr>
                  <w:tcW w:w="1962" w:type="dxa"/>
                  <w:vMerge w:val="continue"/>
                  <w:tcBorders>
                    <w:tl2br w:val="nil"/>
                    <w:tr2bl w:val="nil"/>
                  </w:tcBorders>
                  <w:vAlign w:val="center"/>
                </w:tcPr>
                <w:p w14:paraId="4C947B41">
                  <w:pPr>
                    <w:jc w:val="center"/>
                    <w:rPr>
                      <w:rFonts w:hint="default" w:ascii="Times New Roman" w:hAnsi="Times New Roman" w:eastAsia="宋体" w:cs="Times New Roman"/>
                      <w:color w:val="000000" w:themeColor="text1"/>
                      <w:sz w:val="21"/>
                      <w:szCs w:val="21"/>
                    </w:rPr>
                  </w:pPr>
                </w:p>
              </w:tc>
            </w:tr>
            <w:tr w14:paraId="7B2164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45" w:type="dxa"/>
                  <w:vMerge w:val="continue"/>
                  <w:tcBorders>
                    <w:tl2br w:val="nil"/>
                    <w:tr2bl w:val="nil"/>
                  </w:tcBorders>
                  <w:vAlign w:val="center"/>
                </w:tcPr>
                <w:p w14:paraId="078B6551">
                  <w:pPr>
                    <w:jc w:val="center"/>
                    <w:rPr>
                      <w:rFonts w:hint="default" w:ascii="Times New Roman" w:hAnsi="Times New Roman" w:eastAsia="宋体" w:cs="Times New Roman"/>
                      <w:color w:val="000000" w:themeColor="text1"/>
                      <w:sz w:val="21"/>
                      <w:szCs w:val="21"/>
                    </w:rPr>
                  </w:pPr>
                </w:p>
              </w:tc>
              <w:tc>
                <w:tcPr>
                  <w:tcW w:w="1646" w:type="dxa"/>
                  <w:tcBorders>
                    <w:tl2br w:val="nil"/>
                    <w:tr2bl w:val="nil"/>
                  </w:tcBorders>
                  <w:vAlign w:val="center"/>
                </w:tcPr>
                <w:p w14:paraId="0CF92770">
                  <w:pPr>
                    <w:jc w:val="center"/>
                    <w:rPr>
                      <w:rFonts w:hint="default" w:ascii="Times New Roman" w:hAnsi="Times New Roman" w:eastAsia="宋体" w:cs="Times New Roman"/>
                      <w:color w:val="000000" w:themeColor="text1"/>
                      <w:sz w:val="21"/>
                      <w:szCs w:val="21"/>
                      <w:lang w:eastAsia="zh-CN"/>
                    </w:rPr>
                  </w:pPr>
                  <w:r>
                    <w:rPr>
                      <w:rFonts w:hint="eastAsia" w:ascii="Times New Roman" w:hAnsi="Times New Roman" w:eastAsia="宋体" w:cs="Times New Roman"/>
                      <w:color w:val="000000" w:themeColor="text1"/>
                      <w:sz w:val="21"/>
                      <w:szCs w:val="21"/>
                      <w:lang w:eastAsia="zh-CN"/>
                    </w:rPr>
                    <w:t>天然气</w:t>
                  </w:r>
                  <w:r>
                    <w:rPr>
                      <w:rFonts w:hint="eastAsia" w:ascii="Times New Roman" w:hAnsi="Times New Roman" w:cs="Times New Roman"/>
                      <w:color w:val="000000" w:themeColor="text1"/>
                      <w:sz w:val="21"/>
                      <w:szCs w:val="21"/>
                      <w:lang w:eastAsia="zh-CN"/>
                    </w:rPr>
                    <w:t>（</w:t>
                  </w:r>
                  <w:r>
                    <w:rPr>
                      <w:rFonts w:hint="eastAsia" w:ascii="Times New Roman" w:hAnsi="Times New Roman" w:cs="Times New Roman"/>
                      <w:color w:val="000000" w:themeColor="text1"/>
                      <w:sz w:val="21"/>
                      <w:szCs w:val="21"/>
                      <w:lang w:val="en-US" w:eastAsia="zh-CN"/>
                    </w:rPr>
                    <w:t>LNG</w:t>
                  </w:r>
                  <w:r>
                    <w:rPr>
                      <w:rFonts w:hint="eastAsia" w:ascii="Times New Roman" w:hAnsi="Times New Roman" w:cs="Times New Roman"/>
                      <w:color w:val="000000" w:themeColor="text1"/>
                      <w:sz w:val="21"/>
                      <w:szCs w:val="21"/>
                      <w:lang w:eastAsia="zh-CN"/>
                    </w:rPr>
                    <w:t>）</w:t>
                  </w:r>
                </w:p>
              </w:tc>
              <w:tc>
                <w:tcPr>
                  <w:tcW w:w="1321" w:type="dxa"/>
                  <w:tcBorders>
                    <w:tl2br w:val="nil"/>
                    <w:tr2bl w:val="nil"/>
                  </w:tcBorders>
                  <w:vAlign w:val="center"/>
                </w:tcPr>
                <w:p w14:paraId="0F51D17C">
                  <w:pPr>
                    <w:jc w:val="center"/>
                    <w:rPr>
                      <w:rFonts w:hint="default"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3000</w:t>
                  </w:r>
                  <w:r>
                    <w:rPr>
                      <w:rFonts w:hint="eastAsia" w:ascii="Times New Roman" w:hAnsi="Times New Roman" w:eastAsia="宋体" w:cs="Times New Roman"/>
                      <w:color w:val="000000" w:themeColor="text1"/>
                      <w:sz w:val="21"/>
                      <w:szCs w:val="21"/>
                      <w:lang w:val="en-US" w:eastAsia="zh-CN"/>
                    </w:rPr>
                    <w:t>t/a</w:t>
                  </w:r>
                </w:p>
              </w:tc>
              <w:tc>
                <w:tcPr>
                  <w:tcW w:w="1646" w:type="dxa"/>
                  <w:vMerge w:val="continue"/>
                  <w:tcBorders>
                    <w:tl2br w:val="nil"/>
                    <w:tr2bl w:val="nil"/>
                  </w:tcBorders>
                  <w:vAlign w:val="center"/>
                </w:tcPr>
                <w:p w14:paraId="35B67B35">
                  <w:pPr>
                    <w:jc w:val="center"/>
                    <w:rPr>
                      <w:rFonts w:hint="default" w:ascii="Times New Roman" w:hAnsi="Times New Roman" w:eastAsia="宋体" w:cs="Times New Roman"/>
                      <w:color w:val="000000" w:themeColor="text1"/>
                      <w:sz w:val="21"/>
                      <w:szCs w:val="21"/>
                    </w:rPr>
                  </w:pPr>
                </w:p>
              </w:tc>
              <w:tc>
                <w:tcPr>
                  <w:tcW w:w="1962" w:type="dxa"/>
                  <w:vMerge w:val="continue"/>
                  <w:tcBorders>
                    <w:tl2br w:val="nil"/>
                    <w:tr2bl w:val="nil"/>
                  </w:tcBorders>
                  <w:vAlign w:val="center"/>
                </w:tcPr>
                <w:p w14:paraId="18B9209D">
                  <w:pPr>
                    <w:jc w:val="center"/>
                    <w:rPr>
                      <w:rFonts w:hint="default" w:ascii="Times New Roman" w:hAnsi="Times New Roman" w:eastAsia="宋体" w:cs="Times New Roman"/>
                      <w:color w:val="000000" w:themeColor="text1"/>
                      <w:sz w:val="21"/>
                      <w:szCs w:val="21"/>
                    </w:rPr>
                  </w:pPr>
                </w:p>
              </w:tc>
            </w:tr>
            <w:tr w14:paraId="5462A7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45" w:type="dxa"/>
                  <w:vMerge w:val="continue"/>
                  <w:tcBorders>
                    <w:tl2br w:val="nil"/>
                    <w:tr2bl w:val="nil"/>
                  </w:tcBorders>
                  <w:vAlign w:val="center"/>
                </w:tcPr>
                <w:p w14:paraId="3B18F8DB">
                  <w:pPr>
                    <w:jc w:val="center"/>
                    <w:rPr>
                      <w:rFonts w:hint="default" w:ascii="Times New Roman" w:hAnsi="Times New Roman" w:eastAsia="宋体" w:cs="Times New Roman"/>
                      <w:color w:val="000000" w:themeColor="text1"/>
                      <w:sz w:val="21"/>
                      <w:szCs w:val="21"/>
                    </w:rPr>
                  </w:pPr>
                </w:p>
              </w:tc>
              <w:tc>
                <w:tcPr>
                  <w:tcW w:w="1646" w:type="dxa"/>
                  <w:tcBorders>
                    <w:tl2br w:val="nil"/>
                    <w:tr2bl w:val="nil"/>
                  </w:tcBorders>
                  <w:vAlign w:val="center"/>
                </w:tcPr>
                <w:p w14:paraId="46FC4C68">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天然气（CNG）</w:t>
                  </w:r>
                </w:p>
              </w:tc>
              <w:tc>
                <w:tcPr>
                  <w:tcW w:w="1321" w:type="dxa"/>
                  <w:tcBorders>
                    <w:tl2br w:val="nil"/>
                    <w:tr2bl w:val="nil"/>
                  </w:tcBorders>
                  <w:vAlign w:val="center"/>
                </w:tcPr>
                <w:p w14:paraId="0615F0CA">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5000万方/a</w:t>
                  </w:r>
                </w:p>
              </w:tc>
              <w:tc>
                <w:tcPr>
                  <w:tcW w:w="1646" w:type="dxa"/>
                  <w:vMerge w:val="continue"/>
                  <w:tcBorders>
                    <w:tl2br w:val="nil"/>
                    <w:tr2bl w:val="nil"/>
                  </w:tcBorders>
                  <w:vAlign w:val="center"/>
                </w:tcPr>
                <w:p w14:paraId="73831177">
                  <w:pPr>
                    <w:jc w:val="center"/>
                    <w:rPr>
                      <w:rFonts w:hint="default" w:ascii="Times New Roman" w:hAnsi="Times New Roman" w:eastAsia="宋体" w:cs="Times New Roman"/>
                      <w:color w:val="000000" w:themeColor="text1"/>
                      <w:sz w:val="21"/>
                      <w:szCs w:val="21"/>
                    </w:rPr>
                  </w:pPr>
                </w:p>
              </w:tc>
              <w:tc>
                <w:tcPr>
                  <w:tcW w:w="1962" w:type="dxa"/>
                  <w:tcBorders>
                    <w:tl2br w:val="nil"/>
                    <w:tr2bl w:val="nil"/>
                  </w:tcBorders>
                  <w:vAlign w:val="center"/>
                </w:tcPr>
                <w:p w14:paraId="7C5F1BCC">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管道联通</w:t>
                  </w:r>
                </w:p>
              </w:tc>
            </w:tr>
          </w:tbl>
          <w:p w14:paraId="345C761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000000" w:themeColor="text1"/>
                <w:sz w:val="24"/>
                <w:szCs w:val="24"/>
                <w:lang w:val="en-US" w:eastAsia="zh-CN"/>
              </w:rPr>
            </w:pPr>
            <w:r>
              <w:rPr>
                <w:rFonts w:hint="eastAsia" w:ascii="宋体" w:hAnsi="宋体" w:eastAsia="宋体" w:cs="宋体"/>
                <w:b w:val="0"/>
                <w:bCs w:val="0"/>
                <w:color w:val="000000" w:themeColor="text1"/>
                <w:sz w:val="24"/>
                <w:szCs w:val="24"/>
                <w:lang w:val="en-US" w:eastAsia="zh-CN"/>
              </w:rPr>
              <w:t>（</w:t>
            </w:r>
            <w:r>
              <w:rPr>
                <w:rFonts w:hint="default" w:ascii="Times New Roman" w:hAnsi="Times New Roman" w:eastAsia="宋体" w:cs="Times New Roman"/>
                <w:b w:val="0"/>
                <w:bCs w:val="0"/>
                <w:color w:val="000000" w:themeColor="text1"/>
                <w:sz w:val="24"/>
                <w:szCs w:val="24"/>
                <w:lang w:val="en-US" w:eastAsia="zh-CN"/>
              </w:rPr>
              <w:t>1</w:t>
            </w:r>
            <w:r>
              <w:rPr>
                <w:rFonts w:hint="eastAsia" w:ascii="宋体" w:hAnsi="宋体" w:eastAsia="宋体" w:cs="宋体"/>
                <w:b w:val="0"/>
                <w:bCs w:val="0"/>
                <w:color w:val="000000" w:themeColor="text1"/>
                <w:sz w:val="24"/>
                <w:szCs w:val="24"/>
                <w:lang w:val="en-US" w:eastAsia="zh-CN"/>
              </w:rPr>
              <w:t>）</w:t>
            </w:r>
            <w:r>
              <w:rPr>
                <w:rFonts w:hint="default" w:ascii="Times New Roman" w:hAnsi="Times New Roman" w:eastAsia="宋体" w:cs="Times New Roman"/>
                <w:b w:val="0"/>
                <w:bCs w:val="0"/>
                <w:color w:val="000000" w:themeColor="text1"/>
                <w:sz w:val="24"/>
                <w:szCs w:val="24"/>
                <w:lang w:val="en-US" w:eastAsia="zh-CN"/>
              </w:rPr>
              <w:t>汽油：外观为</w:t>
            </w:r>
            <w:r>
              <w:rPr>
                <w:rFonts w:hint="default" w:ascii="Times New Roman" w:hAnsi="Times New Roman" w:cs="Times New Roman"/>
                <w:b w:val="0"/>
                <w:bCs w:val="0"/>
                <w:color w:val="000000" w:themeColor="text1"/>
                <w:sz w:val="24"/>
                <w:szCs w:val="24"/>
                <w:lang w:val="en-US" w:eastAsia="zh-CN"/>
              </w:rPr>
              <w:t>透明液体，主要成分为C4到C12脂肪烃和环烃类，为无色至淡黄色的易流动液体，很难溶解于水，易燃，馏程为30℃至℃，空气中</w:t>
            </w:r>
            <w:r>
              <w:rPr>
                <w:rFonts w:hint="eastAsia" w:ascii="宋体" w:hAnsi="宋体" w:eastAsia="宋体" w:cs="宋体"/>
                <w:b w:val="0"/>
                <w:bCs w:val="0"/>
                <w:color w:val="000000" w:themeColor="text1"/>
                <w:sz w:val="24"/>
                <w:szCs w:val="24"/>
                <w:lang w:val="en-US" w:eastAsia="zh-CN"/>
              </w:rPr>
              <w:t>含量为74~123克/立方米时遇火爆炸。</w:t>
            </w:r>
          </w:p>
          <w:p w14:paraId="67BAE82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b w:val="0"/>
                <w:bCs w:val="0"/>
                <w:color w:val="000000" w:themeColor="text1"/>
                <w:sz w:val="24"/>
                <w:szCs w:val="24"/>
                <w:lang w:val="en-US" w:eastAsia="zh-CN"/>
              </w:rPr>
            </w:pPr>
            <w:r>
              <w:rPr>
                <w:rFonts w:hint="eastAsia" w:ascii="宋体" w:hAnsi="宋体" w:eastAsia="宋体" w:cs="宋体"/>
                <w:b w:val="0"/>
                <w:bCs w:val="0"/>
                <w:color w:val="000000" w:themeColor="text1"/>
                <w:sz w:val="24"/>
                <w:szCs w:val="24"/>
                <w:lang w:val="en-US" w:eastAsia="zh-CN"/>
              </w:rPr>
              <w:t>（</w:t>
            </w:r>
            <w:r>
              <w:rPr>
                <w:rFonts w:hint="default" w:ascii="Times New Roman" w:hAnsi="Times New Roman" w:eastAsia="宋体" w:cs="Times New Roman"/>
                <w:b w:val="0"/>
                <w:bCs w:val="0"/>
                <w:color w:val="000000" w:themeColor="text1"/>
                <w:sz w:val="24"/>
                <w:szCs w:val="24"/>
                <w:lang w:val="en-US" w:eastAsia="zh-CN"/>
              </w:rPr>
              <w:t>2</w:t>
            </w:r>
            <w:r>
              <w:rPr>
                <w:rFonts w:hint="eastAsia" w:ascii="宋体" w:hAnsi="宋体" w:eastAsia="宋体" w:cs="宋体"/>
                <w:b w:val="0"/>
                <w:bCs w:val="0"/>
                <w:color w:val="000000" w:themeColor="text1"/>
                <w:sz w:val="24"/>
                <w:szCs w:val="24"/>
                <w:lang w:val="en-US" w:eastAsia="zh-CN"/>
              </w:rPr>
              <w:t>）</w:t>
            </w:r>
            <w:r>
              <w:rPr>
                <w:rFonts w:hint="default" w:ascii="Times New Roman" w:hAnsi="Times New Roman" w:cs="Times New Roman"/>
                <w:b w:val="0"/>
                <w:bCs w:val="0"/>
                <w:color w:val="000000" w:themeColor="text1"/>
                <w:sz w:val="24"/>
                <w:szCs w:val="24"/>
                <w:lang w:val="en-US" w:eastAsia="zh-CN"/>
              </w:rPr>
              <w:t>柴油：为石油提炼后的一种产物，由不同的碳氢化合物混合组成。主要成分是含10到22个碳原子的链烷、环烷。化学和物理特性位于汽油和重油之间，沸点在170℃至390℃之间，比重为0.82~0.845kg/L之间。</w:t>
            </w:r>
          </w:p>
          <w:p w14:paraId="68C3F33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s="Times New Roman"/>
                <w:b w:val="0"/>
                <w:bCs w:val="0"/>
                <w:color w:val="000000" w:themeColor="text1"/>
                <w:sz w:val="24"/>
                <w:szCs w:val="24"/>
                <w:lang w:val="en-US" w:eastAsia="zh-CN"/>
              </w:rPr>
            </w:pPr>
            <w:r>
              <w:rPr>
                <w:rFonts w:hint="eastAsia" w:ascii="Times New Roman" w:hAnsi="Times New Roman" w:cs="Times New Roman"/>
                <w:b w:val="0"/>
                <w:bCs w:val="0"/>
                <w:color w:val="000000" w:themeColor="text1"/>
                <w:sz w:val="24"/>
                <w:szCs w:val="24"/>
                <w:lang w:val="en-US" w:eastAsia="zh-CN"/>
              </w:rPr>
              <w:t>（3）天然气规格见下表。</w:t>
            </w:r>
          </w:p>
          <w:p w14:paraId="10044AC6">
            <w:pPr>
              <w:ind w:firstLine="422" w:firstLineChars="200"/>
              <w:rPr>
                <w:rFonts w:hint="default"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表9                          天然气规格表</w:t>
            </w:r>
          </w:p>
          <w:tbl>
            <w:tblPr>
              <w:tblStyle w:val="19"/>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1644"/>
              <w:gridCol w:w="1644"/>
              <w:gridCol w:w="1644"/>
              <w:gridCol w:w="1645"/>
            </w:tblGrid>
            <w:tr w14:paraId="419374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vMerge w:val="restart"/>
                  <w:vAlign w:val="center"/>
                </w:tcPr>
                <w:p w14:paraId="1DA262CB">
                  <w:pPr>
                    <w:pStyle w:val="48"/>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序号</w:t>
                  </w:r>
                </w:p>
              </w:tc>
              <w:tc>
                <w:tcPr>
                  <w:tcW w:w="1644" w:type="dxa"/>
                  <w:vMerge w:val="restart"/>
                  <w:vAlign w:val="center"/>
                </w:tcPr>
                <w:p w14:paraId="546D38BE">
                  <w:pPr>
                    <w:pStyle w:val="48"/>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项目</w:t>
                  </w:r>
                </w:p>
              </w:tc>
              <w:tc>
                <w:tcPr>
                  <w:tcW w:w="3288" w:type="dxa"/>
                  <w:gridSpan w:val="2"/>
                  <w:vAlign w:val="center"/>
                </w:tcPr>
                <w:p w14:paraId="6DA02995">
                  <w:pPr>
                    <w:pStyle w:val="48"/>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范围</w:t>
                  </w:r>
                </w:p>
              </w:tc>
              <w:tc>
                <w:tcPr>
                  <w:tcW w:w="1645" w:type="dxa"/>
                  <w:vMerge w:val="restart"/>
                  <w:tcBorders>
                    <w:tl2br w:val="nil"/>
                    <w:tr2bl w:val="nil"/>
                  </w:tcBorders>
                  <w:vAlign w:val="center"/>
                </w:tcPr>
                <w:p w14:paraId="559C658F">
                  <w:pPr>
                    <w:pStyle w:val="48"/>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平均值</w:t>
                  </w:r>
                </w:p>
              </w:tc>
            </w:tr>
            <w:tr w14:paraId="0C6FAC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vMerge w:val="continue"/>
                  <w:tcBorders>
                    <w:bottom w:val="single" w:color="auto" w:sz="12" w:space="0"/>
                  </w:tcBorders>
                  <w:vAlign w:val="center"/>
                </w:tcPr>
                <w:p w14:paraId="239D130D">
                  <w:pPr>
                    <w:pStyle w:val="48"/>
                    <w:jc w:val="center"/>
                    <w:rPr>
                      <w:rFonts w:hint="default" w:ascii="Times New Roman" w:hAnsi="Times New Roman" w:eastAsia="宋体" w:cs="Times New Roman"/>
                      <w:color w:val="000000" w:themeColor="text1"/>
                      <w:sz w:val="21"/>
                      <w:szCs w:val="21"/>
                    </w:rPr>
                  </w:pPr>
                </w:p>
              </w:tc>
              <w:tc>
                <w:tcPr>
                  <w:tcW w:w="1644" w:type="dxa"/>
                  <w:vMerge w:val="continue"/>
                  <w:tcBorders>
                    <w:bottom w:val="single" w:color="auto" w:sz="12" w:space="0"/>
                  </w:tcBorders>
                  <w:vAlign w:val="center"/>
                </w:tcPr>
                <w:p w14:paraId="38EB1113">
                  <w:pPr>
                    <w:pStyle w:val="48"/>
                    <w:jc w:val="center"/>
                    <w:rPr>
                      <w:rFonts w:hint="default" w:ascii="Times New Roman" w:hAnsi="Times New Roman" w:eastAsia="宋体" w:cs="Times New Roman"/>
                      <w:color w:val="000000" w:themeColor="text1"/>
                      <w:sz w:val="21"/>
                      <w:szCs w:val="21"/>
                    </w:rPr>
                  </w:pPr>
                </w:p>
              </w:tc>
              <w:tc>
                <w:tcPr>
                  <w:tcW w:w="1644" w:type="dxa"/>
                  <w:tcBorders>
                    <w:bottom w:val="single" w:color="auto" w:sz="12" w:space="0"/>
                  </w:tcBorders>
                  <w:vAlign w:val="center"/>
                </w:tcPr>
                <w:p w14:paraId="7120DB12">
                  <w:pPr>
                    <w:pStyle w:val="48"/>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轻</w:t>
                  </w:r>
                </w:p>
              </w:tc>
              <w:tc>
                <w:tcPr>
                  <w:tcW w:w="1644" w:type="dxa"/>
                  <w:tcBorders>
                    <w:bottom w:val="single" w:color="auto" w:sz="12" w:space="0"/>
                  </w:tcBorders>
                  <w:vAlign w:val="center"/>
                </w:tcPr>
                <w:p w14:paraId="024902E7">
                  <w:pPr>
                    <w:pStyle w:val="48"/>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重</w:t>
                  </w:r>
                </w:p>
              </w:tc>
              <w:tc>
                <w:tcPr>
                  <w:tcW w:w="1645" w:type="dxa"/>
                  <w:vMerge w:val="continue"/>
                  <w:tcBorders>
                    <w:bottom w:val="single" w:color="auto" w:sz="12" w:space="0"/>
                    <w:tl2br w:val="nil"/>
                    <w:tr2bl w:val="nil"/>
                  </w:tcBorders>
                  <w:vAlign w:val="center"/>
                </w:tcPr>
                <w:p w14:paraId="35C0A2AF">
                  <w:pPr>
                    <w:pStyle w:val="48"/>
                    <w:jc w:val="center"/>
                    <w:rPr>
                      <w:rFonts w:hint="default" w:ascii="Times New Roman" w:hAnsi="Times New Roman" w:eastAsia="宋体" w:cs="Times New Roman"/>
                      <w:color w:val="000000" w:themeColor="text1"/>
                      <w:sz w:val="21"/>
                      <w:szCs w:val="21"/>
                    </w:rPr>
                  </w:pPr>
                </w:p>
              </w:tc>
            </w:tr>
            <w:tr w14:paraId="3F0BBD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op w:val="single" w:color="auto" w:sz="12" w:space="0"/>
                  </w:tcBorders>
                  <w:vAlign w:val="center"/>
                </w:tcPr>
                <w:p w14:paraId="20B80D74">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w:t>
                  </w:r>
                </w:p>
              </w:tc>
              <w:tc>
                <w:tcPr>
                  <w:tcW w:w="1644" w:type="dxa"/>
                  <w:tcBorders>
                    <w:top w:val="single" w:color="auto" w:sz="12" w:space="0"/>
                  </w:tcBorders>
                  <w:vAlign w:val="center"/>
                </w:tcPr>
                <w:p w14:paraId="076FC5D5">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N</w:t>
                  </w:r>
                  <w:r>
                    <w:rPr>
                      <w:rFonts w:hint="default" w:ascii="Times New Roman" w:hAnsi="Times New Roman" w:eastAsia="宋体" w:cs="Times New Roman"/>
                      <w:color w:val="000000" w:themeColor="text1"/>
                      <w:sz w:val="21"/>
                      <w:szCs w:val="21"/>
                      <w:vertAlign w:val="subscript"/>
                    </w:rPr>
                    <w:t>2</w:t>
                  </w:r>
                  <w:r>
                    <w:rPr>
                      <w:rFonts w:hint="default" w:ascii="Times New Roman" w:hAnsi="Times New Roman" w:eastAsia="宋体" w:cs="Times New Roman"/>
                      <w:color w:val="000000" w:themeColor="text1"/>
                      <w:sz w:val="21"/>
                      <w:szCs w:val="21"/>
                    </w:rPr>
                    <w:t>，mol%</w:t>
                  </w:r>
                </w:p>
              </w:tc>
              <w:tc>
                <w:tcPr>
                  <w:tcW w:w="1644" w:type="dxa"/>
                  <w:tcBorders>
                    <w:top w:val="single" w:color="auto" w:sz="12" w:space="0"/>
                  </w:tcBorders>
                  <w:vAlign w:val="center"/>
                </w:tcPr>
                <w:p w14:paraId="5A6D6AE1">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0.451</w:t>
                  </w:r>
                </w:p>
              </w:tc>
              <w:tc>
                <w:tcPr>
                  <w:tcW w:w="1644" w:type="dxa"/>
                  <w:tcBorders>
                    <w:top w:val="single" w:color="auto" w:sz="12" w:space="0"/>
                  </w:tcBorders>
                  <w:vAlign w:val="center"/>
                </w:tcPr>
                <w:p w14:paraId="347F3CBA">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0.369</w:t>
                  </w:r>
                </w:p>
              </w:tc>
              <w:tc>
                <w:tcPr>
                  <w:tcW w:w="1645" w:type="dxa"/>
                  <w:tcBorders>
                    <w:top w:val="single" w:color="auto" w:sz="12" w:space="0"/>
                  </w:tcBorders>
                  <w:vAlign w:val="center"/>
                </w:tcPr>
                <w:p w14:paraId="745D13CF">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0.4</w:t>
                  </w:r>
                </w:p>
              </w:tc>
            </w:tr>
            <w:tr w14:paraId="3093A8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16E22A3D">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w:t>
                  </w:r>
                </w:p>
              </w:tc>
              <w:tc>
                <w:tcPr>
                  <w:tcW w:w="1644" w:type="dxa"/>
                  <w:tcBorders>
                    <w:tl2br w:val="nil"/>
                    <w:tr2bl w:val="nil"/>
                  </w:tcBorders>
                  <w:vAlign w:val="center"/>
                </w:tcPr>
                <w:p w14:paraId="72C27881">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C</w:t>
                  </w:r>
                  <w:r>
                    <w:rPr>
                      <w:rFonts w:hint="default" w:ascii="Times New Roman" w:hAnsi="Times New Roman" w:eastAsia="宋体" w:cs="Times New Roman"/>
                      <w:color w:val="000000" w:themeColor="text1"/>
                      <w:sz w:val="21"/>
                      <w:szCs w:val="21"/>
                      <w:vertAlign w:val="subscript"/>
                    </w:rPr>
                    <w:t>1</w:t>
                  </w:r>
                  <w:r>
                    <w:rPr>
                      <w:rFonts w:hint="default" w:ascii="Times New Roman" w:hAnsi="Times New Roman" w:eastAsia="宋体" w:cs="Times New Roman"/>
                      <w:color w:val="000000" w:themeColor="text1"/>
                      <w:sz w:val="21"/>
                      <w:szCs w:val="21"/>
                    </w:rPr>
                    <w:t>，mol%</w:t>
                  </w:r>
                </w:p>
              </w:tc>
              <w:tc>
                <w:tcPr>
                  <w:tcW w:w="1644" w:type="dxa"/>
                  <w:tcBorders>
                    <w:tl2br w:val="nil"/>
                    <w:tr2bl w:val="nil"/>
                  </w:tcBorders>
                  <w:vAlign w:val="center"/>
                </w:tcPr>
                <w:p w14:paraId="028FE48F">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97.032</w:t>
                  </w:r>
                </w:p>
              </w:tc>
              <w:tc>
                <w:tcPr>
                  <w:tcW w:w="1644" w:type="dxa"/>
                  <w:tcBorders>
                    <w:tl2br w:val="nil"/>
                    <w:tr2bl w:val="nil"/>
                  </w:tcBorders>
                  <w:vAlign w:val="center"/>
                </w:tcPr>
                <w:p w14:paraId="08D9B7F4">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96.071</w:t>
                  </w:r>
                </w:p>
              </w:tc>
              <w:tc>
                <w:tcPr>
                  <w:tcW w:w="1645" w:type="dxa"/>
                  <w:tcBorders>
                    <w:tl2br w:val="nil"/>
                    <w:tr2bl w:val="nil"/>
                  </w:tcBorders>
                  <w:vAlign w:val="center"/>
                </w:tcPr>
                <w:p w14:paraId="297101F8">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96.299</w:t>
                  </w:r>
                </w:p>
              </w:tc>
            </w:tr>
            <w:tr w14:paraId="05FD20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7BFE087B">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w:t>
                  </w:r>
                </w:p>
              </w:tc>
              <w:tc>
                <w:tcPr>
                  <w:tcW w:w="1644" w:type="dxa"/>
                  <w:tcBorders>
                    <w:tl2br w:val="nil"/>
                    <w:tr2bl w:val="nil"/>
                  </w:tcBorders>
                  <w:vAlign w:val="center"/>
                </w:tcPr>
                <w:p w14:paraId="76967451">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C</w:t>
                  </w:r>
                  <w:r>
                    <w:rPr>
                      <w:rFonts w:hint="default" w:ascii="Times New Roman" w:hAnsi="Times New Roman" w:eastAsia="宋体" w:cs="Times New Roman"/>
                      <w:color w:val="000000" w:themeColor="text1"/>
                      <w:sz w:val="21"/>
                      <w:szCs w:val="21"/>
                      <w:vertAlign w:val="subscript"/>
                    </w:rPr>
                    <w:t>2</w:t>
                  </w:r>
                  <w:r>
                    <w:rPr>
                      <w:rFonts w:hint="default" w:ascii="Times New Roman" w:hAnsi="Times New Roman" w:eastAsia="宋体" w:cs="Times New Roman"/>
                      <w:color w:val="000000" w:themeColor="text1"/>
                      <w:sz w:val="21"/>
                      <w:szCs w:val="21"/>
                    </w:rPr>
                    <w:t>，mol%</w:t>
                  </w:r>
                </w:p>
              </w:tc>
              <w:tc>
                <w:tcPr>
                  <w:tcW w:w="1644" w:type="dxa"/>
                  <w:tcBorders>
                    <w:tl2br w:val="nil"/>
                    <w:tr2bl w:val="nil"/>
                  </w:tcBorders>
                  <w:vAlign w:val="center"/>
                </w:tcPr>
                <w:p w14:paraId="30CD0691">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2.014</w:t>
                  </w:r>
                </w:p>
              </w:tc>
              <w:tc>
                <w:tcPr>
                  <w:tcW w:w="1644" w:type="dxa"/>
                  <w:tcBorders>
                    <w:tl2br w:val="nil"/>
                    <w:tr2bl w:val="nil"/>
                  </w:tcBorders>
                  <w:vAlign w:val="center"/>
                </w:tcPr>
                <w:p w14:paraId="68120449">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2.789</w:t>
                  </w:r>
                </w:p>
              </w:tc>
              <w:tc>
                <w:tcPr>
                  <w:tcW w:w="1645" w:type="dxa"/>
                  <w:tcBorders>
                    <w:tl2br w:val="nil"/>
                    <w:tr2bl w:val="nil"/>
                  </w:tcBorders>
                  <w:vAlign w:val="center"/>
                </w:tcPr>
                <w:p w14:paraId="7C330F02">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2.585</w:t>
                  </w:r>
                </w:p>
              </w:tc>
            </w:tr>
            <w:tr w14:paraId="52B7B0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12782BDF">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4</w:t>
                  </w:r>
                </w:p>
              </w:tc>
              <w:tc>
                <w:tcPr>
                  <w:tcW w:w="1644" w:type="dxa"/>
                  <w:tcBorders>
                    <w:tl2br w:val="nil"/>
                    <w:tr2bl w:val="nil"/>
                  </w:tcBorders>
                  <w:vAlign w:val="center"/>
                </w:tcPr>
                <w:p w14:paraId="35DB013E">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C</w:t>
                  </w:r>
                  <w:r>
                    <w:rPr>
                      <w:rFonts w:hint="default" w:ascii="Times New Roman" w:hAnsi="Times New Roman" w:eastAsia="宋体" w:cs="Times New Roman"/>
                      <w:color w:val="000000" w:themeColor="text1"/>
                      <w:sz w:val="21"/>
                      <w:szCs w:val="21"/>
                      <w:vertAlign w:val="subscript"/>
                    </w:rPr>
                    <w:t>3</w:t>
                  </w:r>
                  <w:r>
                    <w:rPr>
                      <w:rFonts w:hint="default" w:ascii="Times New Roman" w:hAnsi="Times New Roman" w:eastAsia="宋体" w:cs="Times New Roman"/>
                      <w:color w:val="000000" w:themeColor="text1"/>
                      <w:sz w:val="21"/>
                      <w:szCs w:val="21"/>
                    </w:rPr>
                    <w:t>，mol%</w:t>
                  </w:r>
                </w:p>
              </w:tc>
              <w:tc>
                <w:tcPr>
                  <w:tcW w:w="1644" w:type="dxa"/>
                  <w:tcBorders>
                    <w:tl2br w:val="nil"/>
                    <w:tr2bl w:val="nil"/>
                  </w:tcBorders>
                  <w:vAlign w:val="center"/>
                </w:tcPr>
                <w:p w14:paraId="7428F62A">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0.346</w:t>
                  </w:r>
                </w:p>
              </w:tc>
              <w:tc>
                <w:tcPr>
                  <w:tcW w:w="1644" w:type="dxa"/>
                  <w:tcBorders>
                    <w:tl2br w:val="nil"/>
                    <w:tr2bl w:val="nil"/>
                  </w:tcBorders>
                  <w:vAlign w:val="center"/>
                </w:tcPr>
                <w:p w14:paraId="0CEA3033">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0.53</w:t>
                  </w:r>
                </w:p>
              </w:tc>
              <w:tc>
                <w:tcPr>
                  <w:tcW w:w="1645" w:type="dxa"/>
                  <w:tcBorders>
                    <w:tl2br w:val="nil"/>
                    <w:tr2bl w:val="nil"/>
                  </w:tcBorders>
                  <w:vAlign w:val="center"/>
                </w:tcPr>
                <w:p w14:paraId="36620D7B">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0.489</w:t>
                  </w:r>
                </w:p>
              </w:tc>
            </w:tr>
            <w:tr w14:paraId="65EED8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21565CCB">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w:t>
                  </w:r>
                </w:p>
              </w:tc>
              <w:tc>
                <w:tcPr>
                  <w:tcW w:w="1644" w:type="dxa"/>
                  <w:tcBorders>
                    <w:tl2br w:val="nil"/>
                    <w:tr2bl w:val="nil"/>
                  </w:tcBorders>
                  <w:vAlign w:val="center"/>
                </w:tcPr>
                <w:p w14:paraId="77A0DF95">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iC</w:t>
                  </w:r>
                  <w:r>
                    <w:rPr>
                      <w:rFonts w:hint="default" w:ascii="Times New Roman" w:hAnsi="Times New Roman" w:eastAsia="宋体" w:cs="Times New Roman"/>
                      <w:color w:val="000000" w:themeColor="text1"/>
                      <w:sz w:val="21"/>
                      <w:szCs w:val="21"/>
                      <w:vertAlign w:val="subscript"/>
                    </w:rPr>
                    <w:t>4</w:t>
                  </w:r>
                  <w:r>
                    <w:rPr>
                      <w:rFonts w:hint="default" w:ascii="Times New Roman" w:hAnsi="Times New Roman" w:eastAsia="宋体" w:cs="Times New Roman"/>
                      <w:color w:val="000000" w:themeColor="text1"/>
                      <w:sz w:val="21"/>
                      <w:szCs w:val="21"/>
                    </w:rPr>
                    <w:t>，mol%</w:t>
                  </w:r>
                </w:p>
              </w:tc>
              <w:tc>
                <w:tcPr>
                  <w:tcW w:w="1644" w:type="dxa"/>
                  <w:tcBorders>
                    <w:tl2br w:val="nil"/>
                    <w:tr2bl w:val="nil"/>
                  </w:tcBorders>
                  <w:vAlign w:val="center"/>
                </w:tcPr>
                <w:p w14:paraId="4846632D">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0.07</w:t>
                  </w:r>
                </w:p>
              </w:tc>
              <w:tc>
                <w:tcPr>
                  <w:tcW w:w="1644" w:type="dxa"/>
                  <w:tcBorders>
                    <w:tl2br w:val="nil"/>
                    <w:tr2bl w:val="nil"/>
                  </w:tcBorders>
                  <w:vAlign w:val="center"/>
                </w:tcPr>
                <w:p w14:paraId="35D9432E">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0.102</w:t>
                  </w:r>
                </w:p>
              </w:tc>
              <w:tc>
                <w:tcPr>
                  <w:tcW w:w="1645" w:type="dxa"/>
                  <w:tcBorders>
                    <w:tl2br w:val="nil"/>
                    <w:tr2bl w:val="nil"/>
                  </w:tcBorders>
                  <w:vAlign w:val="center"/>
                </w:tcPr>
                <w:p w14:paraId="0C0B0884">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0.1</w:t>
                  </w:r>
                </w:p>
              </w:tc>
            </w:tr>
            <w:tr w14:paraId="178345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73FE7533">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6</w:t>
                  </w:r>
                </w:p>
              </w:tc>
              <w:tc>
                <w:tcPr>
                  <w:tcW w:w="1644" w:type="dxa"/>
                  <w:tcBorders>
                    <w:tl2br w:val="nil"/>
                    <w:tr2bl w:val="nil"/>
                  </w:tcBorders>
                  <w:vAlign w:val="center"/>
                </w:tcPr>
                <w:p w14:paraId="6A89877A">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nC</w:t>
                  </w:r>
                  <w:r>
                    <w:rPr>
                      <w:rFonts w:hint="default" w:ascii="Times New Roman" w:hAnsi="Times New Roman" w:eastAsia="宋体" w:cs="Times New Roman"/>
                      <w:color w:val="000000" w:themeColor="text1"/>
                      <w:sz w:val="21"/>
                      <w:szCs w:val="21"/>
                      <w:vertAlign w:val="subscript"/>
                    </w:rPr>
                    <w:t>4</w:t>
                  </w:r>
                  <w:r>
                    <w:rPr>
                      <w:rFonts w:hint="default" w:ascii="Times New Roman" w:hAnsi="Times New Roman" w:eastAsia="宋体" w:cs="Times New Roman"/>
                      <w:color w:val="000000" w:themeColor="text1"/>
                      <w:sz w:val="21"/>
                      <w:szCs w:val="21"/>
                    </w:rPr>
                    <w:t>，mol%</w:t>
                  </w:r>
                </w:p>
              </w:tc>
              <w:tc>
                <w:tcPr>
                  <w:tcW w:w="1644" w:type="dxa"/>
                  <w:tcBorders>
                    <w:tl2br w:val="nil"/>
                    <w:tr2bl w:val="nil"/>
                  </w:tcBorders>
                  <w:vAlign w:val="center"/>
                </w:tcPr>
                <w:p w14:paraId="062CC5CF">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0.078</w:t>
                  </w:r>
                </w:p>
              </w:tc>
              <w:tc>
                <w:tcPr>
                  <w:tcW w:w="1644" w:type="dxa"/>
                  <w:tcBorders>
                    <w:tl2br w:val="nil"/>
                    <w:tr2bl w:val="nil"/>
                  </w:tcBorders>
                  <w:vAlign w:val="center"/>
                </w:tcPr>
                <w:p w14:paraId="5B5C5177">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0.129</w:t>
                  </w:r>
                </w:p>
              </w:tc>
              <w:tc>
                <w:tcPr>
                  <w:tcW w:w="1645" w:type="dxa"/>
                  <w:tcBorders>
                    <w:tl2br w:val="nil"/>
                    <w:tr2bl w:val="nil"/>
                  </w:tcBorders>
                  <w:vAlign w:val="center"/>
                </w:tcPr>
                <w:p w14:paraId="0962A963">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0.118</w:t>
                  </w:r>
                </w:p>
              </w:tc>
            </w:tr>
            <w:tr w14:paraId="16E352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6B526B1A">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7</w:t>
                  </w:r>
                </w:p>
              </w:tc>
              <w:tc>
                <w:tcPr>
                  <w:tcW w:w="1644" w:type="dxa"/>
                  <w:tcBorders>
                    <w:tl2br w:val="nil"/>
                    <w:tr2bl w:val="nil"/>
                  </w:tcBorders>
                  <w:vAlign w:val="center"/>
                </w:tcPr>
                <w:p w14:paraId="63293A96">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iC</w:t>
                  </w:r>
                  <w:r>
                    <w:rPr>
                      <w:rFonts w:hint="default" w:ascii="Times New Roman" w:hAnsi="Times New Roman" w:eastAsia="宋体" w:cs="Times New Roman"/>
                      <w:color w:val="000000" w:themeColor="text1"/>
                      <w:sz w:val="21"/>
                      <w:szCs w:val="21"/>
                      <w:vertAlign w:val="subscript"/>
                    </w:rPr>
                    <w:t>5</w:t>
                  </w:r>
                  <w:r>
                    <w:rPr>
                      <w:rFonts w:hint="default" w:ascii="Times New Roman" w:hAnsi="Times New Roman" w:eastAsia="宋体" w:cs="Times New Roman"/>
                      <w:color w:val="000000" w:themeColor="text1"/>
                      <w:sz w:val="21"/>
                      <w:szCs w:val="21"/>
                    </w:rPr>
                    <w:t>，mol%</w:t>
                  </w:r>
                </w:p>
              </w:tc>
              <w:tc>
                <w:tcPr>
                  <w:tcW w:w="1644" w:type="dxa"/>
                  <w:tcBorders>
                    <w:tl2br w:val="nil"/>
                    <w:tr2bl w:val="nil"/>
                  </w:tcBorders>
                  <w:vAlign w:val="center"/>
                </w:tcPr>
                <w:p w14:paraId="21CBC847">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0.002</w:t>
                  </w:r>
                </w:p>
              </w:tc>
              <w:tc>
                <w:tcPr>
                  <w:tcW w:w="1644" w:type="dxa"/>
                  <w:tcBorders>
                    <w:tl2br w:val="nil"/>
                    <w:tr2bl w:val="nil"/>
                  </w:tcBorders>
                  <w:vAlign w:val="center"/>
                </w:tcPr>
                <w:p w14:paraId="6015DD9B">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0.003</w:t>
                  </w:r>
                </w:p>
              </w:tc>
              <w:tc>
                <w:tcPr>
                  <w:tcW w:w="1645" w:type="dxa"/>
                  <w:tcBorders>
                    <w:tl2br w:val="nil"/>
                    <w:tr2bl w:val="nil"/>
                  </w:tcBorders>
                  <w:vAlign w:val="center"/>
                </w:tcPr>
                <w:p w14:paraId="16F66476">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0.003</w:t>
                  </w:r>
                </w:p>
              </w:tc>
            </w:tr>
            <w:tr w14:paraId="19F101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0FF75B73">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8</w:t>
                  </w:r>
                </w:p>
              </w:tc>
              <w:tc>
                <w:tcPr>
                  <w:tcW w:w="1644" w:type="dxa"/>
                  <w:tcBorders>
                    <w:tl2br w:val="nil"/>
                    <w:tr2bl w:val="nil"/>
                  </w:tcBorders>
                  <w:vAlign w:val="center"/>
                </w:tcPr>
                <w:p w14:paraId="0D9891CF">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nC</w:t>
                  </w:r>
                  <w:r>
                    <w:rPr>
                      <w:rFonts w:hint="default" w:ascii="Times New Roman" w:hAnsi="Times New Roman" w:eastAsia="宋体" w:cs="Times New Roman"/>
                      <w:color w:val="000000" w:themeColor="text1"/>
                      <w:sz w:val="21"/>
                      <w:szCs w:val="21"/>
                      <w:vertAlign w:val="subscript"/>
                    </w:rPr>
                    <w:t>5</w:t>
                  </w:r>
                  <w:r>
                    <w:rPr>
                      <w:rFonts w:hint="default" w:ascii="Times New Roman" w:hAnsi="Times New Roman" w:eastAsia="宋体" w:cs="Times New Roman"/>
                      <w:color w:val="000000" w:themeColor="text1"/>
                      <w:sz w:val="21"/>
                      <w:szCs w:val="21"/>
                    </w:rPr>
                    <w:t>，mol%</w:t>
                  </w:r>
                </w:p>
              </w:tc>
              <w:tc>
                <w:tcPr>
                  <w:tcW w:w="1644" w:type="dxa"/>
                  <w:tcBorders>
                    <w:tl2br w:val="nil"/>
                    <w:tr2bl w:val="nil"/>
                  </w:tcBorders>
                  <w:vAlign w:val="center"/>
                </w:tcPr>
                <w:p w14:paraId="4E4FDC71">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0.002</w:t>
                  </w:r>
                </w:p>
              </w:tc>
              <w:tc>
                <w:tcPr>
                  <w:tcW w:w="1644" w:type="dxa"/>
                  <w:tcBorders>
                    <w:tl2br w:val="nil"/>
                    <w:tr2bl w:val="nil"/>
                  </w:tcBorders>
                  <w:vAlign w:val="center"/>
                </w:tcPr>
                <w:p w14:paraId="2AFDA9BD">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0.003</w:t>
                  </w:r>
                </w:p>
              </w:tc>
              <w:tc>
                <w:tcPr>
                  <w:tcW w:w="1645" w:type="dxa"/>
                  <w:tcBorders>
                    <w:tl2br w:val="nil"/>
                    <w:tr2bl w:val="nil"/>
                  </w:tcBorders>
                  <w:vAlign w:val="center"/>
                </w:tcPr>
                <w:p w14:paraId="59E707DF">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0.003</w:t>
                  </w:r>
                </w:p>
              </w:tc>
            </w:tr>
            <w:tr w14:paraId="70EC98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5A604CD8">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9</w:t>
                  </w:r>
                </w:p>
              </w:tc>
              <w:tc>
                <w:tcPr>
                  <w:tcW w:w="1644" w:type="dxa"/>
                  <w:tcBorders>
                    <w:tl2br w:val="nil"/>
                    <w:tr2bl w:val="nil"/>
                  </w:tcBorders>
                  <w:vAlign w:val="center"/>
                </w:tcPr>
                <w:p w14:paraId="4FFD8133">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硫化氢:</w:t>
                  </w:r>
                </w:p>
              </w:tc>
              <w:tc>
                <w:tcPr>
                  <w:tcW w:w="1644" w:type="dxa"/>
                  <w:tcBorders>
                    <w:tl2br w:val="nil"/>
                    <w:tr2bl w:val="nil"/>
                  </w:tcBorders>
                  <w:vAlign w:val="center"/>
                </w:tcPr>
                <w:p w14:paraId="62B00A2E">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&lt;3.5</w:t>
                  </w:r>
                </w:p>
              </w:tc>
              <w:tc>
                <w:tcPr>
                  <w:tcW w:w="1644" w:type="dxa"/>
                  <w:tcBorders>
                    <w:tl2br w:val="nil"/>
                    <w:tr2bl w:val="nil"/>
                  </w:tcBorders>
                  <w:vAlign w:val="center"/>
                </w:tcPr>
                <w:p w14:paraId="51BAC021">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&lt;3.5</w:t>
                  </w:r>
                </w:p>
              </w:tc>
              <w:tc>
                <w:tcPr>
                  <w:tcW w:w="1645" w:type="dxa"/>
                  <w:tcBorders>
                    <w:tl2br w:val="nil"/>
                    <w:tr2bl w:val="nil"/>
                  </w:tcBorders>
                  <w:vAlign w:val="center"/>
                </w:tcPr>
                <w:p w14:paraId="44E90E35">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&lt;3.5</w:t>
                  </w:r>
                </w:p>
              </w:tc>
            </w:tr>
            <w:tr w14:paraId="27B12A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0D8B2624">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10</w:t>
                  </w:r>
                </w:p>
              </w:tc>
              <w:tc>
                <w:tcPr>
                  <w:tcW w:w="1644" w:type="dxa"/>
                  <w:tcBorders>
                    <w:tl2br w:val="nil"/>
                    <w:tr2bl w:val="nil"/>
                  </w:tcBorders>
                  <w:vAlign w:val="center"/>
                </w:tcPr>
                <w:p w14:paraId="600D488E">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总硫份:</w:t>
                  </w:r>
                </w:p>
              </w:tc>
              <w:tc>
                <w:tcPr>
                  <w:tcW w:w="1644" w:type="dxa"/>
                  <w:tcBorders>
                    <w:tl2br w:val="nil"/>
                    <w:tr2bl w:val="nil"/>
                  </w:tcBorders>
                  <w:vAlign w:val="center"/>
                </w:tcPr>
                <w:p w14:paraId="6F131EE7">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33.8</w:t>
                  </w:r>
                </w:p>
              </w:tc>
              <w:tc>
                <w:tcPr>
                  <w:tcW w:w="1644" w:type="dxa"/>
                  <w:tcBorders>
                    <w:tl2br w:val="nil"/>
                    <w:tr2bl w:val="nil"/>
                  </w:tcBorders>
                  <w:vAlign w:val="center"/>
                </w:tcPr>
                <w:p w14:paraId="4CBC3253">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33.4</w:t>
                  </w:r>
                </w:p>
              </w:tc>
              <w:tc>
                <w:tcPr>
                  <w:tcW w:w="1645" w:type="dxa"/>
                  <w:tcBorders>
                    <w:tl2br w:val="nil"/>
                    <w:tr2bl w:val="nil"/>
                  </w:tcBorders>
                  <w:vAlign w:val="center"/>
                </w:tcPr>
                <w:p w14:paraId="489C5459">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33.5</w:t>
                  </w:r>
                </w:p>
              </w:tc>
            </w:tr>
            <w:tr w14:paraId="216D9A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2DD3C7B4">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11</w:t>
                  </w:r>
                </w:p>
              </w:tc>
              <w:tc>
                <w:tcPr>
                  <w:tcW w:w="1644" w:type="dxa"/>
                  <w:tcBorders>
                    <w:tl2br w:val="nil"/>
                    <w:tr2bl w:val="nil"/>
                  </w:tcBorders>
                  <w:vAlign w:val="center"/>
                </w:tcPr>
                <w:p w14:paraId="37D45561">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杂质及其它</w:t>
                  </w:r>
                </w:p>
              </w:tc>
              <w:tc>
                <w:tcPr>
                  <w:tcW w:w="1644" w:type="dxa"/>
                  <w:tcBorders>
                    <w:tl2br w:val="nil"/>
                    <w:tr2bl w:val="nil"/>
                  </w:tcBorders>
                  <w:vAlign w:val="center"/>
                </w:tcPr>
                <w:p w14:paraId="46E3E94B">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无</w:t>
                  </w:r>
                </w:p>
              </w:tc>
              <w:tc>
                <w:tcPr>
                  <w:tcW w:w="1644" w:type="dxa"/>
                  <w:tcBorders>
                    <w:tl2br w:val="nil"/>
                    <w:tr2bl w:val="nil"/>
                  </w:tcBorders>
                  <w:vAlign w:val="center"/>
                </w:tcPr>
                <w:p w14:paraId="255987E8">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无</w:t>
                  </w:r>
                </w:p>
              </w:tc>
              <w:tc>
                <w:tcPr>
                  <w:tcW w:w="1645" w:type="dxa"/>
                  <w:tcBorders>
                    <w:tl2br w:val="nil"/>
                    <w:tr2bl w:val="nil"/>
                  </w:tcBorders>
                  <w:vAlign w:val="center"/>
                </w:tcPr>
                <w:p w14:paraId="53213638">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无</w:t>
                  </w:r>
                </w:p>
              </w:tc>
            </w:tr>
            <w:tr w14:paraId="4AFF63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425FCA77">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12</w:t>
                  </w:r>
                </w:p>
              </w:tc>
              <w:tc>
                <w:tcPr>
                  <w:tcW w:w="1644" w:type="dxa"/>
                  <w:tcBorders>
                    <w:tl2br w:val="nil"/>
                    <w:tr2bl w:val="nil"/>
                  </w:tcBorders>
                  <w:vAlign w:val="center"/>
                </w:tcPr>
                <w:p w14:paraId="64F032F6">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分子量kg/kmol</w:t>
                  </w:r>
                </w:p>
              </w:tc>
              <w:tc>
                <w:tcPr>
                  <w:tcW w:w="1644" w:type="dxa"/>
                  <w:tcBorders>
                    <w:tl2br w:val="nil"/>
                    <w:tr2bl w:val="nil"/>
                  </w:tcBorders>
                  <w:vAlign w:val="center"/>
                </w:tcPr>
                <w:p w14:paraId="50FDD848">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16.54</w:t>
                  </w:r>
                </w:p>
              </w:tc>
              <w:tc>
                <w:tcPr>
                  <w:tcW w:w="1644" w:type="dxa"/>
                  <w:tcBorders>
                    <w:tl2br w:val="nil"/>
                    <w:tr2bl w:val="nil"/>
                  </w:tcBorders>
                  <w:vAlign w:val="center"/>
                </w:tcPr>
                <w:p w14:paraId="2A4AF19F">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16.73</w:t>
                  </w:r>
                </w:p>
              </w:tc>
              <w:tc>
                <w:tcPr>
                  <w:tcW w:w="1645" w:type="dxa"/>
                  <w:tcBorders>
                    <w:tl2br w:val="nil"/>
                    <w:tr2bl w:val="nil"/>
                  </w:tcBorders>
                  <w:vAlign w:val="center"/>
                </w:tcPr>
                <w:p w14:paraId="3B86AA6E">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16.69</w:t>
                  </w:r>
                </w:p>
              </w:tc>
            </w:tr>
            <w:tr w14:paraId="4074B2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72BCBC88">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13</w:t>
                  </w:r>
                </w:p>
              </w:tc>
              <w:tc>
                <w:tcPr>
                  <w:tcW w:w="1644" w:type="dxa"/>
                  <w:tcBorders>
                    <w:tl2br w:val="nil"/>
                    <w:tr2bl w:val="nil"/>
                  </w:tcBorders>
                  <w:vAlign w:val="center"/>
                </w:tcPr>
                <w:p w14:paraId="7B17B684">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气化温度T</w:t>
                  </w:r>
                </w:p>
              </w:tc>
              <w:tc>
                <w:tcPr>
                  <w:tcW w:w="1644" w:type="dxa"/>
                  <w:tcBorders>
                    <w:tl2br w:val="nil"/>
                    <w:tr2bl w:val="nil"/>
                  </w:tcBorders>
                  <w:vAlign w:val="center"/>
                </w:tcPr>
                <w:p w14:paraId="22485580">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-162.5</w:t>
                  </w:r>
                </w:p>
              </w:tc>
              <w:tc>
                <w:tcPr>
                  <w:tcW w:w="1644" w:type="dxa"/>
                  <w:tcBorders>
                    <w:tl2br w:val="nil"/>
                    <w:tr2bl w:val="nil"/>
                  </w:tcBorders>
                  <w:vAlign w:val="center"/>
                </w:tcPr>
                <w:p w14:paraId="4C1B5048">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-162.1</w:t>
                  </w:r>
                </w:p>
              </w:tc>
              <w:tc>
                <w:tcPr>
                  <w:tcW w:w="1645" w:type="dxa"/>
                  <w:tcBorders>
                    <w:tl2br w:val="nil"/>
                    <w:tr2bl w:val="nil"/>
                  </w:tcBorders>
                  <w:vAlign w:val="center"/>
                </w:tcPr>
                <w:p w14:paraId="0DE3048D">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-162.2</w:t>
                  </w:r>
                </w:p>
              </w:tc>
            </w:tr>
            <w:tr w14:paraId="0B8E8F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27578F57">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14</w:t>
                  </w:r>
                </w:p>
              </w:tc>
              <w:tc>
                <w:tcPr>
                  <w:tcW w:w="1644" w:type="dxa"/>
                  <w:tcBorders>
                    <w:tl2br w:val="nil"/>
                    <w:tr2bl w:val="nil"/>
                  </w:tcBorders>
                  <w:vAlign w:val="center"/>
                </w:tcPr>
                <w:p w14:paraId="055AE753">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液相密度kg/m</w:t>
                  </w:r>
                  <w:r>
                    <w:rPr>
                      <w:rFonts w:hint="default" w:ascii="Times New Roman" w:hAnsi="Times New Roman" w:eastAsia="宋体" w:cs="Times New Roman"/>
                      <w:color w:val="000000" w:themeColor="text1"/>
                      <w:sz w:val="21"/>
                      <w:szCs w:val="21"/>
                      <w:vertAlign w:val="superscript"/>
                    </w:rPr>
                    <w:t>3</w:t>
                  </w:r>
                </w:p>
              </w:tc>
              <w:tc>
                <w:tcPr>
                  <w:tcW w:w="1644" w:type="dxa"/>
                  <w:tcBorders>
                    <w:tl2br w:val="nil"/>
                    <w:tr2bl w:val="nil"/>
                  </w:tcBorders>
                  <w:vAlign w:val="center"/>
                </w:tcPr>
                <w:p w14:paraId="438AC064">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435.2</w:t>
                  </w:r>
                </w:p>
              </w:tc>
              <w:tc>
                <w:tcPr>
                  <w:tcW w:w="1644" w:type="dxa"/>
                  <w:tcBorders>
                    <w:tl2br w:val="nil"/>
                    <w:tr2bl w:val="nil"/>
                  </w:tcBorders>
                  <w:vAlign w:val="center"/>
                </w:tcPr>
                <w:p w14:paraId="6FEA7C26">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438.3</w:t>
                  </w:r>
                </w:p>
              </w:tc>
              <w:tc>
                <w:tcPr>
                  <w:tcW w:w="1645" w:type="dxa"/>
                  <w:tcBorders>
                    <w:tl2br w:val="nil"/>
                    <w:tr2bl w:val="nil"/>
                  </w:tcBorders>
                  <w:vAlign w:val="center"/>
                </w:tcPr>
                <w:p w14:paraId="77565A39">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437.7</w:t>
                  </w:r>
                </w:p>
              </w:tc>
            </w:tr>
            <w:tr w14:paraId="59FB8B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1151B4AC">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15</w:t>
                  </w:r>
                </w:p>
              </w:tc>
              <w:tc>
                <w:tcPr>
                  <w:tcW w:w="1644" w:type="dxa"/>
                  <w:tcBorders>
                    <w:tl2br w:val="nil"/>
                    <w:tr2bl w:val="nil"/>
                  </w:tcBorders>
                  <w:vAlign w:val="center"/>
                </w:tcPr>
                <w:p w14:paraId="724262C0">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液相热值</w:t>
                  </w:r>
                </w:p>
              </w:tc>
              <w:tc>
                <w:tcPr>
                  <w:tcW w:w="1644" w:type="dxa"/>
                  <w:tcBorders>
                    <w:tl2br w:val="nil"/>
                    <w:tr2bl w:val="nil"/>
                  </w:tcBorders>
                  <w:vAlign w:val="center"/>
                </w:tcPr>
                <w:p w14:paraId="0D775257">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52.06</w:t>
                  </w:r>
                </w:p>
              </w:tc>
              <w:tc>
                <w:tcPr>
                  <w:tcW w:w="1644" w:type="dxa"/>
                  <w:tcBorders>
                    <w:tl2br w:val="nil"/>
                    <w:tr2bl w:val="nil"/>
                  </w:tcBorders>
                  <w:vAlign w:val="center"/>
                </w:tcPr>
                <w:p w14:paraId="52F0405B">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52.05</w:t>
                  </w:r>
                </w:p>
              </w:tc>
              <w:tc>
                <w:tcPr>
                  <w:tcW w:w="1645" w:type="dxa"/>
                  <w:tcBorders>
                    <w:tl2br w:val="nil"/>
                    <w:tr2bl w:val="nil"/>
                  </w:tcBorders>
                  <w:vAlign w:val="center"/>
                </w:tcPr>
                <w:p w14:paraId="04B53640">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52.04</w:t>
                  </w:r>
                </w:p>
              </w:tc>
            </w:tr>
            <w:tr w14:paraId="7916FE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6868F28E">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16</w:t>
                  </w:r>
                </w:p>
              </w:tc>
              <w:tc>
                <w:tcPr>
                  <w:tcW w:w="6577" w:type="dxa"/>
                  <w:gridSpan w:val="4"/>
                  <w:tcBorders>
                    <w:tl2br w:val="nil"/>
                    <w:tr2bl w:val="nil"/>
                  </w:tcBorders>
                  <w:vAlign w:val="center"/>
                </w:tcPr>
                <w:p w14:paraId="1403622A">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气相密度</w:t>
                  </w:r>
                </w:p>
              </w:tc>
            </w:tr>
            <w:tr w14:paraId="7AB0F8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03426B55">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17</w:t>
                  </w:r>
                </w:p>
              </w:tc>
              <w:tc>
                <w:tcPr>
                  <w:tcW w:w="1644" w:type="dxa"/>
                  <w:tcBorders>
                    <w:tl2br w:val="nil"/>
                    <w:tr2bl w:val="nil"/>
                  </w:tcBorders>
                  <w:vAlign w:val="center"/>
                </w:tcPr>
                <w:p w14:paraId="1A2F40B9">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0℃，kg/Nm</w:t>
                  </w:r>
                  <w:r>
                    <w:rPr>
                      <w:rFonts w:hint="default" w:ascii="Times New Roman" w:hAnsi="Times New Roman" w:eastAsia="宋体" w:cs="Times New Roman"/>
                      <w:color w:val="000000" w:themeColor="text1"/>
                      <w:sz w:val="21"/>
                      <w:szCs w:val="21"/>
                      <w:vertAlign w:val="superscript"/>
                    </w:rPr>
                    <w:t>3</w:t>
                  </w:r>
                </w:p>
              </w:tc>
              <w:tc>
                <w:tcPr>
                  <w:tcW w:w="1644" w:type="dxa"/>
                  <w:tcBorders>
                    <w:tl2br w:val="nil"/>
                    <w:tr2bl w:val="nil"/>
                  </w:tcBorders>
                  <w:vAlign w:val="center"/>
                </w:tcPr>
                <w:p w14:paraId="0A15740F">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0.7399</w:t>
                  </w:r>
                </w:p>
              </w:tc>
              <w:tc>
                <w:tcPr>
                  <w:tcW w:w="1644" w:type="dxa"/>
                  <w:tcBorders>
                    <w:tl2br w:val="nil"/>
                    <w:tr2bl w:val="nil"/>
                  </w:tcBorders>
                  <w:vAlign w:val="center"/>
                </w:tcPr>
                <w:p w14:paraId="31040194">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0.7483</w:t>
                  </w:r>
                </w:p>
              </w:tc>
              <w:tc>
                <w:tcPr>
                  <w:tcW w:w="1645" w:type="dxa"/>
                  <w:tcBorders>
                    <w:tl2br w:val="nil"/>
                    <w:tr2bl w:val="nil"/>
                  </w:tcBorders>
                  <w:vAlign w:val="center"/>
                </w:tcPr>
                <w:p w14:paraId="1E564678">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0.7464</w:t>
                  </w:r>
                </w:p>
              </w:tc>
            </w:tr>
            <w:tr w14:paraId="70DF32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58F9FB5E">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18</w:t>
                  </w:r>
                </w:p>
              </w:tc>
              <w:tc>
                <w:tcPr>
                  <w:tcW w:w="1644" w:type="dxa"/>
                  <w:tcBorders>
                    <w:tl2br w:val="nil"/>
                    <w:tr2bl w:val="nil"/>
                  </w:tcBorders>
                  <w:vAlign w:val="center"/>
                </w:tcPr>
                <w:p w14:paraId="289D6D2B">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20℃，kg/m</w:t>
                  </w:r>
                  <w:r>
                    <w:rPr>
                      <w:rFonts w:hint="default" w:ascii="Times New Roman" w:hAnsi="Times New Roman" w:eastAsia="宋体" w:cs="Times New Roman"/>
                      <w:color w:val="000000" w:themeColor="text1"/>
                      <w:sz w:val="21"/>
                      <w:szCs w:val="21"/>
                      <w:vertAlign w:val="superscript"/>
                    </w:rPr>
                    <w:t>3</w:t>
                  </w:r>
                </w:p>
              </w:tc>
              <w:tc>
                <w:tcPr>
                  <w:tcW w:w="1644" w:type="dxa"/>
                  <w:tcBorders>
                    <w:tl2br w:val="nil"/>
                    <w:tr2bl w:val="nil"/>
                  </w:tcBorders>
                  <w:vAlign w:val="center"/>
                </w:tcPr>
                <w:p w14:paraId="1374A0F4">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0.689</w:t>
                  </w:r>
                </w:p>
              </w:tc>
              <w:tc>
                <w:tcPr>
                  <w:tcW w:w="1644" w:type="dxa"/>
                  <w:tcBorders>
                    <w:tl2br w:val="nil"/>
                    <w:tr2bl w:val="nil"/>
                  </w:tcBorders>
                  <w:vAlign w:val="center"/>
                </w:tcPr>
                <w:p w14:paraId="1DA6BB96">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0.6968</w:t>
                  </w:r>
                </w:p>
              </w:tc>
              <w:tc>
                <w:tcPr>
                  <w:tcW w:w="1645" w:type="dxa"/>
                  <w:tcBorders>
                    <w:tl2br w:val="nil"/>
                    <w:tr2bl w:val="nil"/>
                  </w:tcBorders>
                  <w:vAlign w:val="center"/>
                </w:tcPr>
                <w:p w14:paraId="4ED70408">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0.6951</w:t>
                  </w:r>
                </w:p>
              </w:tc>
            </w:tr>
            <w:tr w14:paraId="712BD3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0895AAB3">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19</w:t>
                  </w:r>
                </w:p>
              </w:tc>
              <w:tc>
                <w:tcPr>
                  <w:tcW w:w="6577" w:type="dxa"/>
                  <w:gridSpan w:val="4"/>
                  <w:tcBorders>
                    <w:tl2br w:val="nil"/>
                    <w:tr2bl w:val="nil"/>
                  </w:tcBorders>
                  <w:vAlign w:val="center"/>
                </w:tcPr>
                <w:p w14:paraId="201E7351">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液态/气态膨胀系数</w:t>
                  </w:r>
                </w:p>
              </w:tc>
            </w:tr>
            <w:tr w14:paraId="0B9ACD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795EA1E7">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20</w:t>
                  </w:r>
                </w:p>
              </w:tc>
              <w:tc>
                <w:tcPr>
                  <w:tcW w:w="1644" w:type="dxa"/>
                  <w:tcBorders>
                    <w:tl2br w:val="nil"/>
                    <w:tr2bl w:val="nil"/>
                  </w:tcBorders>
                  <w:vAlign w:val="center"/>
                </w:tcPr>
                <w:p w14:paraId="7B333BFB">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p>
              </w:tc>
              <w:tc>
                <w:tcPr>
                  <w:tcW w:w="1644" w:type="dxa"/>
                  <w:tcBorders>
                    <w:tl2br w:val="nil"/>
                    <w:tr2bl w:val="nil"/>
                  </w:tcBorders>
                  <w:vAlign w:val="center"/>
                </w:tcPr>
                <w:p w14:paraId="740DA6FE">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588.2</w:t>
                  </w:r>
                </w:p>
              </w:tc>
              <w:tc>
                <w:tcPr>
                  <w:tcW w:w="1644" w:type="dxa"/>
                  <w:tcBorders>
                    <w:tl2br w:val="nil"/>
                    <w:tr2bl w:val="nil"/>
                  </w:tcBorders>
                  <w:vAlign w:val="center"/>
                </w:tcPr>
                <w:p w14:paraId="501D6358">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585.7</w:t>
                  </w:r>
                </w:p>
              </w:tc>
              <w:tc>
                <w:tcPr>
                  <w:tcW w:w="1645" w:type="dxa"/>
                  <w:tcBorders>
                    <w:tl2br w:val="nil"/>
                    <w:tr2bl w:val="nil"/>
                  </w:tcBorders>
                  <w:vAlign w:val="center"/>
                </w:tcPr>
                <w:p w14:paraId="2FB7030F">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586.4</w:t>
                  </w:r>
                </w:p>
              </w:tc>
            </w:tr>
            <w:tr w14:paraId="6079BB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7C9B53F1">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21</w:t>
                  </w:r>
                </w:p>
              </w:tc>
              <w:tc>
                <w:tcPr>
                  <w:tcW w:w="1644" w:type="dxa"/>
                  <w:tcBorders>
                    <w:tl2br w:val="nil"/>
                    <w:tr2bl w:val="nil"/>
                  </w:tcBorders>
                  <w:vAlign w:val="center"/>
                </w:tcPr>
                <w:p w14:paraId="382FDAF8">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20℃</w:t>
                  </w:r>
                </w:p>
              </w:tc>
              <w:tc>
                <w:tcPr>
                  <w:tcW w:w="1644" w:type="dxa"/>
                  <w:tcBorders>
                    <w:tl2br w:val="nil"/>
                    <w:tr2bl w:val="nil"/>
                  </w:tcBorders>
                  <w:vAlign w:val="center"/>
                </w:tcPr>
                <w:p w14:paraId="038259D6">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631.6</w:t>
                  </w:r>
                </w:p>
              </w:tc>
              <w:tc>
                <w:tcPr>
                  <w:tcW w:w="1644" w:type="dxa"/>
                  <w:tcBorders>
                    <w:tl2br w:val="nil"/>
                    <w:tr2bl w:val="nil"/>
                  </w:tcBorders>
                  <w:vAlign w:val="center"/>
                </w:tcPr>
                <w:p w14:paraId="23494590">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629</w:t>
                  </w:r>
                </w:p>
              </w:tc>
              <w:tc>
                <w:tcPr>
                  <w:tcW w:w="1645" w:type="dxa"/>
                  <w:tcBorders>
                    <w:tl2br w:val="nil"/>
                    <w:tr2bl w:val="nil"/>
                  </w:tcBorders>
                  <w:vAlign w:val="center"/>
                </w:tcPr>
                <w:p w14:paraId="7F55CB1F">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629.6</w:t>
                  </w:r>
                </w:p>
              </w:tc>
            </w:tr>
            <w:tr w14:paraId="6B2856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20F8549F">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22</w:t>
                  </w:r>
                </w:p>
              </w:tc>
              <w:tc>
                <w:tcPr>
                  <w:tcW w:w="6577" w:type="dxa"/>
                  <w:gridSpan w:val="4"/>
                  <w:tcBorders>
                    <w:tl2br w:val="nil"/>
                    <w:tr2bl w:val="nil"/>
                  </w:tcBorders>
                  <w:vAlign w:val="center"/>
                </w:tcPr>
                <w:p w14:paraId="412EE7AC">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0℃状态下，1.01325bar</w:t>
                  </w:r>
                </w:p>
              </w:tc>
            </w:tr>
            <w:tr w14:paraId="476AE0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710B5BF5">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23</w:t>
                  </w:r>
                </w:p>
              </w:tc>
              <w:tc>
                <w:tcPr>
                  <w:tcW w:w="1644" w:type="dxa"/>
                  <w:tcBorders>
                    <w:tl2br w:val="nil"/>
                    <w:tr2bl w:val="nil"/>
                  </w:tcBorders>
                  <w:vAlign w:val="center"/>
                </w:tcPr>
                <w:p w14:paraId="3252CB94">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低热值，kJ/m</w:t>
                  </w:r>
                  <w:r>
                    <w:rPr>
                      <w:rFonts w:hint="default" w:ascii="Times New Roman" w:hAnsi="Times New Roman" w:eastAsia="宋体" w:cs="Times New Roman"/>
                      <w:color w:val="000000" w:themeColor="text1"/>
                      <w:sz w:val="21"/>
                      <w:szCs w:val="21"/>
                      <w:vertAlign w:val="superscript"/>
                    </w:rPr>
                    <w:t>3</w:t>
                  </w:r>
                </w:p>
              </w:tc>
              <w:tc>
                <w:tcPr>
                  <w:tcW w:w="1644" w:type="dxa"/>
                  <w:tcBorders>
                    <w:tl2br w:val="nil"/>
                    <w:tr2bl w:val="nil"/>
                  </w:tcBorders>
                  <w:vAlign w:val="center"/>
                </w:tcPr>
                <w:p w14:paraId="541C6420">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36，621</w:t>
                  </w:r>
                </w:p>
              </w:tc>
              <w:tc>
                <w:tcPr>
                  <w:tcW w:w="1644" w:type="dxa"/>
                  <w:tcBorders>
                    <w:tl2br w:val="nil"/>
                    <w:tr2bl w:val="nil"/>
                  </w:tcBorders>
                  <w:vAlign w:val="center"/>
                </w:tcPr>
                <w:p w14:paraId="2D563A26">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37，044</w:t>
                  </w:r>
                </w:p>
              </w:tc>
              <w:tc>
                <w:tcPr>
                  <w:tcW w:w="1645" w:type="dxa"/>
                  <w:tcBorders>
                    <w:tl2br w:val="nil"/>
                    <w:tr2bl w:val="nil"/>
                  </w:tcBorders>
                  <w:vAlign w:val="center"/>
                </w:tcPr>
                <w:p w14:paraId="20B234DC">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36，941</w:t>
                  </w:r>
                </w:p>
              </w:tc>
            </w:tr>
            <w:tr w14:paraId="7300B1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52E637C6">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24</w:t>
                  </w:r>
                </w:p>
              </w:tc>
              <w:tc>
                <w:tcPr>
                  <w:tcW w:w="1644" w:type="dxa"/>
                  <w:tcBorders>
                    <w:tl2br w:val="nil"/>
                    <w:tr2bl w:val="nil"/>
                  </w:tcBorders>
                  <w:vAlign w:val="center"/>
                </w:tcPr>
                <w:p w14:paraId="4A151259">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高热值，kJ/m</w:t>
                  </w:r>
                  <w:r>
                    <w:rPr>
                      <w:rFonts w:hint="default" w:ascii="Times New Roman" w:hAnsi="Times New Roman" w:eastAsia="宋体" w:cs="Times New Roman"/>
                      <w:color w:val="000000" w:themeColor="text1"/>
                      <w:sz w:val="21"/>
                      <w:szCs w:val="21"/>
                      <w:vertAlign w:val="superscript"/>
                    </w:rPr>
                    <w:t>3</w:t>
                  </w:r>
                </w:p>
              </w:tc>
              <w:tc>
                <w:tcPr>
                  <w:tcW w:w="1644" w:type="dxa"/>
                  <w:tcBorders>
                    <w:tl2br w:val="nil"/>
                    <w:tr2bl w:val="nil"/>
                  </w:tcBorders>
                  <w:vAlign w:val="center"/>
                </w:tcPr>
                <w:p w14:paraId="0D356E7D">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40，638</w:t>
                  </w:r>
                </w:p>
              </w:tc>
              <w:tc>
                <w:tcPr>
                  <w:tcW w:w="1644" w:type="dxa"/>
                  <w:tcBorders>
                    <w:tl2br w:val="nil"/>
                    <w:tr2bl w:val="nil"/>
                  </w:tcBorders>
                  <w:vAlign w:val="center"/>
                </w:tcPr>
                <w:p w14:paraId="00536840">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41，091</w:t>
                  </w:r>
                </w:p>
              </w:tc>
              <w:tc>
                <w:tcPr>
                  <w:tcW w:w="1645" w:type="dxa"/>
                  <w:tcBorders>
                    <w:tl2br w:val="nil"/>
                    <w:tr2bl w:val="nil"/>
                  </w:tcBorders>
                  <w:vAlign w:val="center"/>
                </w:tcPr>
                <w:p w14:paraId="7E8791EA">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40，980</w:t>
                  </w:r>
                </w:p>
              </w:tc>
            </w:tr>
            <w:tr w14:paraId="6A1725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23A9ED98">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25</w:t>
                  </w:r>
                </w:p>
              </w:tc>
              <w:tc>
                <w:tcPr>
                  <w:tcW w:w="1644" w:type="dxa"/>
                  <w:tcBorders>
                    <w:tl2br w:val="nil"/>
                    <w:tr2bl w:val="nil"/>
                  </w:tcBorders>
                  <w:vAlign w:val="center"/>
                </w:tcPr>
                <w:p w14:paraId="2846EE67">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华白值，kJ/m</w:t>
                  </w:r>
                  <w:r>
                    <w:rPr>
                      <w:rFonts w:hint="default" w:ascii="Times New Roman" w:hAnsi="Times New Roman" w:eastAsia="宋体" w:cs="Times New Roman"/>
                      <w:color w:val="000000" w:themeColor="text1"/>
                      <w:sz w:val="21"/>
                      <w:szCs w:val="21"/>
                      <w:vertAlign w:val="superscript"/>
                    </w:rPr>
                    <w:t>3</w:t>
                  </w:r>
                </w:p>
              </w:tc>
              <w:tc>
                <w:tcPr>
                  <w:tcW w:w="1644" w:type="dxa"/>
                  <w:tcBorders>
                    <w:tl2br w:val="nil"/>
                    <w:tr2bl w:val="nil"/>
                  </w:tcBorders>
                  <w:vAlign w:val="center"/>
                </w:tcPr>
                <w:p w14:paraId="715B5EC4">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53，769</w:t>
                  </w:r>
                </w:p>
              </w:tc>
              <w:tc>
                <w:tcPr>
                  <w:tcW w:w="1644" w:type="dxa"/>
                  <w:tcBorders>
                    <w:tl2br w:val="nil"/>
                    <w:tr2bl w:val="nil"/>
                  </w:tcBorders>
                  <w:vAlign w:val="center"/>
                </w:tcPr>
                <w:p w14:paraId="7B60C496">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54，064</w:t>
                  </w:r>
                </w:p>
              </w:tc>
              <w:tc>
                <w:tcPr>
                  <w:tcW w:w="1645" w:type="dxa"/>
                  <w:tcBorders>
                    <w:tl2br w:val="nil"/>
                    <w:tr2bl w:val="nil"/>
                  </w:tcBorders>
                  <w:vAlign w:val="center"/>
                </w:tcPr>
                <w:p w14:paraId="3E044ED5">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53，986</w:t>
                  </w:r>
                </w:p>
              </w:tc>
            </w:tr>
            <w:tr w14:paraId="008F35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3D923B1A">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26</w:t>
                  </w:r>
                </w:p>
              </w:tc>
              <w:tc>
                <w:tcPr>
                  <w:tcW w:w="6577" w:type="dxa"/>
                  <w:gridSpan w:val="4"/>
                  <w:tcBorders>
                    <w:tl2br w:val="nil"/>
                    <w:tr2bl w:val="nil"/>
                  </w:tcBorders>
                  <w:vAlign w:val="center"/>
                </w:tcPr>
                <w:p w14:paraId="28FE91A7">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20℃状态下1.01325bar</w:t>
                  </w:r>
                </w:p>
              </w:tc>
            </w:tr>
            <w:tr w14:paraId="1EEBDB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4B4D99CE">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27</w:t>
                  </w:r>
                </w:p>
              </w:tc>
              <w:tc>
                <w:tcPr>
                  <w:tcW w:w="1644" w:type="dxa"/>
                  <w:tcBorders>
                    <w:tl2br w:val="nil"/>
                    <w:tr2bl w:val="nil"/>
                  </w:tcBorders>
                  <w:vAlign w:val="center"/>
                </w:tcPr>
                <w:p w14:paraId="46A755AF">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低热值，kJ/m</w:t>
                  </w:r>
                  <w:r>
                    <w:rPr>
                      <w:rFonts w:hint="default" w:ascii="Times New Roman" w:hAnsi="Times New Roman" w:eastAsia="宋体" w:cs="Times New Roman"/>
                      <w:color w:val="000000" w:themeColor="text1"/>
                      <w:sz w:val="21"/>
                      <w:szCs w:val="21"/>
                      <w:vertAlign w:val="superscript"/>
                    </w:rPr>
                    <w:t>3</w:t>
                  </w:r>
                </w:p>
              </w:tc>
              <w:tc>
                <w:tcPr>
                  <w:tcW w:w="1644" w:type="dxa"/>
                  <w:tcBorders>
                    <w:tl2br w:val="nil"/>
                    <w:tr2bl w:val="nil"/>
                  </w:tcBorders>
                  <w:vAlign w:val="center"/>
                </w:tcPr>
                <w:p w14:paraId="639EF974">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34，102</w:t>
                  </w:r>
                </w:p>
              </w:tc>
              <w:tc>
                <w:tcPr>
                  <w:tcW w:w="1644" w:type="dxa"/>
                  <w:tcBorders>
                    <w:tl2br w:val="nil"/>
                    <w:tr2bl w:val="nil"/>
                  </w:tcBorders>
                  <w:vAlign w:val="center"/>
                </w:tcPr>
                <w:p w14:paraId="11AA00A9">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34，494</w:t>
                  </w:r>
                </w:p>
              </w:tc>
              <w:tc>
                <w:tcPr>
                  <w:tcW w:w="1645" w:type="dxa"/>
                  <w:tcBorders>
                    <w:tl2br w:val="nil"/>
                    <w:tr2bl w:val="nil"/>
                  </w:tcBorders>
                  <w:vAlign w:val="center"/>
                </w:tcPr>
                <w:p w14:paraId="1EF6472F">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34，402</w:t>
                  </w:r>
                </w:p>
              </w:tc>
            </w:tr>
            <w:tr w14:paraId="18D6A9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66730561">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28</w:t>
                  </w:r>
                </w:p>
              </w:tc>
              <w:tc>
                <w:tcPr>
                  <w:tcW w:w="1644" w:type="dxa"/>
                  <w:tcBorders>
                    <w:tl2br w:val="nil"/>
                    <w:tr2bl w:val="nil"/>
                  </w:tcBorders>
                  <w:vAlign w:val="center"/>
                </w:tcPr>
                <w:p w14:paraId="2F7AA40C">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高热值，kJ/m</w:t>
                  </w:r>
                  <w:r>
                    <w:rPr>
                      <w:rFonts w:hint="default" w:ascii="Times New Roman" w:hAnsi="Times New Roman" w:eastAsia="宋体" w:cs="Times New Roman"/>
                      <w:color w:val="000000" w:themeColor="text1"/>
                      <w:sz w:val="21"/>
                      <w:szCs w:val="21"/>
                      <w:vertAlign w:val="superscript"/>
                    </w:rPr>
                    <w:t>3</w:t>
                  </w:r>
                </w:p>
              </w:tc>
              <w:tc>
                <w:tcPr>
                  <w:tcW w:w="1644" w:type="dxa"/>
                  <w:tcBorders>
                    <w:tl2br w:val="nil"/>
                    <w:tr2bl w:val="nil"/>
                  </w:tcBorders>
                  <w:vAlign w:val="center"/>
                </w:tcPr>
                <w:p w14:paraId="437F54EE">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37，842</w:t>
                  </w:r>
                </w:p>
              </w:tc>
              <w:tc>
                <w:tcPr>
                  <w:tcW w:w="1644" w:type="dxa"/>
                  <w:tcBorders>
                    <w:tl2br w:val="nil"/>
                    <w:tr2bl w:val="nil"/>
                  </w:tcBorders>
                  <w:vAlign w:val="center"/>
                </w:tcPr>
                <w:p w14:paraId="3057DE4D">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38，263</w:t>
                  </w:r>
                </w:p>
              </w:tc>
              <w:tc>
                <w:tcPr>
                  <w:tcW w:w="1645" w:type="dxa"/>
                  <w:tcBorders>
                    <w:tl2br w:val="nil"/>
                    <w:tr2bl w:val="nil"/>
                  </w:tcBorders>
                  <w:vAlign w:val="center"/>
                </w:tcPr>
                <w:p w14:paraId="6ABF2955">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38，164</w:t>
                  </w:r>
                </w:p>
              </w:tc>
            </w:tr>
            <w:tr w14:paraId="784203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643" w:type="dxa"/>
                  <w:tcBorders>
                    <w:tl2br w:val="nil"/>
                    <w:tr2bl w:val="nil"/>
                  </w:tcBorders>
                  <w:vAlign w:val="center"/>
                </w:tcPr>
                <w:p w14:paraId="7FB82CC6">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29</w:t>
                  </w:r>
                </w:p>
              </w:tc>
              <w:tc>
                <w:tcPr>
                  <w:tcW w:w="1644" w:type="dxa"/>
                  <w:tcBorders>
                    <w:tl2br w:val="nil"/>
                    <w:tr2bl w:val="nil"/>
                  </w:tcBorders>
                  <w:vAlign w:val="center"/>
                </w:tcPr>
                <w:p w14:paraId="6E5F15D9">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华白值，kJ/m</w:t>
                  </w:r>
                  <w:r>
                    <w:rPr>
                      <w:rFonts w:hint="default" w:ascii="Times New Roman" w:hAnsi="Times New Roman" w:eastAsia="宋体" w:cs="Times New Roman"/>
                      <w:color w:val="000000" w:themeColor="text1"/>
                      <w:sz w:val="21"/>
                      <w:szCs w:val="21"/>
                      <w:vertAlign w:val="superscript"/>
                    </w:rPr>
                    <w:t>3</w:t>
                  </w:r>
                </w:p>
              </w:tc>
              <w:tc>
                <w:tcPr>
                  <w:tcW w:w="1644" w:type="dxa"/>
                  <w:tcBorders>
                    <w:tl2br w:val="nil"/>
                    <w:tr2bl w:val="nil"/>
                  </w:tcBorders>
                  <w:vAlign w:val="center"/>
                </w:tcPr>
                <w:p w14:paraId="1655E2BB">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50，070</w:t>
                  </w:r>
                </w:p>
              </w:tc>
              <w:tc>
                <w:tcPr>
                  <w:tcW w:w="1644" w:type="dxa"/>
                  <w:tcBorders>
                    <w:tl2br w:val="nil"/>
                    <w:tr2bl w:val="nil"/>
                  </w:tcBorders>
                  <w:vAlign w:val="center"/>
                </w:tcPr>
                <w:p w14:paraId="45DAAB82">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50，344</w:t>
                  </w:r>
                </w:p>
              </w:tc>
              <w:tc>
                <w:tcPr>
                  <w:tcW w:w="1645" w:type="dxa"/>
                  <w:tcBorders>
                    <w:tl2br w:val="nil"/>
                    <w:tr2bl w:val="nil"/>
                  </w:tcBorders>
                  <w:vAlign w:val="center"/>
                </w:tcPr>
                <w:p w14:paraId="2B77737D">
                  <w:pPr>
                    <w:pStyle w:val="48"/>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50，275</w:t>
                  </w:r>
                </w:p>
              </w:tc>
            </w:tr>
          </w:tbl>
          <w:p w14:paraId="6B25832A">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6</w:t>
            </w:r>
            <w:r>
              <w:rPr>
                <w:rFonts w:hint="eastAsia" w:ascii="Times New Roman" w:hAnsi="Times New Roman"/>
                <w:b/>
                <w:bCs/>
                <w:color w:val="000000" w:themeColor="text1"/>
                <w:sz w:val="24"/>
                <w:szCs w:val="24"/>
              </w:rPr>
              <w:t>、公用工程</w:t>
            </w:r>
          </w:p>
          <w:p w14:paraId="7D6951AE">
            <w:pPr>
              <w:spacing w:line="360" w:lineRule="auto"/>
              <w:ind w:firstLine="480" w:firstLineChars="200"/>
              <w:rPr>
                <w:rFonts w:ascii="宋体" w:cs="宋体"/>
                <w:color w:val="000000" w:themeColor="text1"/>
                <w:sz w:val="24"/>
                <w:szCs w:val="24"/>
              </w:rPr>
            </w:pPr>
            <w:r>
              <w:rPr>
                <w:rFonts w:ascii="宋体" w:hAnsi="宋体" w:cs="宋体"/>
                <w:color w:val="000000" w:themeColor="text1"/>
                <w:sz w:val="24"/>
                <w:szCs w:val="24"/>
              </w:rPr>
              <w:t>(</w:t>
            </w:r>
            <w:r>
              <w:rPr>
                <w:rFonts w:ascii="Times New Roman" w:hAnsi="Times New Roman"/>
                <w:color w:val="000000" w:themeColor="text1"/>
                <w:sz w:val="24"/>
                <w:szCs w:val="24"/>
              </w:rPr>
              <w:t>1</w:t>
            </w:r>
            <w:r>
              <w:rPr>
                <w:rFonts w:ascii="宋体" w:hAnsi="宋体" w:cs="宋体"/>
                <w:color w:val="000000" w:themeColor="text1"/>
                <w:sz w:val="24"/>
                <w:szCs w:val="24"/>
              </w:rPr>
              <w:t>)</w:t>
            </w:r>
            <w:r>
              <w:rPr>
                <w:rFonts w:hint="eastAsia" w:ascii="宋体" w:hAnsi="宋体" w:cs="宋体"/>
                <w:color w:val="000000" w:themeColor="text1"/>
                <w:sz w:val="24"/>
                <w:szCs w:val="24"/>
              </w:rPr>
              <w:t>供水</w:t>
            </w:r>
          </w:p>
          <w:p w14:paraId="0F6FBD03">
            <w:pPr>
              <w:spacing w:line="360" w:lineRule="auto"/>
              <w:ind w:firstLine="480" w:firstLineChars="200"/>
              <w:rPr>
                <w:rFonts w:hint="eastAsia" w:ascii="Times New Roman" w:hAnsi="Times New Roman"/>
                <w:color w:val="000000" w:themeColor="text1"/>
                <w:sz w:val="24"/>
                <w:szCs w:val="24"/>
                <w:lang w:eastAsia="zh-CN"/>
              </w:rPr>
            </w:pPr>
            <w:r>
              <w:rPr>
                <w:rFonts w:hint="eastAsia" w:ascii="Times New Roman" w:hAnsi="Times New Roman"/>
                <w:color w:val="000000" w:themeColor="text1"/>
                <w:sz w:val="24"/>
                <w:szCs w:val="24"/>
                <w:lang w:eastAsia="zh-CN"/>
              </w:rPr>
              <w:t>本项目给水水源由</w:t>
            </w:r>
            <w:r>
              <w:rPr>
                <w:rFonts w:hint="eastAsia" w:ascii="Times New Roman" w:hAnsi="Times New Roman"/>
                <w:color w:val="000000" w:themeColor="text1"/>
                <w:sz w:val="24"/>
                <w:szCs w:val="24"/>
                <w:lang w:val="en-US" w:eastAsia="zh-CN"/>
              </w:rPr>
              <w:t>园区</w:t>
            </w:r>
            <w:r>
              <w:rPr>
                <w:rFonts w:hint="eastAsia" w:ascii="Times New Roman" w:hAnsi="Times New Roman"/>
                <w:color w:val="000000" w:themeColor="text1"/>
                <w:sz w:val="24"/>
                <w:szCs w:val="24"/>
                <w:lang w:eastAsia="zh-CN"/>
              </w:rPr>
              <w:t>供水管网供给。</w:t>
            </w:r>
          </w:p>
          <w:p w14:paraId="723E2D8B">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本项目建成后</w:t>
            </w:r>
            <w:r>
              <w:rPr>
                <w:rFonts w:hint="eastAsia" w:ascii="Times New Roman" w:hAnsi="Times New Roman"/>
                <w:color w:val="000000" w:themeColor="text1"/>
                <w:sz w:val="24"/>
                <w:szCs w:val="24"/>
                <w:lang w:val="en-US" w:eastAsia="zh-CN"/>
              </w:rPr>
              <w:t>新增</w:t>
            </w:r>
            <w:r>
              <w:rPr>
                <w:rFonts w:hint="eastAsia" w:ascii="Times New Roman" w:hAnsi="Times New Roman"/>
                <w:color w:val="000000" w:themeColor="text1"/>
                <w:sz w:val="24"/>
                <w:szCs w:val="24"/>
                <w:lang w:eastAsia="zh-CN"/>
              </w:rPr>
              <w:t>劳动定员</w:t>
            </w:r>
            <w:r>
              <w:rPr>
                <w:rFonts w:hint="eastAsia" w:ascii="Times New Roman" w:hAnsi="Times New Roman"/>
                <w:color w:val="000000" w:themeColor="text1"/>
                <w:sz w:val="24"/>
                <w:szCs w:val="24"/>
                <w:lang w:val="en-US" w:eastAsia="zh-CN"/>
              </w:rPr>
              <w:t>16</w:t>
            </w:r>
            <w:r>
              <w:rPr>
                <w:rFonts w:hint="eastAsia" w:ascii="Times New Roman" w:hAnsi="Times New Roman"/>
                <w:color w:val="000000" w:themeColor="text1"/>
                <w:sz w:val="24"/>
                <w:szCs w:val="24"/>
              </w:rPr>
              <w:t>名，</w:t>
            </w:r>
            <w:r>
              <w:rPr>
                <w:rFonts w:hint="eastAsia" w:ascii="Times New Roman" w:hAnsi="Times New Roman"/>
                <w:color w:val="000000" w:themeColor="text1"/>
                <w:sz w:val="24"/>
                <w:szCs w:val="24"/>
                <w:lang w:val="en-US" w:eastAsia="zh-CN"/>
              </w:rPr>
              <w:t>项目建成后不提供职工食宿，</w:t>
            </w:r>
            <w:r>
              <w:rPr>
                <w:rFonts w:hint="eastAsia" w:ascii="Times New Roman" w:hAnsi="Times New Roman"/>
                <w:color w:val="000000" w:themeColor="text1"/>
                <w:sz w:val="24"/>
                <w:szCs w:val="24"/>
              </w:rPr>
              <w:t>根据《</w:t>
            </w:r>
            <w:r>
              <w:rPr>
                <w:rFonts w:hint="eastAsia" w:ascii="Times New Roman" w:hAnsi="Times New Roman"/>
                <w:color w:val="000000" w:themeColor="text1"/>
                <w:sz w:val="24"/>
                <w:szCs w:val="24"/>
                <w:lang w:eastAsia="zh-CN"/>
              </w:rPr>
              <w:t>新疆维吾尔自治区生活用水定额</w:t>
            </w:r>
            <w:r>
              <w:rPr>
                <w:rFonts w:hint="eastAsia" w:ascii="Times New Roman" w:hAnsi="Times New Roman"/>
                <w:color w:val="000000" w:themeColor="text1"/>
                <w:sz w:val="24"/>
                <w:szCs w:val="24"/>
              </w:rPr>
              <w:t>》中提供的用水定额，其中生活用水按</w:t>
            </w:r>
            <w:r>
              <w:rPr>
                <w:rFonts w:hint="eastAsia" w:ascii="Times New Roman" w:hAnsi="Times New Roman"/>
                <w:color w:val="000000" w:themeColor="text1"/>
                <w:sz w:val="24"/>
                <w:szCs w:val="24"/>
                <w:lang w:val="en-US" w:eastAsia="zh-CN"/>
              </w:rPr>
              <w:t>50</w:t>
            </w:r>
            <w:r>
              <w:rPr>
                <w:rFonts w:ascii="Times New Roman" w:hAnsi="Times New Roman"/>
                <w:color w:val="000000" w:themeColor="text1"/>
                <w:sz w:val="24"/>
                <w:szCs w:val="24"/>
              </w:rPr>
              <w:t>L/</w:t>
            </w:r>
            <w:r>
              <w:rPr>
                <w:rFonts w:hint="eastAsia" w:ascii="Times New Roman" w:hAnsi="Times New Roman"/>
                <w:color w:val="000000" w:themeColor="text1"/>
                <w:sz w:val="24"/>
                <w:szCs w:val="24"/>
              </w:rPr>
              <w:t>人</w:t>
            </w:r>
            <w:r>
              <w:rPr>
                <w:rFonts w:ascii="Times New Roman" w:hAnsi="Times New Roman"/>
                <w:color w:val="000000" w:themeColor="text1"/>
                <w:sz w:val="24"/>
                <w:szCs w:val="24"/>
              </w:rPr>
              <w:t>·d</w:t>
            </w:r>
            <w:r>
              <w:rPr>
                <w:rFonts w:hint="eastAsia" w:ascii="Times New Roman" w:hAnsi="Times New Roman"/>
                <w:color w:val="000000" w:themeColor="text1"/>
                <w:sz w:val="24"/>
                <w:szCs w:val="24"/>
              </w:rPr>
              <w:t>计，全年生产天数为</w:t>
            </w:r>
            <w:r>
              <w:rPr>
                <w:rFonts w:hint="eastAsia" w:ascii="Times New Roman" w:hAnsi="Times New Roman"/>
                <w:color w:val="000000" w:themeColor="text1"/>
                <w:sz w:val="24"/>
                <w:szCs w:val="24"/>
                <w:lang w:val="en-US" w:eastAsia="zh-CN"/>
              </w:rPr>
              <w:t>365</w:t>
            </w:r>
            <w:r>
              <w:rPr>
                <w:rFonts w:ascii="Times New Roman" w:hAnsi="Times New Roman"/>
                <w:color w:val="000000" w:themeColor="text1"/>
                <w:sz w:val="24"/>
                <w:szCs w:val="24"/>
              </w:rPr>
              <w:t>d</w:t>
            </w:r>
            <w:r>
              <w:rPr>
                <w:rFonts w:hint="eastAsia" w:ascii="Times New Roman" w:hAnsi="Times New Roman"/>
                <w:color w:val="000000" w:themeColor="text1"/>
                <w:sz w:val="24"/>
                <w:szCs w:val="24"/>
              </w:rPr>
              <w:t>，生活用水量为</w:t>
            </w:r>
            <w:r>
              <w:rPr>
                <w:rFonts w:hint="eastAsia" w:ascii="Times New Roman" w:hAnsi="Times New Roman"/>
                <w:color w:val="000000" w:themeColor="text1"/>
                <w:sz w:val="24"/>
                <w:szCs w:val="24"/>
                <w:lang w:val="en-US" w:eastAsia="zh-CN"/>
              </w:rPr>
              <w:t>0.8</w:t>
            </w:r>
            <w:r>
              <w:rPr>
                <w:rFonts w:ascii="Times New Roman" w:hAnsi="Times New Roman"/>
                <w:color w:val="000000" w:themeColor="text1"/>
                <w:sz w:val="24"/>
                <w:szCs w:val="24"/>
              </w:rPr>
              <w:t>m</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/d</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292</w:t>
            </w:r>
            <w:r>
              <w:rPr>
                <w:rFonts w:ascii="Times New Roman" w:hAnsi="Times New Roman"/>
                <w:color w:val="000000" w:themeColor="text1"/>
                <w:sz w:val="24"/>
                <w:szCs w:val="24"/>
              </w:rPr>
              <w:t>m</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/a</w:t>
            </w:r>
            <w:r>
              <w:rPr>
                <w:rFonts w:hint="eastAsia" w:ascii="Times New Roman" w:hAnsi="Times New Roman"/>
                <w:color w:val="000000" w:themeColor="text1"/>
                <w:sz w:val="24"/>
                <w:szCs w:val="24"/>
              </w:rPr>
              <w:t>）。</w:t>
            </w:r>
          </w:p>
          <w:p w14:paraId="06D0F679">
            <w:pPr>
              <w:numPr>
                <w:ilvl w:val="0"/>
                <w:numId w:val="1"/>
              </w:num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排水</w:t>
            </w:r>
          </w:p>
          <w:p w14:paraId="3A1CC6D3">
            <w:pPr>
              <w:spacing w:line="360" w:lineRule="auto"/>
              <w:ind w:firstLine="480" w:firstLineChars="200"/>
              <w:jc w:val="left"/>
              <w:rPr>
                <w:rFonts w:hint="eastAsia" w:hAnsiTheme="minorEastAsia" w:eastAsiaTheme="minorEastAsia"/>
                <w:color w:val="000000" w:themeColor="text1"/>
                <w:sz w:val="24"/>
                <w:lang w:eastAsia="zh-CN"/>
              </w:rPr>
            </w:pPr>
            <w:r>
              <w:rPr>
                <w:rFonts w:hint="eastAsia" w:hAnsiTheme="minorEastAsia" w:eastAsiaTheme="minorEastAsia"/>
                <w:color w:val="000000" w:themeColor="text1"/>
                <w:sz w:val="24"/>
                <w:lang w:eastAsia="zh-CN"/>
              </w:rPr>
              <w:t>本项目</w:t>
            </w:r>
            <w:r>
              <w:rPr>
                <w:rFonts w:hint="eastAsia" w:hAnsiTheme="minorEastAsia" w:eastAsiaTheme="minorEastAsia"/>
                <w:color w:val="000000" w:themeColor="text1"/>
                <w:sz w:val="24"/>
                <w:lang w:val="en-US" w:eastAsia="zh-CN"/>
              </w:rPr>
              <w:t>正常生产运营过程中无工艺废水产生</w:t>
            </w:r>
            <w:r>
              <w:rPr>
                <w:rFonts w:hint="eastAsia" w:hAnsiTheme="minorEastAsia" w:eastAsiaTheme="minorEastAsia"/>
                <w:color w:val="000000" w:themeColor="text1"/>
                <w:sz w:val="24"/>
                <w:lang w:eastAsia="zh-CN"/>
              </w:rPr>
              <w:t>。</w:t>
            </w:r>
          </w:p>
          <w:p w14:paraId="1B5F3AC7">
            <w:pPr>
              <w:spacing w:line="360" w:lineRule="auto"/>
              <w:ind w:firstLine="480" w:firstLineChars="200"/>
              <w:jc w:val="left"/>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本项目运营期污水主要为职工</w:t>
            </w:r>
            <w:r>
              <w:rPr>
                <w:rFonts w:hint="default" w:ascii="Times New Roman" w:hAnsi="Times New Roman" w:eastAsia="宋体" w:cs="Times New Roman"/>
                <w:color w:val="000000" w:themeColor="text1"/>
                <w:sz w:val="24"/>
                <w:lang w:val="en-US" w:eastAsia="zh-CN"/>
              </w:rPr>
              <w:t>生活污水</w:t>
            </w:r>
            <w:r>
              <w:rPr>
                <w:rFonts w:hint="default" w:ascii="Times New Roman" w:hAnsi="Times New Roman" w:eastAsia="宋体" w:cs="Times New Roman"/>
                <w:color w:val="000000" w:themeColor="text1"/>
                <w:sz w:val="24"/>
              </w:rPr>
              <w:t>，生活污水</w:t>
            </w:r>
            <w:r>
              <w:rPr>
                <w:rFonts w:hint="default" w:ascii="Times New Roman" w:hAnsi="Times New Roman" w:eastAsia="宋体" w:cs="Times New Roman"/>
                <w:color w:val="000000" w:themeColor="text1"/>
                <w:sz w:val="24"/>
                <w:lang w:val="en-US" w:eastAsia="zh-CN"/>
              </w:rPr>
              <w:t>以生活用水量的80%计</w:t>
            </w:r>
            <w:r>
              <w:rPr>
                <w:rFonts w:hint="default" w:ascii="Times New Roman" w:hAnsi="Times New Roman" w:eastAsia="宋体" w:cs="Times New Roman"/>
                <w:color w:val="000000" w:themeColor="text1"/>
                <w:sz w:val="24"/>
                <w:lang w:eastAsia="zh-CN"/>
              </w:rPr>
              <w:t>，</w:t>
            </w:r>
            <w:r>
              <w:rPr>
                <w:rFonts w:hint="default" w:ascii="Times New Roman" w:hAnsi="Times New Roman" w:eastAsia="宋体" w:cs="Times New Roman"/>
                <w:color w:val="000000" w:themeColor="text1"/>
                <w:sz w:val="24"/>
                <w:lang w:val="en-US" w:eastAsia="zh-CN"/>
              </w:rPr>
              <w:t>则本项目</w:t>
            </w:r>
            <w:r>
              <w:rPr>
                <w:rFonts w:hint="eastAsia" w:ascii="Times New Roman" w:hAnsi="Times New Roman" w:cs="Times New Roman"/>
                <w:color w:val="000000" w:themeColor="text1"/>
                <w:sz w:val="24"/>
                <w:lang w:val="en-US" w:eastAsia="zh-CN"/>
              </w:rPr>
              <w:t>新增</w:t>
            </w:r>
            <w:r>
              <w:rPr>
                <w:rFonts w:hint="default" w:ascii="Times New Roman" w:hAnsi="Times New Roman" w:eastAsia="宋体" w:cs="Times New Roman"/>
                <w:color w:val="000000" w:themeColor="text1"/>
                <w:sz w:val="24"/>
                <w:lang w:val="en-US" w:eastAsia="zh-CN"/>
              </w:rPr>
              <w:t>废水产生量为</w:t>
            </w:r>
            <w:r>
              <w:rPr>
                <w:rFonts w:hint="eastAsia" w:ascii="Times New Roman" w:hAnsi="Times New Roman" w:cs="Times New Roman"/>
                <w:color w:val="000000" w:themeColor="text1"/>
                <w:sz w:val="24"/>
                <w:lang w:val="en-US" w:eastAsia="zh-CN"/>
              </w:rPr>
              <w:t>233.6</w:t>
            </w:r>
            <w:r>
              <w:rPr>
                <w:rFonts w:hint="default" w:ascii="Times New Roman" w:hAnsi="Times New Roman" w:eastAsia="宋体" w:cs="Times New Roman"/>
                <w:color w:val="000000" w:themeColor="text1"/>
                <w:sz w:val="24"/>
                <w:szCs w:val="24"/>
              </w:rPr>
              <w:t>m</w:t>
            </w:r>
            <w:r>
              <w:rPr>
                <w:rFonts w:hint="default" w:ascii="Times New Roman" w:hAnsi="Times New Roman" w:eastAsia="宋体" w:cs="Times New Roman"/>
                <w:color w:val="000000" w:themeColor="text1"/>
                <w:sz w:val="24"/>
                <w:szCs w:val="24"/>
                <w:vertAlign w:val="superscript"/>
              </w:rPr>
              <w:t>3</w:t>
            </w:r>
            <w:r>
              <w:rPr>
                <w:rFonts w:hint="default" w:ascii="Times New Roman" w:hAnsi="Times New Roman" w:eastAsia="宋体" w:cs="Times New Roman"/>
                <w:color w:val="000000" w:themeColor="text1"/>
                <w:sz w:val="24"/>
                <w:szCs w:val="24"/>
              </w:rPr>
              <w:t>/a</w:t>
            </w: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排入园区污水管网。</w:t>
            </w:r>
          </w:p>
          <w:p w14:paraId="5C401242">
            <w:pPr>
              <w:numPr>
                <w:ilvl w:val="0"/>
                <w:numId w:val="1"/>
              </w:num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供电</w:t>
            </w:r>
          </w:p>
          <w:p w14:paraId="1AEBEC1E">
            <w:pPr>
              <w:spacing w:line="360" w:lineRule="auto"/>
              <w:ind w:firstLine="480" w:firstLineChars="200"/>
              <w:rPr>
                <w:rFonts w:hint="default" w:ascii="Times New Roman" w:hAnsi="Times New Roman" w:eastAsia="宋体" w:cs="Times New Roman"/>
                <w:color w:val="000000" w:themeColor="text1"/>
                <w:sz w:val="24"/>
              </w:rPr>
            </w:pPr>
            <w:r>
              <w:rPr>
                <w:rFonts w:hint="eastAsia" w:ascii="Times New Roman" w:hAnsi="Times New Roman" w:cs="Times New Roman"/>
                <w:color w:val="000000" w:themeColor="text1"/>
                <w:sz w:val="24"/>
                <w:lang w:val="en-US" w:eastAsia="zh-CN"/>
              </w:rPr>
              <w:t>本项目供电由园区供电电网提供，</w:t>
            </w:r>
            <w:r>
              <w:rPr>
                <w:rFonts w:hint="default" w:ascii="Times New Roman" w:hAnsi="Times New Roman" w:eastAsia="宋体" w:cs="Times New Roman"/>
                <w:color w:val="000000" w:themeColor="text1"/>
                <w:sz w:val="24"/>
              </w:rPr>
              <w:t>可以满足本项目用电需求。</w:t>
            </w:r>
          </w:p>
          <w:p w14:paraId="05645111">
            <w:pPr>
              <w:numPr>
                <w:ilvl w:val="0"/>
                <w:numId w:val="1"/>
              </w:num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供暖</w:t>
            </w:r>
          </w:p>
          <w:p w14:paraId="667059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本项目供暖由园区供热站提供统一供暖。</w:t>
            </w:r>
          </w:p>
          <w:p w14:paraId="0A086C9D">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（5）消防工程</w:t>
            </w:r>
          </w:p>
          <w:p w14:paraId="3C4D76C2">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根据</w:t>
            </w:r>
            <w:r>
              <w:rPr>
                <w:rFonts w:hint="default" w:ascii="Times New Roman" w:hAnsi="Times New Roman" w:eastAsia="宋体" w:cs="Times New Roman"/>
                <w:color w:val="000000" w:themeColor="text1"/>
                <w:sz w:val="24"/>
                <w:szCs w:val="24"/>
              </w:rPr>
              <w:t>《汽车加油加气设计与施工规范》（GB50156</w:t>
            </w:r>
            <w:r>
              <w:rPr>
                <w:rFonts w:hint="default" w:ascii="Times New Roman" w:hAnsi="Times New Roman" w:eastAsia="宋体" w:cs="Times New Roman"/>
                <w:color w:val="000000" w:themeColor="text1"/>
                <w:sz w:val="24"/>
                <w:szCs w:val="24"/>
                <w:lang w:val="en-US" w:eastAsia="zh-CN"/>
              </w:rPr>
              <w:t>-2012</w:t>
            </w:r>
            <w:r>
              <w:rPr>
                <w:rFonts w:hint="default" w:ascii="Times New Roman" w:hAnsi="Times New Roman" w:eastAsia="宋体" w:cs="Times New Roman"/>
                <w:color w:val="000000" w:themeColor="text1"/>
                <w:sz w:val="24"/>
                <w:szCs w:val="24"/>
              </w:rPr>
              <w:t>）</w:t>
            </w:r>
            <w:r>
              <w:rPr>
                <w:rFonts w:hint="default" w:ascii="Times New Roman" w:hAnsi="Times New Roman" w:eastAsia="宋体" w:cs="Times New Roman"/>
                <w:color w:val="000000" w:themeColor="text1"/>
                <w:sz w:val="24"/>
                <w:szCs w:val="24"/>
                <w:lang w:eastAsia="zh-CN"/>
              </w:rPr>
              <w:t>（</w:t>
            </w:r>
            <w:r>
              <w:rPr>
                <w:rFonts w:hint="default" w:ascii="Times New Roman" w:hAnsi="Times New Roman" w:eastAsia="宋体" w:cs="Times New Roman"/>
                <w:color w:val="000000" w:themeColor="text1"/>
                <w:sz w:val="24"/>
                <w:szCs w:val="24"/>
                <w:lang w:val="en-US" w:eastAsia="zh-CN"/>
              </w:rPr>
              <w:t>2014</w:t>
            </w:r>
            <w:r>
              <w:rPr>
                <w:rFonts w:hint="eastAsia" w:ascii="Times New Roman" w:hAnsi="Times New Roman" w:cs="Times New Roman"/>
                <w:color w:val="000000" w:themeColor="text1"/>
                <w:sz w:val="24"/>
                <w:szCs w:val="24"/>
                <w:lang w:val="en-US" w:eastAsia="zh-CN"/>
              </w:rPr>
              <w:t>局部修订</w:t>
            </w:r>
            <w:r>
              <w:rPr>
                <w:rFonts w:hint="default" w:ascii="Times New Roman" w:hAnsi="Times New Roman" w:eastAsia="宋体" w:cs="Times New Roman"/>
                <w:color w:val="000000" w:themeColor="text1"/>
                <w:sz w:val="24"/>
                <w:szCs w:val="24"/>
                <w:lang w:val="en-US" w:eastAsia="zh-CN"/>
              </w:rPr>
              <w:t>版</w:t>
            </w:r>
            <w:r>
              <w:rPr>
                <w:rFonts w:hint="default" w:ascii="Times New Roman" w:hAnsi="Times New Roman" w:eastAsia="宋体"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和《建筑灭火器配置设计规范》（GB50140-2005）的规定，在生产区具有火灾危险的场所和辅助区各建筑物内设置相应的消防器材。本项目消防方案如下：</w:t>
            </w:r>
          </w:p>
          <w:p w14:paraId="2BF47692">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①灭火器材配置见下表。</w:t>
            </w:r>
          </w:p>
          <w:p w14:paraId="5940F94A">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表10                   灭火器材配置情况一览表</w:t>
            </w:r>
          </w:p>
          <w:tbl>
            <w:tblPr>
              <w:tblStyle w:val="20"/>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7"/>
              <w:gridCol w:w="2375"/>
              <w:gridCol w:w="1077"/>
              <w:gridCol w:w="698"/>
              <w:gridCol w:w="712"/>
              <w:gridCol w:w="2701"/>
            </w:tblGrid>
            <w:tr w14:paraId="3BE78C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7" w:type="dxa"/>
                  <w:tcBorders>
                    <w:bottom w:val="single" w:color="auto" w:sz="12" w:space="0"/>
                  </w:tcBorders>
                  <w:vAlign w:val="center"/>
                </w:tcPr>
                <w:p w14:paraId="7361B90F">
                  <w:pPr>
                    <w:jc w:val="center"/>
                    <w:rPr>
                      <w:rFonts w:hint="eastAsia" w:ascii="Times New Roman" w:hAnsi="Times New Roman" w:eastAsia="宋体" w:cs="Times New Roman"/>
                      <w:b/>
                      <w:bCs/>
                      <w:color w:val="000000" w:themeColor="text1"/>
                      <w:sz w:val="21"/>
                      <w:szCs w:val="21"/>
                      <w:lang w:val="en-US" w:eastAsia="zh-CN"/>
                    </w:rPr>
                  </w:pPr>
                  <w:r>
                    <w:rPr>
                      <w:rFonts w:hint="eastAsia" w:ascii="Times New Roman" w:hAnsi="Times New Roman" w:cs="Times New Roman"/>
                      <w:b/>
                      <w:bCs/>
                      <w:color w:val="000000" w:themeColor="text1"/>
                      <w:sz w:val="21"/>
                      <w:szCs w:val="21"/>
                      <w:lang w:val="en-US" w:eastAsia="zh-CN"/>
                    </w:rPr>
                    <w:t>序号</w:t>
                  </w:r>
                </w:p>
              </w:tc>
              <w:tc>
                <w:tcPr>
                  <w:tcW w:w="2375" w:type="dxa"/>
                  <w:tcBorders>
                    <w:bottom w:val="single" w:color="auto" w:sz="12" w:space="0"/>
                  </w:tcBorders>
                  <w:vAlign w:val="center"/>
                </w:tcPr>
                <w:p w14:paraId="5B60493E">
                  <w:pPr>
                    <w:jc w:val="center"/>
                    <w:rPr>
                      <w:rFonts w:hint="eastAsia" w:ascii="Times New Roman" w:hAnsi="Times New Roman" w:eastAsia="宋体" w:cs="Times New Roman"/>
                      <w:b/>
                      <w:bCs/>
                      <w:color w:val="000000" w:themeColor="text1"/>
                      <w:sz w:val="21"/>
                      <w:szCs w:val="21"/>
                      <w:lang w:val="en-US" w:eastAsia="zh-CN"/>
                    </w:rPr>
                  </w:pPr>
                  <w:r>
                    <w:rPr>
                      <w:rFonts w:hint="eastAsia" w:ascii="Times New Roman" w:hAnsi="Times New Roman" w:cs="Times New Roman"/>
                      <w:b/>
                      <w:bCs/>
                      <w:color w:val="000000" w:themeColor="text1"/>
                      <w:sz w:val="21"/>
                      <w:szCs w:val="21"/>
                      <w:lang w:val="en-US" w:eastAsia="zh-CN"/>
                    </w:rPr>
                    <w:t>名称</w:t>
                  </w:r>
                </w:p>
              </w:tc>
              <w:tc>
                <w:tcPr>
                  <w:tcW w:w="1077" w:type="dxa"/>
                  <w:tcBorders>
                    <w:bottom w:val="single" w:color="auto" w:sz="12" w:space="0"/>
                  </w:tcBorders>
                  <w:vAlign w:val="center"/>
                </w:tcPr>
                <w:p w14:paraId="23393D09">
                  <w:pPr>
                    <w:jc w:val="center"/>
                    <w:rPr>
                      <w:rFonts w:hint="eastAsia" w:ascii="Times New Roman" w:hAnsi="Times New Roman" w:eastAsia="宋体" w:cs="Times New Roman"/>
                      <w:b/>
                      <w:bCs/>
                      <w:color w:val="000000" w:themeColor="text1"/>
                      <w:sz w:val="21"/>
                      <w:szCs w:val="21"/>
                      <w:lang w:val="en-US" w:eastAsia="zh-CN"/>
                    </w:rPr>
                  </w:pPr>
                  <w:r>
                    <w:rPr>
                      <w:rFonts w:hint="eastAsia" w:ascii="Times New Roman" w:hAnsi="Times New Roman" w:cs="Times New Roman"/>
                      <w:b/>
                      <w:bCs/>
                      <w:color w:val="000000" w:themeColor="text1"/>
                      <w:sz w:val="21"/>
                      <w:szCs w:val="21"/>
                      <w:lang w:val="en-US" w:eastAsia="zh-CN"/>
                    </w:rPr>
                    <w:t>规格</w:t>
                  </w:r>
                </w:p>
              </w:tc>
              <w:tc>
                <w:tcPr>
                  <w:tcW w:w="698" w:type="dxa"/>
                  <w:tcBorders>
                    <w:bottom w:val="single" w:color="auto" w:sz="12" w:space="0"/>
                  </w:tcBorders>
                  <w:vAlign w:val="center"/>
                </w:tcPr>
                <w:p w14:paraId="6BBCDA6F">
                  <w:pPr>
                    <w:jc w:val="center"/>
                    <w:rPr>
                      <w:rFonts w:hint="eastAsia" w:ascii="Times New Roman" w:hAnsi="Times New Roman" w:eastAsia="宋体" w:cs="Times New Roman"/>
                      <w:b/>
                      <w:bCs/>
                      <w:color w:val="000000" w:themeColor="text1"/>
                      <w:sz w:val="21"/>
                      <w:szCs w:val="21"/>
                      <w:lang w:val="en-US" w:eastAsia="zh-CN"/>
                    </w:rPr>
                  </w:pPr>
                  <w:r>
                    <w:rPr>
                      <w:rFonts w:hint="eastAsia" w:ascii="Times New Roman" w:hAnsi="Times New Roman" w:cs="Times New Roman"/>
                      <w:b/>
                      <w:bCs/>
                      <w:color w:val="000000" w:themeColor="text1"/>
                      <w:sz w:val="21"/>
                      <w:szCs w:val="21"/>
                      <w:lang w:val="en-US" w:eastAsia="zh-CN"/>
                    </w:rPr>
                    <w:t>单位</w:t>
                  </w:r>
                </w:p>
              </w:tc>
              <w:tc>
                <w:tcPr>
                  <w:tcW w:w="712" w:type="dxa"/>
                  <w:tcBorders>
                    <w:bottom w:val="single" w:color="auto" w:sz="12" w:space="0"/>
                  </w:tcBorders>
                  <w:vAlign w:val="center"/>
                </w:tcPr>
                <w:p w14:paraId="5BE845B3">
                  <w:pPr>
                    <w:jc w:val="center"/>
                    <w:rPr>
                      <w:rFonts w:hint="eastAsia" w:ascii="Times New Roman" w:hAnsi="Times New Roman" w:eastAsia="宋体" w:cs="Times New Roman"/>
                      <w:b/>
                      <w:bCs/>
                      <w:color w:val="000000" w:themeColor="text1"/>
                      <w:sz w:val="21"/>
                      <w:szCs w:val="21"/>
                      <w:lang w:val="en-US" w:eastAsia="zh-CN"/>
                    </w:rPr>
                  </w:pPr>
                  <w:r>
                    <w:rPr>
                      <w:rFonts w:hint="eastAsia" w:ascii="Times New Roman" w:hAnsi="Times New Roman" w:cs="Times New Roman"/>
                      <w:b/>
                      <w:bCs/>
                      <w:color w:val="000000" w:themeColor="text1"/>
                      <w:sz w:val="21"/>
                      <w:szCs w:val="21"/>
                      <w:lang w:val="en-US" w:eastAsia="zh-CN"/>
                    </w:rPr>
                    <w:t>数量</w:t>
                  </w:r>
                </w:p>
              </w:tc>
              <w:tc>
                <w:tcPr>
                  <w:tcW w:w="2701" w:type="dxa"/>
                  <w:tcBorders>
                    <w:bottom w:val="single" w:color="auto" w:sz="12" w:space="0"/>
                  </w:tcBorders>
                  <w:vAlign w:val="center"/>
                </w:tcPr>
                <w:p w14:paraId="7E515C51">
                  <w:pPr>
                    <w:jc w:val="center"/>
                    <w:rPr>
                      <w:rFonts w:hint="eastAsia" w:ascii="Times New Roman" w:hAnsi="Times New Roman" w:eastAsia="宋体" w:cs="Times New Roman"/>
                      <w:b/>
                      <w:bCs/>
                      <w:color w:val="000000" w:themeColor="text1"/>
                      <w:sz w:val="21"/>
                      <w:szCs w:val="21"/>
                      <w:lang w:val="en-US" w:eastAsia="zh-CN"/>
                    </w:rPr>
                  </w:pPr>
                  <w:r>
                    <w:rPr>
                      <w:rFonts w:hint="eastAsia" w:ascii="Times New Roman" w:hAnsi="Times New Roman" w:cs="Times New Roman"/>
                      <w:b/>
                      <w:bCs/>
                      <w:color w:val="000000" w:themeColor="text1"/>
                      <w:sz w:val="21"/>
                      <w:szCs w:val="21"/>
                      <w:lang w:val="en-US" w:eastAsia="zh-CN"/>
                    </w:rPr>
                    <w:t>备注</w:t>
                  </w:r>
                </w:p>
              </w:tc>
            </w:tr>
            <w:tr w14:paraId="3A7690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7" w:type="dxa"/>
                  <w:tcBorders>
                    <w:top w:val="single" w:color="auto" w:sz="12" w:space="0"/>
                    <w:tl2br w:val="nil"/>
                    <w:tr2bl w:val="nil"/>
                  </w:tcBorders>
                  <w:vAlign w:val="center"/>
                </w:tcPr>
                <w:p w14:paraId="0058456F">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lang w:val="en-US" w:eastAsia="zh-CN"/>
                    </w:rPr>
                    <w:t>1</w:t>
                  </w:r>
                </w:p>
              </w:tc>
              <w:tc>
                <w:tcPr>
                  <w:tcW w:w="2375" w:type="dxa"/>
                  <w:tcBorders>
                    <w:top w:val="single" w:color="auto" w:sz="12" w:space="0"/>
                    <w:tl2br w:val="nil"/>
                    <w:tr2bl w:val="nil"/>
                  </w:tcBorders>
                  <w:vAlign w:val="center"/>
                </w:tcPr>
                <w:p w14:paraId="38786536">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手提式干粉灭火器</w:t>
                  </w:r>
                </w:p>
              </w:tc>
              <w:tc>
                <w:tcPr>
                  <w:tcW w:w="1077" w:type="dxa"/>
                  <w:tcBorders>
                    <w:top w:val="single" w:color="auto" w:sz="12" w:space="0"/>
                    <w:tl2br w:val="nil"/>
                    <w:tr2bl w:val="nil"/>
                  </w:tcBorders>
                  <w:vAlign w:val="center"/>
                </w:tcPr>
                <w:p w14:paraId="112C0637">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MFZ5</w:t>
                  </w:r>
                </w:p>
              </w:tc>
              <w:tc>
                <w:tcPr>
                  <w:tcW w:w="698" w:type="dxa"/>
                  <w:tcBorders>
                    <w:top w:val="single" w:color="auto" w:sz="12" w:space="0"/>
                    <w:tl2br w:val="nil"/>
                    <w:tr2bl w:val="nil"/>
                  </w:tcBorders>
                  <w:vAlign w:val="center"/>
                </w:tcPr>
                <w:p w14:paraId="69CC7055">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个</w:t>
                  </w:r>
                </w:p>
              </w:tc>
              <w:tc>
                <w:tcPr>
                  <w:tcW w:w="712" w:type="dxa"/>
                  <w:tcBorders>
                    <w:top w:val="single" w:color="auto" w:sz="12" w:space="0"/>
                    <w:tl2br w:val="nil"/>
                    <w:tr2bl w:val="nil"/>
                  </w:tcBorders>
                  <w:vAlign w:val="center"/>
                </w:tcPr>
                <w:p w14:paraId="66A91FEE">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8</w:t>
                  </w:r>
                </w:p>
              </w:tc>
              <w:tc>
                <w:tcPr>
                  <w:tcW w:w="2701" w:type="dxa"/>
                  <w:vMerge w:val="restart"/>
                  <w:tcBorders>
                    <w:top w:val="single" w:color="auto" w:sz="12" w:space="0"/>
                    <w:tl2br w:val="nil"/>
                    <w:tr2bl w:val="nil"/>
                  </w:tcBorders>
                  <w:vAlign w:val="center"/>
                </w:tcPr>
                <w:p w14:paraId="40D805C1">
                  <w:pPr>
                    <w:jc w:val="center"/>
                    <w:rPr>
                      <w:rFonts w:hint="default" w:ascii="Times New Roman" w:hAnsi="Times New Roman" w:eastAsia="宋体" w:cs="Times New Roman"/>
                      <w:b w:val="0"/>
                      <w:bCs w:val="0"/>
                      <w:color w:val="000000" w:themeColor="text1"/>
                      <w:sz w:val="21"/>
                      <w:szCs w:val="21"/>
                      <w:lang w:val="en-US" w:eastAsia="zh-CN"/>
                    </w:rPr>
                  </w:pPr>
                  <w:r>
                    <w:rPr>
                      <w:rFonts w:hint="eastAsia" w:ascii="Times New Roman" w:hAnsi="Times New Roman" w:cs="Times New Roman"/>
                      <w:b w:val="0"/>
                      <w:bCs w:val="0"/>
                      <w:color w:val="000000" w:themeColor="text1"/>
                      <w:sz w:val="21"/>
                      <w:szCs w:val="21"/>
                      <w:lang w:val="en-US" w:eastAsia="zh-CN"/>
                    </w:rPr>
                    <w:t>置于加油区</w:t>
                  </w:r>
                </w:p>
              </w:tc>
            </w:tr>
            <w:tr w14:paraId="72BFA4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7" w:type="dxa"/>
                  <w:tcBorders>
                    <w:tl2br w:val="nil"/>
                    <w:tr2bl w:val="nil"/>
                  </w:tcBorders>
                  <w:vAlign w:val="center"/>
                </w:tcPr>
                <w:p w14:paraId="16299D93">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lang w:val="en-US" w:eastAsia="zh-CN"/>
                    </w:rPr>
                    <w:t>2</w:t>
                  </w:r>
                </w:p>
              </w:tc>
              <w:tc>
                <w:tcPr>
                  <w:tcW w:w="2375" w:type="dxa"/>
                  <w:tcBorders>
                    <w:tl2br w:val="nil"/>
                    <w:tr2bl w:val="nil"/>
                  </w:tcBorders>
                  <w:vAlign w:val="center"/>
                </w:tcPr>
                <w:p w14:paraId="3C56A82D">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推车式35kg干粉灭火器</w:t>
                  </w:r>
                </w:p>
              </w:tc>
              <w:tc>
                <w:tcPr>
                  <w:tcW w:w="1077" w:type="dxa"/>
                  <w:tcBorders>
                    <w:tl2br w:val="nil"/>
                    <w:tr2bl w:val="nil"/>
                  </w:tcBorders>
                  <w:vAlign w:val="center"/>
                </w:tcPr>
                <w:p w14:paraId="79399D72">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MFZ-35</w:t>
                  </w:r>
                </w:p>
              </w:tc>
              <w:tc>
                <w:tcPr>
                  <w:tcW w:w="698" w:type="dxa"/>
                  <w:tcBorders>
                    <w:tl2br w:val="nil"/>
                    <w:tr2bl w:val="nil"/>
                  </w:tcBorders>
                  <w:vAlign w:val="center"/>
                </w:tcPr>
                <w:p w14:paraId="280C5A69">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个</w:t>
                  </w:r>
                </w:p>
              </w:tc>
              <w:tc>
                <w:tcPr>
                  <w:tcW w:w="712" w:type="dxa"/>
                  <w:tcBorders>
                    <w:tl2br w:val="nil"/>
                    <w:tr2bl w:val="nil"/>
                  </w:tcBorders>
                  <w:vAlign w:val="center"/>
                </w:tcPr>
                <w:p w14:paraId="3C914997">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4</w:t>
                  </w:r>
                </w:p>
              </w:tc>
              <w:tc>
                <w:tcPr>
                  <w:tcW w:w="2701" w:type="dxa"/>
                  <w:vMerge w:val="continue"/>
                  <w:tcBorders>
                    <w:tl2br w:val="nil"/>
                    <w:tr2bl w:val="nil"/>
                  </w:tcBorders>
                  <w:vAlign w:val="center"/>
                </w:tcPr>
                <w:p w14:paraId="31BC1D98">
                  <w:pPr>
                    <w:jc w:val="center"/>
                    <w:rPr>
                      <w:rFonts w:hint="default" w:ascii="Times New Roman" w:hAnsi="Times New Roman" w:eastAsia="宋体" w:cs="Times New Roman"/>
                      <w:b w:val="0"/>
                      <w:bCs w:val="0"/>
                      <w:color w:val="000000" w:themeColor="text1"/>
                      <w:sz w:val="21"/>
                      <w:szCs w:val="21"/>
                      <w:lang w:val="en-US" w:eastAsia="zh-CN"/>
                    </w:rPr>
                  </w:pPr>
                </w:p>
              </w:tc>
            </w:tr>
            <w:tr w14:paraId="784F1E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7" w:type="dxa"/>
                  <w:tcBorders>
                    <w:tl2br w:val="nil"/>
                    <w:tr2bl w:val="nil"/>
                  </w:tcBorders>
                  <w:vAlign w:val="center"/>
                </w:tcPr>
                <w:p w14:paraId="2B2614D1">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lang w:val="en-US" w:eastAsia="zh-CN"/>
                    </w:rPr>
                    <w:t>3</w:t>
                  </w:r>
                </w:p>
              </w:tc>
              <w:tc>
                <w:tcPr>
                  <w:tcW w:w="2375" w:type="dxa"/>
                  <w:tcBorders>
                    <w:tl2br w:val="nil"/>
                    <w:tr2bl w:val="nil"/>
                  </w:tcBorders>
                  <w:vAlign w:val="center"/>
                </w:tcPr>
                <w:p w14:paraId="3AD735DD">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消防沙</w:t>
                  </w:r>
                </w:p>
              </w:tc>
              <w:tc>
                <w:tcPr>
                  <w:tcW w:w="1077" w:type="dxa"/>
                  <w:tcBorders>
                    <w:tl2br w:val="nil"/>
                    <w:tr2bl w:val="nil"/>
                  </w:tcBorders>
                  <w:vAlign w:val="center"/>
                </w:tcPr>
                <w:p w14:paraId="72DD9C90">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3</w:t>
                  </w:r>
                </w:p>
              </w:tc>
              <w:tc>
                <w:tcPr>
                  <w:tcW w:w="698" w:type="dxa"/>
                  <w:tcBorders>
                    <w:tl2br w:val="nil"/>
                    <w:tr2bl w:val="nil"/>
                  </w:tcBorders>
                  <w:vAlign w:val="center"/>
                </w:tcPr>
                <w:p w14:paraId="49A123FC">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m</w:t>
                  </w:r>
                  <w:r>
                    <w:rPr>
                      <w:rFonts w:hint="default" w:ascii="Times New Roman" w:hAnsi="Times New Roman" w:eastAsia="宋体" w:cs="Times New Roman"/>
                      <w:b w:val="0"/>
                      <w:bCs w:val="0"/>
                      <w:color w:val="000000" w:themeColor="text1"/>
                      <w:sz w:val="21"/>
                      <w:szCs w:val="21"/>
                      <w:vertAlign w:val="superscript"/>
                    </w:rPr>
                    <w:t>3</w:t>
                  </w:r>
                </w:p>
              </w:tc>
              <w:tc>
                <w:tcPr>
                  <w:tcW w:w="712" w:type="dxa"/>
                  <w:tcBorders>
                    <w:tl2br w:val="nil"/>
                    <w:tr2bl w:val="nil"/>
                  </w:tcBorders>
                  <w:vAlign w:val="center"/>
                </w:tcPr>
                <w:p w14:paraId="324AE2B8">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3</w:t>
                  </w:r>
                </w:p>
              </w:tc>
              <w:tc>
                <w:tcPr>
                  <w:tcW w:w="2701" w:type="dxa"/>
                  <w:vMerge w:val="restart"/>
                  <w:tcBorders>
                    <w:tl2br w:val="nil"/>
                    <w:tr2bl w:val="nil"/>
                  </w:tcBorders>
                  <w:vAlign w:val="center"/>
                </w:tcPr>
                <w:p w14:paraId="74245082">
                  <w:pPr>
                    <w:jc w:val="center"/>
                    <w:rPr>
                      <w:rFonts w:hint="default" w:ascii="Times New Roman" w:hAnsi="Times New Roman" w:eastAsia="宋体" w:cs="Times New Roman"/>
                      <w:b w:val="0"/>
                      <w:bCs w:val="0"/>
                      <w:color w:val="000000" w:themeColor="text1"/>
                      <w:sz w:val="21"/>
                      <w:szCs w:val="21"/>
                      <w:lang w:val="en-US" w:eastAsia="zh-CN"/>
                    </w:rPr>
                  </w:pPr>
                  <w:r>
                    <w:rPr>
                      <w:rFonts w:hint="eastAsia" w:ascii="Times New Roman" w:hAnsi="Times New Roman" w:cs="Times New Roman"/>
                      <w:b w:val="0"/>
                      <w:bCs w:val="0"/>
                      <w:color w:val="000000" w:themeColor="text1"/>
                      <w:sz w:val="21"/>
                      <w:szCs w:val="21"/>
                      <w:lang w:val="en-US" w:eastAsia="zh-CN"/>
                    </w:rPr>
                    <w:t>置于储罐区</w:t>
                  </w:r>
                </w:p>
              </w:tc>
            </w:tr>
            <w:tr w14:paraId="698319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7" w:type="dxa"/>
                  <w:tcBorders>
                    <w:tl2br w:val="nil"/>
                    <w:tr2bl w:val="nil"/>
                  </w:tcBorders>
                  <w:vAlign w:val="center"/>
                </w:tcPr>
                <w:p w14:paraId="6FF94165">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lang w:val="en-US" w:eastAsia="zh-CN"/>
                    </w:rPr>
                    <w:t>4</w:t>
                  </w:r>
                </w:p>
              </w:tc>
              <w:tc>
                <w:tcPr>
                  <w:tcW w:w="2375" w:type="dxa"/>
                  <w:tcBorders>
                    <w:tl2br w:val="nil"/>
                    <w:tr2bl w:val="nil"/>
                  </w:tcBorders>
                  <w:vAlign w:val="center"/>
                </w:tcPr>
                <w:p w14:paraId="4535F595">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灭火毯</w:t>
                  </w:r>
                </w:p>
              </w:tc>
              <w:tc>
                <w:tcPr>
                  <w:tcW w:w="1077" w:type="dxa"/>
                  <w:tcBorders>
                    <w:tl2br w:val="nil"/>
                    <w:tr2bl w:val="nil"/>
                  </w:tcBorders>
                  <w:vAlign w:val="center"/>
                </w:tcPr>
                <w:p w14:paraId="40640DC3">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w:t>
                  </w:r>
                </w:p>
              </w:tc>
              <w:tc>
                <w:tcPr>
                  <w:tcW w:w="698" w:type="dxa"/>
                  <w:tcBorders>
                    <w:tl2br w:val="nil"/>
                    <w:tr2bl w:val="nil"/>
                  </w:tcBorders>
                  <w:vAlign w:val="center"/>
                </w:tcPr>
                <w:p w14:paraId="483B818E">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块</w:t>
                  </w:r>
                </w:p>
              </w:tc>
              <w:tc>
                <w:tcPr>
                  <w:tcW w:w="712" w:type="dxa"/>
                  <w:tcBorders>
                    <w:tl2br w:val="nil"/>
                    <w:tr2bl w:val="nil"/>
                  </w:tcBorders>
                  <w:vAlign w:val="center"/>
                </w:tcPr>
                <w:p w14:paraId="29280820">
                  <w:pPr>
                    <w:jc w:val="center"/>
                    <w:rPr>
                      <w:rFonts w:hint="default" w:ascii="Times New Roman" w:hAnsi="Times New Roman" w:eastAsia="宋体" w:cs="Times New Roman"/>
                      <w:b w:val="0"/>
                      <w:bCs w:val="0"/>
                      <w:color w:val="000000" w:themeColor="text1"/>
                      <w:sz w:val="21"/>
                      <w:szCs w:val="21"/>
                      <w:lang w:val="en-US" w:eastAsia="zh-CN"/>
                    </w:rPr>
                  </w:pPr>
                  <w:r>
                    <w:rPr>
                      <w:rFonts w:hint="default" w:ascii="Times New Roman" w:hAnsi="Times New Roman" w:eastAsia="宋体" w:cs="Times New Roman"/>
                      <w:b w:val="0"/>
                      <w:bCs w:val="0"/>
                      <w:color w:val="000000" w:themeColor="text1"/>
                      <w:sz w:val="21"/>
                      <w:szCs w:val="21"/>
                    </w:rPr>
                    <w:t>5</w:t>
                  </w:r>
                </w:p>
              </w:tc>
              <w:tc>
                <w:tcPr>
                  <w:tcW w:w="2701" w:type="dxa"/>
                  <w:vMerge w:val="continue"/>
                  <w:tcBorders>
                    <w:tl2br w:val="nil"/>
                    <w:tr2bl w:val="nil"/>
                  </w:tcBorders>
                  <w:vAlign w:val="center"/>
                </w:tcPr>
                <w:p w14:paraId="75C04F08">
                  <w:pPr>
                    <w:jc w:val="center"/>
                    <w:rPr>
                      <w:rFonts w:hint="default" w:ascii="Times New Roman" w:hAnsi="Times New Roman" w:eastAsia="宋体" w:cs="Times New Roman"/>
                      <w:b/>
                      <w:bCs/>
                      <w:color w:val="000000" w:themeColor="text1"/>
                      <w:sz w:val="21"/>
                      <w:szCs w:val="21"/>
                      <w:lang w:val="en-US" w:eastAsia="zh-CN"/>
                    </w:rPr>
                  </w:pPr>
                </w:p>
              </w:tc>
            </w:tr>
          </w:tbl>
          <w:p w14:paraId="7187DADE">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②建筑部分防火设计</w:t>
            </w:r>
          </w:p>
          <w:p w14:paraId="5D23216D">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加气区罩棚：采用完全敞开式，为钢结构，耐火极限不低于0.25h，罩棚其他部分均采用非燃烧材料制作。</w:t>
            </w:r>
          </w:p>
          <w:p w14:paraId="27BD626D">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站内各建筑物耐火等级均不低于《建筑设计防火规范》中“二级”的要求设计。加气岛地表均做到不发火面层设计，加油站内各建构筑物耐火等级和防火做法详见下表。</w:t>
            </w:r>
          </w:p>
          <w:p w14:paraId="04577031">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表11             加油站内各建构筑物耐火等级和防火做法</w:t>
            </w:r>
          </w:p>
          <w:tbl>
            <w:tblPr>
              <w:tblStyle w:val="20"/>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55"/>
              <w:gridCol w:w="2055"/>
              <w:gridCol w:w="2055"/>
              <w:gridCol w:w="2055"/>
            </w:tblGrid>
            <w:tr w14:paraId="0EE1BF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tcBorders>
                    <w:bottom w:val="single" w:color="auto" w:sz="12" w:space="0"/>
                  </w:tcBorders>
                  <w:vAlign w:val="center"/>
                </w:tcPr>
                <w:p w14:paraId="7A22EFDE">
                  <w:pPr>
                    <w:jc w:val="center"/>
                    <w:rPr>
                      <w:rFonts w:hint="eastAsia"/>
                      <w:b/>
                      <w:bCs/>
                      <w:i w:val="0"/>
                      <w:iCs w:val="0"/>
                      <w:color w:val="000000" w:themeColor="text1"/>
                      <w:sz w:val="21"/>
                      <w:szCs w:val="21"/>
                      <w:vertAlign w:val="baseline"/>
                      <w:lang w:val="en-US" w:eastAsia="zh-CN"/>
                    </w:rPr>
                  </w:pPr>
                  <w:r>
                    <w:rPr>
                      <w:rFonts w:hint="eastAsia"/>
                      <w:b/>
                      <w:bCs/>
                      <w:i w:val="0"/>
                      <w:iCs w:val="0"/>
                      <w:color w:val="000000" w:themeColor="text1"/>
                      <w:sz w:val="21"/>
                      <w:szCs w:val="21"/>
                      <w:vertAlign w:val="baseline"/>
                      <w:lang w:val="en-US" w:eastAsia="zh-CN"/>
                    </w:rPr>
                    <w:t>名称</w:t>
                  </w:r>
                </w:p>
              </w:tc>
              <w:tc>
                <w:tcPr>
                  <w:tcW w:w="2055" w:type="dxa"/>
                  <w:tcBorders>
                    <w:bottom w:val="single" w:color="auto" w:sz="12" w:space="0"/>
                  </w:tcBorders>
                  <w:vAlign w:val="center"/>
                </w:tcPr>
                <w:p w14:paraId="6B364D6E">
                  <w:pPr>
                    <w:jc w:val="center"/>
                    <w:rPr>
                      <w:rFonts w:hint="eastAsia"/>
                      <w:b/>
                      <w:bCs/>
                      <w:i w:val="0"/>
                      <w:iCs w:val="0"/>
                      <w:color w:val="000000" w:themeColor="text1"/>
                      <w:sz w:val="21"/>
                      <w:szCs w:val="21"/>
                      <w:vertAlign w:val="baseline"/>
                      <w:lang w:val="en-US" w:eastAsia="zh-CN"/>
                    </w:rPr>
                  </w:pPr>
                  <w:r>
                    <w:rPr>
                      <w:rFonts w:hint="eastAsia"/>
                      <w:b/>
                      <w:bCs/>
                      <w:i w:val="0"/>
                      <w:iCs w:val="0"/>
                      <w:color w:val="000000" w:themeColor="text1"/>
                      <w:sz w:val="21"/>
                      <w:szCs w:val="21"/>
                      <w:vertAlign w:val="baseline"/>
                      <w:lang w:val="en-US" w:eastAsia="zh-CN"/>
                    </w:rPr>
                    <w:t>形式</w:t>
                  </w:r>
                </w:p>
              </w:tc>
              <w:tc>
                <w:tcPr>
                  <w:tcW w:w="2055" w:type="dxa"/>
                  <w:tcBorders>
                    <w:bottom w:val="single" w:color="auto" w:sz="12" w:space="0"/>
                  </w:tcBorders>
                  <w:vAlign w:val="center"/>
                </w:tcPr>
                <w:p w14:paraId="662A9145">
                  <w:pPr>
                    <w:jc w:val="center"/>
                    <w:rPr>
                      <w:rFonts w:hint="eastAsia"/>
                      <w:b/>
                      <w:bCs/>
                      <w:i w:val="0"/>
                      <w:iCs w:val="0"/>
                      <w:color w:val="000000" w:themeColor="text1"/>
                      <w:sz w:val="21"/>
                      <w:szCs w:val="21"/>
                      <w:vertAlign w:val="baseline"/>
                      <w:lang w:val="en-US" w:eastAsia="zh-CN"/>
                    </w:rPr>
                  </w:pPr>
                  <w:r>
                    <w:rPr>
                      <w:rFonts w:hint="eastAsia"/>
                      <w:b/>
                      <w:bCs/>
                      <w:i w:val="0"/>
                      <w:iCs w:val="0"/>
                      <w:color w:val="000000" w:themeColor="text1"/>
                      <w:sz w:val="21"/>
                      <w:szCs w:val="21"/>
                      <w:vertAlign w:val="baseline"/>
                      <w:lang w:val="en-US" w:eastAsia="zh-CN"/>
                    </w:rPr>
                    <w:t>耐火等级或做法</w:t>
                  </w:r>
                </w:p>
              </w:tc>
              <w:tc>
                <w:tcPr>
                  <w:tcW w:w="2055" w:type="dxa"/>
                  <w:tcBorders>
                    <w:bottom w:val="single" w:color="auto" w:sz="12" w:space="0"/>
                  </w:tcBorders>
                  <w:vAlign w:val="center"/>
                </w:tcPr>
                <w:p w14:paraId="6D46FE85">
                  <w:pPr>
                    <w:jc w:val="center"/>
                    <w:rPr>
                      <w:rFonts w:hint="eastAsia"/>
                      <w:b/>
                      <w:bCs/>
                      <w:i w:val="0"/>
                      <w:iCs w:val="0"/>
                      <w:color w:val="000000" w:themeColor="text1"/>
                      <w:sz w:val="21"/>
                      <w:szCs w:val="21"/>
                      <w:vertAlign w:val="baseline"/>
                      <w:lang w:val="en-US" w:eastAsia="zh-CN"/>
                    </w:rPr>
                  </w:pPr>
                  <w:r>
                    <w:rPr>
                      <w:rFonts w:hint="eastAsia"/>
                      <w:b/>
                      <w:bCs/>
                      <w:i w:val="0"/>
                      <w:iCs w:val="0"/>
                      <w:color w:val="000000" w:themeColor="text1"/>
                      <w:sz w:val="21"/>
                      <w:szCs w:val="21"/>
                      <w:vertAlign w:val="baseline"/>
                      <w:lang w:val="en-US" w:eastAsia="zh-CN"/>
                    </w:rPr>
                    <w:t>备注</w:t>
                  </w:r>
                </w:p>
              </w:tc>
            </w:tr>
            <w:tr w14:paraId="7829A9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tcBorders>
                    <w:top w:val="single" w:color="auto" w:sz="12" w:space="0"/>
                    <w:tl2br w:val="nil"/>
                    <w:tr2bl w:val="nil"/>
                  </w:tcBorders>
                  <w:vAlign w:val="center"/>
                </w:tcPr>
                <w:p w14:paraId="7ACD3969">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场地道路</w:t>
                  </w:r>
                </w:p>
              </w:tc>
              <w:tc>
                <w:tcPr>
                  <w:tcW w:w="2055" w:type="dxa"/>
                  <w:tcBorders>
                    <w:top w:val="single" w:color="auto" w:sz="12" w:space="0"/>
                    <w:tl2br w:val="nil"/>
                    <w:tr2bl w:val="nil"/>
                  </w:tcBorders>
                  <w:vAlign w:val="center"/>
                </w:tcPr>
                <w:p w14:paraId="119D73AE">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砼水泥路面</w:t>
                  </w:r>
                </w:p>
              </w:tc>
              <w:tc>
                <w:tcPr>
                  <w:tcW w:w="2055" w:type="dxa"/>
                  <w:tcBorders>
                    <w:top w:val="single" w:color="auto" w:sz="12" w:space="0"/>
                    <w:tl2br w:val="nil"/>
                    <w:tr2bl w:val="nil"/>
                  </w:tcBorders>
                  <w:vAlign w:val="center"/>
                </w:tcPr>
                <w:p w14:paraId="113A5D97">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不发火花面层</w:t>
                  </w:r>
                </w:p>
              </w:tc>
              <w:tc>
                <w:tcPr>
                  <w:tcW w:w="2055" w:type="dxa"/>
                  <w:tcBorders>
                    <w:top w:val="single" w:color="auto" w:sz="12" w:space="0"/>
                    <w:tl2br w:val="nil"/>
                    <w:tr2bl w:val="nil"/>
                  </w:tcBorders>
                  <w:vAlign w:val="center"/>
                </w:tcPr>
                <w:p w14:paraId="2FB7A52C">
                  <w:pPr>
                    <w:jc w:val="center"/>
                    <w:rPr>
                      <w:rFonts w:hint="default" w:ascii="Times New Roman" w:hAnsi="Times New Roman" w:cs="Times New Roman"/>
                      <w:color w:val="000000" w:themeColor="text1"/>
                      <w:sz w:val="21"/>
                      <w:szCs w:val="21"/>
                      <w:vertAlign w:val="baseline"/>
                      <w:lang w:val="en-US" w:eastAsia="zh-CN"/>
                    </w:rPr>
                  </w:pPr>
                </w:p>
              </w:tc>
            </w:tr>
            <w:tr w14:paraId="083468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tcBorders>
                    <w:tl2br w:val="nil"/>
                    <w:tr2bl w:val="nil"/>
                  </w:tcBorders>
                  <w:vAlign w:val="center"/>
                </w:tcPr>
                <w:p w14:paraId="37B1D5F1">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栅栏防护墙</w:t>
                  </w:r>
                </w:p>
              </w:tc>
              <w:tc>
                <w:tcPr>
                  <w:tcW w:w="2055" w:type="dxa"/>
                  <w:tcBorders>
                    <w:tl2br w:val="nil"/>
                    <w:tr2bl w:val="nil"/>
                  </w:tcBorders>
                  <w:vAlign w:val="center"/>
                </w:tcPr>
                <w:p w14:paraId="0FBAC09C">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砖基础铁艺栅栏</w:t>
                  </w:r>
                </w:p>
              </w:tc>
              <w:tc>
                <w:tcPr>
                  <w:tcW w:w="2055" w:type="dxa"/>
                  <w:tcBorders>
                    <w:tl2br w:val="nil"/>
                    <w:tr2bl w:val="nil"/>
                  </w:tcBorders>
                  <w:vAlign w:val="center"/>
                </w:tcPr>
                <w:p w14:paraId="1D71D686">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非燃烧体</w:t>
                  </w:r>
                </w:p>
              </w:tc>
              <w:tc>
                <w:tcPr>
                  <w:tcW w:w="2055" w:type="dxa"/>
                  <w:tcBorders>
                    <w:tl2br w:val="nil"/>
                    <w:tr2bl w:val="nil"/>
                  </w:tcBorders>
                  <w:vAlign w:val="center"/>
                </w:tcPr>
                <w:p w14:paraId="7787F7F0">
                  <w:pPr>
                    <w:jc w:val="center"/>
                    <w:rPr>
                      <w:rFonts w:hint="default" w:ascii="Times New Roman" w:hAnsi="Times New Roman" w:cs="Times New Roman"/>
                      <w:color w:val="000000" w:themeColor="text1"/>
                      <w:sz w:val="21"/>
                      <w:szCs w:val="21"/>
                      <w:vertAlign w:val="baseline"/>
                      <w:lang w:val="en-US" w:eastAsia="zh-CN"/>
                    </w:rPr>
                  </w:pPr>
                </w:p>
              </w:tc>
            </w:tr>
            <w:tr w14:paraId="386515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tcBorders>
                    <w:tl2br w:val="nil"/>
                    <w:tr2bl w:val="nil"/>
                  </w:tcBorders>
                  <w:vAlign w:val="center"/>
                </w:tcPr>
                <w:p w14:paraId="0D0969F1">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站外引路</w:t>
                  </w:r>
                </w:p>
              </w:tc>
              <w:tc>
                <w:tcPr>
                  <w:tcW w:w="2055" w:type="dxa"/>
                  <w:tcBorders>
                    <w:tl2br w:val="nil"/>
                    <w:tr2bl w:val="nil"/>
                  </w:tcBorders>
                  <w:vAlign w:val="center"/>
                </w:tcPr>
                <w:p w14:paraId="41BD5731">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砼水泥路面</w:t>
                  </w:r>
                </w:p>
              </w:tc>
              <w:tc>
                <w:tcPr>
                  <w:tcW w:w="2055" w:type="dxa"/>
                  <w:tcBorders>
                    <w:tl2br w:val="nil"/>
                    <w:tr2bl w:val="nil"/>
                  </w:tcBorders>
                  <w:vAlign w:val="center"/>
                </w:tcPr>
                <w:p w14:paraId="2C4349BB">
                  <w:pPr>
                    <w:jc w:val="center"/>
                    <w:rPr>
                      <w:rFonts w:hint="default" w:ascii="Times New Roman" w:hAnsi="Times New Roman" w:cs="Times New Roman"/>
                      <w:color w:val="000000" w:themeColor="text1"/>
                      <w:sz w:val="21"/>
                      <w:szCs w:val="21"/>
                      <w:vertAlign w:val="baseline"/>
                      <w:lang w:val="en-US" w:eastAsia="zh-CN"/>
                    </w:rPr>
                  </w:pPr>
                </w:p>
              </w:tc>
              <w:tc>
                <w:tcPr>
                  <w:tcW w:w="2055" w:type="dxa"/>
                  <w:tcBorders>
                    <w:tl2br w:val="nil"/>
                    <w:tr2bl w:val="nil"/>
                  </w:tcBorders>
                  <w:vAlign w:val="center"/>
                </w:tcPr>
                <w:p w14:paraId="19AACEBB">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砌筑路边石</w:t>
                  </w:r>
                </w:p>
              </w:tc>
            </w:tr>
            <w:tr w14:paraId="285417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tcBorders>
                    <w:tl2br w:val="nil"/>
                    <w:tr2bl w:val="nil"/>
                  </w:tcBorders>
                  <w:vAlign w:val="center"/>
                </w:tcPr>
                <w:p w14:paraId="7806E944">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加气岛</w:t>
                  </w:r>
                </w:p>
              </w:tc>
              <w:tc>
                <w:tcPr>
                  <w:tcW w:w="2055" w:type="dxa"/>
                  <w:tcBorders>
                    <w:tl2br w:val="nil"/>
                    <w:tr2bl w:val="nil"/>
                  </w:tcBorders>
                  <w:vAlign w:val="center"/>
                </w:tcPr>
                <w:p w14:paraId="56C2BCD7">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C30钢筋混凝土</w:t>
                  </w:r>
                </w:p>
              </w:tc>
              <w:tc>
                <w:tcPr>
                  <w:tcW w:w="2055" w:type="dxa"/>
                  <w:tcBorders>
                    <w:tl2br w:val="nil"/>
                    <w:tr2bl w:val="nil"/>
                  </w:tcBorders>
                  <w:vAlign w:val="center"/>
                </w:tcPr>
                <w:p w14:paraId="1E4A2388">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不发火花面层</w:t>
                  </w:r>
                </w:p>
              </w:tc>
              <w:tc>
                <w:tcPr>
                  <w:tcW w:w="2055" w:type="dxa"/>
                  <w:tcBorders>
                    <w:tl2br w:val="nil"/>
                    <w:tr2bl w:val="nil"/>
                  </w:tcBorders>
                  <w:vAlign w:val="center"/>
                </w:tcPr>
                <w:p w14:paraId="052F3FB3">
                  <w:pPr>
                    <w:jc w:val="center"/>
                    <w:rPr>
                      <w:rFonts w:hint="default" w:ascii="Times New Roman" w:hAnsi="Times New Roman" w:cs="Times New Roman"/>
                      <w:color w:val="000000" w:themeColor="text1"/>
                      <w:sz w:val="21"/>
                      <w:szCs w:val="21"/>
                      <w:vertAlign w:val="baseline"/>
                      <w:lang w:val="en-US" w:eastAsia="zh-CN"/>
                    </w:rPr>
                  </w:pPr>
                </w:p>
              </w:tc>
            </w:tr>
            <w:tr w14:paraId="4001B6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tcBorders>
                    <w:tl2br w:val="nil"/>
                    <w:tr2bl w:val="nil"/>
                  </w:tcBorders>
                  <w:vAlign w:val="center"/>
                </w:tcPr>
                <w:p w14:paraId="1AF0867E">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加气罩棚</w:t>
                  </w:r>
                </w:p>
              </w:tc>
              <w:tc>
                <w:tcPr>
                  <w:tcW w:w="2055" w:type="dxa"/>
                  <w:tcBorders>
                    <w:tl2br w:val="nil"/>
                    <w:tr2bl w:val="nil"/>
                  </w:tcBorders>
                  <w:vAlign w:val="center"/>
                </w:tcPr>
                <w:p w14:paraId="5F0BC1CA">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钢结构</w:t>
                  </w:r>
                </w:p>
              </w:tc>
              <w:tc>
                <w:tcPr>
                  <w:tcW w:w="2055" w:type="dxa"/>
                  <w:tcBorders>
                    <w:tl2br w:val="nil"/>
                    <w:tr2bl w:val="nil"/>
                  </w:tcBorders>
                  <w:vAlign w:val="center"/>
                </w:tcPr>
                <w:p w14:paraId="438EDD7C">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不低于0.25h</w:t>
                  </w:r>
                </w:p>
              </w:tc>
              <w:tc>
                <w:tcPr>
                  <w:tcW w:w="2055" w:type="dxa"/>
                  <w:tcBorders>
                    <w:tl2br w:val="nil"/>
                    <w:tr2bl w:val="nil"/>
                  </w:tcBorders>
                  <w:vAlign w:val="center"/>
                </w:tcPr>
                <w:p w14:paraId="1C6284BE">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弦高度4.5m</w:t>
                  </w:r>
                </w:p>
              </w:tc>
            </w:tr>
            <w:tr w14:paraId="72DF7A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tcBorders>
                    <w:tl2br w:val="nil"/>
                    <w:tr2bl w:val="nil"/>
                  </w:tcBorders>
                  <w:vAlign w:val="center"/>
                </w:tcPr>
                <w:p w14:paraId="7641A5E0">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站房</w:t>
                  </w:r>
                </w:p>
              </w:tc>
              <w:tc>
                <w:tcPr>
                  <w:tcW w:w="2055" w:type="dxa"/>
                  <w:tcBorders>
                    <w:tl2br w:val="nil"/>
                    <w:tr2bl w:val="nil"/>
                  </w:tcBorders>
                  <w:vAlign w:val="center"/>
                </w:tcPr>
                <w:p w14:paraId="2E311D6D">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砌体结构</w:t>
                  </w:r>
                </w:p>
              </w:tc>
              <w:tc>
                <w:tcPr>
                  <w:tcW w:w="2055" w:type="dxa"/>
                  <w:tcBorders>
                    <w:tl2br w:val="nil"/>
                    <w:tr2bl w:val="nil"/>
                  </w:tcBorders>
                  <w:vAlign w:val="center"/>
                </w:tcPr>
                <w:p w14:paraId="2DFD14EC">
                  <w:pPr>
                    <w:jc w:val="center"/>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非燃烧体</w:t>
                  </w:r>
                </w:p>
              </w:tc>
              <w:tc>
                <w:tcPr>
                  <w:tcW w:w="2055" w:type="dxa"/>
                  <w:tcBorders>
                    <w:tl2br w:val="nil"/>
                    <w:tr2bl w:val="nil"/>
                  </w:tcBorders>
                  <w:vAlign w:val="center"/>
                </w:tcPr>
                <w:p w14:paraId="0C8D03F7">
                  <w:pPr>
                    <w:jc w:val="center"/>
                    <w:rPr>
                      <w:rFonts w:hint="default" w:ascii="Times New Roman" w:hAnsi="Times New Roman" w:cs="Times New Roman"/>
                      <w:color w:val="000000" w:themeColor="text1"/>
                      <w:sz w:val="21"/>
                      <w:szCs w:val="21"/>
                      <w:vertAlign w:val="baseline"/>
                      <w:lang w:val="en-US" w:eastAsia="zh-CN"/>
                    </w:rPr>
                  </w:pPr>
                </w:p>
              </w:tc>
            </w:tr>
          </w:tbl>
          <w:p w14:paraId="07FC408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黑体" w:hAnsi="黑体" w:eastAsia="黑体" w:cs="黑体"/>
                <w:b/>
                <w:bCs/>
                <w:color w:val="000000" w:themeColor="text1"/>
                <w:lang w:val="en-US" w:eastAsia="zh-CN"/>
              </w:rPr>
            </w:pPr>
            <w:r>
              <w:rPr>
                <w:rFonts w:hint="eastAsia" w:ascii="黑体" w:hAnsi="黑体" w:eastAsia="黑体" w:cs="黑体"/>
                <w:b/>
                <w:bCs/>
                <w:color w:val="000000" w:themeColor="text1"/>
                <w:lang w:val="en-US" w:eastAsia="zh-CN"/>
              </w:rPr>
              <w:t>注：以上内容涉及的消防事项仅供安全和消防参考，最终数据以消防等相关部门确认的为准。</w:t>
            </w:r>
          </w:p>
          <w:p w14:paraId="43A6E1CE">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6、其他</w:t>
            </w:r>
          </w:p>
          <w:p w14:paraId="19C316A3">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建设项目不设施食堂、浴室、职工宿舍等生活设施，站房内部设置有营业厅、卫生间、便利店、配电室、机柜间。</w:t>
            </w:r>
          </w:p>
          <w:p w14:paraId="4D84D623">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7</w:t>
            </w:r>
            <w:r>
              <w:rPr>
                <w:rFonts w:hint="eastAsia" w:ascii="Times New Roman" w:hAnsi="Times New Roman"/>
                <w:b/>
                <w:bCs/>
                <w:color w:val="000000" w:themeColor="text1"/>
                <w:sz w:val="24"/>
                <w:szCs w:val="24"/>
              </w:rPr>
              <w:t>、总投资及资金来源</w:t>
            </w:r>
          </w:p>
          <w:p w14:paraId="6E43B34F">
            <w:pPr>
              <w:spacing w:line="360" w:lineRule="auto"/>
              <w:ind w:firstLine="480" w:firstLineChars="200"/>
              <w:rPr>
                <w:rFonts w:hint="eastAsia" w:ascii="Times New Roman" w:hAnsi="Times New Roman"/>
                <w:color w:val="000000" w:themeColor="text1"/>
                <w:sz w:val="24"/>
                <w:szCs w:val="24"/>
                <w:lang w:val="zh-CN" w:eastAsia="zh-CN"/>
              </w:rPr>
            </w:pPr>
            <w:r>
              <w:rPr>
                <w:rFonts w:hint="eastAsia" w:ascii="Times New Roman" w:hAnsi="Times New Roman"/>
                <w:color w:val="000000" w:themeColor="text1"/>
                <w:sz w:val="24"/>
                <w:szCs w:val="24"/>
                <w:lang w:val="en-US" w:eastAsia="zh-CN"/>
              </w:rPr>
              <w:t>总投资：</w:t>
            </w:r>
            <w:r>
              <w:rPr>
                <w:rFonts w:hint="eastAsia" w:ascii="Times New Roman" w:hAnsi="Times New Roman"/>
                <w:color w:val="000000" w:themeColor="text1"/>
                <w:sz w:val="24"/>
                <w:szCs w:val="24"/>
                <w:lang w:val="zh-CN" w:eastAsia="zh-CN"/>
              </w:rPr>
              <w:t>总投资</w:t>
            </w:r>
            <w:r>
              <w:rPr>
                <w:rFonts w:hint="eastAsia" w:ascii="Times New Roman" w:hAnsi="Times New Roman"/>
                <w:color w:val="000000" w:themeColor="text1"/>
                <w:sz w:val="24"/>
                <w:szCs w:val="24"/>
                <w:lang w:val="en-US" w:eastAsia="zh-CN"/>
              </w:rPr>
              <w:t>1500</w:t>
            </w:r>
            <w:r>
              <w:rPr>
                <w:rFonts w:hint="eastAsia" w:ascii="Times New Roman" w:hAnsi="Times New Roman"/>
                <w:color w:val="000000" w:themeColor="text1"/>
                <w:sz w:val="24"/>
                <w:szCs w:val="24"/>
                <w:lang w:val="zh-CN" w:eastAsia="zh-CN"/>
              </w:rPr>
              <w:t>万元</w:t>
            </w:r>
            <w:r>
              <w:rPr>
                <w:rFonts w:hint="eastAsia" w:ascii="Times New Roman" w:hAnsi="Times New Roman"/>
                <w:color w:val="000000" w:themeColor="text1"/>
                <w:sz w:val="24"/>
                <w:szCs w:val="24"/>
                <w:lang w:val="en-US" w:eastAsia="zh-CN"/>
              </w:rPr>
              <w:t>。</w:t>
            </w:r>
          </w:p>
          <w:p w14:paraId="2EFD89D5">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资金来源：</w:t>
            </w:r>
            <w:r>
              <w:rPr>
                <w:rFonts w:hint="eastAsia"/>
                <w:snapToGrid w:val="0"/>
                <w:color w:val="000000" w:themeColor="text1"/>
                <w:kern w:val="0"/>
                <w:sz w:val="24"/>
                <w:szCs w:val="24"/>
              </w:rPr>
              <w:t>项目所需资金全部由企业自筹解决。</w:t>
            </w:r>
          </w:p>
          <w:p w14:paraId="74488D5D">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8</w:t>
            </w:r>
            <w:r>
              <w:rPr>
                <w:rFonts w:hint="eastAsia" w:ascii="Times New Roman" w:hAnsi="Times New Roman"/>
                <w:b/>
                <w:bCs/>
                <w:color w:val="000000" w:themeColor="text1"/>
                <w:sz w:val="24"/>
                <w:szCs w:val="24"/>
              </w:rPr>
              <w:t>、劳动定员及工作制度</w:t>
            </w:r>
          </w:p>
          <w:p w14:paraId="3243CF5B">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劳动定员：项目建成后</w:t>
            </w:r>
            <w:r>
              <w:rPr>
                <w:rFonts w:hint="eastAsia" w:ascii="Times New Roman" w:hAnsi="Times New Roman"/>
                <w:color w:val="000000" w:themeColor="text1"/>
                <w:sz w:val="24"/>
                <w:szCs w:val="24"/>
                <w:lang w:val="en-US" w:eastAsia="zh-CN"/>
              </w:rPr>
              <w:t>新增</w:t>
            </w:r>
            <w:r>
              <w:rPr>
                <w:rFonts w:hint="eastAsia" w:ascii="Times New Roman" w:hAnsi="Times New Roman"/>
                <w:color w:val="000000" w:themeColor="text1"/>
                <w:sz w:val="24"/>
                <w:szCs w:val="24"/>
                <w:lang w:eastAsia="zh-CN"/>
              </w:rPr>
              <w:t>劳动定员</w:t>
            </w:r>
            <w:r>
              <w:rPr>
                <w:rFonts w:hint="eastAsia" w:ascii="Times New Roman" w:hAnsi="Times New Roman"/>
                <w:color w:val="000000" w:themeColor="text1"/>
                <w:sz w:val="24"/>
                <w:szCs w:val="24"/>
              </w:rPr>
              <w:t>为</w:t>
            </w:r>
            <w:r>
              <w:rPr>
                <w:rFonts w:hint="eastAsia" w:ascii="Times New Roman" w:hAnsi="Times New Roman"/>
                <w:color w:val="000000" w:themeColor="text1"/>
                <w:sz w:val="24"/>
                <w:szCs w:val="24"/>
                <w:lang w:val="en-US" w:eastAsia="zh-CN"/>
              </w:rPr>
              <w:t>16</w:t>
            </w:r>
            <w:r>
              <w:rPr>
                <w:rFonts w:hint="eastAsia" w:ascii="Times New Roman" w:hAnsi="Times New Roman"/>
                <w:color w:val="000000" w:themeColor="text1"/>
                <w:sz w:val="24"/>
                <w:szCs w:val="24"/>
              </w:rPr>
              <w:t>人，根据该行业特点，本项目年营运时间</w:t>
            </w:r>
            <w:r>
              <w:rPr>
                <w:rFonts w:hint="eastAsia" w:ascii="Times New Roman" w:hAnsi="Times New Roman"/>
                <w:color w:val="000000" w:themeColor="text1"/>
                <w:sz w:val="24"/>
                <w:szCs w:val="24"/>
                <w:lang w:val="en-US" w:eastAsia="zh-CN"/>
              </w:rPr>
              <w:t>365</w:t>
            </w:r>
            <w:r>
              <w:rPr>
                <w:rFonts w:hint="eastAsia" w:ascii="Times New Roman" w:hAnsi="Times New Roman"/>
                <w:color w:val="000000" w:themeColor="text1"/>
                <w:sz w:val="24"/>
                <w:szCs w:val="24"/>
              </w:rPr>
              <w:t>天</w:t>
            </w:r>
            <w:r>
              <w:rPr>
                <w:rFonts w:hint="eastAsia" w:ascii="Times New Roman" w:hAnsi="Times New Roman"/>
                <w:color w:val="000000" w:themeColor="text1"/>
                <w:sz w:val="24"/>
                <w:szCs w:val="24"/>
                <w:lang w:eastAsia="zh-CN"/>
              </w:rPr>
              <w:t>（</w:t>
            </w:r>
            <w:r>
              <w:rPr>
                <w:rFonts w:hint="eastAsia" w:ascii="Times New Roman" w:hAnsi="Times New Roman"/>
                <w:color w:val="000000" w:themeColor="text1"/>
                <w:sz w:val="24"/>
                <w:szCs w:val="24"/>
                <w:lang w:val="en-US" w:eastAsia="zh-CN"/>
              </w:rPr>
              <w:t>8760h</w:t>
            </w:r>
            <w:r>
              <w:rPr>
                <w:rFonts w:hint="eastAsia" w:ascii="Times New Roman" w:hAnsi="Times New Roman"/>
                <w:color w:val="000000" w:themeColor="text1"/>
                <w:sz w:val="24"/>
                <w:szCs w:val="24"/>
                <w:lang w:eastAsia="zh-CN"/>
              </w:rPr>
              <w:t>），三班两倒工作班制，每班有效工作时间</w:t>
            </w:r>
            <w:r>
              <w:rPr>
                <w:rFonts w:hint="eastAsia" w:ascii="Times New Roman" w:hAnsi="Times New Roman"/>
                <w:color w:val="000000" w:themeColor="text1"/>
                <w:sz w:val="24"/>
                <w:szCs w:val="24"/>
                <w:lang w:val="en-US" w:eastAsia="zh-CN"/>
              </w:rPr>
              <w:t>8h</w:t>
            </w:r>
            <w:r>
              <w:rPr>
                <w:rFonts w:hint="eastAsia" w:ascii="Times New Roman" w:hAnsi="Times New Roman"/>
                <w:color w:val="000000" w:themeColor="text1"/>
                <w:sz w:val="24"/>
                <w:szCs w:val="24"/>
                <w:lang w:eastAsia="zh-CN"/>
              </w:rPr>
              <w:t>。</w:t>
            </w:r>
          </w:p>
          <w:p w14:paraId="1AA4E5B2">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三</w:t>
            </w:r>
            <w:r>
              <w:rPr>
                <w:rFonts w:hint="eastAsia" w:ascii="Times New Roman" w:hAnsi="Times New Roman"/>
                <w:b/>
                <w:bCs/>
                <w:color w:val="000000" w:themeColor="text1"/>
                <w:sz w:val="24"/>
                <w:szCs w:val="24"/>
              </w:rPr>
              <w:t>、</w:t>
            </w:r>
            <w:r>
              <w:rPr>
                <w:rFonts w:hint="eastAsia" w:ascii="Times New Roman" w:hAnsi="Times New Roman"/>
                <w:b/>
                <w:bCs/>
                <w:color w:val="000000" w:themeColor="text1"/>
                <w:sz w:val="24"/>
                <w:szCs w:val="24"/>
                <w:lang w:val="en-US" w:eastAsia="zh-CN"/>
              </w:rPr>
              <w:t>项目建设可行性</w:t>
            </w:r>
          </w:p>
          <w:p w14:paraId="7A9A7003">
            <w:pPr>
              <w:spacing w:line="360" w:lineRule="auto"/>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1、产业政策</w:t>
            </w:r>
          </w:p>
          <w:p w14:paraId="286913CB">
            <w:pPr>
              <w:spacing w:line="360" w:lineRule="auto"/>
              <w:ind w:firstLine="480" w:firstLineChars="200"/>
              <w:rPr>
                <w:rFonts w:hint="default" w:ascii="Times New Roman" w:hAnsi="Times New Roman"/>
                <w:color w:val="000000" w:themeColor="text1"/>
                <w:sz w:val="24"/>
                <w:szCs w:val="24"/>
                <w:lang w:eastAsia="zh-CN"/>
              </w:rPr>
            </w:pPr>
            <w:r>
              <w:rPr>
                <w:rFonts w:hint="default" w:ascii="Times New Roman" w:hAnsi="Times New Roman"/>
                <w:color w:val="000000" w:themeColor="text1"/>
                <w:sz w:val="24"/>
                <w:szCs w:val="24"/>
                <w:lang w:eastAsia="zh-CN"/>
              </w:rPr>
              <w:t>根据《产业结构调整指导目录》（2011年）（2013修正）可知，本项目不在鼓励类、限制类、淘汰类目录之中。根据《产业结构调整指导目录》相关要求，不属于鼓励类、限制类、淘汰类，且符合国家有关法律、法规和政策规定的，为允许类。因此，本项目的建设符合国家及行业产业政策。</w:t>
            </w:r>
          </w:p>
          <w:p w14:paraId="3EE6E4C3">
            <w:pPr>
              <w:spacing w:line="360" w:lineRule="auto"/>
              <w:ind w:firstLine="480" w:firstLineChars="200"/>
              <w:rPr>
                <w:rFonts w:hint="default" w:ascii="Times New Roman" w:hAnsi="Times New Roman" w:cs="Times New Roman"/>
                <w:color w:val="000000" w:themeColor="text1"/>
                <w:sz w:val="24"/>
                <w:szCs w:val="24"/>
              </w:rPr>
            </w:pPr>
          </w:p>
          <w:p w14:paraId="332C8556">
            <w:pPr>
              <w:pStyle w:val="13"/>
              <w:rPr>
                <w:rFonts w:hint="eastAsia" w:ascii="Times New Roman" w:hAnsi="Times New Roman"/>
                <w:color w:val="000000" w:themeColor="text1"/>
                <w:sz w:val="24"/>
                <w:szCs w:val="24"/>
              </w:rPr>
            </w:pPr>
          </w:p>
          <w:p w14:paraId="642B19AC">
            <w:pPr>
              <w:rPr>
                <w:rFonts w:hint="eastAsia" w:ascii="Times New Roman" w:hAnsi="Times New Roman"/>
                <w:color w:val="000000" w:themeColor="text1"/>
                <w:sz w:val="24"/>
                <w:szCs w:val="24"/>
              </w:rPr>
            </w:pPr>
          </w:p>
          <w:p w14:paraId="596C6F8B">
            <w:pPr>
              <w:rPr>
                <w:rFonts w:hint="eastAsia" w:ascii="Times New Roman" w:hAnsi="Times New Roman"/>
                <w:color w:val="000000" w:themeColor="text1"/>
                <w:sz w:val="24"/>
                <w:szCs w:val="24"/>
              </w:rPr>
            </w:pPr>
          </w:p>
          <w:p w14:paraId="6830918B">
            <w:pPr>
              <w:rPr>
                <w:rFonts w:hint="eastAsia" w:ascii="Times New Roman" w:hAnsi="Times New Roman"/>
                <w:color w:val="000000" w:themeColor="text1"/>
                <w:sz w:val="24"/>
                <w:szCs w:val="24"/>
              </w:rPr>
            </w:pPr>
          </w:p>
          <w:p w14:paraId="483CE8BE">
            <w:pPr>
              <w:rPr>
                <w:rFonts w:hint="eastAsia" w:ascii="Times New Roman" w:hAnsi="Times New Roman"/>
                <w:color w:val="000000" w:themeColor="text1"/>
                <w:sz w:val="24"/>
                <w:szCs w:val="24"/>
              </w:rPr>
            </w:pPr>
          </w:p>
          <w:p w14:paraId="4F74B7D1">
            <w:pPr>
              <w:rPr>
                <w:rFonts w:hint="eastAsia" w:ascii="Times New Roman" w:hAnsi="Times New Roman"/>
                <w:color w:val="000000" w:themeColor="text1"/>
                <w:sz w:val="24"/>
                <w:szCs w:val="24"/>
              </w:rPr>
            </w:pPr>
          </w:p>
          <w:p w14:paraId="59277DF7">
            <w:pPr>
              <w:rPr>
                <w:rFonts w:hint="eastAsia" w:ascii="Times New Roman" w:hAnsi="Times New Roman"/>
                <w:color w:val="000000" w:themeColor="text1"/>
                <w:sz w:val="24"/>
                <w:szCs w:val="24"/>
              </w:rPr>
            </w:pPr>
          </w:p>
          <w:p w14:paraId="4EBE7FEE">
            <w:pPr>
              <w:rPr>
                <w:rFonts w:hint="eastAsia" w:ascii="Times New Roman" w:hAnsi="Times New Roman"/>
                <w:color w:val="000000" w:themeColor="text1"/>
                <w:sz w:val="24"/>
                <w:szCs w:val="24"/>
              </w:rPr>
            </w:pPr>
          </w:p>
          <w:p w14:paraId="2915E213">
            <w:pPr>
              <w:rPr>
                <w:rFonts w:hint="eastAsia" w:ascii="Times New Roman" w:hAnsi="Times New Roman"/>
                <w:color w:val="000000" w:themeColor="text1"/>
                <w:sz w:val="24"/>
                <w:szCs w:val="24"/>
              </w:rPr>
            </w:pPr>
          </w:p>
          <w:p w14:paraId="207E5E1E">
            <w:pPr>
              <w:rPr>
                <w:rFonts w:hint="eastAsia" w:ascii="Times New Roman" w:hAnsi="Times New Roman"/>
                <w:color w:val="000000" w:themeColor="text1"/>
                <w:sz w:val="24"/>
                <w:szCs w:val="24"/>
              </w:rPr>
            </w:pPr>
          </w:p>
          <w:p w14:paraId="26B764DF">
            <w:pPr>
              <w:rPr>
                <w:rFonts w:hint="eastAsia" w:ascii="Times New Roman" w:hAnsi="Times New Roman"/>
                <w:color w:val="000000" w:themeColor="text1"/>
                <w:sz w:val="24"/>
                <w:szCs w:val="24"/>
              </w:rPr>
            </w:pPr>
          </w:p>
          <w:p w14:paraId="63DB07B4">
            <w:pPr>
              <w:rPr>
                <w:rFonts w:hint="eastAsia" w:ascii="Times New Roman" w:hAnsi="Times New Roman"/>
                <w:color w:val="000000" w:themeColor="text1"/>
                <w:sz w:val="24"/>
                <w:szCs w:val="24"/>
              </w:rPr>
            </w:pPr>
          </w:p>
          <w:p w14:paraId="6CBE136D">
            <w:pPr>
              <w:rPr>
                <w:rFonts w:hint="eastAsia" w:ascii="Times New Roman" w:hAnsi="Times New Roman"/>
                <w:color w:val="000000" w:themeColor="text1"/>
                <w:sz w:val="24"/>
                <w:szCs w:val="24"/>
              </w:rPr>
            </w:pPr>
          </w:p>
          <w:p w14:paraId="1C798E88">
            <w:pPr>
              <w:rPr>
                <w:rFonts w:hint="eastAsia" w:ascii="Times New Roman" w:hAnsi="Times New Roman"/>
                <w:color w:val="000000" w:themeColor="text1"/>
                <w:sz w:val="24"/>
                <w:szCs w:val="24"/>
              </w:rPr>
            </w:pPr>
          </w:p>
          <w:p w14:paraId="3DEA0493">
            <w:pPr>
              <w:rPr>
                <w:rFonts w:hint="eastAsia" w:ascii="Times New Roman" w:hAnsi="Times New Roman"/>
                <w:color w:val="000000" w:themeColor="text1"/>
                <w:sz w:val="24"/>
                <w:szCs w:val="24"/>
              </w:rPr>
            </w:pPr>
          </w:p>
          <w:p w14:paraId="7D8B67F4">
            <w:pPr>
              <w:rPr>
                <w:rFonts w:hint="eastAsia" w:ascii="Times New Roman" w:hAnsi="Times New Roman"/>
                <w:color w:val="000000" w:themeColor="text1"/>
                <w:sz w:val="24"/>
                <w:szCs w:val="24"/>
              </w:rPr>
            </w:pPr>
          </w:p>
          <w:p w14:paraId="1972191D">
            <w:pPr>
              <w:rPr>
                <w:rFonts w:hint="eastAsia" w:ascii="Times New Roman" w:hAnsi="Times New Roman"/>
                <w:color w:val="000000" w:themeColor="text1"/>
                <w:sz w:val="24"/>
                <w:szCs w:val="24"/>
              </w:rPr>
            </w:pPr>
          </w:p>
          <w:p w14:paraId="38D829C2">
            <w:pPr>
              <w:rPr>
                <w:rFonts w:hint="eastAsia" w:ascii="Times New Roman" w:hAnsi="Times New Roman"/>
                <w:color w:val="000000" w:themeColor="text1"/>
                <w:sz w:val="24"/>
                <w:szCs w:val="24"/>
              </w:rPr>
            </w:pPr>
          </w:p>
          <w:p w14:paraId="0C9F5D08">
            <w:pPr>
              <w:rPr>
                <w:rFonts w:hint="eastAsia" w:ascii="Times New Roman" w:hAnsi="Times New Roman"/>
                <w:color w:val="000000" w:themeColor="text1"/>
                <w:sz w:val="24"/>
                <w:szCs w:val="24"/>
              </w:rPr>
            </w:pPr>
          </w:p>
          <w:p w14:paraId="42239B8E">
            <w:pPr>
              <w:rPr>
                <w:rFonts w:hint="eastAsia" w:ascii="Times New Roman" w:hAnsi="Times New Roman"/>
                <w:color w:val="000000" w:themeColor="text1"/>
                <w:sz w:val="24"/>
                <w:szCs w:val="24"/>
              </w:rPr>
            </w:pPr>
          </w:p>
          <w:p w14:paraId="3522BD36">
            <w:pPr>
              <w:rPr>
                <w:rFonts w:hint="eastAsia" w:ascii="Times New Roman" w:hAnsi="Times New Roman"/>
                <w:color w:val="000000" w:themeColor="text1"/>
                <w:sz w:val="24"/>
                <w:szCs w:val="24"/>
              </w:rPr>
            </w:pPr>
          </w:p>
          <w:p w14:paraId="504574B5">
            <w:pPr>
              <w:rPr>
                <w:rFonts w:hint="eastAsia" w:ascii="Times New Roman" w:hAnsi="Times New Roman"/>
                <w:color w:val="000000" w:themeColor="text1"/>
                <w:sz w:val="24"/>
                <w:szCs w:val="24"/>
              </w:rPr>
            </w:pPr>
          </w:p>
          <w:p w14:paraId="0B353781">
            <w:pPr>
              <w:rPr>
                <w:rFonts w:hint="eastAsia" w:ascii="Times New Roman" w:hAnsi="Times New Roman"/>
                <w:color w:val="000000" w:themeColor="text1"/>
                <w:sz w:val="24"/>
                <w:szCs w:val="24"/>
              </w:rPr>
            </w:pPr>
          </w:p>
          <w:p w14:paraId="38D9DD9A">
            <w:pPr>
              <w:rPr>
                <w:rFonts w:hint="eastAsia" w:ascii="Times New Roman" w:hAnsi="Times New Roman"/>
                <w:color w:val="000000" w:themeColor="text1"/>
                <w:sz w:val="24"/>
                <w:szCs w:val="24"/>
              </w:rPr>
            </w:pPr>
          </w:p>
          <w:p w14:paraId="5583E235">
            <w:pPr>
              <w:rPr>
                <w:rFonts w:hint="eastAsia" w:ascii="Times New Roman" w:hAnsi="Times New Roman"/>
                <w:color w:val="000000" w:themeColor="text1"/>
                <w:sz w:val="24"/>
                <w:szCs w:val="24"/>
              </w:rPr>
            </w:pPr>
          </w:p>
          <w:p w14:paraId="22D1EDE3">
            <w:pPr>
              <w:rPr>
                <w:rFonts w:hint="eastAsia" w:ascii="Times New Roman" w:hAnsi="Times New Roman"/>
                <w:color w:val="000000" w:themeColor="text1"/>
                <w:sz w:val="24"/>
                <w:szCs w:val="24"/>
              </w:rPr>
            </w:pPr>
          </w:p>
          <w:p w14:paraId="4EF89D20">
            <w:pPr>
              <w:rPr>
                <w:rFonts w:hint="eastAsia" w:ascii="Times New Roman" w:hAnsi="Times New Roman"/>
                <w:color w:val="000000" w:themeColor="text1"/>
                <w:sz w:val="24"/>
                <w:szCs w:val="24"/>
              </w:rPr>
            </w:pPr>
          </w:p>
          <w:p w14:paraId="65C8AB35">
            <w:pPr>
              <w:rPr>
                <w:rFonts w:hint="eastAsia" w:ascii="Times New Roman" w:hAnsi="Times New Roman"/>
                <w:color w:val="000000" w:themeColor="text1"/>
                <w:sz w:val="24"/>
                <w:szCs w:val="24"/>
              </w:rPr>
            </w:pPr>
          </w:p>
          <w:p w14:paraId="3DDA42F7">
            <w:pPr>
              <w:rPr>
                <w:rFonts w:hint="eastAsia" w:ascii="Times New Roman" w:hAnsi="Times New Roman"/>
                <w:color w:val="000000" w:themeColor="text1"/>
                <w:sz w:val="24"/>
                <w:szCs w:val="24"/>
              </w:rPr>
            </w:pPr>
          </w:p>
          <w:p w14:paraId="1BB6DE2E">
            <w:pPr>
              <w:rPr>
                <w:rFonts w:hint="eastAsia" w:ascii="Times New Roman" w:hAnsi="Times New Roman"/>
                <w:color w:val="000000" w:themeColor="text1"/>
                <w:sz w:val="24"/>
                <w:szCs w:val="24"/>
              </w:rPr>
            </w:pPr>
          </w:p>
          <w:p w14:paraId="325D3DDF">
            <w:pPr>
              <w:rPr>
                <w:rFonts w:hint="eastAsia" w:ascii="Times New Roman" w:hAnsi="Times New Roman"/>
                <w:color w:val="000000" w:themeColor="text1"/>
                <w:sz w:val="24"/>
                <w:szCs w:val="24"/>
              </w:rPr>
            </w:pPr>
          </w:p>
          <w:p w14:paraId="1A744079">
            <w:pPr>
              <w:rPr>
                <w:rFonts w:hint="eastAsia" w:ascii="Times New Roman" w:hAnsi="Times New Roman"/>
                <w:color w:val="000000" w:themeColor="text1"/>
                <w:sz w:val="24"/>
                <w:szCs w:val="24"/>
              </w:rPr>
            </w:pPr>
          </w:p>
          <w:p w14:paraId="7BDFFB68">
            <w:pPr>
              <w:rPr>
                <w:rFonts w:hint="eastAsia" w:ascii="Times New Roman" w:hAnsi="Times New Roman"/>
                <w:color w:val="000000" w:themeColor="text1"/>
                <w:sz w:val="24"/>
                <w:szCs w:val="24"/>
              </w:rPr>
            </w:pPr>
          </w:p>
          <w:p w14:paraId="515C56F1">
            <w:pPr>
              <w:rPr>
                <w:rFonts w:hint="eastAsia" w:ascii="Times New Roman" w:hAnsi="Times New Roman"/>
                <w:color w:val="000000" w:themeColor="text1"/>
                <w:sz w:val="24"/>
                <w:szCs w:val="24"/>
              </w:rPr>
            </w:pPr>
          </w:p>
          <w:p w14:paraId="4C660C34">
            <w:pPr>
              <w:rPr>
                <w:rFonts w:hint="eastAsia" w:ascii="Times New Roman" w:hAnsi="Times New Roman"/>
                <w:color w:val="000000" w:themeColor="text1"/>
                <w:sz w:val="24"/>
                <w:szCs w:val="24"/>
              </w:rPr>
            </w:pPr>
          </w:p>
          <w:p w14:paraId="0DC4E5A6">
            <w:pPr>
              <w:pStyle w:val="13"/>
              <w:rPr>
                <w:rFonts w:hint="eastAsia" w:ascii="Times New Roman" w:hAnsi="Times New Roman"/>
                <w:color w:val="000000" w:themeColor="text1"/>
                <w:sz w:val="24"/>
                <w:szCs w:val="24"/>
              </w:rPr>
            </w:pPr>
          </w:p>
          <w:p w14:paraId="0D47AC1B">
            <w:pPr>
              <w:rPr>
                <w:rFonts w:hint="eastAsia"/>
                <w:color w:val="000000" w:themeColor="text1"/>
              </w:rPr>
            </w:pPr>
          </w:p>
          <w:p w14:paraId="5F8EC4C1">
            <w:pPr>
              <w:rPr>
                <w:rFonts w:ascii="宋体" w:cs="宋体"/>
                <w:b/>
                <w:bCs/>
                <w:color w:val="000000" w:themeColor="text1"/>
                <w:sz w:val="28"/>
                <w:szCs w:val="28"/>
              </w:rPr>
            </w:pPr>
            <w:r>
              <w:rPr>
                <w:rFonts w:hint="eastAsia" w:ascii="宋体" w:hAnsi="宋体" w:cs="宋体"/>
                <w:b/>
                <w:bCs/>
                <w:color w:val="000000" w:themeColor="text1"/>
                <w:sz w:val="28"/>
                <w:szCs w:val="28"/>
              </w:rPr>
              <w:t>与</w:t>
            </w:r>
            <w:bookmarkStart w:id="5" w:name="OLE_LINK11"/>
            <w:r>
              <w:rPr>
                <w:rFonts w:hint="eastAsia" w:ascii="宋体" w:hAnsi="宋体" w:cs="宋体"/>
                <w:b/>
                <w:bCs/>
                <w:color w:val="000000" w:themeColor="text1"/>
                <w:sz w:val="28"/>
                <w:szCs w:val="28"/>
              </w:rPr>
              <w:t>该项目有关的原有污染物情况及主要环境问题</w:t>
            </w:r>
            <w:bookmarkEnd w:id="5"/>
          </w:p>
          <w:p w14:paraId="225DDD16">
            <w:pPr>
              <w:spacing w:line="360" w:lineRule="auto"/>
              <w:ind w:firstLine="480" w:firstLineChars="200"/>
              <w:rPr>
                <w:rFonts w:hint="eastAsia" w:ascii="Times New Roman" w:hAnsi="Times New Roman"/>
                <w:color w:val="000000" w:themeColor="text1"/>
                <w:sz w:val="24"/>
                <w:szCs w:val="24"/>
              </w:rPr>
            </w:pPr>
            <w:r>
              <w:rPr>
                <w:rFonts w:hint="eastAsia" w:ascii="Times New Roman" w:hAnsi="Times New Roman"/>
                <w:color w:val="000000" w:themeColor="text1"/>
                <w:sz w:val="24"/>
                <w:szCs w:val="24"/>
              </w:rPr>
              <w:t>本项目</w:t>
            </w:r>
            <w:r>
              <w:rPr>
                <w:rFonts w:hint="eastAsia" w:ascii="Times New Roman" w:hAnsi="Times New Roman"/>
                <w:color w:val="000000" w:themeColor="text1"/>
                <w:sz w:val="24"/>
                <w:szCs w:val="24"/>
                <w:lang w:val="en-US" w:eastAsia="zh-CN"/>
              </w:rPr>
              <w:t>为昌吉市顺捷天然气有限公司3号加气站的扩建项目，与本项目有关的原有污染物情况及主要环境问题为昌吉市顺捷天然气有限公司3号加气站运营过程排放的污染物及环境问题</w:t>
            </w:r>
            <w:r>
              <w:rPr>
                <w:rFonts w:hint="eastAsia" w:ascii="Times New Roman" w:hAnsi="Times New Roman"/>
                <w:color w:val="000000" w:themeColor="text1"/>
                <w:sz w:val="24"/>
                <w:szCs w:val="24"/>
              </w:rPr>
              <w:t>。</w:t>
            </w:r>
          </w:p>
          <w:p w14:paraId="4CC40E53">
            <w:pPr>
              <w:spacing w:line="360" w:lineRule="auto"/>
              <w:ind w:firstLine="480" w:firstLineChars="200"/>
              <w:rPr>
                <w:rFonts w:hint="eastAsia" w:ascii="Times New Roman" w:hAnsi="Times New Roman"/>
                <w:color w:val="000000" w:themeColor="text1"/>
                <w:sz w:val="24"/>
                <w:szCs w:val="24"/>
                <w:lang w:val="en-US" w:eastAsia="zh-CN"/>
              </w:rPr>
            </w:pPr>
            <w:bookmarkStart w:id="6" w:name="OLE_LINK4"/>
            <w:r>
              <w:rPr>
                <w:rFonts w:hint="eastAsia" w:ascii="Times New Roman" w:hAnsi="Times New Roman"/>
                <w:color w:val="000000" w:themeColor="text1"/>
                <w:sz w:val="24"/>
                <w:szCs w:val="24"/>
                <w:lang w:val="en-US" w:eastAsia="zh-CN"/>
              </w:rPr>
              <w:t>一、现有工程环境影响评价及环保验收情况</w:t>
            </w:r>
          </w:p>
          <w:p w14:paraId="1DE4C5F0">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昌吉市顺捷天然气有限公司3号加气站</w:t>
            </w:r>
            <w:bookmarkEnd w:id="6"/>
            <w:r>
              <w:rPr>
                <w:rFonts w:hint="eastAsia" w:ascii="Times New Roman" w:hAnsi="Times New Roman"/>
                <w:color w:val="000000" w:themeColor="text1"/>
                <w:sz w:val="24"/>
                <w:szCs w:val="24"/>
                <w:lang w:val="en-US" w:eastAsia="zh-CN"/>
              </w:rPr>
              <w:t>于2011年1月21日取得新疆昌吉市环境保护局的审批意见，文号为昌市环管字【2011】035号，于2016年11月8日取得了昌吉高新技术产业开发区环境保护局的竣工环保验收意见，文号为昌高环函【2016】34号。</w:t>
            </w:r>
          </w:p>
          <w:p w14:paraId="5D49629F">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二、现有污染源及污染物排放情况</w:t>
            </w:r>
          </w:p>
          <w:p w14:paraId="694AB32E">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1、废气污染源及污染物</w:t>
            </w:r>
          </w:p>
          <w:p w14:paraId="268B9D4D">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现有加气站的废气污染源主要为天然气无组织排放情况，加气站日加气量为15000Nm</w:t>
            </w:r>
            <w:r>
              <w:rPr>
                <w:rFonts w:hint="eastAsia" w:ascii="Times New Roman" w:hAnsi="Times New Roman"/>
                <w:color w:val="000000" w:themeColor="text1"/>
                <w:sz w:val="24"/>
                <w:szCs w:val="24"/>
                <w:vertAlign w:val="superscript"/>
                <w:lang w:val="en-US" w:eastAsia="zh-CN"/>
              </w:rPr>
              <w:t>3</w:t>
            </w:r>
            <w:r>
              <w:rPr>
                <w:rFonts w:hint="eastAsia" w:ascii="Times New Roman" w:hAnsi="Times New Roman"/>
                <w:color w:val="000000" w:themeColor="text1"/>
                <w:sz w:val="24"/>
                <w:szCs w:val="24"/>
                <w:lang w:val="en-US" w:eastAsia="zh-CN"/>
              </w:rPr>
              <w:t>，</w:t>
            </w:r>
            <w:r>
              <w:rPr>
                <w:bCs/>
                <w:color w:val="000000" w:themeColor="text1"/>
                <w:sz w:val="24"/>
                <w:szCs w:val="24"/>
              </w:rPr>
              <w:t>加</w:t>
            </w:r>
            <w:r>
              <w:rPr>
                <w:rFonts w:hint="eastAsia" w:ascii="Times New Roman" w:hAnsi="Times New Roman"/>
                <w:color w:val="000000" w:themeColor="text1"/>
                <w:sz w:val="24"/>
                <w:szCs w:val="24"/>
                <w:lang w:val="en-US" w:eastAsia="zh-CN"/>
              </w:rPr>
              <w:t>气站内天然气无组织排放量约为加气量的十万分之一，则天然气无组织排放量为0.15Nm</w:t>
            </w:r>
            <w:r>
              <w:rPr>
                <w:rFonts w:hint="eastAsia" w:ascii="Times New Roman" w:hAnsi="Times New Roman"/>
                <w:color w:val="000000" w:themeColor="text1"/>
                <w:sz w:val="24"/>
                <w:szCs w:val="24"/>
                <w:vertAlign w:val="superscript"/>
                <w:lang w:val="en-US" w:eastAsia="zh-CN"/>
              </w:rPr>
              <w:t>3</w:t>
            </w:r>
            <w:r>
              <w:rPr>
                <w:rFonts w:hint="eastAsia" w:ascii="Times New Roman" w:hAnsi="Times New Roman"/>
                <w:color w:val="000000" w:themeColor="text1"/>
                <w:sz w:val="24"/>
                <w:szCs w:val="24"/>
                <w:lang w:val="en-US" w:eastAsia="zh-CN"/>
              </w:rPr>
              <w:t>/d，54.75Nm</w:t>
            </w:r>
            <w:r>
              <w:rPr>
                <w:rFonts w:hint="eastAsia" w:ascii="Times New Roman" w:hAnsi="Times New Roman"/>
                <w:color w:val="000000" w:themeColor="text1"/>
                <w:sz w:val="24"/>
                <w:szCs w:val="24"/>
                <w:vertAlign w:val="superscript"/>
                <w:lang w:val="en-US" w:eastAsia="zh-CN"/>
              </w:rPr>
              <w:t>3</w:t>
            </w:r>
            <w:r>
              <w:rPr>
                <w:rFonts w:hint="eastAsia" w:ascii="Times New Roman" w:hAnsi="Times New Roman"/>
                <w:color w:val="000000" w:themeColor="text1"/>
                <w:sz w:val="24"/>
                <w:szCs w:val="24"/>
                <w:lang w:val="en-US" w:eastAsia="zh-CN"/>
              </w:rPr>
              <w:t>/a。根据本次环境质量现状监测结果，无组织排放的甲烷、总烃监测值见表12。</w:t>
            </w:r>
          </w:p>
          <w:p w14:paraId="384FF299">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表12               现有加气站甲烷、总烃监测浓度一览表</w:t>
            </w:r>
          </w:p>
          <w:tbl>
            <w:tblPr>
              <w:tblStyle w:val="20"/>
              <w:tblW w:w="8288"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1528"/>
              <w:gridCol w:w="1658"/>
              <w:gridCol w:w="1658"/>
              <w:gridCol w:w="1658"/>
            </w:tblGrid>
            <w:tr w14:paraId="43FB4F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1786" w:type="dxa"/>
                  <w:vMerge w:val="restart"/>
                  <w:tcBorders>
                    <w:top w:val="single" w:color="auto" w:sz="12" w:space="0"/>
                  </w:tcBorders>
                  <w:vAlign w:val="center"/>
                </w:tcPr>
                <w:p w14:paraId="32A699B5">
                  <w:pPr>
                    <w:ind w:left="0" w:leftChars="0" w:right="0" w:rightChars="0" w:firstLine="0" w:firstLineChars="0"/>
                    <w:jc w:val="center"/>
                    <w:rPr>
                      <w:rFonts w:hint="eastAsia" w:ascii="Times New Roman" w:hAnsi="Times New Roman"/>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日期</w:t>
                  </w:r>
                </w:p>
              </w:tc>
              <w:tc>
                <w:tcPr>
                  <w:tcW w:w="1528" w:type="dxa"/>
                  <w:vMerge w:val="restart"/>
                  <w:tcBorders>
                    <w:top w:val="single" w:color="auto" w:sz="12" w:space="0"/>
                  </w:tcBorders>
                  <w:vAlign w:val="center"/>
                </w:tcPr>
                <w:p w14:paraId="69771A67">
                  <w:pPr>
                    <w:ind w:left="0" w:leftChars="0" w:right="0" w:rightChars="0" w:firstLine="0" w:firstLineChars="0"/>
                    <w:jc w:val="center"/>
                    <w:rPr>
                      <w:rFonts w:hint="eastAsia" w:ascii="Times New Roman" w:hAnsi="Times New Roman"/>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监测项目</w:t>
                  </w:r>
                </w:p>
              </w:tc>
              <w:tc>
                <w:tcPr>
                  <w:tcW w:w="3316" w:type="dxa"/>
                  <w:gridSpan w:val="2"/>
                  <w:tcBorders>
                    <w:top w:val="single" w:color="auto" w:sz="12" w:space="0"/>
                    <w:bottom w:val="single" w:color="auto" w:sz="4" w:space="0"/>
                  </w:tcBorders>
                  <w:vAlign w:val="center"/>
                </w:tcPr>
                <w:p w14:paraId="2DF99611">
                  <w:pPr>
                    <w:ind w:left="0" w:leftChars="0" w:right="0" w:rightChars="0" w:firstLine="0" w:firstLineChars="0"/>
                    <w:jc w:val="center"/>
                    <w:rPr>
                      <w:rFonts w:hint="eastAsia" w:ascii="Times New Roman" w:hAnsi="Times New Roman"/>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分析结果（mg/m</w:t>
                  </w:r>
                  <w:r>
                    <w:rPr>
                      <w:rFonts w:hint="eastAsia" w:ascii="Times New Roman" w:hAnsi="Times New Roman"/>
                      <w:b/>
                      <w:bCs/>
                      <w:color w:val="000000" w:themeColor="text1"/>
                      <w:sz w:val="21"/>
                      <w:szCs w:val="21"/>
                      <w:vertAlign w:val="superscript"/>
                      <w:lang w:val="en-US" w:eastAsia="zh-CN"/>
                    </w:rPr>
                    <w:t>3</w:t>
                  </w:r>
                  <w:r>
                    <w:rPr>
                      <w:rFonts w:hint="eastAsia" w:ascii="Times New Roman" w:hAnsi="Times New Roman"/>
                      <w:b/>
                      <w:bCs/>
                      <w:color w:val="000000" w:themeColor="text1"/>
                      <w:sz w:val="21"/>
                      <w:szCs w:val="21"/>
                      <w:lang w:val="en-US" w:eastAsia="zh-CN"/>
                    </w:rPr>
                    <w:t>）</w:t>
                  </w:r>
                </w:p>
              </w:tc>
              <w:tc>
                <w:tcPr>
                  <w:tcW w:w="1658" w:type="dxa"/>
                  <w:vMerge w:val="restart"/>
                  <w:tcBorders>
                    <w:top w:val="single" w:color="auto" w:sz="12" w:space="0"/>
                  </w:tcBorders>
                  <w:vAlign w:val="center"/>
                </w:tcPr>
                <w:p w14:paraId="5A6A2624">
                  <w:pPr>
                    <w:ind w:left="0" w:leftChars="0" w:right="0" w:rightChars="0" w:firstLine="0" w:firstLineChars="0"/>
                    <w:jc w:val="center"/>
                    <w:rPr>
                      <w:rFonts w:hint="eastAsia" w:ascii="Times New Roman" w:hAnsi="Times New Roman"/>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分析方法及检出限</w:t>
                  </w:r>
                </w:p>
              </w:tc>
            </w:tr>
            <w:tr w14:paraId="32BF73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1786" w:type="dxa"/>
                  <w:vMerge w:val="continue"/>
                  <w:tcBorders>
                    <w:bottom w:val="single" w:color="auto" w:sz="12" w:space="0"/>
                  </w:tcBorders>
                  <w:vAlign w:val="center"/>
                </w:tcPr>
                <w:p w14:paraId="7BE1EADC">
                  <w:pPr>
                    <w:ind w:left="0" w:leftChars="0" w:right="0" w:rightChars="0" w:firstLine="0" w:firstLineChars="0"/>
                    <w:jc w:val="center"/>
                    <w:rPr>
                      <w:color w:val="000000" w:themeColor="text1"/>
                    </w:rPr>
                  </w:pPr>
                </w:p>
              </w:tc>
              <w:tc>
                <w:tcPr>
                  <w:tcW w:w="1528" w:type="dxa"/>
                  <w:vMerge w:val="continue"/>
                  <w:tcBorders>
                    <w:bottom w:val="single" w:color="auto" w:sz="12" w:space="0"/>
                  </w:tcBorders>
                  <w:vAlign w:val="center"/>
                </w:tcPr>
                <w:p w14:paraId="7F0DB10C">
                  <w:pPr>
                    <w:ind w:left="0" w:leftChars="0" w:right="0" w:rightChars="0" w:firstLine="0" w:firstLineChars="0"/>
                    <w:jc w:val="center"/>
                    <w:rPr>
                      <w:color w:val="000000" w:themeColor="text1"/>
                    </w:rPr>
                  </w:pPr>
                </w:p>
              </w:tc>
              <w:tc>
                <w:tcPr>
                  <w:tcW w:w="1658" w:type="dxa"/>
                  <w:tcBorders>
                    <w:top w:val="single" w:color="auto" w:sz="4" w:space="0"/>
                    <w:bottom w:val="single" w:color="auto" w:sz="12" w:space="0"/>
                  </w:tcBorders>
                  <w:vAlign w:val="center"/>
                </w:tcPr>
                <w:p w14:paraId="5F5B6970">
                  <w:pPr>
                    <w:ind w:left="0" w:leftChars="0" w:right="0" w:rightChars="0" w:firstLine="0" w:firstLineChars="0"/>
                    <w:jc w:val="center"/>
                    <w:rPr>
                      <w:rFonts w:hint="eastAsia" w:ascii="Times New Roman" w:hAnsi="Times New Roman"/>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上风向</w:t>
                  </w:r>
                </w:p>
              </w:tc>
              <w:tc>
                <w:tcPr>
                  <w:tcW w:w="1658" w:type="dxa"/>
                  <w:tcBorders>
                    <w:bottom w:val="single" w:color="auto" w:sz="12" w:space="0"/>
                  </w:tcBorders>
                  <w:vAlign w:val="center"/>
                </w:tcPr>
                <w:p w14:paraId="5599B1C5">
                  <w:pPr>
                    <w:ind w:left="0" w:leftChars="0" w:right="0" w:rightChars="0" w:firstLine="0" w:firstLineChars="0"/>
                    <w:jc w:val="center"/>
                    <w:rPr>
                      <w:rFonts w:hint="eastAsia" w:ascii="Times New Roman" w:hAnsi="Times New Roman"/>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下风向</w:t>
                  </w:r>
                </w:p>
              </w:tc>
              <w:tc>
                <w:tcPr>
                  <w:tcW w:w="1658" w:type="dxa"/>
                  <w:vMerge w:val="continue"/>
                  <w:tcBorders>
                    <w:bottom w:val="single" w:color="auto" w:sz="12" w:space="0"/>
                  </w:tcBorders>
                  <w:vAlign w:val="center"/>
                </w:tcPr>
                <w:p w14:paraId="4CC26DC7">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01CEF8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op w:val="single" w:color="auto" w:sz="12" w:space="0"/>
                    <w:tl2br w:val="nil"/>
                    <w:tr2bl w:val="nil"/>
                  </w:tcBorders>
                  <w:vAlign w:val="center"/>
                </w:tcPr>
                <w:p w14:paraId="2FB35135">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2018年6月4日</w:t>
                  </w:r>
                </w:p>
              </w:tc>
              <w:tc>
                <w:tcPr>
                  <w:tcW w:w="1528" w:type="dxa"/>
                  <w:vMerge w:val="restart"/>
                  <w:tcBorders>
                    <w:top w:val="single" w:color="auto" w:sz="12" w:space="0"/>
                    <w:tl2br w:val="nil"/>
                    <w:tr2bl w:val="nil"/>
                  </w:tcBorders>
                  <w:vAlign w:val="center"/>
                </w:tcPr>
                <w:p w14:paraId="632E3D24">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甲烷</w:t>
                  </w:r>
                </w:p>
              </w:tc>
              <w:tc>
                <w:tcPr>
                  <w:tcW w:w="1658" w:type="dxa"/>
                  <w:tcBorders>
                    <w:top w:val="single" w:color="auto" w:sz="12" w:space="0"/>
                    <w:tl2br w:val="nil"/>
                    <w:tr2bl w:val="nil"/>
                  </w:tcBorders>
                  <w:vAlign w:val="center"/>
                </w:tcPr>
                <w:p w14:paraId="090412CA">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1.72</w:t>
                  </w:r>
                </w:p>
              </w:tc>
              <w:tc>
                <w:tcPr>
                  <w:tcW w:w="1658" w:type="dxa"/>
                  <w:tcBorders>
                    <w:top w:val="single" w:color="auto" w:sz="12" w:space="0"/>
                    <w:tl2br w:val="nil"/>
                    <w:tr2bl w:val="nil"/>
                  </w:tcBorders>
                  <w:vAlign w:val="center"/>
                </w:tcPr>
                <w:p w14:paraId="5BC88A2B">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1.63</w:t>
                  </w:r>
                </w:p>
              </w:tc>
              <w:tc>
                <w:tcPr>
                  <w:tcW w:w="1658" w:type="dxa"/>
                  <w:vMerge w:val="restart"/>
                  <w:tcBorders>
                    <w:top w:val="single" w:color="auto" w:sz="12" w:space="0"/>
                    <w:tl2br w:val="nil"/>
                    <w:tr2bl w:val="nil"/>
                  </w:tcBorders>
                  <w:vAlign w:val="center"/>
                </w:tcPr>
                <w:p w14:paraId="1DD26F3B">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环境空气  总烃、甲烷、非甲烷总烃的测定</w:t>
                  </w:r>
                </w:p>
                <w:p w14:paraId="2F3155C2">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气相色谱法</w:t>
                  </w:r>
                </w:p>
                <w:p w14:paraId="0EDFEF0A">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HJ604-2017</w:t>
                  </w:r>
                </w:p>
                <w:p w14:paraId="20B9A1AE">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0.06mg/m</w:t>
                  </w:r>
                  <w:r>
                    <w:rPr>
                      <w:rFonts w:hint="eastAsia" w:ascii="Times New Roman" w:hAnsi="Times New Roman"/>
                      <w:color w:val="000000" w:themeColor="text1"/>
                      <w:sz w:val="21"/>
                      <w:szCs w:val="21"/>
                      <w:vertAlign w:val="superscript"/>
                      <w:lang w:val="en-US" w:eastAsia="zh-CN"/>
                    </w:rPr>
                    <w:t>3</w:t>
                  </w:r>
                </w:p>
              </w:tc>
            </w:tr>
            <w:tr w14:paraId="5902778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42D4D68B">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2018年6月5日</w:t>
                  </w:r>
                </w:p>
              </w:tc>
              <w:tc>
                <w:tcPr>
                  <w:tcW w:w="1528" w:type="dxa"/>
                  <w:vMerge w:val="continue"/>
                  <w:tcBorders>
                    <w:tl2br w:val="nil"/>
                    <w:tr2bl w:val="nil"/>
                  </w:tcBorders>
                  <w:vAlign w:val="center"/>
                </w:tcPr>
                <w:p w14:paraId="5463445D">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32949F84">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1.55</w:t>
                  </w:r>
                </w:p>
              </w:tc>
              <w:tc>
                <w:tcPr>
                  <w:tcW w:w="1658" w:type="dxa"/>
                  <w:tcBorders>
                    <w:tl2br w:val="nil"/>
                    <w:tr2bl w:val="nil"/>
                  </w:tcBorders>
                  <w:vAlign w:val="center"/>
                </w:tcPr>
                <w:p w14:paraId="67B5E0C8">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1.84</w:t>
                  </w:r>
                </w:p>
              </w:tc>
              <w:tc>
                <w:tcPr>
                  <w:tcW w:w="1658" w:type="dxa"/>
                  <w:vMerge w:val="continue"/>
                  <w:tcBorders>
                    <w:tl2br w:val="nil"/>
                    <w:tr2bl w:val="nil"/>
                  </w:tcBorders>
                  <w:vAlign w:val="center"/>
                </w:tcPr>
                <w:p w14:paraId="130D1F29">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48034B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57521D8E">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2018年6月6日</w:t>
                  </w:r>
                </w:p>
              </w:tc>
              <w:tc>
                <w:tcPr>
                  <w:tcW w:w="1528" w:type="dxa"/>
                  <w:vMerge w:val="continue"/>
                  <w:tcBorders>
                    <w:tl2br w:val="nil"/>
                    <w:tr2bl w:val="nil"/>
                  </w:tcBorders>
                  <w:vAlign w:val="center"/>
                </w:tcPr>
                <w:p w14:paraId="6F378E50">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7FBFE68C">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1.46</w:t>
                  </w:r>
                </w:p>
              </w:tc>
              <w:tc>
                <w:tcPr>
                  <w:tcW w:w="1658" w:type="dxa"/>
                  <w:tcBorders>
                    <w:tl2br w:val="nil"/>
                    <w:tr2bl w:val="nil"/>
                  </w:tcBorders>
                  <w:vAlign w:val="center"/>
                </w:tcPr>
                <w:p w14:paraId="725BBD24">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1.68</w:t>
                  </w:r>
                </w:p>
              </w:tc>
              <w:tc>
                <w:tcPr>
                  <w:tcW w:w="1658" w:type="dxa"/>
                  <w:vMerge w:val="continue"/>
                  <w:tcBorders>
                    <w:tl2br w:val="nil"/>
                    <w:tr2bl w:val="nil"/>
                  </w:tcBorders>
                  <w:vAlign w:val="center"/>
                </w:tcPr>
                <w:p w14:paraId="3749EF73">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5566CB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366FECE8">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2018年6月7日</w:t>
                  </w:r>
                </w:p>
              </w:tc>
              <w:tc>
                <w:tcPr>
                  <w:tcW w:w="1528" w:type="dxa"/>
                  <w:vMerge w:val="continue"/>
                  <w:tcBorders>
                    <w:tl2br w:val="nil"/>
                    <w:tr2bl w:val="nil"/>
                  </w:tcBorders>
                  <w:vAlign w:val="center"/>
                </w:tcPr>
                <w:p w14:paraId="794C0B3A">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2988E288">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1.45</w:t>
                  </w:r>
                </w:p>
              </w:tc>
              <w:tc>
                <w:tcPr>
                  <w:tcW w:w="1658" w:type="dxa"/>
                  <w:tcBorders>
                    <w:tl2br w:val="nil"/>
                    <w:tr2bl w:val="nil"/>
                  </w:tcBorders>
                  <w:vAlign w:val="center"/>
                </w:tcPr>
                <w:p w14:paraId="27863B7E">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2.10</w:t>
                  </w:r>
                </w:p>
              </w:tc>
              <w:tc>
                <w:tcPr>
                  <w:tcW w:w="1658" w:type="dxa"/>
                  <w:vMerge w:val="continue"/>
                  <w:tcBorders>
                    <w:tl2br w:val="nil"/>
                    <w:tr2bl w:val="nil"/>
                  </w:tcBorders>
                  <w:vAlign w:val="center"/>
                </w:tcPr>
                <w:p w14:paraId="2B1218DC">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217378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729A6CF8">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2018年6月8日</w:t>
                  </w:r>
                </w:p>
              </w:tc>
              <w:tc>
                <w:tcPr>
                  <w:tcW w:w="1528" w:type="dxa"/>
                  <w:vMerge w:val="continue"/>
                  <w:tcBorders>
                    <w:tl2br w:val="nil"/>
                    <w:tr2bl w:val="nil"/>
                  </w:tcBorders>
                  <w:vAlign w:val="center"/>
                </w:tcPr>
                <w:p w14:paraId="6C7F8D4B">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152D6DA1">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1.50</w:t>
                  </w:r>
                </w:p>
              </w:tc>
              <w:tc>
                <w:tcPr>
                  <w:tcW w:w="1658" w:type="dxa"/>
                  <w:tcBorders>
                    <w:tl2br w:val="nil"/>
                    <w:tr2bl w:val="nil"/>
                  </w:tcBorders>
                  <w:vAlign w:val="center"/>
                </w:tcPr>
                <w:p w14:paraId="2887C1B9">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1.58</w:t>
                  </w:r>
                </w:p>
              </w:tc>
              <w:tc>
                <w:tcPr>
                  <w:tcW w:w="1658" w:type="dxa"/>
                  <w:vMerge w:val="continue"/>
                  <w:tcBorders>
                    <w:tl2br w:val="nil"/>
                    <w:tr2bl w:val="nil"/>
                  </w:tcBorders>
                  <w:vAlign w:val="center"/>
                </w:tcPr>
                <w:p w14:paraId="444AE413">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0D3588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353F2131">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2018年6月9日</w:t>
                  </w:r>
                </w:p>
              </w:tc>
              <w:tc>
                <w:tcPr>
                  <w:tcW w:w="1528" w:type="dxa"/>
                  <w:vMerge w:val="continue"/>
                  <w:tcBorders>
                    <w:tl2br w:val="nil"/>
                    <w:tr2bl w:val="nil"/>
                  </w:tcBorders>
                  <w:vAlign w:val="center"/>
                </w:tcPr>
                <w:p w14:paraId="3C0F1294">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65819CB4">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1.42</w:t>
                  </w:r>
                </w:p>
              </w:tc>
              <w:tc>
                <w:tcPr>
                  <w:tcW w:w="1658" w:type="dxa"/>
                  <w:tcBorders>
                    <w:tl2br w:val="nil"/>
                    <w:tr2bl w:val="nil"/>
                  </w:tcBorders>
                  <w:vAlign w:val="center"/>
                </w:tcPr>
                <w:p w14:paraId="1C9DB358">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1.50</w:t>
                  </w:r>
                </w:p>
              </w:tc>
              <w:tc>
                <w:tcPr>
                  <w:tcW w:w="1658" w:type="dxa"/>
                  <w:vMerge w:val="continue"/>
                  <w:tcBorders>
                    <w:tl2br w:val="nil"/>
                    <w:tr2bl w:val="nil"/>
                  </w:tcBorders>
                  <w:vAlign w:val="center"/>
                </w:tcPr>
                <w:p w14:paraId="3852B82D">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52CA67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3B2A0715">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2018年6月10日</w:t>
                  </w:r>
                </w:p>
              </w:tc>
              <w:tc>
                <w:tcPr>
                  <w:tcW w:w="1528" w:type="dxa"/>
                  <w:vMerge w:val="continue"/>
                  <w:tcBorders>
                    <w:tl2br w:val="nil"/>
                    <w:tr2bl w:val="nil"/>
                  </w:tcBorders>
                  <w:vAlign w:val="center"/>
                </w:tcPr>
                <w:p w14:paraId="5394B8E3">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278731EC">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1.53</w:t>
                  </w:r>
                </w:p>
              </w:tc>
              <w:tc>
                <w:tcPr>
                  <w:tcW w:w="1658" w:type="dxa"/>
                  <w:tcBorders>
                    <w:tl2br w:val="nil"/>
                    <w:tr2bl w:val="nil"/>
                  </w:tcBorders>
                  <w:vAlign w:val="center"/>
                </w:tcPr>
                <w:p w14:paraId="2AC53B6F">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1.62</w:t>
                  </w:r>
                </w:p>
              </w:tc>
              <w:tc>
                <w:tcPr>
                  <w:tcW w:w="1658" w:type="dxa"/>
                  <w:vMerge w:val="continue"/>
                  <w:tcBorders>
                    <w:tl2br w:val="nil"/>
                    <w:tr2bl w:val="nil"/>
                  </w:tcBorders>
                  <w:vAlign w:val="center"/>
                </w:tcPr>
                <w:p w14:paraId="2EE65606">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3EE811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0C76C4C2">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2018年6月4日</w:t>
                  </w:r>
                </w:p>
              </w:tc>
              <w:tc>
                <w:tcPr>
                  <w:tcW w:w="1528" w:type="dxa"/>
                  <w:vMerge w:val="restart"/>
                  <w:tcBorders>
                    <w:tl2br w:val="nil"/>
                    <w:tr2bl w:val="nil"/>
                  </w:tcBorders>
                  <w:vAlign w:val="center"/>
                </w:tcPr>
                <w:p w14:paraId="121FB77C">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总烃</w:t>
                  </w:r>
                </w:p>
              </w:tc>
              <w:tc>
                <w:tcPr>
                  <w:tcW w:w="1658" w:type="dxa"/>
                  <w:tcBorders>
                    <w:tl2br w:val="nil"/>
                    <w:tr2bl w:val="nil"/>
                  </w:tcBorders>
                  <w:vAlign w:val="center"/>
                </w:tcPr>
                <w:p w14:paraId="5112E60B">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2.80</w:t>
                  </w:r>
                </w:p>
              </w:tc>
              <w:tc>
                <w:tcPr>
                  <w:tcW w:w="1658" w:type="dxa"/>
                  <w:tcBorders>
                    <w:tl2br w:val="nil"/>
                    <w:tr2bl w:val="nil"/>
                  </w:tcBorders>
                  <w:vAlign w:val="center"/>
                </w:tcPr>
                <w:p w14:paraId="03030E6E">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2.74</w:t>
                  </w:r>
                </w:p>
              </w:tc>
              <w:tc>
                <w:tcPr>
                  <w:tcW w:w="1658" w:type="dxa"/>
                  <w:vMerge w:val="continue"/>
                  <w:tcBorders>
                    <w:tl2br w:val="nil"/>
                    <w:tr2bl w:val="nil"/>
                  </w:tcBorders>
                  <w:vAlign w:val="center"/>
                </w:tcPr>
                <w:p w14:paraId="086029FD">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0C6B08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0EE2800A">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2018年6月5日</w:t>
                  </w:r>
                </w:p>
              </w:tc>
              <w:tc>
                <w:tcPr>
                  <w:tcW w:w="1528" w:type="dxa"/>
                  <w:vMerge w:val="continue"/>
                  <w:tcBorders>
                    <w:tl2br w:val="nil"/>
                    <w:tr2bl w:val="nil"/>
                  </w:tcBorders>
                  <w:vAlign w:val="center"/>
                </w:tcPr>
                <w:p w14:paraId="28D01A56">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7D4C464A">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2.56</w:t>
                  </w:r>
                </w:p>
              </w:tc>
              <w:tc>
                <w:tcPr>
                  <w:tcW w:w="1658" w:type="dxa"/>
                  <w:tcBorders>
                    <w:tl2br w:val="nil"/>
                    <w:tr2bl w:val="nil"/>
                  </w:tcBorders>
                  <w:vAlign w:val="center"/>
                </w:tcPr>
                <w:p w14:paraId="194E1F77">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3.04</w:t>
                  </w:r>
                </w:p>
              </w:tc>
              <w:tc>
                <w:tcPr>
                  <w:tcW w:w="1658" w:type="dxa"/>
                  <w:vMerge w:val="continue"/>
                  <w:tcBorders>
                    <w:tl2br w:val="nil"/>
                    <w:tr2bl w:val="nil"/>
                  </w:tcBorders>
                  <w:vAlign w:val="center"/>
                </w:tcPr>
                <w:p w14:paraId="29ED188D">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6D05E3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73C8962E">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2018年6月6日</w:t>
                  </w:r>
                </w:p>
              </w:tc>
              <w:tc>
                <w:tcPr>
                  <w:tcW w:w="1528" w:type="dxa"/>
                  <w:vMerge w:val="continue"/>
                  <w:tcBorders>
                    <w:tl2br w:val="nil"/>
                    <w:tr2bl w:val="nil"/>
                  </w:tcBorders>
                  <w:vAlign w:val="center"/>
                </w:tcPr>
                <w:p w14:paraId="78B1C23F">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61DAED15">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2.46</w:t>
                  </w:r>
                </w:p>
              </w:tc>
              <w:tc>
                <w:tcPr>
                  <w:tcW w:w="1658" w:type="dxa"/>
                  <w:tcBorders>
                    <w:tl2br w:val="nil"/>
                    <w:tr2bl w:val="nil"/>
                  </w:tcBorders>
                  <w:vAlign w:val="center"/>
                </w:tcPr>
                <w:p w14:paraId="487B4CD8">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2.92</w:t>
                  </w:r>
                </w:p>
              </w:tc>
              <w:tc>
                <w:tcPr>
                  <w:tcW w:w="1658" w:type="dxa"/>
                  <w:vMerge w:val="continue"/>
                  <w:tcBorders>
                    <w:tl2br w:val="nil"/>
                    <w:tr2bl w:val="nil"/>
                  </w:tcBorders>
                  <w:vAlign w:val="center"/>
                </w:tcPr>
                <w:p w14:paraId="570677FF">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1A3F94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6AFF1244">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2018年6月7日</w:t>
                  </w:r>
                </w:p>
              </w:tc>
              <w:tc>
                <w:tcPr>
                  <w:tcW w:w="1528" w:type="dxa"/>
                  <w:vMerge w:val="continue"/>
                  <w:tcBorders>
                    <w:tl2br w:val="nil"/>
                    <w:tr2bl w:val="nil"/>
                  </w:tcBorders>
                  <w:vAlign w:val="center"/>
                </w:tcPr>
                <w:p w14:paraId="0D315660">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27C46D4D">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2.47</w:t>
                  </w:r>
                </w:p>
              </w:tc>
              <w:tc>
                <w:tcPr>
                  <w:tcW w:w="1658" w:type="dxa"/>
                  <w:tcBorders>
                    <w:tl2br w:val="nil"/>
                    <w:tr2bl w:val="nil"/>
                  </w:tcBorders>
                  <w:vAlign w:val="center"/>
                </w:tcPr>
                <w:p w14:paraId="250F88E4">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3.42</w:t>
                  </w:r>
                </w:p>
              </w:tc>
              <w:tc>
                <w:tcPr>
                  <w:tcW w:w="1658" w:type="dxa"/>
                  <w:vMerge w:val="continue"/>
                  <w:tcBorders>
                    <w:tl2br w:val="nil"/>
                    <w:tr2bl w:val="nil"/>
                  </w:tcBorders>
                  <w:vAlign w:val="center"/>
                </w:tcPr>
                <w:p w14:paraId="182A491D">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6F29E4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2EEDCF51">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2018年6月8日</w:t>
                  </w:r>
                </w:p>
              </w:tc>
              <w:tc>
                <w:tcPr>
                  <w:tcW w:w="1528" w:type="dxa"/>
                  <w:vMerge w:val="continue"/>
                  <w:tcBorders>
                    <w:tl2br w:val="nil"/>
                    <w:tr2bl w:val="nil"/>
                  </w:tcBorders>
                  <w:vAlign w:val="center"/>
                </w:tcPr>
                <w:p w14:paraId="09298AA6">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396AA5E5">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2.52</w:t>
                  </w:r>
                </w:p>
              </w:tc>
              <w:tc>
                <w:tcPr>
                  <w:tcW w:w="1658" w:type="dxa"/>
                  <w:tcBorders>
                    <w:tl2br w:val="nil"/>
                    <w:tr2bl w:val="nil"/>
                  </w:tcBorders>
                  <w:vAlign w:val="center"/>
                </w:tcPr>
                <w:p w14:paraId="3C179BAD">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2.75</w:t>
                  </w:r>
                </w:p>
              </w:tc>
              <w:tc>
                <w:tcPr>
                  <w:tcW w:w="1658" w:type="dxa"/>
                  <w:vMerge w:val="continue"/>
                  <w:tcBorders>
                    <w:tl2br w:val="nil"/>
                    <w:tr2bl w:val="nil"/>
                  </w:tcBorders>
                  <w:vAlign w:val="center"/>
                </w:tcPr>
                <w:p w14:paraId="02A8236C">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24FC48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44228351">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2018年6月9日</w:t>
                  </w:r>
                </w:p>
              </w:tc>
              <w:tc>
                <w:tcPr>
                  <w:tcW w:w="1528" w:type="dxa"/>
                  <w:vMerge w:val="continue"/>
                  <w:tcBorders>
                    <w:tl2br w:val="nil"/>
                    <w:tr2bl w:val="nil"/>
                  </w:tcBorders>
                  <w:vAlign w:val="center"/>
                </w:tcPr>
                <w:p w14:paraId="3B94C81B">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5EB35E0C">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2.47</w:t>
                  </w:r>
                </w:p>
              </w:tc>
              <w:tc>
                <w:tcPr>
                  <w:tcW w:w="1658" w:type="dxa"/>
                  <w:tcBorders>
                    <w:tl2br w:val="nil"/>
                    <w:tr2bl w:val="nil"/>
                  </w:tcBorders>
                  <w:vAlign w:val="center"/>
                </w:tcPr>
                <w:p w14:paraId="0F4BFDF4">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2.62</w:t>
                  </w:r>
                </w:p>
              </w:tc>
              <w:tc>
                <w:tcPr>
                  <w:tcW w:w="1658" w:type="dxa"/>
                  <w:vMerge w:val="continue"/>
                  <w:tcBorders>
                    <w:tl2br w:val="nil"/>
                    <w:tr2bl w:val="nil"/>
                  </w:tcBorders>
                  <w:vAlign w:val="center"/>
                </w:tcPr>
                <w:p w14:paraId="69451AB3">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7C598C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bottom w:val="single" w:color="auto" w:sz="12" w:space="0"/>
                  </w:tcBorders>
                  <w:vAlign w:val="center"/>
                </w:tcPr>
                <w:p w14:paraId="0EEC94BF">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2018年6月10日</w:t>
                  </w:r>
                </w:p>
              </w:tc>
              <w:tc>
                <w:tcPr>
                  <w:tcW w:w="1528" w:type="dxa"/>
                  <w:vMerge w:val="continue"/>
                  <w:tcBorders>
                    <w:bottom w:val="single" w:color="auto" w:sz="12" w:space="0"/>
                  </w:tcBorders>
                  <w:vAlign w:val="center"/>
                </w:tcPr>
                <w:p w14:paraId="7A21F107">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bottom w:val="single" w:color="auto" w:sz="12" w:space="0"/>
                  </w:tcBorders>
                  <w:vAlign w:val="center"/>
                </w:tcPr>
                <w:p w14:paraId="25096121">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2.58</w:t>
                  </w:r>
                </w:p>
              </w:tc>
              <w:tc>
                <w:tcPr>
                  <w:tcW w:w="1658" w:type="dxa"/>
                  <w:tcBorders>
                    <w:bottom w:val="single" w:color="auto" w:sz="12" w:space="0"/>
                  </w:tcBorders>
                  <w:vAlign w:val="center"/>
                </w:tcPr>
                <w:p w14:paraId="31AFADD0">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2.94</w:t>
                  </w:r>
                </w:p>
              </w:tc>
              <w:tc>
                <w:tcPr>
                  <w:tcW w:w="1658" w:type="dxa"/>
                  <w:vMerge w:val="continue"/>
                  <w:tcBorders>
                    <w:bottom w:val="single" w:color="auto" w:sz="12" w:space="0"/>
                  </w:tcBorders>
                  <w:vAlign w:val="center"/>
                </w:tcPr>
                <w:p w14:paraId="0BD52D0C">
                  <w:pPr>
                    <w:ind w:left="0" w:leftChars="0" w:right="0" w:rightChars="0" w:firstLine="0" w:firstLineChars="0"/>
                    <w:jc w:val="center"/>
                    <w:rPr>
                      <w:rFonts w:hint="eastAsia" w:ascii="Times New Roman" w:hAnsi="Times New Roman"/>
                      <w:color w:val="000000" w:themeColor="text1"/>
                      <w:sz w:val="21"/>
                      <w:szCs w:val="21"/>
                      <w:lang w:val="en-US" w:eastAsia="zh-CN"/>
                    </w:rPr>
                  </w:pPr>
                </w:p>
              </w:tc>
            </w:tr>
          </w:tbl>
          <w:p w14:paraId="1116C420">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根据上表可知，现有加气站的甲烷监测浓度最高值为2.10mg/m</w:t>
            </w:r>
            <w:r>
              <w:rPr>
                <w:rFonts w:hint="eastAsia" w:ascii="Times New Roman" w:hAnsi="Times New Roman"/>
                <w:color w:val="000000" w:themeColor="text1"/>
                <w:sz w:val="24"/>
                <w:szCs w:val="24"/>
                <w:vertAlign w:val="superscript"/>
                <w:lang w:val="en-US" w:eastAsia="zh-CN"/>
              </w:rPr>
              <w:t>3</w:t>
            </w:r>
            <w:r>
              <w:rPr>
                <w:rFonts w:hint="eastAsia" w:ascii="Times New Roman" w:hAnsi="Times New Roman"/>
                <w:color w:val="000000" w:themeColor="text1"/>
                <w:sz w:val="24"/>
                <w:szCs w:val="24"/>
                <w:lang w:val="en-US" w:eastAsia="zh-CN"/>
              </w:rPr>
              <w:t>，总烃的检测浓度最高值为3.42mg/m</w:t>
            </w:r>
            <w:r>
              <w:rPr>
                <w:rFonts w:hint="eastAsia" w:ascii="Times New Roman" w:hAnsi="Times New Roman"/>
                <w:color w:val="000000" w:themeColor="text1"/>
                <w:sz w:val="24"/>
                <w:szCs w:val="24"/>
                <w:vertAlign w:val="superscript"/>
                <w:lang w:val="en-US" w:eastAsia="zh-CN"/>
              </w:rPr>
              <w:t>3</w:t>
            </w:r>
            <w:r>
              <w:rPr>
                <w:rFonts w:hint="eastAsia" w:ascii="Times New Roman" w:hAnsi="Times New Roman"/>
                <w:color w:val="000000" w:themeColor="text1"/>
                <w:sz w:val="24"/>
                <w:szCs w:val="24"/>
                <w:lang w:val="en-US" w:eastAsia="zh-CN"/>
              </w:rPr>
              <w:t>。</w:t>
            </w:r>
          </w:p>
          <w:p w14:paraId="03BF219B">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SO</w:t>
            </w:r>
            <w:r>
              <w:rPr>
                <w:rFonts w:hint="eastAsia" w:ascii="Times New Roman" w:hAnsi="Times New Roman"/>
                <w:color w:val="000000" w:themeColor="text1"/>
                <w:sz w:val="24"/>
                <w:szCs w:val="24"/>
                <w:vertAlign w:val="subscript"/>
                <w:lang w:val="en-US" w:eastAsia="zh-CN"/>
              </w:rPr>
              <w:t>2</w:t>
            </w:r>
            <w:r>
              <w:rPr>
                <w:rFonts w:hint="eastAsia" w:ascii="Times New Roman" w:hAnsi="Times New Roman"/>
                <w:color w:val="000000" w:themeColor="text1"/>
                <w:sz w:val="24"/>
                <w:szCs w:val="24"/>
                <w:lang w:val="en-US" w:eastAsia="zh-CN"/>
              </w:rPr>
              <w:t>、NO</w:t>
            </w:r>
            <w:r>
              <w:rPr>
                <w:rFonts w:hint="eastAsia" w:ascii="Times New Roman" w:hAnsi="Times New Roman"/>
                <w:color w:val="000000" w:themeColor="text1"/>
                <w:sz w:val="24"/>
                <w:szCs w:val="24"/>
                <w:vertAlign w:val="subscript"/>
                <w:lang w:val="en-US" w:eastAsia="zh-CN"/>
              </w:rPr>
              <w:t>2</w:t>
            </w:r>
            <w:r>
              <w:rPr>
                <w:rFonts w:hint="eastAsia" w:ascii="Times New Roman" w:hAnsi="Times New Roman"/>
                <w:color w:val="000000" w:themeColor="text1"/>
                <w:sz w:val="24"/>
                <w:szCs w:val="24"/>
                <w:lang w:val="en-US" w:eastAsia="zh-CN"/>
              </w:rPr>
              <w:t>、PM</w:t>
            </w:r>
            <w:r>
              <w:rPr>
                <w:rFonts w:hint="eastAsia" w:ascii="Times New Roman" w:hAnsi="Times New Roman"/>
                <w:color w:val="000000" w:themeColor="text1"/>
                <w:sz w:val="24"/>
                <w:szCs w:val="24"/>
                <w:vertAlign w:val="subscript"/>
                <w:lang w:val="en-US" w:eastAsia="zh-CN"/>
              </w:rPr>
              <w:t>2.5</w:t>
            </w:r>
            <w:r>
              <w:rPr>
                <w:rFonts w:hint="eastAsia" w:ascii="Times New Roman" w:hAnsi="Times New Roman"/>
                <w:color w:val="000000" w:themeColor="text1"/>
                <w:sz w:val="24"/>
                <w:szCs w:val="24"/>
                <w:lang w:val="en-US" w:eastAsia="zh-CN"/>
              </w:rPr>
              <w:t>的监测结果见表17。根据监测结果可知，本项目大气环境质量现状符合</w:t>
            </w:r>
            <w:r>
              <w:rPr>
                <w:rFonts w:hint="default" w:ascii="Times New Roman" w:hAnsi="Times New Roman" w:eastAsia="宋体" w:cs="Times New Roman"/>
                <w:color w:val="000000" w:themeColor="text1"/>
                <w:sz w:val="24"/>
                <w:szCs w:val="24"/>
              </w:rPr>
              <w:t>《环境空气质量标准》（GB3095-2012）中的二级标准</w:t>
            </w:r>
            <w:r>
              <w:rPr>
                <w:rFonts w:hint="eastAsia" w:ascii="Times New Roman" w:hAnsi="Times New Roman" w:cs="Times New Roman"/>
                <w:color w:val="000000" w:themeColor="text1"/>
                <w:sz w:val="24"/>
                <w:szCs w:val="24"/>
                <w:lang w:eastAsia="zh-CN"/>
              </w:rPr>
              <w:t>。</w:t>
            </w:r>
          </w:p>
          <w:p w14:paraId="2C8DFA29">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2、废水污染源及污染物</w:t>
            </w:r>
          </w:p>
          <w:p w14:paraId="2C3714F3">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现有加气站的废水主要是职工生活用水，现实际有员工6人，生活用水量为0.3m</w:t>
            </w:r>
            <w:r>
              <w:rPr>
                <w:rFonts w:hint="eastAsia" w:ascii="Times New Roman" w:hAnsi="Times New Roman"/>
                <w:color w:val="000000" w:themeColor="text1"/>
                <w:sz w:val="24"/>
                <w:szCs w:val="24"/>
                <w:vertAlign w:val="superscript"/>
                <w:lang w:val="en-US" w:eastAsia="zh-CN"/>
              </w:rPr>
              <w:t>3</w:t>
            </w:r>
            <w:r>
              <w:rPr>
                <w:rFonts w:hint="eastAsia" w:ascii="Times New Roman" w:hAnsi="Times New Roman"/>
                <w:color w:val="000000" w:themeColor="text1"/>
                <w:sz w:val="24"/>
                <w:szCs w:val="24"/>
                <w:lang w:val="en-US" w:eastAsia="zh-CN"/>
              </w:rPr>
              <w:t>/d，109.5t/a，污水排放量为生活用水量的80%，则污水排放量为0.24m</w:t>
            </w:r>
            <w:r>
              <w:rPr>
                <w:rFonts w:hint="eastAsia" w:ascii="Times New Roman" w:hAnsi="Times New Roman"/>
                <w:color w:val="000000" w:themeColor="text1"/>
                <w:sz w:val="24"/>
                <w:szCs w:val="24"/>
                <w:vertAlign w:val="superscript"/>
                <w:lang w:val="en-US" w:eastAsia="zh-CN"/>
              </w:rPr>
              <w:t>3</w:t>
            </w:r>
            <w:r>
              <w:rPr>
                <w:rFonts w:hint="eastAsia" w:ascii="Times New Roman" w:hAnsi="Times New Roman"/>
                <w:color w:val="000000" w:themeColor="text1"/>
                <w:sz w:val="24"/>
                <w:szCs w:val="24"/>
                <w:lang w:val="en-US" w:eastAsia="zh-CN"/>
              </w:rPr>
              <w:t>/d，87.6t/a。生活污水水质情况较简单，生活污水排放情况见下表。</w:t>
            </w:r>
          </w:p>
          <w:p w14:paraId="721B2D6B">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表13                   现有加气站污水排放一览表</w:t>
            </w:r>
          </w:p>
          <w:tbl>
            <w:tblPr>
              <w:tblStyle w:val="19"/>
              <w:tblW w:w="828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86"/>
              <w:gridCol w:w="960"/>
              <w:gridCol w:w="975"/>
              <w:gridCol w:w="930"/>
              <w:gridCol w:w="798"/>
              <w:gridCol w:w="1039"/>
            </w:tblGrid>
            <w:tr w14:paraId="555DE6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3586" w:type="dxa"/>
                  <w:tcBorders>
                    <w:top w:val="single" w:color="auto" w:sz="12" w:space="0"/>
                    <w:bottom w:val="single" w:color="auto" w:sz="12" w:space="0"/>
                    <w:right w:val="single" w:color="auto" w:sz="4" w:space="0"/>
                  </w:tcBorders>
                  <w:vAlign w:val="center"/>
                </w:tcPr>
                <w:p w14:paraId="41230FD3">
                  <w:pPr>
                    <w:jc w:val="center"/>
                    <w:rPr>
                      <w:rFonts w:ascii="Times New Roman" w:hAnsi="Times New Roman"/>
                      <w:b/>
                      <w:bCs/>
                      <w:color w:val="000000" w:themeColor="text1"/>
                      <w:sz w:val="21"/>
                      <w:szCs w:val="21"/>
                    </w:rPr>
                  </w:pPr>
                  <w:r>
                    <w:rPr>
                      <w:rFonts w:hint="eastAsia" w:ascii="Times New Roman" w:hAnsi="Times New Roman"/>
                      <w:b/>
                      <w:bCs/>
                      <w:color w:val="000000" w:themeColor="text1"/>
                      <w:sz w:val="21"/>
                      <w:szCs w:val="21"/>
                    </w:rPr>
                    <w:t>项目</w:t>
                  </w:r>
                </w:p>
              </w:tc>
              <w:tc>
                <w:tcPr>
                  <w:tcW w:w="960" w:type="dxa"/>
                  <w:tcBorders>
                    <w:top w:val="single" w:color="auto" w:sz="12" w:space="0"/>
                    <w:left w:val="single" w:color="auto" w:sz="4" w:space="0"/>
                    <w:bottom w:val="single" w:color="auto" w:sz="12" w:space="0"/>
                    <w:right w:val="single" w:color="auto" w:sz="4" w:space="0"/>
                  </w:tcBorders>
                  <w:vAlign w:val="center"/>
                </w:tcPr>
                <w:p w14:paraId="532F09C9">
                  <w:pPr>
                    <w:jc w:val="center"/>
                    <w:rPr>
                      <w:rFonts w:ascii="Times New Roman" w:hAnsi="Times New Roman"/>
                      <w:b/>
                      <w:bCs/>
                      <w:color w:val="000000" w:themeColor="text1"/>
                      <w:sz w:val="21"/>
                      <w:szCs w:val="21"/>
                    </w:rPr>
                  </w:pPr>
                  <w:r>
                    <w:rPr>
                      <w:rFonts w:hint="eastAsia" w:ascii="Times New Roman" w:hAnsi="Times New Roman"/>
                      <w:b/>
                      <w:bCs/>
                      <w:color w:val="000000" w:themeColor="text1"/>
                      <w:sz w:val="21"/>
                      <w:szCs w:val="21"/>
                    </w:rPr>
                    <w:t>废水量</w:t>
                  </w:r>
                </w:p>
              </w:tc>
              <w:tc>
                <w:tcPr>
                  <w:tcW w:w="975" w:type="dxa"/>
                  <w:tcBorders>
                    <w:top w:val="single" w:color="auto" w:sz="12" w:space="0"/>
                    <w:left w:val="single" w:color="auto" w:sz="4" w:space="0"/>
                    <w:bottom w:val="single" w:color="auto" w:sz="12" w:space="0"/>
                    <w:right w:val="single" w:color="auto" w:sz="4" w:space="0"/>
                  </w:tcBorders>
                  <w:vAlign w:val="center"/>
                </w:tcPr>
                <w:p w14:paraId="01AE792B">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COD</w:t>
                  </w:r>
                </w:p>
              </w:tc>
              <w:tc>
                <w:tcPr>
                  <w:tcW w:w="930" w:type="dxa"/>
                  <w:tcBorders>
                    <w:top w:val="single" w:color="auto" w:sz="12" w:space="0"/>
                    <w:left w:val="single" w:color="auto" w:sz="4" w:space="0"/>
                    <w:bottom w:val="single" w:color="auto" w:sz="12" w:space="0"/>
                    <w:right w:val="single" w:color="auto" w:sz="4" w:space="0"/>
                  </w:tcBorders>
                  <w:vAlign w:val="center"/>
                </w:tcPr>
                <w:p w14:paraId="05078FC6">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BOD</w:t>
                  </w:r>
                  <w:r>
                    <w:rPr>
                      <w:rFonts w:ascii="Times New Roman" w:hAnsi="Times New Roman"/>
                      <w:b/>
                      <w:bCs/>
                      <w:color w:val="000000" w:themeColor="text1"/>
                      <w:sz w:val="21"/>
                      <w:szCs w:val="21"/>
                      <w:vertAlign w:val="subscript"/>
                    </w:rPr>
                    <w:t>5</w:t>
                  </w:r>
                </w:p>
              </w:tc>
              <w:tc>
                <w:tcPr>
                  <w:tcW w:w="798" w:type="dxa"/>
                  <w:tcBorders>
                    <w:top w:val="single" w:color="auto" w:sz="12" w:space="0"/>
                    <w:left w:val="single" w:color="auto" w:sz="4" w:space="0"/>
                    <w:bottom w:val="single" w:color="auto" w:sz="12" w:space="0"/>
                    <w:right w:val="single" w:color="auto" w:sz="4" w:space="0"/>
                  </w:tcBorders>
                  <w:vAlign w:val="center"/>
                </w:tcPr>
                <w:p w14:paraId="08F34236">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SS</w:t>
                  </w:r>
                </w:p>
              </w:tc>
              <w:tc>
                <w:tcPr>
                  <w:tcW w:w="1039" w:type="dxa"/>
                  <w:tcBorders>
                    <w:top w:val="single" w:color="auto" w:sz="12" w:space="0"/>
                    <w:left w:val="single" w:color="auto" w:sz="4" w:space="0"/>
                    <w:bottom w:val="single" w:color="auto" w:sz="12" w:space="0"/>
                  </w:tcBorders>
                  <w:vAlign w:val="center"/>
                </w:tcPr>
                <w:p w14:paraId="0CD9643C">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NH</w:t>
                  </w:r>
                  <w:r>
                    <w:rPr>
                      <w:rFonts w:ascii="Times New Roman" w:hAnsi="Times New Roman"/>
                      <w:b/>
                      <w:bCs/>
                      <w:color w:val="000000" w:themeColor="text1"/>
                      <w:sz w:val="21"/>
                      <w:szCs w:val="21"/>
                      <w:vertAlign w:val="subscript"/>
                    </w:rPr>
                    <w:t>3</w:t>
                  </w:r>
                  <w:r>
                    <w:rPr>
                      <w:rFonts w:ascii="Times New Roman" w:hAnsi="Times New Roman"/>
                      <w:b/>
                      <w:bCs/>
                      <w:color w:val="000000" w:themeColor="text1"/>
                      <w:sz w:val="21"/>
                      <w:szCs w:val="21"/>
                    </w:rPr>
                    <w:t>-H</w:t>
                  </w:r>
                </w:p>
              </w:tc>
            </w:tr>
            <w:tr w14:paraId="14BB4B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88" w:type="dxa"/>
                  <w:gridSpan w:val="6"/>
                  <w:tcBorders>
                    <w:top w:val="single" w:color="auto" w:sz="12" w:space="0"/>
                    <w:bottom w:val="single" w:color="auto" w:sz="4" w:space="0"/>
                  </w:tcBorders>
                  <w:vAlign w:val="center"/>
                </w:tcPr>
                <w:p w14:paraId="5E372286">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生活污水</w:t>
                  </w:r>
                </w:p>
              </w:tc>
            </w:tr>
            <w:tr w14:paraId="2A10F2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586" w:type="dxa"/>
                  <w:tcBorders>
                    <w:top w:val="single" w:color="auto" w:sz="4" w:space="0"/>
                    <w:bottom w:val="single" w:color="auto" w:sz="4" w:space="0"/>
                    <w:right w:val="single" w:color="auto" w:sz="4" w:space="0"/>
                  </w:tcBorders>
                  <w:vAlign w:val="center"/>
                </w:tcPr>
                <w:p w14:paraId="7E08F48C">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生活污水产生浓度（</w:t>
                  </w:r>
                  <w:r>
                    <w:rPr>
                      <w:rFonts w:ascii="Times New Roman" w:hAnsi="Times New Roman"/>
                      <w:color w:val="000000" w:themeColor="text1"/>
                      <w:sz w:val="21"/>
                      <w:szCs w:val="21"/>
                    </w:rPr>
                    <w:t>mg/L</w:t>
                  </w:r>
                  <w:r>
                    <w:rPr>
                      <w:rFonts w:hint="eastAsia" w:ascii="Times New Roman" w:hAnsi="Times New Roman"/>
                      <w:color w:val="000000" w:themeColor="text1"/>
                      <w:sz w:val="21"/>
                      <w:szCs w:val="21"/>
                    </w:rPr>
                    <w:t>）</w:t>
                  </w:r>
                </w:p>
              </w:tc>
              <w:tc>
                <w:tcPr>
                  <w:tcW w:w="960" w:type="dxa"/>
                  <w:tcBorders>
                    <w:top w:val="single" w:color="auto" w:sz="4" w:space="0"/>
                    <w:left w:val="single" w:color="auto" w:sz="4" w:space="0"/>
                    <w:bottom w:val="single" w:color="auto" w:sz="4" w:space="0"/>
                    <w:right w:val="single" w:color="auto" w:sz="4" w:space="0"/>
                  </w:tcBorders>
                  <w:vAlign w:val="center"/>
                </w:tcPr>
                <w:p w14:paraId="3A2F6F91">
                  <w:pPr>
                    <w:jc w:val="center"/>
                    <w:rPr>
                      <w:rFonts w:ascii="Times New Roman" w:hAnsi="Times New Roman"/>
                      <w:color w:val="000000" w:themeColor="text1"/>
                      <w:sz w:val="21"/>
                      <w:szCs w:val="21"/>
                    </w:rPr>
                  </w:pPr>
                  <w:r>
                    <w:rPr>
                      <w:rFonts w:ascii="Times New Roman" w:hAnsi="Times New Roman"/>
                      <w:color w:val="000000" w:themeColor="text1"/>
                      <w:sz w:val="21"/>
                      <w:szCs w:val="21"/>
                    </w:rPr>
                    <w:t>/</w:t>
                  </w:r>
                </w:p>
              </w:tc>
              <w:tc>
                <w:tcPr>
                  <w:tcW w:w="975" w:type="dxa"/>
                  <w:tcBorders>
                    <w:top w:val="single" w:color="auto" w:sz="4" w:space="0"/>
                    <w:left w:val="single" w:color="auto" w:sz="4" w:space="0"/>
                    <w:bottom w:val="single" w:color="auto" w:sz="4" w:space="0"/>
                    <w:right w:val="single" w:color="auto" w:sz="4" w:space="0"/>
                  </w:tcBorders>
                  <w:vAlign w:val="center"/>
                </w:tcPr>
                <w:p w14:paraId="339153B7">
                  <w:pPr>
                    <w:jc w:val="center"/>
                    <w:rPr>
                      <w:rFonts w:ascii="Times New Roman" w:hAnsi="Times New Roman"/>
                      <w:color w:val="000000" w:themeColor="text1"/>
                      <w:sz w:val="21"/>
                      <w:szCs w:val="21"/>
                    </w:rPr>
                  </w:pPr>
                  <w:r>
                    <w:rPr>
                      <w:rFonts w:ascii="Times New Roman" w:hAnsi="Times New Roman"/>
                      <w:color w:val="000000" w:themeColor="text1"/>
                      <w:sz w:val="21"/>
                      <w:szCs w:val="21"/>
                    </w:rPr>
                    <w:t>350</w:t>
                  </w:r>
                </w:p>
              </w:tc>
              <w:tc>
                <w:tcPr>
                  <w:tcW w:w="930" w:type="dxa"/>
                  <w:tcBorders>
                    <w:top w:val="single" w:color="auto" w:sz="4" w:space="0"/>
                    <w:left w:val="single" w:color="auto" w:sz="4" w:space="0"/>
                    <w:bottom w:val="single" w:color="auto" w:sz="4" w:space="0"/>
                    <w:right w:val="single" w:color="auto" w:sz="4" w:space="0"/>
                  </w:tcBorders>
                  <w:vAlign w:val="center"/>
                </w:tcPr>
                <w:p w14:paraId="01AB3D25">
                  <w:pPr>
                    <w:jc w:val="center"/>
                    <w:rPr>
                      <w:rFonts w:ascii="Times New Roman" w:hAnsi="Times New Roman"/>
                      <w:color w:val="000000" w:themeColor="text1"/>
                      <w:sz w:val="21"/>
                      <w:szCs w:val="21"/>
                    </w:rPr>
                  </w:pPr>
                  <w:r>
                    <w:rPr>
                      <w:rFonts w:ascii="Times New Roman" w:hAnsi="Times New Roman"/>
                      <w:color w:val="000000" w:themeColor="text1"/>
                      <w:sz w:val="21"/>
                      <w:szCs w:val="21"/>
                    </w:rPr>
                    <w:t>180</w:t>
                  </w:r>
                </w:p>
              </w:tc>
              <w:tc>
                <w:tcPr>
                  <w:tcW w:w="798" w:type="dxa"/>
                  <w:tcBorders>
                    <w:top w:val="single" w:color="auto" w:sz="4" w:space="0"/>
                    <w:left w:val="single" w:color="auto" w:sz="4" w:space="0"/>
                    <w:bottom w:val="single" w:color="auto" w:sz="4" w:space="0"/>
                    <w:right w:val="single" w:color="auto" w:sz="4" w:space="0"/>
                  </w:tcBorders>
                  <w:vAlign w:val="center"/>
                </w:tcPr>
                <w:p w14:paraId="1F127E65">
                  <w:pPr>
                    <w:jc w:val="center"/>
                    <w:rPr>
                      <w:rFonts w:ascii="Times New Roman" w:hAnsi="Times New Roman"/>
                      <w:color w:val="000000" w:themeColor="text1"/>
                      <w:sz w:val="21"/>
                      <w:szCs w:val="21"/>
                    </w:rPr>
                  </w:pPr>
                  <w:r>
                    <w:rPr>
                      <w:rFonts w:ascii="Times New Roman" w:hAnsi="Times New Roman"/>
                      <w:color w:val="000000" w:themeColor="text1"/>
                      <w:sz w:val="21"/>
                      <w:szCs w:val="21"/>
                    </w:rPr>
                    <w:t>200</w:t>
                  </w:r>
                </w:p>
              </w:tc>
              <w:tc>
                <w:tcPr>
                  <w:tcW w:w="1039" w:type="dxa"/>
                  <w:tcBorders>
                    <w:top w:val="single" w:color="auto" w:sz="4" w:space="0"/>
                    <w:left w:val="single" w:color="auto" w:sz="4" w:space="0"/>
                    <w:bottom w:val="single" w:color="auto" w:sz="4" w:space="0"/>
                  </w:tcBorders>
                  <w:vAlign w:val="center"/>
                </w:tcPr>
                <w:p w14:paraId="74F0D30B">
                  <w:pPr>
                    <w:jc w:val="center"/>
                    <w:rPr>
                      <w:rFonts w:ascii="Times New Roman" w:hAnsi="Times New Roman"/>
                      <w:color w:val="000000" w:themeColor="text1"/>
                      <w:sz w:val="21"/>
                      <w:szCs w:val="21"/>
                    </w:rPr>
                  </w:pPr>
                  <w:r>
                    <w:rPr>
                      <w:rFonts w:ascii="Times New Roman" w:hAnsi="Times New Roman"/>
                      <w:color w:val="000000" w:themeColor="text1"/>
                      <w:sz w:val="21"/>
                      <w:szCs w:val="21"/>
                    </w:rPr>
                    <w:t>30</w:t>
                  </w:r>
                </w:p>
              </w:tc>
            </w:tr>
            <w:tr w14:paraId="495B0B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586" w:type="dxa"/>
                  <w:tcBorders>
                    <w:top w:val="single" w:color="auto" w:sz="4" w:space="0"/>
                    <w:bottom w:val="single" w:color="auto" w:sz="12" w:space="0"/>
                    <w:right w:val="single" w:color="auto" w:sz="4" w:space="0"/>
                  </w:tcBorders>
                  <w:vAlign w:val="center"/>
                </w:tcPr>
                <w:p w14:paraId="0817C4DE">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产生量（</w:t>
                  </w:r>
                  <w:r>
                    <w:rPr>
                      <w:rFonts w:ascii="Times New Roman" w:hAnsi="Times New Roman"/>
                      <w:color w:val="000000" w:themeColor="text1"/>
                      <w:sz w:val="21"/>
                      <w:szCs w:val="21"/>
                    </w:rPr>
                    <w:t>t/a</w:t>
                  </w:r>
                  <w:r>
                    <w:rPr>
                      <w:rFonts w:hint="eastAsia" w:ascii="Times New Roman" w:hAnsi="Times New Roman"/>
                      <w:color w:val="000000" w:themeColor="text1"/>
                      <w:sz w:val="21"/>
                      <w:szCs w:val="21"/>
                    </w:rPr>
                    <w:t>）</w:t>
                  </w:r>
                </w:p>
              </w:tc>
              <w:tc>
                <w:tcPr>
                  <w:tcW w:w="960" w:type="dxa"/>
                  <w:tcBorders>
                    <w:top w:val="single" w:color="auto" w:sz="4" w:space="0"/>
                    <w:left w:val="single" w:color="auto" w:sz="4" w:space="0"/>
                    <w:bottom w:val="single" w:color="auto" w:sz="12" w:space="0"/>
                    <w:right w:val="single" w:color="auto" w:sz="4" w:space="0"/>
                  </w:tcBorders>
                  <w:vAlign w:val="center"/>
                </w:tcPr>
                <w:p w14:paraId="4A84360F">
                  <w:pPr>
                    <w:jc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87.6</w:t>
                  </w:r>
                </w:p>
              </w:tc>
              <w:tc>
                <w:tcPr>
                  <w:tcW w:w="975" w:type="dxa"/>
                  <w:tcBorders>
                    <w:top w:val="single" w:color="auto" w:sz="4" w:space="0"/>
                    <w:left w:val="single" w:color="auto" w:sz="4" w:space="0"/>
                    <w:bottom w:val="single" w:color="auto" w:sz="12" w:space="0"/>
                    <w:right w:val="single" w:color="auto" w:sz="4" w:space="0"/>
                  </w:tcBorders>
                  <w:vAlign w:val="center"/>
                </w:tcPr>
                <w:p w14:paraId="613C6D35">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lang w:val="en-US" w:eastAsia="zh-CN"/>
                    </w:rPr>
                    <w:t>0.031</w:t>
                  </w:r>
                </w:p>
              </w:tc>
              <w:tc>
                <w:tcPr>
                  <w:tcW w:w="930" w:type="dxa"/>
                  <w:tcBorders>
                    <w:top w:val="single" w:color="auto" w:sz="4" w:space="0"/>
                    <w:left w:val="single" w:color="auto" w:sz="4" w:space="0"/>
                    <w:bottom w:val="single" w:color="auto" w:sz="12" w:space="0"/>
                    <w:right w:val="single" w:color="auto" w:sz="4" w:space="0"/>
                  </w:tcBorders>
                  <w:vAlign w:val="center"/>
                </w:tcPr>
                <w:p w14:paraId="379123EA">
                  <w:pPr>
                    <w:jc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sz w:val="21"/>
                      <w:szCs w:val="21"/>
                      <w:lang w:val="en-US" w:eastAsia="zh-CN"/>
                    </w:rPr>
                    <w:t>0.016</w:t>
                  </w:r>
                </w:p>
              </w:tc>
              <w:tc>
                <w:tcPr>
                  <w:tcW w:w="798" w:type="dxa"/>
                  <w:tcBorders>
                    <w:top w:val="single" w:color="auto" w:sz="4" w:space="0"/>
                    <w:left w:val="single" w:color="auto" w:sz="4" w:space="0"/>
                    <w:bottom w:val="single" w:color="auto" w:sz="12" w:space="0"/>
                    <w:right w:val="single" w:color="auto" w:sz="4" w:space="0"/>
                  </w:tcBorders>
                  <w:vAlign w:val="center"/>
                </w:tcPr>
                <w:p w14:paraId="317E46BB">
                  <w:pPr>
                    <w:jc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sz w:val="21"/>
                      <w:szCs w:val="21"/>
                      <w:lang w:val="en-US" w:eastAsia="zh-CN"/>
                    </w:rPr>
                    <w:t>0.018</w:t>
                  </w:r>
                </w:p>
              </w:tc>
              <w:tc>
                <w:tcPr>
                  <w:tcW w:w="1039" w:type="dxa"/>
                  <w:tcBorders>
                    <w:top w:val="single" w:color="auto" w:sz="4" w:space="0"/>
                    <w:left w:val="single" w:color="auto" w:sz="4" w:space="0"/>
                    <w:bottom w:val="single" w:color="auto" w:sz="12" w:space="0"/>
                  </w:tcBorders>
                  <w:vAlign w:val="center"/>
                </w:tcPr>
                <w:p w14:paraId="688E7071">
                  <w:pPr>
                    <w:jc w:val="center"/>
                    <w:rPr>
                      <w:rFonts w:ascii="Times New Roman" w:hAnsi="Times New Roman"/>
                      <w:color w:val="000000" w:themeColor="text1"/>
                      <w:sz w:val="21"/>
                      <w:szCs w:val="21"/>
                    </w:rPr>
                  </w:pPr>
                  <w:r>
                    <w:rPr>
                      <w:rFonts w:ascii="Times New Roman" w:hAnsi="Times New Roman"/>
                      <w:color w:val="000000" w:themeColor="text1"/>
                      <w:sz w:val="21"/>
                      <w:szCs w:val="21"/>
                    </w:rPr>
                    <w:t>0.</w:t>
                  </w:r>
                  <w:r>
                    <w:rPr>
                      <w:rFonts w:hint="eastAsia" w:ascii="Times New Roman" w:hAnsi="Times New Roman"/>
                      <w:color w:val="000000" w:themeColor="text1"/>
                      <w:sz w:val="21"/>
                      <w:szCs w:val="21"/>
                      <w:lang w:val="en-US" w:eastAsia="zh-CN"/>
                    </w:rPr>
                    <w:t>003</w:t>
                  </w:r>
                </w:p>
              </w:tc>
            </w:tr>
          </w:tbl>
          <w:p w14:paraId="625F853E">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生活污水排入园区排水管网，最终进入园区污水处理厂进行后续处理。</w:t>
            </w:r>
          </w:p>
          <w:p w14:paraId="385BE8D7">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3、噪声源</w:t>
            </w:r>
          </w:p>
          <w:p w14:paraId="33DA72BE">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项目区噪声主要是天然气压缩机及加气机产生的噪声，根据类比同规模同类型加气站，项目声源强度约为55dB（A）。</w:t>
            </w:r>
          </w:p>
          <w:p w14:paraId="17F1A4E5">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加气站竣工环境保护验收噪声监测结果见下表。由新疆昌吉州环境监测站于2015年11月25日在现有加气站项目区周边进行的监测。</w:t>
            </w:r>
          </w:p>
          <w:p w14:paraId="3249A7DE">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表14                   验收噪声监测结果一览表</w:t>
            </w:r>
          </w:p>
          <w:tbl>
            <w:tblPr>
              <w:tblStyle w:val="20"/>
              <w:tblW w:w="828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7"/>
              <w:gridCol w:w="1116"/>
              <w:gridCol w:w="1150"/>
              <w:gridCol w:w="2067"/>
              <w:gridCol w:w="1117"/>
              <w:gridCol w:w="1931"/>
            </w:tblGrid>
            <w:tr w14:paraId="45364F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7" w:type="dxa"/>
                  <w:vMerge w:val="restart"/>
                  <w:vAlign w:val="center"/>
                </w:tcPr>
                <w:p w14:paraId="53689E5A">
                  <w:pPr>
                    <w:pStyle w:val="15"/>
                    <w:widowControl w:val="0"/>
                    <w:jc w:val="center"/>
                    <w:rPr>
                      <w:rFonts w:hint="default"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测点号</w:t>
                  </w:r>
                </w:p>
              </w:tc>
              <w:tc>
                <w:tcPr>
                  <w:tcW w:w="1116" w:type="dxa"/>
                  <w:vMerge w:val="restart"/>
                  <w:vAlign w:val="center"/>
                </w:tcPr>
                <w:p w14:paraId="077F7C14">
                  <w:pPr>
                    <w:pStyle w:val="15"/>
                    <w:widowControl w:val="0"/>
                    <w:jc w:val="center"/>
                    <w:rPr>
                      <w:rFonts w:hint="default"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测点位置</w:t>
                  </w:r>
                </w:p>
              </w:tc>
              <w:tc>
                <w:tcPr>
                  <w:tcW w:w="3217" w:type="dxa"/>
                  <w:gridSpan w:val="2"/>
                  <w:vAlign w:val="center"/>
                </w:tcPr>
                <w:p w14:paraId="0627919B">
                  <w:pPr>
                    <w:pStyle w:val="15"/>
                    <w:widowControl w:val="0"/>
                    <w:jc w:val="center"/>
                    <w:rPr>
                      <w:rFonts w:hint="default"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昼间</w:t>
                  </w:r>
                </w:p>
              </w:tc>
              <w:tc>
                <w:tcPr>
                  <w:tcW w:w="3048" w:type="dxa"/>
                  <w:gridSpan w:val="2"/>
                  <w:vAlign w:val="center"/>
                </w:tcPr>
                <w:p w14:paraId="0A80AC79">
                  <w:pPr>
                    <w:pStyle w:val="15"/>
                    <w:widowControl w:val="0"/>
                    <w:jc w:val="center"/>
                    <w:rPr>
                      <w:rFonts w:hint="default"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夜间</w:t>
                  </w:r>
                </w:p>
              </w:tc>
            </w:tr>
            <w:tr w14:paraId="4C919E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7" w:type="dxa"/>
                  <w:vMerge w:val="continue"/>
                  <w:tcBorders>
                    <w:bottom w:val="single" w:color="auto" w:sz="12" w:space="0"/>
                  </w:tcBorders>
                  <w:vAlign w:val="center"/>
                </w:tcPr>
                <w:p w14:paraId="75D97965">
                  <w:pPr>
                    <w:pStyle w:val="15"/>
                    <w:widowControl w:val="0"/>
                    <w:jc w:val="center"/>
                    <w:rPr>
                      <w:rFonts w:hint="default" w:ascii="Times New Roman" w:hAnsi="Times New Roman" w:eastAsia="宋体" w:cs="Times New Roman"/>
                      <w:b/>
                      <w:bCs/>
                      <w:color w:val="000000" w:themeColor="text1"/>
                      <w:kern w:val="0"/>
                      <w:sz w:val="21"/>
                      <w:szCs w:val="21"/>
                      <w:vertAlign w:val="baseline"/>
                      <w:lang w:val="en-US" w:eastAsia="zh-CN"/>
                    </w:rPr>
                  </w:pPr>
                </w:p>
              </w:tc>
              <w:tc>
                <w:tcPr>
                  <w:tcW w:w="1116" w:type="dxa"/>
                  <w:vMerge w:val="continue"/>
                  <w:tcBorders>
                    <w:bottom w:val="single" w:color="auto" w:sz="12" w:space="0"/>
                  </w:tcBorders>
                  <w:vAlign w:val="center"/>
                </w:tcPr>
                <w:p w14:paraId="71EDA01C">
                  <w:pPr>
                    <w:pStyle w:val="15"/>
                    <w:widowControl w:val="0"/>
                    <w:jc w:val="center"/>
                    <w:rPr>
                      <w:rFonts w:hint="default" w:ascii="Times New Roman" w:hAnsi="Times New Roman" w:eastAsia="宋体" w:cs="Times New Roman"/>
                      <w:b/>
                      <w:bCs/>
                      <w:color w:val="000000" w:themeColor="text1"/>
                      <w:kern w:val="0"/>
                      <w:sz w:val="21"/>
                      <w:szCs w:val="21"/>
                      <w:vertAlign w:val="baseline"/>
                      <w:lang w:val="en-US" w:eastAsia="zh-CN"/>
                    </w:rPr>
                  </w:pPr>
                </w:p>
              </w:tc>
              <w:tc>
                <w:tcPr>
                  <w:tcW w:w="1150" w:type="dxa"/>
                  <w:tcBorders>
                    <w:bottom w:val="single" w:color="auto" w:sz="12" w:space="0"/>
                  </w:tcBorders>
                  <w:vAlign w:val="center"/>
                </w:tcPr>
                <w:p w14:paraId="4A6E8AFE">
                  <w:pPr>
                    <w:pStyle w:val="15"/>
                    <w:widowControl w:val="0"/>
                    <w:jc w:val="center"/>
                    <w:rPr>
                      <w:rFonts w:hint="default"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测量时间</w:t>
                  </w:r>
                </w:p>
              </w:tc>
              <w:tc>
                <w:tcPr>
                  <w:tcW w:w="2067" w:type="dxa"/>
                  <w:tcBorders>
                    <w:bottom w:val="single" w:color="auto" w:sz="12" w:space="0"/>
                  </w:tcBorders>
                  <w:vAlign w:val="center"/>
                </w:tcPr>
                <w:p w14:paraId="6D81CA39">
                  <w:pPr>
                    <w:pStyle w:val="15"/>
                    <w:widowControl w:val="0"/>
                    <w:jc w:val="center"/>
                    <w:rPr>
                      <w:rFonts w:hint="default"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测量结果（dB（A））</w:t>
                  </w:r>
                </w:p>
              </w:tc>
              <w:tc>
                <w:tcPr>
                  <w:tcW w:w="1117" w:type="dxa"/>
                  <w:tcBorders>
                    <w:bottom w:val="single" w:color="auto" w:sz="12" w:space="0"/>
                  </w:tcBorders>
                  <w:vAlign w:val="center"/>
                </w:tcPr>
                <w:p w14:paraId="28EE8ADE">
                  <w:pPr>
                    <w:pStyle w:val="15"/>
                    <w:widowControl w:val="0"/>
                    <w:jc w:val="center"/>
                    <w:rPr>
                      <w:rFonts w:hint="default"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测量时间</w:t>
                  </w:r>
                </w:p>
              </w:tc>
              <w:tc>
                <w:tcPr>
                  <w:tcW w:w="1931" w:type="dxa"/>
                  <w:tcBorders>
                    <w:bottom w:val="single" w:color="auto" w:sz="12" w:space="0"/>
                  </w:tcBorders>
                  <w:vAlign w:val="center"/>
                </w:tcPr>
                <w:p w14:paraId="486452E5">
                  <w:pPr>
                    <w:pStyle w:val="15"/>
                    <w:widowControl w:val="0"/>
                    <w:jc w:val="center"/>
                    <w:rPr>
                      <w:rFonts w:hint="default"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测量结果（dB（A））</w:t>
                  </w:r>
                </w:p>
              </w:tc>
            </w:tr>
            <w:tr w14:paraId="2C52A5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7" w:type="dxa"/>
                  <w:tcBorders>
                    <w:top w:val="single" w:color="auto" w:sz="12" w:space="0"/>
                    <w:tl2br w:val="nil"/>
                    <w:tr2bl w:val="nil"/>
                  </w:tcBorders>
                  <w:vAlign w:val="center"/>
                </w:tcPr>
                <w:p w14:paraId="753754AC">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1</w:t>
                  </w:r>
                </w:p>
              </w:tc>
              <w:tc>
                <w:tcPr>
                  <w:tcW w:w="1116" w:type="dxa"/>
                  <w:tcBorders>
                    <w:top w:val="single" w:color="auto" w:sz="12" w:space="0"/>
                    <w:tl2br w:val="nil"/>
                    <w:tr2bl w:val="nil"/>
                  </w:tcBorders>
                  <w:vAlign w:val="center"/>
                </w:tcPr>
                <w:p w14:paraId="3F373B2D">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东</w:t>
                  </w:r>
                </w:p>
              </w:tc>
              <w:tc>
                <w:tcPr>
                  <w:tcW w:w="1150" w:type="dxa"/>
                  <w:tcBorders>
                    <w:top w:val="single" w:color="auto" w:sz="12" w:space="0"/>
                    <w:tl2br w:val="nil"/>
                    <w:tr2bl w:val="nil"/>
                  </w:tcBorders>
                  <w:vAlign w:val="center"/>
                </w:tcPr>
                <w:p w14:paraId="1DBFC108">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12：10</w:t>
                  </w:r>
                </w:p>
              </w:tc>
              <w:tc>
                <w:tcPr>
                  <w:tcW w:w="2067" w:type="dxa"/>
                  <w:tcBorders>
                    <w:top w:val="single" w:color="auto" w:sz="12" w:space="0"/>
                    <w:tl2br w:val="nil"/>
                    <w:tr2bl w:val="nil"/>
                  </w:tcBorders>
                  <w:vAlign w:val="center"/>
                </w:tcPr>
                <w:p w14:paraId="22847B68">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53.9</w:t>
                  </w:r>
                </w:p>
              </w:tc>
              <w:tc>
                <w:tcPr>
                  <w:tcW w:w="1117" w:type="dxa"/>
                  <w:tcBorders>
                    <w:top w:val="single" w:color="auto" w:sz="12" w:space="0"/>
                    <w:tl2br w:val="nil"/>
                    <w:tr2bl w:val="nil"/>
                  </w:tcBorders>
                  <w:vAlign w:val="center"/>
                </w:tcPr>
                <w:p w14:paraId="0142B6CB">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00：07</w:t>
                  </w:r>
                </w:p>
              </w:tc>
              <w:tc>
                <w:tcPr>
                  <w:tcW w:w="1931" w:type="dxa"/>
                  <w:tcBorders>
                    <w:top w:val="single" w:color="auto" w:sz="12" w:space="0"/>
                    <w:tl2br w:val="nil"/>
                    <w:tr2bl w:val="nil"/>
                  </w:tcBorders>
                  <w:vAlign w:val="center"/>
                </w:tcPr>
                <w:p w14:paraId="47C8E6E9">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44.1</w:t>
                  </w:r>
                </w:p>
              </w:tc>
            </w:tr>
            <w:tr w14:paraId="21FC31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7" w:type="dxa"/>
                  <w:tcBorders>
                    <w:tl2br w:val="nil"/>
                    <w:tr2bl w:val="nil"/>
                  </w:tcBorders>
                  <w:vAlign w:val="center"/>
                </w:tcPr>
                <w:p w14:paraId="7436D2A3">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2</w:t>
                  </w:r>
                </w:p>
              </w:tc>
              <w:tc>
                <w:tcPr>
                  <w:tcW w:w="1116" w:type="dxa"/>
                  <w:tcBorders>
                    <w:tl2br w:val="nil"/>
                    <w:tr2bl w:val="nil"/>
                  </w:tcBorders>
                  <w:vAlign w:val="center"/>
                </w:tcPr>
                <w:p w14:paraId="1B126283">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南</w:t>
                  </w:r>
                </w:p>
              </w:tc>
              <w:tc>
                <w:tcPr>
                  <w:tcW w:w="1150" w:type="dxa"/>
                  <w:tcBorders>
                    <w:tl2br w:val="nil"/>
                    <w:tr2bl w:val="nil"/>
                  </w:tcBorders>
                  <w:vAlign w:val="center"/>
                </w:tcPr>
                <w:p w14:paraId="03D86979">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12：26</w:t>
                  </w:r>
                </w:p>
              </w:tc>
              <w:tc>
                <w:tcPr>
                  <w:tcW w:w="2067" w:type="dxa"/>
                  <w:tcBorders>
                    <w:tl2br w:val="nil"/>
                    <w:tr2bl w:val="nil"/>
                  </w:tcBorders>
                  <w:vAlign w:val="center"/>
                </w:tcPr>
                <w:p w14:paraId="0BE6CE04">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44.2</w:t>
                  </w:r>
                </w:p>
              </w:tc>
              <w:tc>
                <w:tcPr>
                  <w:tcW w:w="1117" w:type="dxa"/>
                  <w:tcBorders>
                    <w:tl2br w:val="nil"/>
                    <w:tr2bl w:val="nil"/>
                  </w:tcBorders>
                  <w:vAlign w:val="center"/>
                </w:tcPr>
                <w:p w14:paraId="4EF56006">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00：15</w:t>
                  </w:r>
                </w:p>
              </w:tc>
              <w:tc>
                <w:tcPr>
                  <w:tcW w:w="1931" w:type="dxa"/>
                  <w:tcBorders>
                    <w:tl2br w:val="nil"/>
                    <w:tr2bl w:val="nil"/>
                  </w:tcBorders>
                  <w:vAlign w:val="center"/>
                </w:tcPr>
                <w:p w14:paraId="3927C7D3">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41.2</w:t>
                  </w:r>
                </w:p>
              </w:tc>
            </w:tr>
            <w:tr w14:paraId="74B079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7" w:type="dxa"/>
                  <w:tcBorders>
                    <w:tl2br w:val="nil"/>
                    <w:tr2bl w:val="nil"/>
                  </w:tcBorders>
                  <w:vAlign w:val="center"/>
                </w:tcPr>
                <w:p w14:paraId="6486A61E">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3</w:t>
                  </w:r>
                </w:p>
              </w:tc>
              <w:tc>
                <w:tcPr>
                  <w:tcW w:w="1116" w:type="dxa"/>
                  <w:tcBorders>
                    <w:tl2br w:val="nil"/>
                    <w:tr2bl w:val="nil"/>
                  </w:tcBorders>
                  <w:vAlign w:val="center"/>
                </w:tcPr>
                <w:p w14:paraId="5EC1B36F">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西</w:t>
                  </w:r>
                </w:p>
              </w:tc>
              <w:tc>
                <w:tcPr>
                  <w:tcW w:w="1150" w:type="dxa"/>
                  <w:tcBorders>
                    <w:tl2br w:val="nil"/>
                    <w:tr2bl w:val="nil"/>
                  </w:tcBorders>
                  <w:vAlign w:val="center"/>
                </w:tcPr>
                <w:p w14:paraId="7C5A4DC9">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12：31</w:t>
                  </w:r>
                </w:p>
              </w:tc>
              <w:tc>
                <w:tcPr>
                  <w:tcW w:w="2067" w:type="dxa"/>
                  <w:tcBorders>
                    <w:tl2br w:val="nil"/>
                    <w:tr2bl w:val="nil"/>
                  </w:tcBorders>
                  <w:vAlign w:val="center"/>
                </w:tcPr>
                <w:p w14:paraId="788FD49E">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47.1</w:t>
                  </w:r>
                </w:p>
              </w:tc>
              <w:tc>
                <w:tcPr>
                  <w:tcW w:w="1117" w:type="dxa"/>
                  <w:tcBorders>
                    <w:tl2br w:val="nil"/>
                    <w:tr2bl w:val="nil"/>
                  </w:tcBorders>
                  <w:vAlign w:val="center"/>
                </w:tcPr>
                <w:p w14:paraId="57EA11CA">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00：29</w:t>
                  </w:r>
                </w:p>
              </w:tc>
              <w:tc>
                <w:tcPr>
                  <w:tcW w:w="1931" w:type="dxa"/>
                  <w:tcBorders>
                    <w:tl2br w:val="nil"/>
                    <w:tr2bl w:val="nil"/>
                  </w:tcBorders>
                  <w:vAlign w:val="center"/>
                </w:tcPr>
                <w:p w14:paraId="4F9A6857">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42.4</w:t>
                  </w:r>
                </w:p>
              </w:tc>
            </w:tr>
            <w:tr w14:paraId="6D5EA3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7" w:type="dxa"/>
                  <w:tcBorders>
                    <w:tl2br w:val="nil"/>
                    <w:tr2bl w:val="nil"/>
                  </w:tcBorders>
                  <w:vAlign w:val="center"/>
                </w:tcPr>
                <w:p w14:paraId="21A208F3">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4</w:t>
                  </w:r>
                </w:p>
              </w:tc>
              <w:tc>
                <w:tcPr>
                  <w:tcW w:w="1116" w:type="dxa"/>
                  <w:tcBorders>
                    <w:tl2br w:val="nil"/>
                    <w:tr2bl w:val="nil"/>
                  </w:tcBorders>
                  <w:vAlign w:val="center"/>
                </w:tcPr>
                <w:p w14:paraId="4F4A9E4B">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北</w:t>
                  </w:r>
                </w:p>
              </w:tc>
              <w:tc>
                <w:tcPr>
                  <w:tcW w:w="1150" w:type="dxa"/>
                  <w:tcBorders>
                    <w:tl2br w:val="nil"/>
                    <w:tr2bl w:val="nil"/>
                  </w:tcBorders>
                  <w:vAlign w:val="center"/>
                </w:tcPr>
                <w:p w14:paraId="135BBBFC">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12：46</w:t>
                  </w:r>
                </w:p>
              </w:tc>
              <w:tc>
                <w:tcPr>
                  <w:tcW w:w="2067" w:type="dxa"/>
                  <w:tcBorders>
                    <w:tl2br w:val="nil"/>
                    <w:tr2bl w:val="nil"/>
                  </w:tcBorders>
                  <w:vAlign w:val="center"/>
                </w:tcPr>
                <w:p w14:paraId="2D82F8B5">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52.2</w:t>
                  </w:r>
                </w:p>
              </w:tc>
              <w:tc>
                <w:tcPr>
                  <w:tcW w:w="1117" w:type="dxa"/>
                  <w:tcBorders>
                    <w:tl2br w:val="nil"/>
                    <w:tr2bl w:val="nil"/>
                  </w:tcBorders>
                  <w:vAlign w:val="center"/>
                </w:tcPr>
                <w:p w14:paraId="03068DBF">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00：45</w:t>
                  </w:r>
                </w:p>
              </w:tc>
              <w:tc>
                <w:tcPr>
                  <w:tcW w:w="1931" w:type="dxa"/>
                  <w:tcBorders>
                    <w:tl2br w:val="nil"/>
                    <w:tr2bl w:val="nil"/>
                  </w:tcBorders>
                  <w:vAlign w:val="center"/>
                </w:tcPr>
                <w:p w14:paraId="75FD266F">
                  <w:pPr>
                    <w:pStyle w:val="15"/>
                    <w:widowControl w:val="0"/>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43.7</w:t>
                  </w:r>
                </w:p>
              </w:tc>
            </w:tr>
          </w:tbl>
          <w:p w14:paraId="2C52C0FB">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通过上表可知，加气站厂界噪声达到《工业企业厂界环境噪声排放标准》（GB12348-2008）中的2类标准限值要求。</w:t>
            </w:r>
          </w:p>
          <w:p w14:paraId="66F4D26A">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4、固体废物及处置</w:t>
            </w:r>
          </w:p>
          <w:p w14:paraId="201A292A">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（1）生活垃圾</w:t>
            </w:r>
          </w:p>
          <w:p w14:paraId="30264155">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现有加气站劳动定员6人，生活垃圾产生量为1.095/a。集中收集后统一运往垃圾填埋场卫生填埋。</w:t>
            </w:r>
          </w:p>
          <w:p w14:paraId="771F71C2">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（2）含油废水</w:t>
            </w:r>
          </w:p>
          <w:p w14:paraId="6350FFE0">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含油废水主要来自天然气脱水过程，废水中含油量很高，成乌黑色油状，浓度严重超标，为危险废物，排放量约为2t/a，定期交由具有处理资质的单位进行处理。</w:t>
            </w:r>
          </w:p>
          <w:p w14:paraId="7407694C">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二、现主要环境问题及需“以新带老”措施</w:t>
            </w:r>
          </w:p>
          <w:p w14:paraId="51583FC0">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（1）现有工程存在问题</w:t>
            </w:r>
          </w:p>
          <w:p w14:paraId="29AC4AB4">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含油废水未设置危险废物暂存间。露天暂存不符合《危险废物贮存污染控制标准》（GB18597-2001）的相关要求。</w:t>
            </w:r>
          </w:p>
          <w:p w14:paraId="1E6BD3ED">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（2）“以新带老”环保措施</w:t>
            </w:r>
          </w:p>
          <w:p w14:paraId="42637C52">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项目改扩建过程中，根据《危险废物贮存污染控制标准》（GB18597-2001）的相关要求建设危废暂存场所。需满足以下要求。</w:t>
            </w:r>
          </w:p>
          <w:p w14:paraId="6A3EC5E0">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①盛装含油废水的容器衬里不应与含油废水发生反应，并应完好无损。</w:t>
            </w:r>
          </w:p>
          <w:p w14:paraId="5EED1133">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②含油废水应盛装在开孔直径不超过70mm并有放气孔的容器中。</w:t>
            </w:r>
          </w:p>
          <w:p w14:paraId="00EAE986">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宋体" w:hAnsi="宋体" w:eastAsia="宋体" w:cs="宋体"/>
                <w:color w:val="000000" w:themeColor="text1"/>
                <w:sz w:val="24"/>
                <w:szCs w:val="24"/>
                <w:lang w:val="en-US" w:eastAsia="zh-CN"/>
              </w:rPr>
              <w:t>③</w:t>
            </w:r>
            <w:r>
              <w:rPr>
                <w:rFonts w:hint="eastAsia" w:ascii="Times New Roman" w:hAnsi="Times New Roman"/>
                <w:color w:val="000000" w:themeColor="text1"/>
                <w:sz w:val="24"/>
                <w:szCs w:val="24"/>
                <w:lang w:val="en-US" w:eastAsia="zh-CN"/>
              </w:rPr>
              <w:t>危废暂存处应防风、防雨、防晒。</w:t>
            </w:r>
          </w:p>
          <w:p w14:paraId="2428DFBA">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④危废暂存处基础必须防渗，防渗层为至少1米厚粘土层（渗透系数≤10-7厘米/秒），或2毫米厚高密度聚乙烯，或至少2毫米厚的其它人工材料，渗透系数≤10</w:t>
            </w:r>
            <w:r>
              <w:rPr>
                <w:rFonts w:hint="eastAsia" w:ascii="Times New Roman" w:hAnsi="Times New Roman"/>
                <w:color w:val="000000" w:themeColor="text1"/>
                <w:sz w:val="24"/>
                <w:szCs w:val="24"/>
                <w:vertAlign w:val="superscript"/>
                <w:lang w:val="en-US" w:eastAsia="zh-CN"/>
              </w:rPr>
              <w:t>-10</w:t>
            </w:r>
            <w:r>
              <w:rPr>
                <w:rFonts w:hint="eastAsia" w:ascii="Times New Roman" w:hAnsi="Times New Roman"/>
                <w:color w:val="000000" w:themeColor="text1"/>
                <w:sz w:val="24"/>
                <w:szCs w:val="24"/>
                <w:lang w:val="en-US" w:eastAsia="zh-CN"/>
              </w:rPr>
              <w:t>厘米/秒。</w:t>
            </w:r>
          </w:p>
          <w:p w14:paraId="2D6BFE7A">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宋体" w:hAnsi="宋体" w:eastAsia="宋体" w:cs="宋体"/>
                <w:color w:val="000000" w:themeColor="text1"/>
                <w:sz w:val="24"/>
                <w:szCs w:val="24"/>
                <w:lang w:val="en-US" w:eastAsia="zh-CN"/>
              </w:rPr>
              <w:t>⑤</w:t>
            </w:r>
            <w:r>
              <w:rPr>
                <w:rFonts w:hint="eastAsia" w:ascii="Times New Roman" w:hAnsi="Times New Roman"/>
                <w:color w:val="000000" w:themeColor="text1"/>
                <w:sz w:val="24"/>
                <w:szCs w:val="24"/>
                <w:lang w:val="en-US" w:eastAsia="zh-CN"/>
              </w:rPr>
              <w:t>企业应与危废回收单位签订回收协议，废润滑油、废油桶运输过程均交由危废回收单位进行，严禁排入园区污水管网，严禁私拉私运。</w:t>
            </w:r>
          </w:p>
          <w:p w14:paraId="72DF30A4">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⑥危废暂存处应设置警示标示。</w:t>
            </w:r>
          </w:p>
          <w:p w14:paraId="34257258">
            <w:pPr>
              <w:spacing w:line="360" w:lineRule="auto"/>
              <w:ind w:firstLine="480" w:firstLineChars="200"/>
              <w:rPr>
                <w:bCs/>
                <w:color w:val="000000" w:themeColor="text1"/>
                <w:sz w:val="24"/>
              </w:rPr>
            </w:pPr>
            <w:r>
              <w:rPr>
                <w:rFonts w:hint="eastAsia"/>
                <w:bCs/>
                <w:color w:val="000000" w:themeColor="text1"/>
                <w:sz w:val="24"/>
                <w:lang w:val="en-US" w:eastAsia="zh-CN"/>
              </w:rPr>
              <w:t>⑦项目扩建完成后，</w:t>
            </w:r>
            <w:r>
              <w:rPr>
                <w:rFonts w:hint="eastAsia"/>
                <w:bCs/>
                <w:color w:val="000000" w:themeColor="text1"/>
                <w:sz w:val="24"/>
                <w:lang w:eastAsia="zh-CN"/>
              </w:rPr>
              <w:t>企业应</w:t>
            </w:r>
            <w:r>
              <w:rPr>
                <w:bCs/>
                <w:color w:val="000000" w:themeColor="text1"/>
                <w:sz w:val="24"/>
              </w:rPr>
              <w:t>制定并向所在地环境行政主管部门备案危险废物管理计划（包括减少危险废物产生量和危害性的措施以及危险废物贮存、利用、处置措施），向所在地环境保护行政主管部门申报危险废物产生种类、产生量、流向、贮存等有关资料。应针对危险废物的产生、收集、贮存、运输、利用、处置，制定意外事故防范措施和应急预案，向所在地环境行政主管部门备案。本项目在运营过程中产生的危险废物，必须按照国家有关规定申报登记。</w:t>
            </w:r>
          </w:p>
          <w:p w14:paraId="65519831">
            <w:pPr>
              <w:spacing w:line="360" w:lineRule="auto"/>
              <w:ind w:firstLine="480" w:firstLineChars="200"/>
              <w:rPr>
                <w:rFonts w:hint="eastAsia" w:ascii="Times New Roman" w:hAnsi="Times New Roman"/>
                <w:color w:val="000000" w:themeColor="text1"/>
                <w:sz w:val="24"/>
                <w:szCs w:val="24"/>
                <w:lang w:val="en-US" w:eastAsia="zh-CN"/>
              </w:rPr>
            </w:pPr>
          </w:p>
          <w:p w14:paraId="6A840B69">
            <w:pPr>
              <w:spacing w:line="360" w:lineRule="auto"/>
              <w:ind w:firstLine="480" w:firstLineChars="200"/>
              <w:rPr>
                <w:rFonts w:hint="eastAsia" w:ascii="Times New Roman" w:hAnsi="Times New Roman"/>
                <w:color w:val="000000" w:themeColor="text1"/>
                <w:sz w:val="24"/>
                <w:szCs w:val="24"/>
                <w:lang w:val="en-US" w:eastAsia="zh-CN"/>
              </w:rPr>
            </w:pPr>
          </w:p>
          <w:p w14:paraId="472F547C">
            <w:pPr>
              <w:spacing w:line="360" w:lineRule="auto"/>
              <w:ind w:firstLine="480" w:firstLineChars="200"/>
              <w:rPr>
                <w:rFonts w:hint="eastAsia" w:ascii="Times New Roman" w:hAnsi="Times New Roman"/>
                <w:color w:val="000000" w:themeColor="text1"/>
                <w:sz w:val="24"/>
                <w:szCs w:val="24"/>
                <w:lang w:val="en-US" w:eastAsia="zh-CN"/>
              </w:rPr>
            </w:pPr>
          </w:p>
          <w:p w14:paraId="0476679A">
            <w:pPr>
              <w:spacing w:line="360" w:lineRule="auto"/>
              <w:ind w:firstLine="480" w:firstLineChars="200"/>
              <w:rPr>
                <w:rFonts w:hint="eastAsia" w:ascii="Times New Roman" w:hAnsi="Times New Roman"/>
                <w:color w:val="000000" w:themeColor="text1"/>
                <w:sz w:val="24"/>
                <w:szCs w:val="24"/>
                <w:lang w:val="en-US" w:eastAsia="zh-CN"/>
              </w:rPr>
            </w:pPr>
          </w:p>
          <w:p w14:paraId="1B75E9EC">
            <w:pPr>
              <w:rPr>
                <w:rFonts w:ascii="宋体" w:cs="宋体"/>
                <w:color w:val="000000" w:themeColor="text1"/>
                <w:sz w:val="24"/>
                <w:szCs w:val="24"/>
              </w:rPr>
            </w:pPr>
          </w:p>
          <w:p w14:paraId="2820B7FF">
            <w:pPr>
              <w:rPr>
                <w:rFonts w:ascii="宋体" w:cs="宋体"/>
                <w:color w:val="000000" w:themeColor="text1"/>
                <w:sz w:val="24"/>
                <w:szCs w:val="24"/>
              </w:rPr>
            </w:pPr>
          </w:p>
        </w:tc>
      </w:tr>
    </w:tbl>
    <w:p w14:paraId="1C62182C">
      <w:pPr>
        <w:spacing w:line="480" w:lineRule="exact"/>
        <w:outlineLvl w:val="1"/>
        <w:rPr>
          <w:b/>
          <w:color w:val="000000" w:themeColor="text1"/>
          <w:sz w:val="30"/>
        </w:rPr>
      </w:pPr>
      <w:bookmarkStart w:id="7" w:name="_Toc355609309"/>
      <w:r>
        <w:rPr>
          <w:rFonts w:hint="eastAsia"/>
          <w:b/>
          <w:color w:val="000000" w:themeColor="text1"/>
          <w:sz w:val="32"/>
        </w:rPr>
        <w:t>建设项目所在地自然环境简况</w:t>
      </w:r>
      <w:bookmarkEnd w:id="7"/>
    </w:p>
    <w:tbl>
      <w:tblPr>
        <w:tblStyle w:val="19"/>
        <w:tblW w:w="8504"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
      <w:tblGrid>
        <w:gridCol w:w="8504"/>
      </w:tblGrid>
      <w:tr w14:paraId="21841F6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504" w:type="dxa"/>
            <w:tcBorders>
              <w:top w:val="single" w:color="auto" w:sz="12" w:space="0"/>
              <w:bottom w:val="single" w:color="auto" w:sz="12" w:space="0"/>
            </w:tcBorders>
          </w:tcPr>
          <w:p w14:paraId="4689AE61">
            <w:pPr>
              <w:topLinePunct/>
              <w:adjustRightInd w:val="0"/>
              <w:snapToGrid w:val="0"/>
              <w:spacing w:beforeLines="50" w:line="360" w:lineRule="auto"/>
              <w:jc w:val="left"/>
              <w:rPr>
                <w:color w:val="000000" w:themeColor="text1"/>
              </w:rPr>
            </w:pPr>
            <w:r>
              <w:rPr>
                <w:rFonts w:hint="eastAsia"/>
                <w:b/>
                <w:snapToGrid w:val="0"/>
                <w:color w:val="000000" w:themeColor="text1"/>
                <w:kern w:val="0"/>
                <w:sz w:val="28"/>
                <w:szCs w:val="28"/>
              </w:rPr>
              <w:t>自然环境简况（地理位置、地形地貌、地质构造、气候气象、水文地质、生态环境等）：</w:t>
            </w:r>
          </w:p>
          <w:p w14:paraId="0EA9133C">
            <w:pPr>
              <w:spacing w:line="36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1</w:t>
            </w:r>
            <w:r>
              <w:rPr>
                <w:rFonts w:hint="eastAsia" w:ascii="Times New Roman" w:hAnsi="Times New Roman"/>
                <w:b/>
                <w:bCs/>
                <w:color w:val="000000" w:themeColor="text1"/>
                <w:sz w:val="24"/>
                <w:szCs w:val="24"/>
              </w:rPr>
              <w:t>、地理位置</w:t>
            </w:r>
          </w:p>
          <w:p w14:paraId="1CFABB98">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昌吉高新区行政界线东起乌伊公路（G312国道乌鲁木齐至伊宁段）49km处，西至洪沟（昌吉市与呼图壁县行政界线），南距312国道以南1km处，北为S201线（省道榆树沟至克拉玛依-榆克公路）。东西长12km，南北宽4.7km，总面积34 km</w:t>
            </w:r>
            <w:r>
              <w:rPr>
                <w:rFonts w:hint="eastAsia" w:ascii="Times New Roman" w:hAnsi="Times New Roman"/>
                <w:snapToGrid w:val="0"/>
                <w:color w:val="000000" w:themeColor="text1"/>
                <w:sz w:val="24"/>
                <w:szCs w:val="24"/>
                <w:vertAlign w:val="superscript"/>
                <w:lang w:val="en-US" w:eastAsia="zh-CN"/>
              </w:rPr>
              <w:t>2</w:t>
            </w:r>
            <w:r>
              <w:rPr>
                <w:rFonts w:hint="eastAsia" w:ascii="Times New Roman" w:hAnsi="Times New Roman"/>
                <w:snapToGrid w:val="0"/>
                <w:color w:val="000000" w:themeColor="text1"/>
                <w:sz w:val="24"/>
                <w:szCs w:val="24"/>
                <w:lang w:val="en-US" w:eastAsia="zh-CN"/>
              </w:rPr>
              <w:t>。昌吉高新区距乌鲁木齐国际机场32km，距昌吉火车站27km，西距石河子100km。</w:t>
            </w:r>
          </w:p>
          <w:p w14:paraId="35938898">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本项目位于</w:t>
            </w:r>
            <w:r>
              <w:rPr>
                <w:rFonts w:hint="default" w:ascii="Times New Roman" w:hAnsi="Times New Roman" w:eastAsia="宋体" w:cs="Times New Roman"/>
                <w:color w:val="000000" w:themeColor="text1"/>
                <w:lang w:eastAsia="zh-CN"/>
              </w:rPr>
              <w:t>昌吉高新</w:t>
            </w:r>
            <w:r>
              <w:rPr>
                <w:rFonts w:hint="eastAsia" w:ascii="Times New Roman" w:hAnsi="Times New Roman" w:cs="Times New Roman"/>
                <w:color w:val="000000" w:themeColor="text1"/>
                <w:lang w:val="en-US" w:eastAsia="zh-CN"/>
              </w:rPr>
              <w:t>技术</w:t>
            </w:r>
            <w:r>
              <w:rPr>
                <w:rFonts w:hint="default" w:ascii="Times New Roman" w:hAnsi="Times New Roman" w:eastAsia="宋体" w:cs="Times New Roman"/>
                <w:color w:val="000000" w:themeColor="text1"/>
                <w:lang w:eastAsia="zh-CN"/>
              </w:rPr>
              <w:t>产业开发区北环东路</w:t>
            </w:r>
            <w:r>
              <w:rPr>
                <w:rFonts w:hint="default" w:ascii="Times New Roman" w:hAnsi="Times New Roman" w:eastAsia="宋体" w:cs="Times New Roman"/>
                <w:color w:val="000000" w:themeColor="text1"/>
                <w:lang w:val="en-US" w:eastAsia="zh-CN"/>
              </w:rPr>
              <w:t>10号</w:t>
            </w:r>
            <w:r>
              <w:rPr>
                <w:rFonts w:hint="eastAsia" w:ascii="Times New Roman" w:hAnsi="Times New Roman"/>
                <w:snapToGrid w:val="0"/>
                <w:color w:val="000000" w:themeColor="text1"/>
                <w:sz w:val="24"/>
                <w:szCs w:val="24"/>
                <w:lang w:val="en-US" w:eastAsia="zh-CN"/>
              </w:rPr>
              <w:t>，项目区北侧为克榆公路，东侧为空地，西侧约60m为</w:t>
            </w:r>
            <w:r>
              <w:rPr>
                <w:rFonts w:hint="default" w:ascii="Times New Roman" w:hAnsi="Times New Roman" w:eastAsia="宋体" w:cs="Times New Roman"/>
                <w:color w:val="000000" w:themeColor="text1"/>
                <w:lang w:eastAsia="zh-CN"/>
              </w:rPr>
              <w:t>昌吉高新</w:t>
            </w:r>
            <w:r>
              <w:rPr>
                <w:rFonts w:hint="eastAsia" w:ascii="Times New Roman" w:hAnsi="Times New Roman" w:cs="Times New Roman"/>
                <w:color w:val="000000" w:themeColor="text1"/>
                <w:lang w:val="en-US" w:eastAsia="zh-CN"/>
              </w:rPr>
              <w:t>技术</w:t>
            </w:r>
            <w:r>
              <w:rPr>
                <w:rFonts w:hint="default" w:ascii="Times New Roman" w:hAnsi="Times New Roman" w:eastAsia="宋体" w:cs="Times New Roman"/>
                <w:color w:val="000000" w:themeColor="text1"/>
                <w:lang w:eastAsia="zh-CN"/>
              </w:rPr>
              <w:t>产业开发区</w:t>
            </w:r>
            <w:r>
              <w:rPr>
                <w:rFonts w:hint="eastAsia" w:ascii="Times New Roman" w:hAnsi="Times New Roman" w:cs="Times New Roman"/>
                <w:color w:val="000000" w:themeColor="text1"/>
                <w:lang w:val="en-US" w:eastAsia="zh-CN"/>
              </w:rPr>
              <w:t>经一路，西侧</w:t>
            </w:r>
            <w:r>
              <w:rPr>
                <w:rFonts w:hint="eastAsia" w:ascii="Times New Roman" w:hAnsi="Times New Roman"/>
                <w:snapToGrid w:val="0"/>
                <w:color w:val="000000" w:themeColor="text1"/>
                <w:sz w:val="24"/>
                <w:szCs w:val="24"/>
                <w:lang w:val="en-US" w:eastAsia="zh-CN"/>
              </w:rPr>
              <w:t>约120m为榆树沟小康村，南侧紧邻美邦物流停车厂。中心位置地理坐标为：N44°5′58.44″，E87°5′12.74″。</w:t>
            </w:r>
          </w:p>
          <w:p w14:paraId="6AA749AD">
            <w:pPr>
              <w:spacing w:line="36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2</w:t>
            </w:r>
            <w:r>
              <w:rPr>
                <w:rFonts w:hint="eastAsia" w:ascii="Times New Roman" w:hAnsi="Times New Roman"/>
                <w:b/>
                <w:bCs/>
                <w:color w:val="000000" w:themeColor="text1"/>
                <w:sz w:val="24"/>
                <w:szCs w:val="24"/>
              </w:rPr>
              <w:t>、地形、地貌</w:t>
            </w:r>
          </w:p>
          <w:p w14:paraId="227CC69E">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高新区地形总体上呈南高北低走势，地形总体比较平缓，南侧地面标高最高为572m，北侧地面标高最低为534.27m，南北高程差37.73m，坡度基本小于2%。片区自西向东有三个大的雨水冲沟（最西端冲沟为昌吉市与呼图壁县行政界线）。</w:t>
            </w:r>
          </w:p>
          <w:p w14:paraId="75290018">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项目区所在地在地貌上属于山前冲洪积倾斜平原的下部，地形由东南微倾向西北，海拔高度554~560m，场地地势平坦，微地貌变化不大。</w:t>
            </w:r>
          </w:p>
          <w:p w14:paraId="5426170D">
            <w:pPr>
              <w:spacing w:line="36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3</w:t>
            </w:r>
            <w:r>
              <w:rPr>
                <w:rFonts w:hint="eastAsia" w:ascii="Times New Roman" w:hAnsi="Times New Roman"/>
                <w:b/>
                <w:bCs/>
                <w:color w:val="000000" w:themeColor="text1"/>
                <w:sz w:val="24"/>
                <w:szCs w:val="24"/>
              </w:rPr>
              <w:t>、</w:t>
            </w:r>
            <w:r>
              <w:rPr>
                <w:rFonts w:hint="eastAsia" w:ascii="Times New Roman" w:hAnsi="Times New Roman"/>
                <w:b/>
                <w:bCs/>
                <w:color w:val="000000" w:themeColor="text1"/>
                <w:sz w:val="24"/>
                <w:szCs w:val="24"/>
                <w:lang w:eastAsia="zh-CN"/>
              </w:rPr>
              <w:t>工程地质</w:t>
            </w:r>
          </w:p>
          <w:p w14:paraId="6F5B0FBD">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高新区位于三屯河与呼图壁河之间、冲洪积扇中部，处于砾石带和细土带交接部位，故地质结构、地层岩性及水文地质条件均有较大和较快的变化。高新区工程地质条件为：高新区东部与南部覆盖着10~30m的具有大孔性的黄土状亚粘土，属I（轻微）级非自重湿陷性土，中间夹有小于1m的细砂带或细砂透镜体，该区域地面平整，由南向北倾斜，平均坡度为1%，地下水位埋深大于20m，承载力为150~180KPa。高新区西北部地形起伏较大，大孔性的黄土状非自重湿陷性亚粘土厚度在几十公分至10m之间，个别地段砾砂、圆砂及卵砾石等直接出露地表，地基的强度在180~300KPa之间。昌吉国家高新技术产业开发区地震区划为六度区，七度设防。</w:t>
            </w:r>
          </w:p>
          <w:p w14:paraId="54FA9678">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项</w:t>
            </w:r>
            <w:r>
              <w:rPr>
                <w:rFonts w:hint="default" w:ascii="Times New Roman" w:hAnsi="Times New Roman" w:cs="Times New Roman"/>
                <w:snapToGrid w:val="0"/>
                <w:color w:val="000000" w:themeColor="text1"/>
                <w:sz w:val="24"/>
                <w:szCs w:val="24"/>
                <w:lang w:val="en-US" w:eastAsia="zh-CN"/>
              </w:rPr>
              <w:t>目区</w:t>
            </w:r>
            <w:r>
              <w:rPr>
                <w:rFonts w:hint="default" w:ascii="Times New Roman" w:hAnsi="Times New Roman" w:cs="Times New Roman"/>
                <w:color w:val="000000" w:themeColor="text1"/>
              </w:rPr>
              <w:t>建筑场地无不良地质作用，场地近距离内也不存在发震活动断裂，属抗震有利地段。根据《建筑抗震设计规范》（GB50011-2010）中附录A的分组，本地区抗震设防烈度为</w:t>
            </w:r>
            <w:r>
              <w:rPr>
                <w:rFonts w:hint="default" w:ascii="Times New Roman" w:hAnsi="Times New Roman" w:cs="Times New Roman"/>
                <w:color w:val="000000" w:themeColor="text1"/>
                <w:lang w:val="en-US" w:eastAsia="zh-CN"/>
              </w:rPr>
              <w:t>7</w:t>
            </w:r>
            <w:r>
              <w:rPr>
                <w:rFonts w:hint="default" w:ascii="Times New Roman" w:hAnsi="Times New Roman" w:cs="Times New Roman"/>
                <w:color w:val="000000" w:themeColor="text1"/>
              </w:rPr>
              <w:t>度。设计基本加速度值为0.</w:t>
            </w:r>
            <w:r>
              <w:rPr>
                <w:rFonts w:hint="default" w:ascii="Times New Roman" w:hAnsi="Times New Roman" w:cs="Times New Roman"/>
                <w:color w:val="000000" w:themeColor="text1"/>
                <w:lang w:val="en-US" w:eastAsia="zh-CN"/>
              </w:rPr>
              <w:t>15</w:t>
            </w:r>
            <w:r>
              <w:rPr>
                <w:rFonts w:hint="default" w:ascii="Times New Roman" w:hAnsi="Times New Roman" w:cs="Times New Roman"/>
                <w:color w:val="000000" w:themeColor="text1"/>
              </w:rPr>
              <w:t>g。</w:t>
            </w:r>
          </w:p>
          <w:p w14:paraId="62915355">
            <w:pPr>
              <w:spacing w:line="36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4</w:t>
            </w:r>
            <w:r>
              <w:rPr>
                <w:rFonts w:hint="eastAsia" w:ascii="Times New Roman" w:hAnsi="Times New Roman"/>
                <w:b/>
                <w:bCs/>
                <w:color w:val="000000" w:themeColor="text1"/>
                <w:sz w:val="24"/>
                <w:szCs w:val="24"/>
              </w:rPr>
              <w:t>、水文及水文地质</w:t>
            </w:r>
          </w:p>
          <w:p w14:paraId="6A7AD348">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（1）水文</w:t>
            </w:r>
          </w:p>
          <w:p w14:paraId="2C0F6F73">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根据《新疆昌吉工业高新区水资源调查评价报告》及现场实地勘察调查，高新区也包含本项目区内无地表水体。高新区上游目前已建成水库二座：一是三屯河水库总库容2600×104m</w:t>
            </w:r>
            <w:r>
              <w:rPr>
                <w:rFonts w:hint="eastAsia" w:ascii="Times New Roman" w:hAnsi="Times New Roman"/>
                <w:snapToGrid w:val="0"/>
                <w:color w:val="000000" w:themeColor="text1"/>
                <w:sz w:val="24"/>
                <w:szCs w:val="24"/>
                <w:vertAlign w:val="superscript"/>
                <w:lang w:val="en-US" w:eastAsia="zh-CN"/>
              </w:rPr>
              <w:t>3</w:t>
            </w:r>
            <w:r>
              <w:rPr>
                <w:rFonts w:hint="eastAsia" w:ascii="Times New Roman" w:hAnsi="Times New Roman"/>
                <w:snapToGrid w:val="0"/>
                <w:color w:val="000000" w:themeColor="text1"/>
                <w:sz w:val="24"/>
                <w:szCs w:val="24"/>
                <w:lang w:val="en-US" w:eastAsia="zh-CN"/>
              </w:rPr>
              <w:t>；二是距高新区南约50km的努尔加水库，总库容为6885×104m</w:t>
            </w:r>
            <w:r>
              <w:rPr>
                <w:rFonts w:hint="eastAsia" w:ascii="Times New Roman" w:hAnsi="Times New Roman"/>
                <w:snapToGrid w:val="0"/>
                <w:color w:val="000000" w:themeColor="text1"/>
                <w:sz w:val="24"/>
                <w:szCs w:val="24"/>
                <w:vertAlign w:val="superscript"/>
                <w:lang w:val="en-US" w:eastAsia="zh-CN"/>
              </w:rPr>
              <w:t>3</w:t>
            </w:r>
            <w:r>
              <w:rPr>
                <w:rFonts w:hint="eastAsia" w:ascii="Times New Roman" w:hAnsi="Times New Roman"/>
                <w:snapToGrid w:val="0"/>
                <w:color w:val="000000" w:themeColor="text1"/>
                <w:sz w:val="24"/>
                <w:szCs w:val="24"/>
                <w:lang w:val="en-US" w:eastAsia="zh-CN"/>
              </w:rPr>
              <w:t>，该水库建设主要是与三屯河水库共同承担三屯河的“高水高用”，可控制三屯河3.58亿m</w:t>
            </w:r>
            <w:r>
              <w:rPr>
                <w:rFonts w:hint="eastAsia" w:ascii="Times New Roman" w:hAnsi="Times New Roman"/>
                <w:snapToGrid w:val="0"/>
                <w:color w:val="000000" w:themeColor="text1"/>
                <w:sz w:val="24"/>
                <w:szCs w:val="24"/>
                <w:vertAlign w:val="superscript"/>
                <w:lang w:val="en-US" w:eastAsia="zh-CN"/>
              </w:rPr>
              <w:t>3</w:t>
            </w:r>
            <w:r>
              <w:rPr>
                <w:rFonts w:hint="eastAsia" w:ascii="Times New Roman" w:hAnsi="Times New Roman"/>
                <w:snapToGrid w:val="0"/>
                <w:color w:val="000000" w:themeColor="text1"/>
                <w:sz w:val="24"/>
                <w:szCs w:val="24"/>
                <w:lang w:val="en-US" w:eastAsia="zh-CN"/>
              </w:rPr>
              <w:t>的径流量，将从500m高程以下置换出1.0亿m</w:t>
            </w:r>
            <w:r>
              <w:rPr>
                <w:rFonts w:hint="eastAsia" w:ascii="Times New Roman" w:hAnsi="Times New Roman"/>
                <w:snapToGrid w:val="0"/>
                <w:color w:val="000000" w:themeColor="text1"/>
                <w:sz w:val="24"/>
                <w:szCs w:val="24"/>
                <w:vertAlign w:val="superscript"/>
                <w:lang w:val="en-US" w:eastAsia="zh-CN"/>
              </w:rPr>
              <w:t>3</w:t>
            </w:r>
            <w:r>
              <w:rPr>
                <w:rFonts w:hint="eastAsia" w:ascii="Times New Roman" w:hAnsi="Times New Roman"/>
                <w:snapToGrid w:val="0"/>
                <w:color w:val="000000" w:themeColor="text1"/>
                <w:sz w:val="24"/>
                <w:szCs w:val="24"/>
                <w:lang w:val="en-US" w:eastAsia="zh-CN"/>
              </w:rPr>
              <w:t>水量用于500m高程以上区域的昌吉市城市生活、工业和农业灌区供水。</w:t>
            </w:r>
          </w:p>
          <w:p w14:paraId="49B3EDF7">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本项目所在区域无天然地表水体，与头屯河、三屯河及三屯河水库、努尔加水库均无直接水力联系。</w:t>
            </w:r>
          </w:p>
          <w:p w14:paraId="6316FA78">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（2）水文地质</w:t>
            </w:r>
          </w:p>
          <w:p w14:paraId="46BCE0B6">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高新区内大厚度的第四纪堆积物，为地下水的贮存、运移提供了良好的空间，其中埋藏着丰富的孔隙潜水和承压水，其地下水的形成及埋藏分布规律，受控于该区地质构造，第四纪地层、地貌、岩性及气象水文条件。高新区座落于三屯河冲洪积扇中下部，为多层结构的混合水含水层分布区。</w:t>
            </w:r>
          </w:p>
          <w:p w14:paraId="04594354">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三屯河冲洪积扇区自扇顶到扇缘水文地质分带规律很明显，地下水的埋藏及含水层分布有明显的纵向递变规律，山前隐伏断裂构造控制和影响着出山口后地下水的埋藏深度。地下潜水的埋深自扇顶向扇缘方向逐渐变浅；含水层也由单一结构的大厚度结构松散的卵砾石、砂卵砾石潜水含水层过渡为多层结构中厚度结构较致密、含不连续亚砂土、亚粘土隔水地层的混合含水层；到冲洪积扇中下部，含水层厚度向扇缘方向继续变薄，隔水层增多，且结构致密、岩层连续，该处含水层以承压含水层为主。</w:t>
            </w:r>
          </w:p>
          <w:p w14:paraId="7D557DC0">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高新区南部，地下水埋深在26.4～27.8m之间；高新区中部地下水埋深在33.2～35.5m之间。钻孔揭露地层深度150m以内含水层厚度为72m左右，含水层岩性以砂砾石为主，多层结构；高新区北部地下水埋深在26.1～31.6m之间，钻孔揭露地层深度200m以内含水层厚度为52m左右，含水层岩性以砾石、砂砾石为主，多层结构；高新区东部地下水埋深在33.8～36.3m之间，钻孔揭露地层深度200m以内含水层厚度为41～120m不等，含水层岩性以砾石、砂卵砾石为主，多层结构；高新区西部地下水埋深在23.4～28.0m之间，地层深度100m以内钻孔揭露含水层厚度为55m左右，含水层岩性以粉细砂为主，多层结构。</w:t>
            </w:r>
          </w:p>
          <w:p w14:paraId="2A1899A8">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根据《新疆昌吉工业高新区水资源调查评价报告》规划区地下水埋深在23～36m之间，西南部埋深较小，东北部埋深较大，中部埋深也较大，地层深度200m以内含水层厚度大于40m，少于120m，含水层岩性以砂砾石为主，多层结构，富含潜水及承压水，属混合型含水层组。根据计算，规划区地下水水源可开采量为1000×104m</w:t>
            </w:r>
            <w:r>
              <w:rPr>
                <w:rFonts w:hint="eastAsia" w:ascii="Times New Roman" w:hAnsi="Times New Roman"/>
                <w:snapToGrid w:val="0"/>
                <w:color w:val="000000" w:themeColor="text1"/>
                <w:sz w:val="24"/>
                <w:szCs w:val="24"/>
                <w:vertAlign w:val="superscript"/>
                <w:lang w:val="en-US" w:eastAsia="zh-CN"/>
              </w:rPr>
              <w:t>3</w:t>
            </w:r>
            <w:r>
              <w:rPr>
                <w:rFonts w:hint="eastAsia" w:ascii="Times New Roman" w:hAnsi="Times New Roman"/>
                <w:snapToGrid w:val="0"/>
                <w:color w:val="000000" w:themeColor="text1"/>
                <w:sz w:val="24"/>
                <w:szCs w:val="24"/>
                <w:lang w:val="en-US" w:eastAsia="zh-CN"/>
              </w:rPr>
              <w:t>/年～1200×104m</w:t>
            </w:r>
            <w:r>
              <w:rPr>
                <w:rFonts w:hint="eastAsia" w:ascii="Times New Roman" w:hAnsi="Times New Roman"/>
                <w:snapToGrid w:val="0"/>
                <w:color w:val="000000" w:themeColor="text1"/>
                <w:sz w:val="24"/>
                <w:szCs w:val="24"/>
                <w:vertAlign w:val="superscript"/>
                <w:lang w:val="en-US" w:eastAsia="zh-CN"/>
              </w:rPr>
              <w:t>3</w:t>
            </w:r>
            <w:r>
              <w:rPr>
                <w:rFonts w:hint="eastAsia" w:ascii="Times New Roman" w:hAnsi="Times New Roman"/>
                <w:snapToGrid w:val="0"/>
                <w:color w:val="000000" w:themeColor="text1"/>
                <w:sz w:val="24"/>
                <w:szCs w:val="24"/>
                <w:lang w:val="en-US" w:eastAsia="zh-CN"/>
              </w:rPr>
              <w:t>/a，即2.7×104m</w:t>
            </w:r>
            <w:r>
              <w:rPr>
                <w:rFonts w:hint="eastAsia" w:ascii="Times New Roman" w:hAnsi="Times New Roman"/>
                <w:snapToGrid w:val="0"/>
                <w:color w:val="000000" w:themeColor="text1"/>
                <w:sz w:val="24"/>
                <w:szCs w:val="24"/>
                <w:vertAlign w:val="superscript"/>
                <w:lang w:val="en-US" w:eastAsia="zh-CN"/>
              </w:rPr>
              <w:t>3</w:t>
            </w:r>
            <w:r>
              <w:rPr>
                <w:rFonts w:hint="eastAsia" w:ascii="Times New Roman" w:hAnsi="Times New Roman"/>
                <w:snapToGrid w:val="0"/>
                <w:color w:val="000000" w:themeColor="text1"/>
                <w:sz w:val="24"/>
                <w:szCs w:val="24"/>
                <w:lang w:val="en-US" w:eastAsia="zh-CN"/>
              </w:rPr>
              <w:t>/d～3.3×104m</w:t>
            </w:r>
            <w:r>
              <w:rPr>
                <w:rFonts w:hint="eastAsia" w:ascii="Times New Roman" w:hAnsi="Times New Roman"/>
                <w:snapToGrid w:val="0"/>
                <w:color w:val="000000" w:themeColor="text1"/>
                <w:sz w:val="24"/>
                <w:szCs w:val="24"/>
                <w:vertAlign w:val="superscript"/>
                <w:lang w:val="en-US" w:eastAsia="zh-CN"/>
              </w:rPr>
              <w:t>3</w:t>
            </w:r>
            <w:r>
              <w:rPr>
                <w:rFonts w:hint="eastAsia" w:ascii="Times New Roman" w:hAnsi="Times New Roman"/>
                <w:snapToGrid w:val="0"/>
                <w:color w:val="000000" w:themeColor="text1"/>
                <w:sz w:val="24"/>
                <w:szCs w:val="24"/>
                <w:lang w:val="en-US" w:eastAsia="zh-CN"/>
              </w:rPr>
              <w:t>/d。</w:t>
            </w:r>
          </w:p>
          <w:p w14:paraId="32C8DFF1">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据高新区地下水等水位线图，高新区内地下水流向为SW至NE方向，与高新区南边界基本垂直，区外地下水顺含水层通道，沿地下水流向侧向补给区内地下水。区外地下水补给源及补给方式主要表现为：三屯河、呼图壁河水流经山前第四纪松散沉积物时大量渗漏，成为扇区地下水主要补给来源，其补给有以下三种方式：一是侧向补给：丘陵地带及三屯河、呼图壁河河床中出露中、下更新统半胶结冰水沉积砂岩、砂砾岩与砂质泥岩互层，砂岩、砂砾岩具有一定的透水性，当河水流经该区段时，大量渗漏形成孔隙裂隙水，再通过山前隐伏断裂从深部直接补给扇区地下水；二是垂直补给：从两河山区水库至渠首站之间，河流流经全新统松散的卵石砾石层，以垂直渗漏方式大量补给地下水；三是渠系渗漏：遍布山前倾斜平原的各级引水系统，几乎将两河所有的河水引入各灌区，在引水过程中，渠系的渗漏也是扇区地下水的补给来源之一。</w:t>
            </w:r>
          </w:p>
          <w:p w14:paraId="5FC470FE">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本项目所处区内地下水埋深为33.8～36.3m，含水层厚度41～120m，含水层由砾石、砂、卵石组成。</w:t>
            </w:r>
          </w:p>
          <w:p w14:paraId="453BD3AD">
            <w:pPr>
              <w:spacing w:line="36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5</w:t>
            </w:r>
            <w:r>
              <w:rPr>
                <w:rFonts w:hint="eastAsia" w:ascii="Times New Roman" w:hAnsi="Times New Roman"/>
                <w:b/>
                <w:bCs/>
                <w:color w:val="000000" w:themeColor="text1"/>
                <w:sz w:val="24"/>
                <w:szCs w:val="24"/>
              </w:rPr>
              <w:t>、</w:t>
            </w:r>
            <w:r>
              <w:rPr>
                <w:rFonts w:hint="eastAsia" w:ascii="Times New Roman" w:hAnsi="Times New Roman"/>
                <w:b/>
                <w:bCs/>
                <w:color w:val="000000" w:themeColor="text1"/>
                <w:sz w:val="24"/>
                <w:szCs w:val="24"/>
                <w:lang w:eastAsia="zh-CN"/>
              </w:rPr>
              <w:t>气候、气象</w:t>
            </w:r>
          </w:p>
          <w:p w14:paraId="2774C34A">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昌吉市地处天山北麓，准噶尔盆地南缘的平原区，为温带大陆性干旱气候类型。其主要特点是：冬冷夏热，气温年较差、日较差大，春、秋温度变化剧烈；降水较少，年际变化不大；春、夏多大风，冬季多阴雾，低碎云天气，冻土深厚。</w:t>
            </w:r>
          </w:p>
          <w:p w14:paraId="76D67D49">
            <w:pPr>
              <w:adjustRightInd w:val="0"/>
              <w:spacing w:line="360" w:lineRule="auto"/>
              <w:ind w:firstLine="488" w:firstLineChars="200"/>
              <w:rPr>
                <w:rFonts w:hint="default" w:ascii="Times New Roman" w:hAnsi="Times New Roman" w:eastAsia="宋体" w:cs="Times New Roman"/>
                <w:color w:val="000000" w:themeColor="text1"/>
                <w:spacing w:val="2"/>
                <w:sz w:val="24"/>
              </w:rPr>
            </w:pPr>
            <w:r>
              <w:rPr>
                <w:rFonts w:hint="default" w:ascii="Times New Roman" w:hAnsi="Times New Roman" w:eastAsia="宋体" w:cs="Times New Roman"/>
                <w:color w:val="000000" w:themeColor="text1"/>
                <w:spacing w:val="2"/>
                <w:sz w:val="24"/>
              </w:rPr>
              <w:t>主要气象参数为：</w:t>
            </w:r>
          </w:p>
          <w:p w14:paraId="28F2CCD7">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年平均气温：                    8.9℃</w:t>
            </w:r>
          </w:p>
          <w:p w14:paraId="4E341474">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历年极端最低气温：              -26.2℃</w:t>
            </w:r>
          </w:p>
          <w:p w14:paraId="5D81BE3E">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历年极端最高气温：              43.5℃</w:t>
            </w:r>
          </w:p>
          <w:p w14:paraId="0951EF98">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 xml:space="preserve">历年月平均最低气温：            -27.8℃ </w:t>
            </w:r>
          </w:p>
          <w:p w14:paraId="5CF67ADC">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历年月平均最高气温：            34.1℃</w:t>
            </w:r>
          </w:p>
          <w:p w14:paraId="1E900C97">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年平均气压：                    952.9hpa</w:t>
            </w:r>
          </w:p>
          <w:p w14:paraId="73EE56A7">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无霜期：                        160～170d</w:t>
            </w:r>
          </w:p>
          <w:p w14:paraId="39F8AFE2">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年平均降水量：                  214.6 mm</w:t>
            </w:r>
          </w:p>
          <w:p w14:paraId="4743F936">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年最大蒸发量：                  1672.4mm</w:t>
            </w:r>
          </w:p>
          <w:p w14:paraId="11E5DAFC">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相对湿度：                      60.1%</w:t>
            </w:r>
          </w:p>
          <w:p w14:paraId="4E464FB4">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日照参数：                      63%</w:t>
            </w:r>
          </w:p>
          <w:p w14:paraId="085EF8BF">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年平均风速：                    2.1m/s</w:t>
            </w:r>
          </w:p>
          <w:p w14:paraId="0CCBBFED">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年主导风向                      西南（SW）风</w:t>
            </w:r>
          </w:p>
          <w:p w14:paraId="3822DA8F">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最大冻土深度：                  150cm</w:t>
            </w:r>
          </w:p>
          <w:p w14:paraId="44FB7829">
            <w:pPr>
              <w:spacing w:line="360" w:lineRule="auto"/>
              <w:rPr>
                <w:rFonts w:hint="eastAsia" w:ascii="Times New Roman" w:hAnsi="Times New Roman"/>
                <w:b/>
                <w:bCs/>
                <w:color w:val="000000" w:themeColor="text1"/>
                <w:sz w:val="24"/>
                <w:szCs w:val="24"/>
                <w:lang w:val="en-US" w:eastAsia="zh-CN"/>
              </w:rPr>
            </w:pPr>
            <w:r>
              <w:rPr>
                <w:rFonts w:hint="eastAsia" w:ascii="Times New Roman" w:hAnsi="Times New Roman"/>
                <w:b/>
                <w:bCs/>
                <w:color w:val="000000" w:themeColor="text1"/>
                <w:sz w:val="24"/>
                <w:szCs w:val="24"/>
                <w:lang w:val="en-US" w:eastAsia="zh-CN"/>
              </w:rPr>
              <w:t>6、</w:t>
            </w:r>
            <w:r>
              <w:rPr>
                <w:rFonts w:hint="eastAsia" w:ascii="Times New Roman" w:hAnsi="Times New Roman"/>
                <w:b/>
                <w:bCs/>
                <w:color w:val="000000" w:themeColor="text1"/>
                <w:sz w:val="24"/>
                <w:szCs w:val="24"/>
                <w:lang w:eastAsia="zh-CN"/>
              </w:rPr>
              <w:t>昌吉高新技术产业开发区简介</w:t>
            </w:r>
          </w:p>
          <w:p w14:paraId="30AE13F3">
            <w:pPr>
              <w:spacing w:line="360" w:lineRule="auto"/>
              <w:ind w:firstLine="480" w:firstLineChars="200"/>
              <w:rPr>
                <w:rFonts w:hint="default" w:ascii="Times New Roman" w:hAnsi="Times New Roman" w:eastAsia="宋体" w:cs="Times New Roman"/>
                <w:color w:val="000000" w:themeColor="text1"/>
                <w:sz w:val="24"/>
              </w:rPr>
            </w:pPr>
            <w:r>
              <w:rPr>
                <w:rFonts w:hint="eastAsia" w:ascii="Times New Roman" w:hAnsi="Times New Roman" w:cs="Times New Roman"/>
                <w:color w:val="000000" w:themeColor="text1"/>
                <w:sz w:val="24"/>
                <w:lang w:val="en-US" w:eastAsia="zh-CN"/>
              </w:rPr>
              <w:t>6</w:t>
            </w:r>
            <w:r>
              <w:rPr>
                <w:rFonts w:hint="eastAsia" w:ascii="Times New Roman" w:hAnsi="Times New Roman" w:eastAsia="宋体" w:cs="Times New Roman"/>
                <w:color w:val="000000" w:themeColor="text1"/>
                <w:sz w:val="24"/>
              </w:rPr>
              <w:t>.1功能定位</w:t>
            </w:r>
          </w:p>
          <w:p w14:paraId="7FB1ED0B">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昌吉高新技术产业开发区功能定位：中国西部地区重要的新兴工业城市之一；新疆天山北坡经济带重要的先进制造业中心。</w:t>
            </w:r>
          </w:p>
          <w:p w14:paraId="456126D8">
            <w:pPr>
              <w:spacing w:line="360" w:lineRule="auto"/>
              <w:ind w:firstLine="480" w:firstLineChars="200"/>
              <w:rPr>
                <w:rFonts w:hint="default" w:ascii="Times New Roman" w:hAnsi="Times New Roman" w:eastAsia="宋体" w:cs="Times New Roman"/>
                <w:color w:val="000000" w:themeColor="text1"/>
                <w:sz w:val="24"/>
              </w:rPr>
            </w:pPr>
            <w:r>
              <w:rPr>
                <w:rFonts w:hint="eastAsia" w:ascii="Times New Roman" w:hAnsi="Times New Roman" w:cs="Times New Roman"/>
                <w:color w:val="000000" w:themeColor="text1"/>
                <w:sz w:val="24"/>
                <w:lang w:val="en-US" w:eastAsia="zh-CN"/>
              </w:rPr>
              <w:t>6</w:t>
            </w:r>
            <w:r>
              <w:rPr>
                <w:rFonts w:hint="eastAsia" w:ascii="Times New Roman" w:hAnsi="Times New Roman" w:eastAsia="宋体" w:cs="Times New Roman"/>
                <w:color w:val="000000" w:themeColor="text1"/>
                <w:sz w:val="24"/>
              </w:rPr>
              <w:t>.2产业方向</w:t>
            </w:r>
          </w:p>
          <w:p w14:paraId="3864389A">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产业方向从昌吉市已经形成具有优势产业群工业结构出发，高新区优先发展的产业是：食品和农副产品加工、机电产品、非金属制品、精细化工、机械制造</w:t>
            </w:r>
            <w:r>
              <w:rPr>
                <w:rFonts w:hint="eastAsia" w:ascii="Times New Roman" w:hAnsi="Times New Roman" w:eastAsia="宋体" w:cs="Times New Roman"/>
                <w:color w:val="000000" w:themeColor="text1"/>
                <w:sz w:val="24"/>
              </w:rPr>
              <w:t>、建材制造</w:t>
            </w:r>
            <w:r>
              <w:rPr>
                <w:rFonts w:hint="default" w:ascii="Times New Roman" w:hAnsi="Times New Roman" w:eastAsia="宋体" w:cs="Times New Roman"/>
                <w:color w:val="000000" w:themeColor="text1"/>
                <w:sz w:val="24"/>
              </w:rPr>
              <w:t>。</w:t>
            </w:r>
          </w:p>
          <w:p w14:paraId="47A01F66">
            <w:pPr>
              <w:spacing w:line="360" w:lineRule="auto"/>
              <w:ind w:firstLine="480" w:firstLineChars="200"/>
              <w:rPr>
                <w:rFonts w:hint="default" w:ascii="Times New Roman" w:hAnsi="Times New Roman" w:eastAsia="宋体" w:cs="Times New Roman"/>
                <w:color w:val="000000" w:themeColor="text1"/>
                <w:sz w:val="24"/>
              </w:rPr>
            </w:pPr>
            <w:r>
              <w:rPr>
                <w:rFonts w:hint="eastAsia" w:ascii="Times New Roman" w:hAnsi="Times New Roman" w:cs="Times New Roman"/>
                <w:color w:val="000000" w:themeColor="text1"/>
                <w:sz w:val="24"/>
                <w:lang w:val="en-US" w:eastAsia="zh-CN"/>
              </w:rPr>
              <w:t>6</w:t>
            </w:r>
            <w:r>
              <w:rPr>
                <w:rFonts w:hint="eastAsia" w:ascii="Times New Roman" w:hAnsi="Times New Roman" w:eastAsia="宋体" w:cs="Times New Roman"/>
                <w:color w:val="000000" w:themeColor="text1"/>
                <w:sz w:val="24"/>
              </w:rPr>
              <w:t>.3公用及环保工程规划情况</w:t>
            </w:r>
          </w:p>
          <w:p w14:paraId="577C8E94">
            <w:pPr>
              <w:spacing w:line="360" w:lineRule="auto"/>
              <w:ind w:firstLine="480" w:firstLineChars="200"/>
              <w:rPr>
                <w:rFonts w:hint="default" w:ascii="Times New Roman" w:hAnsi="Times New Roman" w:eastAsia="宋体" w:cs="Times New Roman"/>
                <w:color w:val="000000" w:themeColor="text1"/>
                <w:sz w:val="24"/>
              </w:rPr>
            </w:pPr>
            <w:r>
              <w:rPr>
                <w:rFonts w:hint="eastAsia" w:ascii="Times New Roman" w:hAnsi="Times New Roman" w:cs="Times New Roman"/>
                <w:color w:val="000000" w:themeColor="text1"/>
                <w:sz w:val="24"/>
                <w:lang w:eastAsia="zh-CN"/>
              </w:rPr>
              <w:t>（</w:t>
            </w:r>
            <w:r>
              <w:rPr>
                <w:rFonts w:hint="eastAsia" w:ascii="Times New Roman" w:hAnsi="Times New Roman" w:cs="Times New Roman"/>
                <w:color w:val="000000" w:themeColor="text1"/>
                <w:sz w:val="24"/>
                <w:lang w:val="en-US" w:eastAsia="zh-CN"/>
              </w:rPr>
              <w:t>1</w:t>
            </w:r>
            <w:r>
              <w:rPr>
                <w:rFonts w:hint="eastAsia" w:ascii="Times New Roman" w:hAnsi="Times New Roman" w:cs="Times New Roman"/>
                <w:color w:val="000000" w:themeColor="text1"/>
                <w:sz w:val="24"/>
                <w:lang w:eastAsia="zh-CN"/>
              </w:rPr>
              <w:t>）</w:t>
            </w:r>
            <w:r>
              <w:rPr>
                <w:rFonts w:hint="eastAsia" w:ascii="Times New Roman" w:hAnsi="Times New Roman" w:eastAsia="宋体" w:cs="Times New Roman"/>
                <w:color w:val="000000" w:themeColor="text1"/>
                <w:sz w:val="24"/>
              </w:rPr>
              <w:t>道路</w:t>
            </w:r>
          </w:p>
          <w:p w14:paraId="705F4F57">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高新区位于312国道交通走廊上，也是新疆东部和西部联系的必经之地，因此 昌吉国家高新技术产业开发区路网规划要考虑与312国道及呼昌公路的衔接和协调。</w:t>
            </w:r>
          </w:p>
          <w:p w14:paraId="6A266CA1">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主干道：昌吉国家高新技术产业开发区内主干道分为干线性主干道和普通主干道，干线性主干道红线宽65m，走向基本与312国道平行。普通主干道红线宽43m，机动车道宽16m，为联系各功能区之间的道路。南北向主干道近期与312国道采用平行交叉方式，通过信号灯控制车辆出入，昌吉国家高新技术产业开发区形成一定规模时，部分交叉口可改造为立体交叉方式通行。干道路网间距约为1600～1800m。</w:t>
            </w:r>
          </w:p>
          <w:p w14:paraId="5040F3FA">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次干道：为保证路网系统的完整，可达性、互补性强，与主干道一起提供最为便捷的交通保障，最大限度的发挥道路网的作用。昌吉国家高新技术产业开发区内次干道红线宽度24m，机动车道宽10m，路网间距为600～700m。</w:t>
            </w:r>
          </w:p>
          <w:p w14:paraId="35F45E58">
            <w:pPr>
              <w:spacing w:line="360" w:lineRule="auto"/>
              <w:ind w:firstLine="480" w:firstLineChars="200"/>
              <w:rPr>
                <w:rFonts w:hint="default" w:ascii="Times New Roman" w:hAnsi="Times New Roman" w:eastAsia="宋体" w:cs="Times New Roman"/>
                <w:color w:val="000000" w:themeColor="text1"/>
                <w:sz w:val="24"/>
              </w:rPr>
            </w:pPr>
            <w:r>
              <w:rPr>
                <w:rFonts w:hint="eastAsia" w:ascii="Times New Roman" w:hAnsi="Times New Roman" w:cs="Times New Roman"/>
                <w:color w:val="000000" w:themeColor="text1"/>
                <w:sz w:val="24"/>
                <w:lang w:eastAsia="zh-CN"/>
              </w:rPr>
              <w:t>（</w:t>
            </w:r>
            <w:r>
              <w:rPr>
                <w:rFonts w:hint="eastAsia" w:ascii="Times New Roman" w:hAnsi="Times New Roman" w:cs="Times New Roman"/>
                <w:color w:val="000000" w:themeColor="text1"/>
                <w:sz w:val="24"/>
                <w:lang w:val="en-US" w:eastAsia="zh-CN"/>
              </w:rPr>
              <w:t>2</w:t>
            </w:r>
            <w:r>
              <w:rPr>
                <w:rFonts w:hint="eastAsia" w:ascii="Times New Roman" w:hAnsi="Times New Roman" w:cs="Times New Roman"/>
                <w:color w:val="000000" w:themeColor="text1"/>
                <w:sz w:val="24"/>
                <w:lang w:eastAsia="zh-CN"/>
              </w:rPr>
              <w:t>）</w:t>
            </w:r>
            <w:r>
              <w:rPr>
                <w:rFonts w:hint="eastAsia" w:ascii="Times New Roman" w:hAnsi="Times New Roman" w:eastAsia="宋体" w:cs="Times New Roman"/>
                <w:color w:val="000000" w:themeColor="text1"/>
                <w:sz w:val="24"/>
              </w:rPr>
              <w:t>给水</w:t>
            </w:r>
          </w:p>
          <w:p w14:paraId="3DC6CC82">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根据昌吉国家高新技术产业开发区总体规划，目前有一个供水厂，给水水源由高新区地下水系统内部挖潜调配解决，规划最高日用水量为2×104m</w:t>
            </w:r>
            <w:r>
              <w:rPr>
                <w:rFonts w:hint="default" w:ascii="Times New Roman" w:hAnsi="Times New Roman" w:eastAsia="宋体" w:cs="Times New Roman"/>
                <w:color w:val="000000" w:themeColor="text1"/>
                <w:sz w:val="24"/>
                <w:vertAlign w:val="superscript"/>
              </w:rPr>
              <w:t>3</w:t>
            </w:r>
            <w:r>
              <w:rPr>
                <w:rFonts w:hint="default" w:ascii="Times New Roman" w:hAnsi="Times New Roman" w:eastAsia="宋体" w:cs="Times New Roman"/>
                <w:color w:val="000000" w:themeColor="text1"/>
                <w:sz w:val="24"/>
              </w:rPr>
              <w:t>/d，覆盖面积约34平方公里。近期供水厂二期已在建设规划中。为进一步满足园区用水需求，远期规划是五到十年由位于高新区南面三屯河上游50km处的新建努尔加水库引水解决。</w:t>
            </w:r>
          </w:p>
          <w:p w14:paraId="3C1BA4A6">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高新区自来水厂作为本项目的供水水源，其供水能力及供水水质完全可满足本项目的用水需求。</w:t>
            </w:r>
          </w:p>
          <w:p w14:paraId="1D253DD8">
            <w:pPr>
              <w:spacing w:line="360" w:lineRule="auto"/>
              <w:ind w:firstLine="480" w:firstLineChars="200"/>
              <w:rPr>
                <w:rFonts w:hint="default" w:ascii="Times New Roman" w:hAnsi="Times New Roman" w:eastAsia="宋体" w:cs="Times New Roman"/>
                <w:color w:val="000000" w:themeColor="text1"/>
                <w:sz w:val="24"/>
              </w:rPr>
            </w:pPr>
            <w:r>
              <w:rPr>
                <w:rFonts w:hint="eastAsia" w:ascii="Times New Roman" w:hAnsi="Times New Roman" w:cs="Times New Roman"/>
                <w:color w:val="000000" w:themeColor="text1"/>
                <w:sz w:val="24"/>
                <w:lang w:eastAsia="zh-CN"/>
              </w:rPr>
              <w:t>（</w:t>
            </w:r>
            <w:r>
              <w:rPr>
                <w:rFonts w:hint="eastAsia" w:ascii="Times New Roman" w:hAnsi="Times New Roman" w:cs="Times New Roman"/>
                <w:color w:val="000000" w:themeColor="text1"/>
                <w:sz w:val="24"/>
                <w:lang w:val="en-US" w:eastAsia="zh-CN"/>
              </w:rPr>
              <w:t>3</w:t>
            </w:r>
            <w:r>
              <w:rPr>
                <w:rFonts w:hint="eastAsia" w:ascii="Times New Roman" w:hAnsi="Times New Roman" w:cs="Times New Roman"/>
                <w:color w:val="000000" w:themeColor="text1"/>
                <w:sz w:val="24"/>
                <w:lang w:eastAsia="zh-CN"/>
              </w:rPr>
              <w:t>）</w:t>
            </w:r>
            <w:r>
              <w:rPr>
                <w:rFonts w:hint="eastAsia" w:ascii="Times New Roman" w:hAnsi="Times New Roman" w:eastAsia="宋体" w:cs="Times New Roman"/>
                <w:color w:val="000000" w:themeColor="text1"/>
                <w:sz w:val="24"/>
              </w:rPr>
              <w:t>排水</w:t>
            </w:r>
          </w:p>
          <w:p w14:paraId="3629DD41">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昌吉</w:t>
            </w:r>
            <w:r>
              <w:rPr>
                <w:rFonts w:hint="eastAsia" w:ascii="Times New Roman" w:hAnsi="Times New Roman" w:cs="Times New Roman"/>
                <w:color w:val="000000" w:themeColor="text1"/>
                <w:sz w:val="24"/>
                <w:lang w:val="en-US" w:eastAsia="zh-CN"/>
              </w:rPr>
              <w:t>海天</w:t>
            </w:r>
            <w:r>
              <w:rPr>
                <w:rFonts w:hint="default" w:ascii="Times New Roman" w:hAnsi="Times New Roman" w:eastAsia="宋体" w:cs="Times New Roman"/>
                <w:color w:val="000000" w:themeColor="text1"/>
                <w:sz w:val="24"/>
              </w:rPr>
              <w:t>污水处理有限公司位于昌吉高新技术产业开发西北角312国道南侧，总占地面积193亩，总处理规模12 万m³/d，其中一期建设规模3万m³/d，占地63亩。2013年底建投产使用。污水处理采用</w:t>
            </w:r>
            <w:r>
              <w:rPr>
                <w:rFonts w:hint="eastAsia" w:ascii="Times New Roman" w:hAnsi="Times New Roman" w:eastAsia="宋体" w:cs="Times New Roman"/>
                <w:color w:val="000000" w:themeColor="text1"/>
                <w:sz w:val="24"/>
              </w:rPr>
              <w:t>“</w:t>
            </w:r>
            <w:r>
              <w:rPr>
                <w:rFonts w:hint="default" w:ascii="Times New Roman" w:hAnsi="Times New Roman" w:eastAsia="宋体" w:cs="Times New Roman"/>
                <w:color w:val="000000" w:themeColor="text1"/>
                <w:sz w:val="24"/>
              </w:rPr>
              <w:t>预处理段（两级格栅+曝气沉砂池+事故池）+ A</w:t>
            </w:r>
            <w:r>
              <w:rPr>
                <w:rFonts w:hint="default" w:ascii="Times New Roman" w:hAnsi="Times New Roman" w:eastAsia="宋体" w:cs="Times New Roman"/>
                <w:color w:val="000000" w:themeColor="text1"/>
                <w:sz w:val="24"/>
                <w:vertAlign w:val="superscript"/>
              </w:rPr>
              <w:t>2</w:t>
            </w:r>
            <w:r>
              <w:rPr>
                <w:rFonts w:hint="default" w:ascii="Times New Roman" w:hAnsi="Times New Roman" w:eastAsia="宋体" w:cs="Times New Roman"/>
                <w:color w:val="000000" w:themeColor="text1"/>
                <w:sz w:val="24"/>
              </w:rPr>
              <w:t>/O脱氮除磷生化池+二沉池+芬顿反应池+絮凝沉淀池+紫外线消毒</w:t>
            </w:r>
            <w:r>
              <w:rPr>
                <w:rFonts w:hint="eastAsia" w:ascii="Times New Roman" w:hAnsi="Times New Roman" w:eastAsia="宋体" w:cs="Times New Roman"/>
                <w:color w:val="000000" w:themeColor="text1"/>
                <w:sz w:val="24"/>
              </w:rPr>
              <w:t>”</w:t>
            </w:r>
            <w:r>
              <w:rPr>
                <w:rFonts w:hint="default" w:ascii="Times New Roman" w:hAnsi="Times New Roman" w:eastAsia="宋体" w:cs="Times New Roman"/>
                <w:color w:val="000000" w:themeColor="text1"/>
                <w:sz w:val="24"/>
              </w:rPr>
              <w:t>工艺，主要建设内容为粗细格栅渠、提升泵房、曝气沉砂池、A</w:t>
            </w:r>
            <w:r>
              <w:rPr>
                <w:rFonts w:hint="default" w:ascii="Times New Roman" w:hAnsi="Times New Roman" w:eastAsia="宋体" w:cs="Times New Roman"/>
                <w:color w:val="000000" w:themeColor="text1"/>
                <w:sz w:val="24"/>
                <w:vertAlign w:val="superscript"/>
              </w:rPr>
              <w:t>2</w:t>
            </w:r>
            <w:r>
              <w:rPr>
                <w:rFonts w:hint="default" w:ascii="Times New Roman" w:hAnsi="Times New Roman" w:eastAsia="宋体" w:cs="Times New Roman"/>
                <w:color w:val="000000" w:themeColor="text1"/>
                <w:sz w:val="24"/>
              </w:rPr>
              <w:t>/O生化池、二沉池、芬顿反应池、絮凝沉淀池、紫外线消毒渠、污泥均质池、办公楼等。具体流程为污水重力流经粗格栅去除大颗粒悬浮物，初步分离后进入集水井，经潜污泵提升进入细格栅进一步去除小颗粒悬浮物，粗细格栅截留下来的垃圾外运至垃圾场。污水经细格栅进入平流曝气沉砂池进行砂水分离，同时去除悬浮物，分离出的砂水混合液经螺旋砂水分离器装置提升脱水去除污水中的砂石，砂干化后外运。沉砂池出水进入厌氧池进行厌氧分解提高可生化性，之后进入生化反应池进行有氧处理，通过好氧微生物降解污水中的有机物无机物及COD。处理过的污水进入二沉池进行沉淀，通过吸泥机把底部污泥排至污泥回流井，污泥回流井中的污泥排至集泥池进行脱水处理或对生化池进行污泥补充。上清液进入芬顿反应池，在 PH 3~3.5 的水体中投加亚铁氧化处理和双氧水进行氧化处理，进一步去除污水的COD。上清液进入絮凝沉淀池，加碱进行中和处理后投加絮凝剂混凝剂去除污水中的悬浮物，通过吸泥机排至集泥池进行脱水处理外运。上清液进入在线消毒渠通过紫外光源杀灭污水中的细菌，最终达标排放。设计进水水质：PH=6.0~9.0、CODcr 500mg/</w:t>
            </w:r>
            <w:r>
              <w:rPr>
                <w:rFonts w:hint="eastAsia" w:ascii="Times New Roman" w:hAnsi="Times New Roman" w:cs="Times New Roman"/>
                <w:color w:val="000000" w:themeColor="text1"/>
                <w:sz w:val="24"/>
                <w:lang w:val="en-US" w:eastAsia="zh-CN"/>
              </w:rPr>
              <w:t>L</w:t>
            </w:r>
            <w:r>
              <w:rPr>
                <w:rFonts w:hint="default" w:ascii="Times New Roman" w:hAnsi="Times New Roman" w:eastAsia="宋体" w:cs="Times New Roman"/>
                <w:color w:val="000000" w:themeColor="text1"/>
                <w:sz w:val="24"/>
              </w:rPr>
              <w:t>、BOD</w:t>
            </w:r>
            <w:r>
              <w:rPr>
                <w:rFonts w:hint="default" w:ascii="Times New Roman" w:hAnsi="Times New Roman" w:eastAsia="宋体" w:cs="Times New Roman"/>
                <w:color w:val="000000" w:themeColor="text1"/>
                <w:sz w:val="24"/>
                <w:vertAlign w:val="subscript"/>
              </w:rPr>
              <w:t>5</w:t>
            </w:r>
            <w:r>
              <w:rPr>
                <w:rFonts w:hint="default" w:ascii="Times New Roman" w:hAnsi="Times New Roman" w:eastAsia="宋体" w:cs="Times New Roman"/>
                <w:color w:val="000000" w:themeColor="text1"/>
                <w:sz w:val="24"/>
              </w:rPr>
              <w:t xml:space="preserve"> 300mg/</w:t>
            </w:r>
            <w:r>
              <w:rPr>
                <w:rFonts w:hint="eastAsia" w:ascii="Times New Roman" w:hAnsi="Times New Roman" w:cs="Times New Roman"/>
                <w:color w:val="000000" w:themeColor="text1"/>
                <w:sz w:val="24"/>
                <w:lang w:val="en-US" w:eastAsia="zh-CN"/>
              </w:rPr>
              <w:t>L</w:t>
            </w:r>
            <w:r>
              <w:rPr>
                <w:rFonts w:hint="default" w:ascii="Times New Roman" w:hAnsi="Times New Roman" w:eastAsia="宋体" w:cs="Times New Roman"/>
                <w:color w:val="000000" w:themeColor="text1"/>
                <w:sz w:val="24"/>
              </w:rPr>
              <w:t>、SS 400mg/</w:t>
            </w:r>
            <w:r>
              <w:rPr>
                <w:rFonts w:hint="eastAsia" w:ascii="Times New Roman" w:hAnsi="Times New Roman" w:cs="Times New Roman"/>
                <w:color w:val="000000" w:themeColor="text1"/>
                <w:sz w:val="24"/>
                <w:lang w:val="en-US" w:eastAsia="zh-CN"/>
              </w:rPr>
              <w:t>L</w:t>
            </w:r>
            <w:r>
              <w:rPr>
                <w:rFonts w:hint="default" w:ascii="Times New Roman" w:hAnsi="Times New Roman" w:eastAsia="宋体" w:cs="Times New Roman"/>
                <w:color w:val="000000" w:themeColor="text1"/>
                <w:sz w:val="24"/>
              </w:rPr>
              <w:t>、氨氮40mg/</w:t>
            </w:r>
            <w:r>
              <w:rPr>
                <w:rFonts w:hint="eastAsia" w:ascii="Times New Roman" w:hAnsi="Times New Roman" w:cs="Times New Roman"/>
                <w:color w:val="000000" w:themeColor="text1"/>
                <w:sz w:val="24"/>
                <w:lang w:val="en-US" w:eastAsia="zh-CN"/>
              </w:rPr>
              <w:t>L</w:t>
            </w:r>
            <w:r>
              <w:rPr>
                <w:rFonts w:hint="default" w:ascii="Times New Roman" w:hAnsi="Times New Roman" w:eastAsia="宋体" w:cs="Times New Roman"/>
                <w:color w:val="000000" w:themeColor="text1"/>
                <w:sz w:val="24"/>
              </w:rPr>
              <w:t>、总磷≤5mg/</w:t>
            </w:r>
            <w:r>
              <w:rPr>
                <w:rFonts w:hint="eastAsia" w:ascii="Times New Roman" w:hAnsi="Times New Roman" w:cs="Times New Roman"/>
                <w:color w:val="000000" w:themeColor="text1"/>
                <w:sz w:val="24"/>
                <w:lang w:val="en-US" w:eastAsia="zh-CN"/>
              </w:rPr>
              <w:t>L</w:t>
            </w:r>
            <w:r>
              <w:rPr>
                <w:rFonts w:hint="default" w:ascii="Times New Roman" w:hAnsi="Times New Roman" w:eastAsia="宋体" w:cs="Times New Roman"/>
                <w:color w:val="000000" w:themeColor="text1"/>
                <w:sz w:val="24"/>
              </w:rPr>
              <w:t>；出水可达到《城镇污水处理厂污染物排放标准》（GB18918-2002）中一级B标准，即</w:t>
            </w:r>
            <w:r>
              <w:rPr>
                <w:rFonts w:hint="eastAsia" w:ascii="Times New Roman" w:hAnsi="Times New Roman" w:eastAsia="宋体" w:cs="Times New Roman"/>
                <w:color w:val="000000" w:themeColor="text1"/>
                <w:sz w:val="24"/>
              </w:rPr>
              <w:t>p</w:t>
            </w:r>
            <w:r>
              <w:rPr>
                <w:rFonts w:hint="default" w:ascii="Times New Roman" w:hAnsi="Times New Roman" w:eastAsia="宋体" w:cs="Times New Roman"/>
                <w:color w:val="000000" w:themeColor="text1"/>
                <w:sz w:val="24"/>
              </w:rPr>
              <w:t>H=7.0~8.0、CODcr≤60mg/</w:t>
            </w:r>
            <w:r>
              <w:rPr>
                <w:rFonts w:hint="eastAsia" w:ascii="Times New Roman" w:hAnsi="Times New Roman" w:cs="Times New Roman"/>
                <w:color w:val="000000" w:themeColor="text1"/>
                <w:sz w:val="24"/>
                <w:lang w:val="en-US" w:eastAsia="zh-CN"/>
              </w:rPr>
              <w:t>L</w:t>
            </w:r>
            <w:r>
              <w:rPr>
                <w:rFonts w:hint="default" w:ascii="Times New Roman" w:hAnsi="Times New Roman" w:eastAsia="宋体" w:cs="Times New Roman"/>
                <w:color w:val="000000" w:themeColor="text1"/>
                <w:sz w:val="24"/>
              </w:rPr>
              <w:t>、BOD</w:t>
            </w:r>
            <w:r>
              <w:rPr>
                <w:rFonts w:hint="default" w:ascii="Times New Roman" w:hAnsi="Times New Roman" w:eastAsia="宋体" w:cs="Times New Roman"/>
                <w:color w:val="000000" w:themeColor="text1"/>
                <w:sz w:val="24"/>
                <w:vertAlign w:val="subscript"/>
              </w:rPr>
              <w:t>5</w:t>
            </w:r>
            <w:r>
              <w:rPr>
                <w:rFonts w:hint="default" w:ascii="Times New Roman" w:hAnsi="Times New Roman" w:eastAsia="宋体" w:cs="Times New Roman"/>
                <w:color w:val="000000" w:themeColor="text1"/>
                <w:sz w:val="24"/>
              </w:rPr>
              <w:t>≤20mg/</w:t>
            </w:r>
            <w:r>
              <w:rPr>
                <w:rFonts w:hint="eastAsia" w:ascii="Times New Roman" w:hAnsi="Times New Roman" w:cs="Times New Roman"/>
                <w:color w:val="000000" w:themeColor="text1"/>
                <w:sz w:val="24"/>
                <w:lang w:val="en-US" w:eastAsia="zh-CN"/>
              </w:rPr>
              <w:t>L</w:t>
            </w:r>
            <w:r>
              <w:rPr>
                <w:rFonts w:hint="default" w:ascii="Times New Roman" w:hAnsi="Times New Roman" w:eastAsia="宋体" w:cs="Times New Roman"/>
                <w:color w:val="000000" w:themeColor="text1"/>
                <w:sz w:val="24"/>
              </w:rPr>
              <w:t>、SS≤20mg/</w:t>
            </w:r>
            <w:r>
              <w:rPr>
                <w:rFonts w:hint="eastAsia" w:ascii="Times New Roman" w:hAnsi="Times New Roman" w:cs="Times New Roman"/>
                <w:color w:val="000000" w:themeColor="text1"/>
                <w:sz w:val="24"/>
                <w:lang w:val="en-US" w:eastAsia="zh-CN"/>
              </w:rPr>
              <w:t>L</w:t>
            </w:r>
            <w:r>
              <w:rPr>
                <w:rFonts w:hint="default" w:ascii="Times New Roman" w:hAnsi="Times New Roman" w:eastAsia="宋体" w:cs="Times New Roman"/>
                <w:color w:val="000000" w:themeColor="text1"/>
                <w:sz w:val="24"/>
              </w:rPr>
              <w:t>、氨氮≤8（15）mg/</w:t>
            </w:r>
            <w:r>
              <w:rPr>
                <w:rFonts w:hint="eastAsia" w:ascii="Times New Roman" w:hAnsi="Times New Roman" w:cs="Times New Roman"/>
                <w:color w:val="000000" w:themeColor="text1"/>
                <w:sz w:val="24"/>
                <w:lang w:val="en-US" w:eastAsia="zh-CN"/>
              </w:rPr>
              <w:t>L</w:t>
            </w:r>
            <w:r>
              <w:rPr>
                <w:rFonts w:hint="default" w:ascii="Times New Roman" w:hAnsi="Times New Roman" w:eastAsia="宋体" w:cs="Times New Roman"/>
                <w:color w:val="000000" w:themeColor="text1"/>
                <w:sz w:val="24"/>
              </w:rPr>
              <w:t>、总磷≤1mg/</w:t>
            </w:r>
            <w:r>
              <w:rPr>
                <w:rFonts w:hint="eastAsia" w:ascii="Times New Roman" w:hAnsi="Times New Roman" w:cs="Times New Roman"/>
                <w:color w:val="000000" w:themeColor="text1"/>
                <w:sz w:val="24"/>
                <w:lang w:val="en-US" w:eastAsia="zh-CN"/>
              </w:rPr>
              <w:t>L</w:t>
            </w:r>
            <w:r>
              <w:rPr>
                <w:rFonts w:hint="default" w:ascii="Times New Roman" w:hAnsi="Times New Roman" w:eastAsia="宋体" w:cs="Times New Roman"/>
                <w:color w:val="000000" w:themeColor="text1"/>
                <w:sz w:val="24"/>
              </w:rPr>
              <w:t>。</w:t>
            </w:r>
          </w:p>
          <w:p w14:paraId="25921E97">
            <w:pPr>
              <w:spacing w:line="360" w:lineRule="auto"/>
              <w:ind w:firstLine="480" w:firstLineChars="200"/>
              <w:rPr>
                <w:rFonts w:hint="default" w:ascii="Times New Roman" w:hAnsi="Times New Roman" w:eastAsia="宋体" w:cs="Times New Roman"/>
                <w:color w:val="000000" w:themeColor="text1"/>
                <w:sz w:val="24"/>
              </w:rPr>
            </w:pPr>
            <w:r>
              <w:rPr>
                <w:rFonts w:hint="eastAsia" w:ascii="Times New Roman" w:hAnsi="Times New Roman" w:eastAsia="宋体" w:cs="Times New Roman"/>
                <w:color w:val="000000" w:themeColor="text1"/>
                <w:sz w:val="24"/>
              </w:rPr>
              <w:t>本项目生活污水排入高新区排水管网，水最终排入污水处理厂处理。</w:t>
            </w:r>
          </w:p>
          <w:p w14:paraId="7F29E5F6">
            <w:pPr>
              <w:spacing w:line="360" w:lineRule="auto"/>
              <w:ind w:firstLine="480" w:firstLineChars="200"/>
              <w:rPr>
                <w:rFonts w:hint="default" w:ascii="Times New Roman" w:hAnsi="Times New Roman" w:eastAsia="宋体" w:cs="Times New Roman"/>
                <w:color w:val="000000" w:themeColor="text1"/>
                <w:sz w:val="24"/>
              </w:rPr>
            </w:pPr>
            <w:r>
              <w:rPr>
                <w:rFonts w:hint="eastAsia" w:ascii="Times New Roman" w:hAnsi="Times New Roman" w:cs="Times New Roman"/>
                <w:color w:val="000000" w:themeColor="text1"/>
                <w:sz w:val="24"/>
                <w:lang w:eastAsia="zh-CN"/>
              </w:rPr>
              <w:t>（</w:t>
            </w:r>
            <w:r>
              <w:rPr>
                <w:rFonts w:hint="eastAsia" w:ascii="Times New Roman" w:hAnsi="Times New Roman" w:cs="Times New Roman"/>
                <w:color w:val="000000" w:themeColor="text1"/>
                <w:sz w:val="24"/>
                <w:lang w:val="en-US" w:eastAsia="zh-CN"/>
              </w:rPr>
              <w:t>4</w:t>
            </w:r>
            <w:r>
              <w:rPr>
                <w:rFonts w:hint="eastAsia" w:ascii="Times New Roman" w:hAnsi="Times New Roman" w:cs="Times New Roman"/>
                <w:color w:val="000000" w:themeColor="text1"/>
                <w:sz w:val="24"/>
                <w:lang w:eastAsia="zh-CN"/>
              </w:rPr>
              <w:t>）</w:t>
            </w:r>
            <w:r>
              <w:rPr>
                <w:rFonts w:hint="eastAsia" w:ascii="Times New Roman" w:hAnsi="Times New Roman" w:eastAsia="宋体" w:cs="Times New Roman"/>
                <w:color w:val="000000" w:themeColor="text1"/>
                <w:sz w:val="24"/>
              </w:rPr>
              <w:t>供热规划</w:t>
            </w:r>
          </w:p>
          <w:p w14:paraId="5C49629D">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根据昌吉国家高新技术产业开发区总体规划，目前现有</w:t>
            </w:r>
            <w:r>
              <w:rPr>
                <w:rFonts w:hint="eastAsia" w:ascii="Times New Roman" w:hAnsi="Times New Roman" w:cs="Times New Roman"/>
                <w:color w:val="000000" w:themeColor="text1"/>
                <w:sz w:val="24"/>
                <w:lang w:val="en-US" w:eastAsia="zh-CN"/>
              </w:rPr>
              <w:t>3</w:t>
            </w:r>
            <w:r>
              <w:rPr>
                <w:rFonts w:hint="default" w:ascii="Times New Roman" w:hAnsi="Times New Roman" w:eastAsia="宋体" w:cs="Times New Roman"/>
                <w:color w:val="000000" w:themeColor="text1"/>
                <w:sz w:val="24"/>
              </w:rPr>
              <w:t>个集中热源：①金源热力，总热负荷为120t/a</w:t>
            </w:r>
            <w:r>
              <w:rPr>
                <w:rFonts w:hint="eastAsia" w:ascii="Times New Roman" w:hAnsi="Times New Roman" w:eastAsia="宋体" w:cs="Times New Roman"/>
                <w:color w:val="000000" w:themeColor="text1"/>
                <w:sz w:val="24"/>
              </w:rPr>
              <w:t>；</w:t>
            </w:r>
            <w:r>
              <w:rPr>
                <w:rFonts w:hint="default" w:ascii="Times New Roman" w:hAnsi="Times New Roman" w:eastAsia="宋体" w:cs="Times New Roman"/>
                <w:color w:val="000000" w:themeColor="text1"/>
                <w:sz w:val="24"/>
              </w:rPr>
              <w:t>②明德热力</w:t>
            </w:r>
            <w:r>
              <w:rPr>
                <w:rFonts w:hint="eastAsia" w:ascii="Times New Roman" w:hAnsi="Times New Roman" w:eastAsia="宋体" w:cs="Times New Roman"/>
                <w:color w:val="000000" w:themeColor="text1"/>
                <w:sz w:val="24"/>
              </w:rPr>
              <w:t>，</w:t>
            </w:r>
            <w:r>
              <w:rPr>
                <w:rFonts w:hint="default" w:ascii="Times New Roman" w:hAnsi="Times New Roman" w:eastAsia="宋体" w:cs="Times New Roman"/>
                <w:color w:val="000000" w:themeColor="text1"/>
                <w:sz w:val="24"/>
              </w:rPr>
              <w:t>总热负荷为70t/a</w:t>
            </w:r>
            <w:r>
              <w:rPr>
                <w:rFonts w:hint="eastAsia" w:ascii="Times New Roman" w:hAnsi="Times New Roman" w:eastAsia="宋体" w:cs="Times New Roman"/>
                <w:color w:val="000000" w:themeColor="text1"/>
                <w:sz w:val="24"/>
              </w:rPr>
              <w:t>；③顺涛益华热源厂，</w:t>
            </w:r>
            <w:r>
              <w:rPr>
                <w:rFonts w:hint="default" w:ascii="Times New Roman" w:hAnsi="Times New Roman" w:eastAsia="宋体" w:cs="Times New Roman"/>
                <w:color w:val="000000" w:themeColor="text1"/>
                <w:sz w:val="24"/>
              </w:rPr>
              <w:t>总热负荷为</w:t>
            </w:r>
            <w:r>
              <w:rPr>
                <w:rFonts w:hint="eastAsia" w:ascii="Times New Roman" w:hAnsi="Times New Roman" w:eastAsia="宋体" w:cs="Times New Roman"/>
                <w:color w:val="000000" w:themeColor="text1"/>
                <w:sz w:val="24"/>
              </w:rPr>
              <w:t>80t/h。其中：</w:t>
            </w:r>
            <w:r>
              <w:rPr>
                <w:rFonts w:hint="default" w:ascii="Times New Roman" w:hAnsi="Times New Roman" w:eastAsia="宋体" w:cs="Times New Roman"/>
                <w:color w:val="000000" w:themeColor="text1"/>
                <w:sz w:val="24"/>
              </w:rPr>
              <w:t>金源热力</w:t>
            </w:r>
            <w:r>
              <w:rPr>
                <w:rFonts w:hint="eastAsia" w:ascii="Times New Roman" w:hAnsi="Times New Roman" w:eastAsia="宋体" w:cs="Times New Roman"/>
                <w:color w:val="000000" w:themeColor="text1"/>
                <w:sz w:val="24"/>
              </w:rPr>
              <w:t>主要</w:t>
            </w:r>
            <w:r>
              <w:rPr>
                <w:rFonts w:hint="default" w:ascii="Times New Roman" w:hAnsi="Times New Roman" w:eastAsia="宋体" w:cs="Times New Roman"/>
                <w:color w:val="000000" w:themeColor="text1"/>
                <w:sz w:val="24"/>
              </w:rPr>
              <w:t>担负启动区及中部综合组团的生活、生产热负荷</w:t>
            </w:r>
            <w:r>
              <w:rPr>
                <w:rFonts w:hint="eastAsia" w:ascii="Times New Roman" w:hAnsi="Times New Roman" w:eastAsia="宋体" w:cs="Times New Roman"/>
                <w:color w:val="000000" w:themeColor="text1"/>
                <w:sz w:val="24"/>
              </w:rPr>
              <w:t>；</w:t>
            </w:r>
            <w:r>
              <w:rPr>
                <w:rFonts w:hint="default" w:ascii="Times New Roman" w:hAnsi="Times New Roman" w:eastAsia="宋体" w:cs="Times New Roman"/>
                <w:color w:val="000000" w:themeColor="text1"/>
                <w:sz w:val="24"/>
              </w:rPr>
              <w:t>明德热力</w:t>
            </w:r>
            <w:r>
              <w:rPr>
                <w:rFonts w:hint="eastAsia" w:ascii="Times New Roman" w:hAnsi="Times New Roman" w:eastAsia="宋体" w:cs="Times New Roman"/>
                <w:color w:val="000000" w:themeColor="text1"/>
                <w:sz w:val="24"/>
              </w:rPr>
              <w:t>主要</w:t>
            </w:r>
            <w:r>
              <w:rPr>
                <w:rFonts w:hint="default" w:ascii="Times New Roman" w:hAnsi="Times New Roman" w:eastAsia="宋体" w:cs="Times New Roman"/>
                <w:color w:val="000000" w:themeColor="text1"/>
                <w:sz w:val="24"/>
              </w:rPr>
              <w:t>担负西侧工业组团及部分中部综合组团的生活、生产热负荷</w:t>
            </w:r>
            <w:r>
              <w:rPr>
                <w:rFonts w:hint="eastAsia" w:ascii="Times New Roman" w:hAnsi="Times New Roman" w:eastAsia="宋体" w:cs="Times New Roman"/>
                <w:color w:val="000000" w:themeColor="text1"/>
                <w:sz w:val="24"/>
              </w:rPr>
              <w:t>；顺涛益华热源厂主要</w:t>
            </w:r>
            <w:r>
              <w:rPr>
                <w:rFonts w:hint="default" w:ascii="Times New Roman" w:hAnsi="Times New Roman" w:eastAsia="宋体" w:cs="Times New Roman"/>
                <w:color w:val="000000" w:themeColor="text1"/>
                <w:sz w:val="24"/>
              </w:rPr>
              <w:t>担负南区企业和北区岐峰农机的供热</w:t>
            </w:r>
            <w:r>
              <w:rPr>
                <w:rFonts w:hint="eastAsia" w:ascii="Times New Roman" w:hAnsi="Times New Roman" w:eastAsia="宋体" w:cs="Times New Roman"/>
                <w:color w:val="000000" w:themeColor="text1"/>
                <w:sz w:val="24"/>
              </w:rPr>
              <w:t>。</w:t>
            </w:r>
          </w:p>
          <w:p w14:paraId="6D059A63">
            <w:pPr>
              <w:spacing w:line="360" w:lineRule="auto"/>
              <w:ind w:firstLine="480" w:firstLineChars="200"/>
              <w:rPr>
                <w:rFonts w:hint="default" w:ascii="Times New Roman" w:hAnsi="Times New Roman" w:eastAsia="宋体" w:cs="Times New Roman"/>
                <w:color w:val="000000" w:themeColor="text1"/>
                <w:sz w:val="24"/>
              </w:rPr>
            </w:pPr>
            <w:r>
              <w:rPr>
                <w:rFonts w:hint="eastAsia" w:ascii="Times New Roman" w:hAnsi="Times New Roman" w:cs="Times New Roman"/>
                <w:color w:val="000000" w:themeColor="text1"/>
                <w:sz w:val="24"/>
                <w:lang w:eastAsia="zh-CN"/>
              </w:rPr>
              <w:t>（</w:t>
            </w:r>
            <w:r>
              <w:rPr>
                <w:rFonts w:hint="eastAsia" w:ascii="Times New Roman" w:hAnsi="Times New Roman" w:cs="Times New Roman"/>
                <w:color w:val="000000" w:themeColor="text1"/>
                <w:sz w:val="24"/>
                <w:lang w:val="en-US" w:eastAsia="zh-CN"/>
              </w:rPr>
              <w:t>5</w:t>
            </w:r>
            <w:r>
              <w:rPr>
                <w:rFonts w:hint="eastAsia" w:ascii="Times New Roman" w:hAnsi="Times New Roman" w:cs="Times New Roman"/>
                <w:color w:val="000000" w:themeColor="text1"/>
                <w:sz w:val="24"/>
                <w:lang w:eastAsia="zh-CN"/>
              </w:rPr>
              <w:t>）</w:t>
            </w:r>
            <w:r>
              <w:rPr>
                <w:rFonts w:hint="eastAsia" w:ascii="Times New Roman" w:hAnsi="Times New Roman" w:eastAsia="宋体" w:cs="Times New Roman"/>
                <w:color w:val="000000" w:themeColor="text1"/>
                <w:sz w:val="24"/>
              </w:rPr>
              <w:t>用电规划</w:t>
            </w:r>
          </w:p>
          <w:p w14:paraId="699F2F80">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昌吉国家高新技术产业开发区内负荷主要为工业用电、仓储用电、公共设施用电及其他用电，其中工业用电占主要部分。通过测算昌吉国家高新技术产业开发区远期电力负荷预测为36.7万KW。</w:t>
            </w:r>
          </w:p>
          <w:p w14:paraId="4FD2DEBA">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目前昌吉国家高新技术产业开发区有2个变电站，一个为36MVA用电负荷的明德变电站，另一个是分布在建材区的榆树沟变电站。为进一步满足高新区用电负荷量，规划建设一座220KV的变电站。</w:t>
            </w:r>
          </w:p>
          <w:p w14:paraId="3482D75E">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本项目电力由高新区10KV变电站电路接入，经厂区内变电设施变电后用于厂区生产和生活。</w:t>
            </w:r>
          </w:p>
          <w:p w14:paraId="50BF449F">
            <w:pPr>
              <w:spacing w:line="360" w:lineRule="auto"/>
              <w:ind w:firstLine="480" w:firstLineChars="200"/>
              <w:rPr>
                <w:rFonts w:hint="default" w:ascii="Times New Roman" w:hAnsi="Times New Roman" w:eastAsia="宋体" w:cs="Times New Roman"/>
                <w:color w:val="000000" w:themeColor="text1"/>
                <w:sz w:val="24"/>
              </w:rPr>
            </w:pPr>
            <w:r>
              <w:rPr>
                <w:rFonts w:hint="eastAsia" w:ascii="Times New Roman" w:hAnsi="Times New Roman" w:cs="Times New Roman"/>
                <w:color w:val="000000" w:themeColor="text1"/>
                <w:sz w:val="24"/>
                <w:lang w:eastAsia="zh-CN"/>
              </w:rPr>
              <w:t>（</w:t>
            </w:r>
            <w:r>
              <w:rPr>
                <w:rFonts w:hint="eastAsia" w:ascii="Times New Roman" w:hAnsi="Times New Roman" w:cs="Times New Roman"/>
                <w:color w:val="000000" w:themeColor="text1"/>
                <w:sz w:val="24"/>
                <w:lang w:val="en-US" w:eastAsia="zh-CN"/>
              </w:rPr>
              <w:t>6</w:t>
            </w:r>
            <w:r>
              <w:rPr>
                <w:rFonts w:hint="eastAsia" w:ascii="Times New Roman" w:hAnsi="Times New Roman" w:cs="Times New Roman"/>
                <w:color w:val="000000" w:themeColor="text1"/>
                <w:sz w:val="24"/>
                <w:lang w:eastAsia="zh-CN"/>
              </w:rPr>
              <w:t>）</w:t>
            </w:r>
            <w:r>
              <w:rPr>
                <w:rFonts w:hint="eastAsia" w:ascii="Times New Roman" w:hAnsi="Times New Roman" w:eastAsia="宋体" w:cs="Times New Roman"/>
                <w:color w:val="000000" w:themeColor="text1"/>
                <w:sz w:val="24"/>
              </w:rPr>
              <w:t>绿化与环卫设施</w:t>
            </w:r>
          </w:p>
          <w:p w14:paraId="1A628350">
            <w:pPr>
              <w:spacing w:line="360" w:lineRule="auto"/>
              <w:ind w:firstLine="480" w:firstLineChars="200"/>
              <w:rPr>
                <w:rFonts w:hint="default" w:ascii="Times New Roman" w:hAnsi="Times New Roman" w:eastAsia="宋体" w:cs="Times New Roman"/>
                <w:color w:val="000000" w:themeColor="text1"/>
                <w:sz w:val="24"/>
              </w:rPr>
            </w:pPr>
            <w:r>
              <w:rPr>
                <w:rFonts w:hint="eastAsia" w:ascii="Times New Roman" w:hAnsi="Times New Roman" w:cs="Times New Roman"/>
                <w:color w:val="000000" w:themeColor="text1"/>
                <w:sz w:val="24"/>
                <w:lang w:eastAsia="zh-CN"/>
              </w:rPr>
              <w:t>①</w:t>
            </w:r>
            <w:r>
              <w:rPr>
                <w:rFonts w:hint="default" w:ascii="Times New Roman" w:hAnsi="Times New Roman" w:eastAsia="宋体" w:cs="Times New Roman"/>
                <w:color w:val="000000" w:themeColor="text1"/>
                <w:sz w:val="24"/>
              </w:rPr>
              <w:t>绿化</w:t>
            </w:r>
          </w:p>
          <w:p w14:paraId="4F5F5B2E">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昌吉高新技术产业开发区总绿地率达25%以上，主干道道路绿地率40%以上，次干道绿地率25%以上。各产业区块的绿地率不小于15%，并尽量提高至30%，生产装置有特殊要求的除外。</w:t>
            </w:r>
          </w:p>
          <w:p w14:paraId="163AAD79">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规划昌吉国新技术产业开发区总绿地面积9.01km</w:t>
            </w:r>
            <w:r>
              <w:rPr>
                <w:rFonts w:hint="default" w:ascii="Times New Roman" w:hAnsi="Times New Roman" w:eastAsia="宋体" w:cs="Times New Roman"/>
                <w:color w:val="000000" w:themeColor="text1"/>
                <w:sz w:val="24"/>
                <w:vertAlign w:val="superscript"/>
              </w:rPr>
              <w:t>2</w:t>
            </w:r>
            <w:r>
              <w:rPr>
                <w:rFonts w:hint="default" w:ascii="Times New Roman" w:hAnsi="Times New Roman" w:eastAsia="宋体" w:cs="Times New Roman"/>
                <w:color w:val="000000" w:themeColor="text1"/>
                <w:sz w:val="24"/>
              </w:rPr>
              <w:t>；其中公共绿地面积2.50km</w:t>
            </w:r>
            <w:r>
              <w:rPr>
                <w:rFonts w:hint="default" w:ascii="Times New Roman" w:hAnsi="Times New Roman" w:eastAsia="宋体" w:cs="Times New Roman"/>
                <w:color w:val="000000" w:themeColor="text1"/>
                <w:sz w:val="24"/>
                <w:vertAlign w:val="superscript"/>
              </w:rPr>
              <w:t>2</w:t>
            </w:r>
            <w:r>
              <w:rPr>
                <w:rFonts w:hint="default" w:ascii="Times New Roman" w:hAnsi="Times New Roman" w:eastAsia="宋体" w:cs="Times New Roman"/>
                <w:color w:val="000000" w:themeColor="text1"/>
                <w:sz w:val="24"/>
              </w:rPr>
              <w:t>，生产防护绿地面积6.51km</w:t>
            </w:r>
            <w:r>
              <w:rPr>
                <w:rFonts w:hint="default" w:ascii="Times New Roman" w:hAnsi="Times New Roman" w:eastAsia="宋体" w:cs="Times New Roman"/>
                <w:color w:val="000000" w:themeColor="text1"/>
                <w:sz w:val="24"/>
                <w:vertAlign w:val="superscript"/>
              </w:rPr>
              <w:t>2</w:t>
            </w:r>
            <w:r>
              <w:rPr>
                <w:rFonts w:hint="default" w:ascii="Times New Roman" w:hAnsi="Times New Roman" w:eastAsia="宋体" w:cs="Times New Roman"/>
                <w:color w:val="000000" w:themeColor="text1"/>
                <w:sz w:val="24"/>
              </w:rPr>
              <w:t>。 昌吉国家高新技术产业开发区总绿地面积占高新区总用地面积的26.5%。</w:t>
            </w:r>
          </w:p>
          <w:p w14:paraId="3F946728">
            <w:pPr>
              <w:spacing w:line="360" w:lineRule="auto"/>
              <w:ind w:firstLine="480" w:firstLineChars="200"/>
              <w:rPr>
                <w:rFonts w:hint="default" w:ascii="Times New Roman" w:hAnsi="Times New Roman" w:eastAsia="宋体" w:cs="Times New Roman"/>
                <w:color w:val="000000" w:themeColor="text1"/>
                <w:sz w:val="24"/>
              </w:rPr>
            </w:pPr>
            <w:r>
              <w:rPr>
                <w:rFonts w:hint="eastAsia" w:ascii="Times New Roman" w:hAnsi="Times New Roman" w:cs="Times New Roman"/>
                <w:color w:val="000000" w:themeColor="text1"/>
                <w:sz w:val="24"/>
                <w:lang w:eastAsia="zh-CN"/>
              </w:rPr>
              <w:t>②</w:t>
            </w:r>
            <w:r>
              <w:rPr>
                <w:rFonts w:hint="default" w:ascii="Times New Roman" w:hAnsi="Times New Roman" w:eastAsia="宋体" w:cs="Times New Roman"/>
                <w:color w:val="000000" w:themeColor="text1"/>
                <w:sz w:val="24"/>
              </w:rPr>
              <w:t>环卫设施</w:t>
            </w:r>
          </w:p>
          <w:p w14:paraId="082DFE25">
            <w:pPr>
              <w:spacing w:line="360" w:lineRule="auto"/>
              <w:ind w:firstLine="480" w:firstLineChars="200"/>
              <w:rPr>
                <w:rFonts w:hint="default" w:ascii="Times New Roman" w:hAnsi="Times New Roman" w:eastAsia="宋体" w:cs="Times New Roman"/>
                <w:color w:val="000000" w:themeColor="text1"/>
                <w:sz w:val="24"/>
              </w:rPr>
            </w:pPr>
            <w:r>
              <w:rPr>
                <w:rFonts w:hint="default" w:ascii="Times New Roman" w:hAnsi="Times New Roman" w:eastAsia="宋体" w:cs="Times New Roman"/>
                <w:color w:val="000000" w:themeColor="text1"/>
                <w:sz w:val="24"/>
              </w:rPr>
              <w:t>目前昌吉高新技术产业开发区内设置环境卫生垃圾箱。</w:t>
            </w:r>
            <w:r>
              <w:rPr>
                <w:rFonts w:hint="eastAsia" w:ascii="Times New Roman" w:hAnsi="Times New Roman" w:eastAsia="宋体" w:cs="Times New Roman"/>
                <w:color w:val="000000" w:themeColor="text1"/>
                <w:sz w:val="24"/>
              </w:rPr>
              <w:t>高新区</w:t>
            </w:r>
            <w:r>
              <w:rPr>
                <w:rFonts w:hint="default" w:ascii="Times New Roman" w:hAnsi="Times New Roman" w:eastAsia="宋体" w:cs="Times New Roman"/>
                <w:color w:val="000000" w:themeColor="text1"/>
                <w:sz w:val="24"/>
              </w:rPr>
              <w:t>环卫机构负责区域的环境卫生工作</w:t>
            </w:r>
            <w:r>
              <w:rPr>
                <w:rFonts w:hint="eastAsia" w:ascii="Times New Roman" w:hAnsi="Times New Roman" w:eastAsia="宋体" w:cs="Times New Roman"/>
                <w:color w:val="000000" w:themeColor="text1"/>
                <w:sz w:val="24"/>
              </w:rPr>
              <w:t>，</w:t>
            </w:r>
            <w:r>
              <w:rPr>
                <w:rFonts w:hint="default" w:ascii="Times New Roman" w:hAnsi="Times New Roman" w:eastAsia="宋体" w:cs="Times New Roman"/>
                <w:color w:val="000000" w:themeColor="text1"/>
                <w:sz w:val="24"/>
              </w:rPr>
              <w:t>环卫工作人员为50人。</w:t>
            </w:r>
          </w:p>
          <w:p w14:paraId="2C2CE4BC">
            <w:pPr>
              <w:pStyle w:val="18"/>
              <w:rPr>
                <w:rFonts w:hint="default" w:ascii="Times New Roman" w:hAnsi="Times New Roman" w:cs="Times New Roman"/>
                <w:color w:val="000000" w:themeColor="text1"/>
                <w:sz w:val="24"/>
                <w:szCs w:val="24"/>
              </w:rPr>
            </w:pPr>
          </w:p>
          <w:p w14:paraId="6EC7F705">
            <w:pPr>
              <w:pStyle w:val="18"/>
              <w:rPr>
                <w:rFonts w:hint="default" w:ascii="Times New Roman" w:hAnsi="Times New Roman" w:cs="Times New Roman"/>
                <w:color w:val="000000" w:themeColor="text1"/>
                <w:sz w:val="24"/>
                <w:szCs w:val="24"/>
              </w:rPr>
            </w:pPr>
          </w:p>
          <w:p w14:paraId="57115622">
            <w:pPr>
              <w:pStyle w:val="18"/>
              <w:spacing w:line="360" w:lineRule="auto"/>
              <w:rPr>
                <w:rFonts w:hint="default" w:ascii="Times New Roman" w:hAnsi="Times New Roman" w:cs="Times New Roman"/>
                <w:color w:val="000000" w:themeColor="text1"/>
                <w:sz w:val="24"/>
                <w:szCs w:val="24"/>
              </w:rPr>
            </w:pPr>
          </w:p>
          <w:p w14:paraId="78D4D615">
            <w:pPr>
              <w:pStyle w:val="18"/>
              <w:spacing w:line="360" w:lineRule="auto"/>
              <w:rPr>
                <w:rFonts w:hint="default" w:ascii="Times New Roman" w:hAnsi="Times New Roman" w:cs="Times New Roman"/>
                <w:color w:val="000000" w:themeColor="text1"/>
                <w:sz w:val="24"/>
                <w:szCs w:val="24"/>
              </w:rPr>
            </w:pPr>
          </w:p>
          <w:p w14:paraId="3D032418">
            <w:pPr>
              <w:pStyle w:val="18"/>
              <w:spacing w:line="360" w:lineRule="auto"/>
              <w:rPr>
                <w:rFonts w:hint="default" w:ascii="Times New Roman" w:hAnsi="Times New Roman" w:cs="Times New Roman"/>
                <w:color w:val="000000" w:themeColor="text1"/>
                <w:sz w:val="24"/>
                <w:szCs w:val="24"/>
              </w:rPr>
            </w:pPr>
          </w:p>
          <w:p w14:paraId="09A89C28">
            <w:pPr>
              <w:pStyle w:val="18"/>
              <w:spacing w:line="360" w:lineRule="auto"/>
              <w:rPr>
                <w:rFonts w:hint="default" w:ascii="Times New Roman" w:hAnsi="Times New Roman" w:cs="Times New Roman"/>
                <w:color w:val="000000" w:themeColor="text1"/>
                <w:sz w:val="24"/>
                <w:szCs w:val="24"/>
              </w:rPr>
            </w:pPr>
          </w:p>
          <w:p w14:paraId="3534726B">
            <w:pPr>
              <w:pStyle w:val="18"/>
              <w:spacing w:line="360" w:lineRule="auto"/>
              <w:rPr>
                <w:rFonts w:hint="default" w:ascii="Times New Roman" w:hAnsi="Times New Roman" w:cs="Times New Roman"/>
                <w:color w:val="000000" w:themeColor="text1"/>
                <w:sz w:val="24"/>
                <w:szCs w:val="24"/>
              </w:rPr>
            </w:pPr>
          </w:p>
          <w:p w14:paraId="759FDE23">
            <w:pPr>
              <w:pStyle w:val="18"/>
              <w:spacing w:line="360" w:lineRule="auto"/>
              <w:rPr>
                <w:rFonts w:hint="default" w:ascii="Times New Roman" w:hAnsi="Times New Roman" w:cs="Times New Roman"/>
                <w:color w:val="000000" w:themeColor="text1"/>
                <w:sz w:val="24"/>
                <w:szCs w:val="24"/>
              </w:rPr>
            </w:pPr>
          </w:p>
          <w:p w14:paraId="343A2803">
            <w:pPr>
              <w:pStyle w:val="18"/>
              <w:spacing w:line="360" w:lineRule="auto"/>
              <w:rPr>
                <w:rFonts w:hint="default" w:ascii="Times New Roman" w:hAnsi="Times New Roman" w:cs="Times New Roman"/>
                <w:color w:val="000000" w:themeColor="text1"/>
                <w:sz w:val="24"/>
                <w:szCs w:val="24"/>
              </w:rPr>
            </w:pPr>
          </w:p>
          <w:p w14:paraId="62298F1B">
            <w:pPr>
              <w:pStyle w:val="18"/>
              <w:spacing w:line="360" w:lineRule="auto"/>
              <w:rPr>
                <w:rFonts w:hint="default" w:ascii="Times New Roman" w:hAnsi="Times New Roman" w:cs="Times New Roman"/>
                <w:color w:val="000000" w:themeColor="text1"/>
                <w:sz w:val="24"/>
                <w:szCs w:val="24"/>
              </w:rPr>
            </w:pPr>
          </w:p>
          <w:p w14:paraId="67421BFD">
            <w:pPr>
              <w:pStyle w:val="18"/>
              <w:spacing w:line="360" w:lineRule="auto"/>
              <w:rPr>
                <w:rFonts w:hint="default" w:ascii="Times New Roman" w:hAnsi="Times New Roman" w:cs="Times New Roman"/>
                <w:color w:val="000000" w:themeColor="text1"/>
                <w:sz w:val="24"/>
                <w:szCs w:val="24"/>
              </w:rPr>
            </w:pPr>
          </w:p>
          <w:p w14:paraId="6DE69BA8">
            <w:pPr>
              <w:pStyle w:val="18"/>
              <w:spacing w:line="360" w:lineRule="auto"/>
              <w:rPr>
                <w:rFonts w:hint="default" w:ascii="Times New Roman" w:hAnsi="Times New Roman" w:cs="Times New Roman"/>
                <w:color w:val="000000" w:themeColor="text1"/>
                <w:sz w:val="24"/>
                <w:szCs w:val="24"/>
              </w:rPr>
            </w:pPr>
          </w:p>
          <w:p w14:paraId="52867498">
            <w:pPr>
              <w:pStyle w:val="18"/>
              <w:spacing w:line="360" w:lineRule="auto"/>
              <w:rPr>
                <w:rFonts w:hint="default" w:ascii="Times New Roman" w:hAnsi="Times New Roman" w:cs="Times New Roman"/>
                <w:color w:val="000000" w:themeColor="text1"/>
                <w:sz w:val="24"/>
                <w:szCs w:val="24"/>
              </w:rPr>
            </w:pPr>
          </w:p>
          <w:p w14:paraId="4BDC7924">
            <w:pPr>
              <w:pStyle w:val="18"/>
              <w:spacing w:line="360" w:lineRule="auto"/>
              <w:rPr>
                <w:rFonts w:hint="default" w:ascii="Times New Roman" w:hAnsi="Times New Roman" w:cs="Times New Roman"/>
                <w:color w:val="000000" w:themeColor="text1"/>
                <w:sz w:val="24"/>
                <w:szCs w:val="24"/>
              </w:rPr>
            </w:pPr>
          </w:p>
          <w:p w14:paraId="796CEFB1">
            <w:pPr>
              <w:pStyle w:val="18"/>
              <w:spacing w:line="360" w:lineRule="auto"/>
              <w:rPr>
                <w:rFonts w:hint="default" w:ascii="Times New Roman" w:hAnsi="Times New Roman" w:cs="Times New Roman"/>
                <w:color w:val="000000" w:themeColor="text1"/>
                <w:sz w:val="24"/>
                <w:szCs w:val="24"/>
              </w:rPr>
            </w:pPr>
          </w:p>
          <w:p w14:paraId="76105725">
            <w:pPr>
              <w:pStyle w:val="18"/>
              <w:spacing w:line="360" w:lineRule="auto"/>
              <w:rPr>
                <w:rFonts w:hint="default" w:ascii="Times New Roman" w:hAnsi="Times New Roman" w:cs="Times New Roman"/>
                <w:color w:val="000000" w:themeColor="text1"/>
                <w:sz w:val="24"/>
                <w:szCs w:val="24"/>
              </w:rPr>
            </w:pPr>
          </w:p>
          <w:p w14:paraId="2D55BF02">
            <w:pPr>
              <w:pStyle w:val="18"/>
              <w:rPr>
                <w:rFonts w:hint="default" w:ascii="Times New Roman" w:hAnsi="Times New Roman" w:cs="Times New Roman"/>
                <w:color w:val="000000" w:themeColor="text1"/>
                <w:sz w:val="24"/>
                <w:szCs w:val="24"/>
              </w:rPr>
            </w:pPr>
          </w:p>
          <w:p w14:paraId="6227FC0E">
            <w:pPr>
              <w:pStyle w:val="18"/>
              <w:rPr>
                <w:rFonts w:hint="default" w:ascii="Times New Roman" w:hAnsi="Times New Roman" w:cs="Times New Roman"/>
                <w:color w:val="000000" w:themeColor="text1"/>
                <w:sz w:val="24"/>
                <w:szCs w:val="24"/>
              </w:rPr>
            </w:pPr>
          </w:p>
          <w:p w14:paraId="4EDAA8E4">
            <w:pPr>
              <w:pStyle w:val="15"/>
              <w:rPr>
                <w:rFonts w:hint="default" w:ascii="Times New Roman" w:hAnsi="Times New Roman" w:cs="Times New Roman"/>
                <w:color w:val="000000" w:themeColor="text1"/>
                <w:sz w:val="24"/>
                <w:szCs w:val="24"/>
              </w:rPr>
            </w:pPr>
          </w:p>
          <w:p w14:paraId="74E7F4D3">
            <w:pPr>
              <w:pStyle w:val="15"/>
              <w:rPr>
                <w:rFonts w:hint="default" w:ascii="Times New Roman" w:hAnsi="Times New Roman" w:cs="Times New Roman"/>
                <w:color w:val="000000" w:themeColor="text1"/>
                <w:sz w:val="24"/>
                <w:szCs w:val="24"/>
              </w:rPr>
            </w:pPr>
          </w:p>
          <w:p w14:paraId="44497EDF">
            <w:pPr>
              <w:pStyle w:val="15"/>
              <w:rPr>
                <w:rFonts w:hint="default" w:ascii="Times New Roman" w:hAnsi="Times New Roman" w:cs="Times New Roman"/>
                <w:color w:val="000000" w:themeColor="text1"/>
                <w:sz w:val="24"/>
                <w:szCs w:val="24"/>
              </w:rPr>
            </w:pPr>
          </w:p>
          <w:p w14:paraId="75EB6597">
            <w:pPr>
              <w:pStyle w:val="15"/>
              <w:rPr>
                <w:rFonts w:hint="default" w:ascii="Times New Roman" w:hAnsi="Times New Roman" w:cs="Times New Roman"/>
                <w:color w:val="000000" w:themeColor="text1"/>
                <w:sz w:val="24"/>
                <w:szCs w:val="24"/>
              </w:rPr>
            </w:pPr>
          </w:p>
          <w:p w14:paraId="24B0BFA3">
            <w:pPr>
              <w:pStyle w:val="18"/>
              <w:rPr>
                <w:rFonts w:hint="default" w:ascii="Times New Roman" w:hAnsi="Times New Roman" w:cs="Times New Roman"/>
                <w:color w:val="000000" w:themeColor="text1"/>
                <w:sz w:val="24"/>
                <w:szCs w:val="24"/>
              </w:rPr>
            </w:pPr>
          </w:p>
          <w:p w14:paraId="61870A7B">
            <w:pPr>
              <w:pStyle w:val="18"/>
              <w:rPr>
                <w:rFonts w:hint="default" w:ascii="Times New Roman" w:hAnsi="Times New Roman" w:cs="Times New Roman"/>
                <w:color w:val="000000" w:themeColor="text1"/>
                <w:sz w:val="24"/>
                <w:szCs w:val="24"/>
              </w:rPr>
            </w:pPr>
          </w:p>
          <w:p w14:paraId="1AEEFC7E">
            <w:pPr>
              <w:pStyle w:val="18"/>
              <w:rPr>
                <w:rFonts w:hint="default" w:ascii="Times New Roman" w:hAnsi="Times New Roman" w:cs="Times New Roman"/>
                <w:color w:val="000000" w:themeColor="text1"/>
                <w:sz w:val="24"/>
                <w:szCs w:val="24"/>
              </w:rPr>
            </w:pPr>
          </w:p>
          <w:p w14:paraId="001C3030">
            <w:pPr>
              <w:rPr>
                <w:rFonts w:hint="eastAsia" w:eastAsia="宋体"/>
                <w:color w:val="000000" w:themeColor="text1"/>
                <w:lang w:eastAsia="zh-CN"/>
              </w:rPr>
            </w:pPr>
          </w:p>
        </w:tc>
      </w:tr>
    </w:tbl>
    <w:p w14:paraId="6214BD23">
      <w:pPr>
        <w:spacing w:line="480" w:lineRule="exact"/>
        <w:outlineLvl w:val="1"/>
        <w:rPr>
          <w:b/>
          <w:color w:val="000000" w:themeColor="text1"/>
          <w:sz w:val="32"/>
        </w:rPr>
      </w:pPr>
      <w:bookmarkStart w:id="8" w:name="_Toc355609310"/>
      <w:r>
        <w:rPr>
          <w:rFonts w:hint="eastAsia"/>
          <w:b/>
          <w:color w:val="000000" w:themeColor="text1"/>
          <w:sz w:val="32"/>
        </w:rPr>
        <w:t>环境质量状况</w:t>
      </w:r>
      <w:bookmarkEnd w:id="8"/>
    </w:p>
    <w:tbl>
      <w:tblPr>
        <w:tblStyle w:val="19"/>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14:paraId="7C0B98D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504" w:type="dxa"/>
            <w:tcBorders>
              <w:top w:val="single" w:color="000000" w:sz="12" w:space="0"/>
              <w:bottom w:val="single" w:color="000000" w:sz="12" w:space="0"/>
            </w:tcBorders>
          </w:tcPr>
          <w:p w14:paraId="7C0A1618">
            <w:pPr>
              <w:spacing w:line="500" w:lineRule="exact"/>
              <w:rPr>
                <w:rFonts w:hint="eastAsia"/>
                <w:b/>
                <w:color w:val="000000" w:themeColor="text1"/>
                <w:sz w:val="28"/>
                <w:szCs w:val="28"/>
              </w:rPr>
            </w:pPr>
            <w:r>
              <w:rPr>
                <w:rFonts w:hint="eastAsia"/>
                <w:b/>
                <w:color w:val="000000" w:themeColor="text1"/>
                <w:sz w:val="28"/>
                <w:szCs w:val="28"/>
              </w:rPr>
              <w:t>建设项目所在地区域环境质量现状及主要环境问题（环境空气、地下水、声环境、生态环境等）：</w:t>
            </w:r>
          </w:p>
          <w:p w14:paraId="35C3AA5A">
            <w:pPr>
              <w:spacing w:line="360" w:lineRule="auto"/>
              <w:ind w:firstLine="480" w:firstLineChars="200"/>
              <w:rPr>
                <w:rFonts w:hint="eastAsia" w:ascii="Times New Roman" w:hAnsi="Times New Roman"/>
                <w:color w:val="000000" w:themeColor="text1"/>
                <w:sz w:val="24"/>
                <w:szCs w:val="24"/>
                <w:lang w:eastAsia="zh-CN"/>
              </w:rPr>
            </w:pPr>
            <w:r>
              <w:rPr>
                <w:rFonts w:hint="eastAsia" w:cs="宋体"/>
                <w:color w:val="000000" w:themeColor="text1"/>
                <w:sz w:val="24"/>
              </w:rPr>
              <w:t>根</w:t>
            </w:r>
            <w:r>
              <w:rPr>
                <w:rFonts w:hint="eastAsia" w:ascii="Times New Roman" w:hAnsi="Times New Roman"/>
                <w:color w:val="000000" w:themeColor="text1"/>
                <w:sz w:val="24"/>
                <w:szCs w:val="24"/>
                <w:lang w:eastAsia="zh-CN"/>
              </w:rPr>
              <w:t>据该项目的建设内容、地理位置、环境状况及功能性质，对大气环境、地下水环境、声环境质量现状、生态功能现状进行调查和评价。</w:t>
            </w:r>
          </w:p>
          <w:p w14:paraId="28DAA731">
            <w:pPr>
              <w:spacing w:line="360" w:lineRule="auto"/>
              <w:ind w:firstLine="480" w:firstLineChars="200"/>
              <w:rPr>
                <w:rFonts w:hint="eastAsia" w:ascii="Times New Roman" w:hAnsi="Times New Roman"/>
                <w:color w:val="000000" w:themeColor="text1"/>
                <w:sz w:val="24"/>
                <w:szCs w:val="24"/>
                <w:lang w:eastAsia="zh-CN"/>
              </w:rPr>
            </w:pPr>
            <w:r>
              <w:rPr>
                <w:rFonts w:hint="eastAsia" w:ascii="Times New Roman" w:hAnsi="Times New Roman"/>
                <w:color w:val="000000" w:themeColor="text1"/>
                <w:sz w:val="24"/>
                <w:szCs w:val="24"/>
                <w:lang w:eastAsia="zh-CN"/>
              </w:rPr>
              <w:t>本项目环境质量现状监测大气环境、地下水环境监测、声环境由新疆国泰民康职业环境检测评价有限责任公司进行监测。</w:t>
            </w:r>
          </w:p>
          <w:p w14:paraId="4533C165">
            <w:pPr>
              <w:numPr>
                <w:ilvl w:val="0"/>
                <w:numId w:val="2"/>
              </w:num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rPr>
              <w:t>大气环境质量现状</w:t>
            </w:r>
            <w:r>
              <w:rPr>
                <w:rFonts w:hint="eastAsia" w:ascii="Times New Roman" w:hAnsi="Times New Roman"/>
                <w:b/>
                <w:bCs/>
                <w:color w:val="000000" w:themeColor="text1"/>
                <w:sz w:val="24"/>
                <w:szCs w:val="24"/>
                <w:lang w:eastAsia="zh-CN"/>
              </w:rPr>
              <w:t>监测与评价</w:t>
            </w:r>
          </w:p>
          <w:p w14:paraId="29E50F9C">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本次大气环境质量现状数据</w:t>
            </w:r>
            <w:r>
              <w:rPr>
                <w:rFonts w:hint="eastAsia" w:ascii="Times New Roman" w:hAnsi="Times New Roman"/>
                <w:color w:val="000000" w:themeColor="text1"/>
                <w:sz w:val="24"/>
                <w:szCs w:val="24"/>
                <w:lang w:eastAsia="zh-CN"/>
              </w:rPr>
              <w:t>由新疆国泰民康职业环境检测评价有限责任公司</w:t>
            </w:r>
            <w:r>
              <w:rPr>
                <w:rFonts w:hint="eastAsia" w:ascii="Times New Roman" w:hAnsi="Times New Roman"/>
                <w:color w:val="000000" w:themeColor="text1"/>
                <w:sz w:val="24"/>
                <w:szCs w:val="24"/>
              </w:rPr>
              <w:t>于</w:t>
            </w:r>
            <w:r>
              <w:rPr>
                <w:rFonts w:hint="eastAsia" w:ascii="Times New Roman" w:hAnsi="Times New Roman"/>
                <w:color w:val="000000" w:themeColor="text1"/>
                <w:sz w:val="24"/>
                <w:szCs w:val="24"/>
                <w:lang w:val="en-US" w:eastAsia="zh-CN"/>
              </w:rPr>
              <w:t>2018年6月4日至6月10日监测。</w:t>
            </w:r>
            <w:r>
              <w:rPr>
                <w:rFonts w:hint="eastAsia" w:ascii="Times New Roman" w:hAnsi="Times New Roman"/>
                <w:color w:val="000000" w:themeColor="text1"/>
                <w:sz w:val="24"/>
                <w:szCs w:val="24"/>
                <w:lang w:eastAsia="zh-CN"/>
              </w:rPr>
              <w:t>监测点位位于项目区上风向</w:t>
            </w:r>
            <w:r>
              <w:rPr>
                <w:rFonts w:hint="eastAsia" w:ascii="Times New Roman" w:hAnsi="Times New Roman"/>
                <w:color w:val="000000" w:themeColor="text1"/>
                <w:sz w:val="24"/>
                <w:szCs w:val="24"/>
                <w:lang w:val="en-US" w:eastAsia="zh-CN"/>
              </w:rPr>
              <w:t>500m处</w:t>
            </w:r>
            <w:r>
              <w:rPr>
                <w:rFonts w:hint="eastAsia" w:ascii="Times New Roman" w:hAnsi="Times New Roman"/>
                <w:color w:val="000000" w:themeColor="text1"/>
                <w:sz w:val="24"/>
                <w:szCs w:val="24"/>
                <w:lang w:eastAsia="zh-CN"/>
              </w:rPr>
              <w:t>、项目区下风向</w:t>
            </w:r>
            <w:r>
              <w:rPr>
                <w:rFonts w:hint="eastAsia" w:ascii="Times New Roman" w:hAnsi="Times New Roman"/>
                <w:color w:val="000000" w:themeColor="text1"/>
                <w:sz w:val="24"/>
                <w:szCs w:val="24"/>
                <w:lang w:val="en-US" w:eastAsia="zh-CN"/>
              </w:rPr>
              <w:t>500m处</w:t>
            </w:r>
            <w:r>
              <w:rPr>
                <w:rFonts w:hint="eastAsia" w:ascii="Times New Roman" w:hAnsi="Times New Roman"/>
                <w:color w:val="000000" w:themeColor="text1"/>
                <w:sz w:val="24"/>
                <w:szCs w:val="24"/>
              </w:rPr>
              <w:t>，监测项目为</w:t>
            </w:r>
            <w:r>
              <w:rPr>
                <w:rFonts w:ascii="Times New Roman" w:hAnsi="Times New Roman"/>
                <w:bCs/>
                <w:color w:val="000000" w:themeColor="text1"/>
                <w:sz w:val="24"/>
                <w:szCs w:val="24"/>
              </w:rPr>
              <w:t>PM</w:t>
            </w:r>
            <w:r>
              <w:rPr>
                <w:rFonts w:hint="eastAsia" w:ascii="Times New Roman" w:hAnsi="Times New Roman"/>
                <w:bCs/>
                <w:color w:val="000000" w:themeColor="text1"/>
                <w:sz w:val="24"/>
                <w:szCs w:val="24"/>
                <w:vertAlign w:val="subscript"/>
                <w:lang w:val="en-US" w:eastAsia="zh-CN"/>
              </w:rPr>
              <w:t>2.5</w:t>
            </w:r>
            <w:r>
              <w:rPr>
                <w:rFonts w:hint="eastAsia" w:ascii="Times New Roman" w:hAnsi="Times New Roman"/>
                <w:color w:val="000000" w:themeColor="text1"/>
                <w:sz w:val="24"/>
                <w:szCs w:val="24"/>
              </w:rPr>
              <w:t>、</w:t>
            </w:r>
            <w:r>
              <w:rPr>
                <w:rFonts w:ascii="Times New Roman" w:hAnsi="Times New Roman"/>
                <w:color w:val="000000" w:themeColor="text1"/>
                <w:sz w:val="24"/>
                <w:szCs w:val="24"/>
              </w:rPr>
              <w:t>SO</w:t>
            </w:r>
            <w:r>
              <w:rPr>
                <w:rFonts w:ascii="Times New Roman" w:hAnsi="Times New Roman"/>
                <w:color w:val="000000" w:themeColor="text1"/>
                <w:sz w:val="24"/>
                <w:szCs w:val="24"/>
                <w:vertAlign w:val="subscript"/>
              </w:rPr>
              <w:t>2</w:t>
            </w:r>
            <w:r>
              <w:rPr>
                <w:rFonts w:hint="eastAsia" w:ascii="Times New Roman" w:hAnsi="Times New Roman"/>
                <w:color w:val="000000" w:themeColor="text1"/>
                <w:sz w:val="24"/>
                <w:szCs w:val="24"/>
              </w:rPr>
              <w:t>、</w:t>
            </w:r>
            <w:r>
              <w:rPr>
                <w:rFonts w:ascii="Times New Roman" w:hAnsi="Times New Roman"/>
                <w:color w:val="000000" w:themeColor="text1"/>
                <w:sz w:val="24"/>
                <w:szCs w:val="24"/>
              </w:rPr>
              <w:t>NO</w:t>
            </w:r>
            <w:r>
              <w:rPr>
                <w:rFonts w:ascii="Times New Roman" w:hAnsi="Times New Roman"/>
                <w:color w:val="000000" w:themeColor="text1"/>
                <w:sz w:val="24"/>
                <w:szCs w:val="24"/>
                <w:vertAlign w:val="subscript"/>
              </w:rPr>
              <w:t>2</w:t>
            </w:r>
            <w:r>
              <w:rPr>
                <w:rFonts w:hint="eastAsia" w:ascii="Times New Roman" w:hAnsi="Times New Roman"/>
                <w:color w:val="000000" w:themeColor="text1"/>
                <w:sz w:val="24"/>
                <w:szCs w:val="24"/>
                <w:vertAlign w:val="baseline"/>
                <w:lang w:eastAsia="zh-CN"/>
              </w:rPr>
              <w:t>、</w:t>
            </w:r>
            <w:r>
              <w:rPr>
                <w:rFonts w:hint="eastAsia" w:ascii="Times New Roman" w:hAnsi="Times New Roman"/>
                <w:color w:val="000000" w:themeColor="text1"/>
                <w:sz w:val="24"/>
                <w:szCs w:val="24"/>
                <w:vertAlign w:val="baseline"/>
                <w:lang w:val="en-US" w:eastAsia="zh-CN"/>
              </w:rPr>
              <w:t>甲烷、总烃。</w:t>
            </w:r>
          </w:p>
          <w:p w14:paraId="09CD5747">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1.1 </w:t>
            </w:r>
            <w:r>
              <w:rPr>
                <w:rFonts w:hint="eastAsia" w:ascii="Times New Roman" w:hAnsi="Times New Roman"/>
                <w:b/>
                <w:bCs/>
                <w:color w:val="000000" w:themeColor="text1"/>
                <w:sz w:val="24"/>
                <w:szCs w:val="24"/>
              </w:rPr>
              <w:t>监测项目及分析方法</w:t>
            </w:r>
          </w:p>
          <w:p w14:paraId="09C6CA63">
            <w:pPr>
              <w:spacing w:line="360" w:lineRule="auto"/>
              <w:ind w:left="91" w:leftChars="38" w:right="125" w:rightChars="52" w:firstLine="480"/>
              <w:rPr>
                <w:rFonts w:ascii="Times New Roman" w:hAnsi="Times New Roman"/>
                <w:color w:val="000000" w:themeColor="text1"/>
                <w:kern w:val="0"/>
                <w:sz w:val="24"/>
                <w:szCs w:val="24"/>
              </w:rPr>
            </w:pPr>
            <w:r>
              <w:rPr>
                <w:rFonts w:hint="eastAsia" w:ascii="Times New Roman" w:hAnsi="Times New Roman"/>
                <w:color w:val="000000" w:themeColor="text1"/>
                <w:kern w:val="0"/>
                <w:sz w:val="24"/>
                <w:szCs w:val="24"/>
              </w:rPr>
              <w:t>监测项目：</w:t>
            </w:r>
            <w:r>
              <w:rPr>
                <w:rFonts w:ascii="Times New Roman" w:hAnsi="Times New Roman"/>
                <w:color w:val="000000" w:themeColor="text1"/>
                <w:kern w:val="0"/>
                <w:sz w:val="24"/>
                <w:szCs w:val="24"/>
              </w:rPr>
              <w:t>SO</w:t>
            </w:r>
            <w:r>
              <w:rPr>
                <w:rFonts w:ascii="Times New Roman" w:hAnsi="Times New Roman"/>
                <w:color w:val="000000" w:themeColor="text1"/>
                <w:kern w:val="0"/>
                <w:sz w:val="24"/>
                <w:szCs w:val="24"/>
                <w:vertAlign w:val="subscript"/>
              </w:rPr>
              <w:t>2</w:t>
            </w:r>
            <w:r>
              <w:rPr>
                <w:rFonts w:hint="eastAsia" w:ascii="Times New Roman" w:hAnsi="Times New Roman"/>
                <w:color w:val="000000" w:themeColor="text1"/>
                <w:kern w:val="0"/>
                <w:sz w:val="24"/>
                <w:szCs w:val="24"/>
              </w:rPr>
              <w:t>、</w:t>
            </w:r>
            <w:r>
              <w:rPr>
                <w:rFonts w:ascii="Times New Roman" w:hAnsi="Times New Roman"/>
                <w:color w:val="000000" w:themeColor="text1"/>
                <w:kern w:val="0"/>
                <w:sz w:val="24"/>
                <w:szCs w:val="24"/>
              </w:rPr>
              <w:t>NO</w:t>
            </w:r>
            <w:r>
              <w:rPr>
                <w:rFonts w:ascii="Times New Roman" w:hAnsi="Times New Roman"/>
                <w:color w:val="000000" w:themeColor="text1"/>
                <w:kern w:val="0"/>
                <w:sz w:val="24"/>
                <w:szCs w:val="24"/>
                <w:vertAlign w:val="subscript"/>
              </w:rPr>
              <w:t>2</w:t>
            </w:r>
            <w:r>
              <w:rPr>
                <w:rFonts w:hint="eastAsia" w:ascii="Times New Roman" w:hAnsi="Times New Roman"/>
                <w:color w:val="000000" w:themeColor="text1"/>
                <w:kern w:val="0"/>
                <w:sz w:val="24"/>
                <w:szCs w:val="24"/>
              </w:rPr>
              <w:t>、</w:t>
            </w:r>
            <w:r>
              <w:rPr>
                <w:rFonts w:ascii="Times New Roman" w:hAnsi="Times New Roman"/>
                <w:color w:val="000000" w:themeColor="text1"/>
                <w:kern w:val="0"/>
                <w:sz w:val="24"/>
                <w:szCs w:val="24"/>
              </w:rPr>
              <w:t>PM</w:t>
            </w:r>
            <w:r>
              <w:rPr>
                <w:rFonts w:ascii="Times New Roman" w:hAnsi="Times New Roman"/>
                <w:color w:val="000000" w:themeColor="text1"/>
                <w:kern w:val="0"/>
                <w:sz w:val="24"/>
                <w:szCs w:val="24"/>
                <w:vertAlign w:val="subscript"/>
              </w:rPr>
              <w:t>10</w:t>
            </w:r>
            <w:r>
              <w:rPr>
                <w:rFonts w:hint="eastAsia" w:ascii="Times New Roman" w:hAnsi="Times New Roman"/>
                <w:color w:val="000000" w:themeColor="text1"/>
                <w:kern w:val="0"/>
                <w:sz w:val="24"/>
                <w:szCs w:val="24"/>
              </w:rPr>
              <w:t>、</w:t>
            </w:r>
            <w:r>
              <w:rPr>
                <w:rFonts w:ascii="Times New Roman" w:hAnsi="Times New Roman"/>
                <w:color w:val="000000" w:themeColor="text1"/>
                <w:kern w:val="0"/>
                <w:sz w:val="24"/>
                <w:szCs w:val="24"/>
              </w:rPr>
              <w:t>PM</w:t>
            </w:r>
            <w:r>
              <w:rPr>
                <w:rFonts w:hint="eastAsia" w:ascii="Times New Roman" w:hAnsi="Times New Roman"/>
                <w:color w:val="000000" w:themeColor="text1"/>
                <w:kern w:val="0"/>
                <w:sz w:val="24"/>
                <w:szCs w:val="24"/>
                <w:vertAlign w:val="subscript"/>
                <w:lang w:val="en-US" w:eastAsia="zh-CN"/>
              </w:rPr>
              <w:t>2.5</w:t>
            </w:r>
            <w:r>
              <w:rPr>
                <w:rFonts w:hint="eastAsia" w:ascii="Times New Roman" w:hAnsi="Times New Roman"/>
                <w:color w:val="000000" w:themeColor="text1"/>
                <w:kern w:val="0"/>
                <w:sz w:val="24"/>
                <w:szCs w:val="24"/>
              </w:rPr>
              <w:t>。</w:t>
            </w:r>
          </w:p>
          <w:p w14:paraId="20120F81">
            <w:pPr>
              <w:spacing w:line="360" w:lineRule="auto"/>
              <w:ind w:left="91" w:leftChars="38" w:right="125" w:rightChars="52" w:firstLine="480"/>
              <w:rPr>
                <w:rFonts w:ascii="Times New Roman" w:hAnsi="Times New Roman"/>
                <w:color w:val="000000" w:themeColor="text1"/>
                <w:kern w:val="0"/>
                <w:sz w:val="24"/>
                <w:szCs w:val="24"/>
              </w:rPr>
            </w:pPr>
            <w:r>
              <w:rPr>
                <w:rFonts w:hint="eastAsia" w:ascii="Times New Roman" w:hAnsi="Times New Roman"/>
                <w:color w:val="000000" w:themeColor="text1"/>
                <w:kern w:val="0"/>
                <w:sz w:val="24"/>
                <w:szCs w:val="24"/>
              </w:rPr>
              <w:t>分析方法：采样及样品分析均依据国家环保局颁布的《环境监测技术规范》（大气部分）和《空气和废气监测分析方法》中的规定进行，详见表</w:t>
            </w:r>
            <w:r>
              <w:rPr>
                <w:rFonts w:hint="eastAsia" w:ascii="Times New Roman" w:hAnsi="Times New Roman"/>
                <w:color w:val="000000" w:themeColor="text1"/>
                <w:kern w:val="0"/>
                <w:sz w:val="24"/>
                <w:szCs w:val="24"/>
                <w:lang w:val="en-US" w:eastAsia="zh-CN"/>
              </w:rPr>
              <w:t>15</w:t>
            </w:r>
            <w:r>
              <w:rPr>
                <w:rFonts w:hint="eastAsia" w:ascii="Times New Roman" w:hAnsi="Times New Roman"/>
                <w:color w:val="000000" w:themeColor="text1"/>
                <w:kern w:val="0"/>
                <w:sz w:val="24"/>
                <w:szCs w:val="24"/>
              </w:rPr>
              <w:t>。</w:t>
            </w:r>
          </w:p>
          <w:p w14:paraId="6C8F9115">
            <w:pPr>
              <w:spacing w:line="360" w:lineRule="auto"/>
              <w:ind w:firstLine="422" w:firstLineChars="200"/>
              <w:jc w:val="left"/>
              <w:rPr>
                <w:rFonts w:ascii="黑体" w:hAnsi="黑体" w:eastAsia="黑体" w:cs="黑体"/>
                <w:b/>
                <w:color w:val="000000" w:themeColor="text1"/>
                <w:sz w:val="21"/>
                <w:szCs w:val="21"/>
              </w:rPr>
            </w:pPr>
            <w:r>
              <w:rPr>
                <w:rFonts w:hint="eastAsia" w:ascii="黑体" w:hAnsi="黑体" w:eastAsia="黑体" w:cs="黑体"/>
                <w:b/>
                <w:color w:val="000000" w:themeColor="text1"/>
                <w:sz w:val="21"/>
                <w:szCs w:val="21"/>
              </w:rPr>
              <w:t>表</w:t>
            </w:r>
            <w:r>
              <w:rPr>
                <w:rFonts w:hint="eastAsia" w:ascii="黑体" w:hAnsi="黑体" w:eastAsia="黑体" w:cs="黑体"/>
                <w:b/>
                <w:color w:val="000000" w:themeColor="text1"/>
                <w:sz w:val="21"/>
                <w:szCs w:val="21"/>
                <w:lang w:val="en-US" w:eastAsia="zh-CN"/>
              </w:rPr>
              <w:t>15</w:t>
            </w:r>
            <w:r>
              <w:rPr>
                <w:rFonts w:ascii="黑体" w:hAnsi="黑体" w:eastAsia="黑体" w:cs="黑体"/>
                <w:b/>
                <w:color w:val="000000" w:themeColor="text1"/>
                <w:sz w:val="21"/>
                <w:szCs w:val="21"/>
              </w:rPr>
              <w:t xml:space="preserve">                     </w:t>
            </w:r>
            <w:r>
              <w:rPr>
                <w:rFonts w:hint="eastAsia" w:ascii="黑体" w:hAnsi="黑体" w:eastAsia="黑体" w:cs="黑体"/>
                <w:b/>
                <w:color w:val="000000" w:themeColor="text1"/>
                <w:sz w:val="21"/>
                <w:szCs w:val="21"/>
              </w:rPr>
              <w:t>大气监测采样及分析方法</w:t>
            </w:r>
          </w:p>
          <w:tbl>
            <w:tblPr>
              <w:tblStyle w:val="19"/>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2"/>
              <w:gridCol w:w="1065"/>
              <w:gridCol w:w="2190"/>
              <w:gridCol w:w="2610"/>
              <w:gridCol w:w="1633"/>
            </w:tblGrid>
            <w:tr w14:paraId="31168A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tcBorders>
                    <w:top w:val="single" w:color="auto" w:sz="12" w:space="0"/>
                    <w:left w:val="nil"/>
                    <w:bottom w:val="single" w:color="auto" w:sz="12" w:space="0"/>
                    <w:right w:val="single" w:color="auto" w:sz="4" w:space="0"/>
                  </w:tcBorders>
                  <w:vAlign w:val="center"/>
                </w:tcPr>
                <w:p w14:paraId="30100E52">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编号</w:t>
                  </w:r>
                </w:p>
              </w:tc>
              <w:tc>
                <w:tcPr>
                  <w:tcW w:w="1065" w:type="dxa"/>
                  <w:tcBorders>
                    <w:top w:val="single" w:color="auto" w:sz="12" w:space="0"/>
                    <w:left w:val="single" w:color="auto" w:sz="4" w:space="0"/>
                    <w:bottom w:val="single" w:color="auto" w:sz="12" w:space="0"/>
                    <w:right w:val="single" w:color="auto" w:sz="4" w:space="0"/>
                  </w:tcBorders>
                  <w:vAlign w:val="center"/>
                </w:tcPr>
                <w:p w14:paraId="70DCB329">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项目名称</w:t>
                  </w:r>
                </w:p>
              </w:tc>
              <w:tc>
                <w:tcPr>
                  <w:tcW w:w="2190" w:type="dxa"/>
                  <w:tcBorders>
                    <w:top w:val="single" w:color="auto" w:sz="12" w:space="0"/>
                    <w:left w:val="single" w:color="auto" w:sz="4" w:space="0"/>
                    <w:bottom w:val="single" w:color="auto" w:sz="12" w:space="0"/>
                    <w:right w:val="single" w:color="auto" w:sz="4" w:space="0"/>
                  </w:tcBorders>
                  <w:vAlign w:val="center"/>
                </w:tcPr>
                <w:p w14:paraId="33B7D09C">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采样吸收方法</w:t>
                  </w:r>
                </w:p>
              </w:tc>
              <w:tc>
                <w:tcPr>
                  <w:tcW w:w="2610" w:type="dxa"/>
                  <w:tcBorders>
                    <w:top w:val="single" w:color="auto" w:sz="12" w:space="0"/>
                    <w:left w:val="single" w:color="auto" w:sz="4" w:space="0"/>
                    <w:bottom w:val="single" w:color="auto" w:sz="12" w:space="0"/>
                    <w:right w:val="single" w:color="auto" w:sz="4" w:space="0"/>
                  </w:tcBorders>
                  <w:vAlign w:val="center"/>
                </w:tcPr>
                <w:p w14:paraId="0E09CE4B">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分析方法</w:t>
                  </w:r>
                </w:p>
              </w:tc>
              <w:tc>
                <w:tcPr>
                  <w:tcW w:w="1633" w:type="dxa"/>
                  <w:tcBorders>
                    <w:top w:val="single" w:color="auto" w:sz="12" w:space="0"/>
                    <w:left w:val="single" w:color="auto" w:sz="4" w:space="0"/>
                    <w:bottom w:val="single" w:color="auto" w:sz="12" w:space="0"/>
                    <w:right w:val="nil"/>
                  </w:tcBorders>
                  <w:vAlign w:val="center"/>
                </w:tcPr>
                <w:p w14:paraId="73C57CD9">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最低检出浓度（</w:t>
                  </w:r>
                  <w:r>
                    <w:rPr>
                      <w:rFonts w:ascii="Times New Roman" w:hAnsi="Times New Roman"/>
                      <w:b/>
                      <w:color w:val="000000" w:themeColor="text1"/>
                      <w:sz w:val="21"/>
                      <w:szCs w:val="21"/>
                    </w:rPr>
                    <w:t>mg/m</w:t>
                  </w:r>
                  <w:r>
                    <w:rPr>
                      <w:rFonts w:ascii="Times New Roman" w:hAnsi="Times New Roman"/>
                      <w:b/>
                      <w:color w:val="000000" w:themeColor="text1"/>
                      <w:sz w:val="21"/>
                      <w:szCs w:val="21"/>
                      <w:vertAlign w:val="superscript"/>
                    </w:rPr>
                    <w:t>3</w:t>
                  </w:r>
                  <w:r>
                    <w:rPr>
                      <w:rFonts w:hint="eastAsia" w:ascii="Times New Roman" w:hAnsi="Times New Roman"/>
                      <w:b/>
                      <w:color w:val="000000" w:themeColor="text1"/>
                      <w:sz w:val="21"/>
                      <w:szCs w:val="21"/>
                    </w:rPr>
                    <w:t>）</w:t>
                  </w:r>
                </w:p>
              </w:tc>
            </w:tr>
            <w:tr w14:paraId="21BBD3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tcBorders>
                    <w:top w:val="single" w:color="auto" w:sz="12" w:space="0"/>
                    <w:left w:val="nil"/>
                    <w:bottom w:val="single" w:color="auto" w:sz="4" w:space="0"/>
                    <w:right w:val="single" w:color="auto" w:sz="4" w:space="0"/>
                  </w:tcBorders>
                  <w:vAlign w:val="center"/>
                </w:tcPr>
                <w:p w14:paraId="051177EB">
                  <w:pPr>
                    <w:jc w:val="center"/>
                    <w:rPr>
                      <w:rFonts w:ascii="Times New Roman" w:hAnsi="Times New Roman"/>
                      <w:color w:val="000000" w:themeColor="text1"/>
                      <w:sz w:val="21"/>
                      <w:szCs w:val="21"/>
                    </w:rPr>
                  </w:pPr>
                  <w:r>
                    <w:rPr>
                      <w:rFonts w:ascii="Times New Roman" w:hAnsi="Times New Roman"/>
                      <w:color w:val="000000" w:themeColor="text1"/>
                      <w:sz w:val="21"/>
                      <w:szCs w:val="21"/>
                    </w:rPr>
                    <w:t>1</w:t>
                  </w:r>
                </w:p>
              </w:tc>
              <w:tc>
                <w:tcPr>
                  <w:tcW w:w="1065" w:type="dxa"/>
                  <w:tcBorders>
                    <w:top w:val="single" w:color="auto" w:sz="12" w:space="0"/>
                    <w:left w:val="single" w:color="auto" w:sz="4" w:space="0"/>
                    <w:bottom w:val="single" w:color="auto" w:sz="4" w:space="0"/>
                    <w:right w:val="single" w:color="auto" w:sz="4" w:space="0"/>
                  </w:tcBorders>
                  <w:vAlign w:val="center"/>
                </w:tcPr>
                <w:p w14:paraId="4FA6ECD0">
                  <w:pPr>
                    <w:jc w:val="center"/>
                    <w:rPr>
                      <w:rFonts w:ascii="Times New Roman" w:hAnsi="Times New Roman"/>
                      <w:color w:val="000000" w:themeColor="text1"/>
                      <w:sz w:val="21"/>
                      <w:szCs w:val="21"/>
                    </w:rPr>
                  </w:pPr>
                  <w:r>
                    <w:rPr>
                      <w:rFonts w:ascii="Times New Roman" w:hAnsi="Times New Roman"/>
                      <w:color w:val="000000" w:themeColor="text1"/>
                      <w:sz w:val="21"/>
                      <w:szCs w:val="21"/>
                    </w:rPr>
                    <w:t>SO</w:t>
                  </w:r>
                  <w:r>
                    <w:rPr>
                      <w:rFonts w:ascii="Times New Roman" w:hAnsi="Times New Roman"/>
                      <w:color w:val="000000" w:themeColor="text1"/>
                      <w:sz w:val="21"/>
                      <w:szCs w:val="21"/>
                      <w:vertAlign w:val="subscript"/>
                    </w:rPr>
                    <w:t>2</w:t>
                  </w:r>
                </w:p>
              </w:tc>
              <w:tc>
                <w:tcPr>
                  <w:tcW w:w="2190" w:type="dxa"/>
                  <w:tcBorders>
                    <w:top w:val="single" w:color="auto" w:sz="12" w:space="0"/>
                    <w:left w:val="single" w:color="auto" w:sz="4" w:space="0"/>
                    <w:bottom w:val="single" w:color="auto" w:sz="4" w:space="0"/>
                    <w:right w:val="single" w:color="auto" w:sz="4" w:space="0"/>
                  </w:tcBorders>
                  <w:vAlign w:val="center"/>
                </w:tcPr>
                <w:p w14:paraId="2D03430D">
                  <w:pPr>
                    <w:jc w:val="center"/>
                    <w:rPr>
                      <w:rFonts w:ascii="Times New Roman" w:hAnsi="Times New Roman"/>
                      <w:color w:val="000000" w:themeColor="text1"/>
                      <w:sz w:val="21"/>
                      <w:szCs w:val="21"/>
                    </w:rPr>
                  </w:pPr>
                  <w:r>
                    <w:rPr>
                      <w:rFonts w:ascii="Times New Roman" w:hAnsi="Times New Roman"/>
                      <w:color w:val="000000" w:themeColor="text1"/>
                      <w:sz w:val="21"/>
                      <w:szCs w:val="21"/>
                    </w:rPr>
                    <w:t>24</w:t>
                  </w:r>
                  <w:r>
                    <w:rPr>
                      <w:rFonts w:hint="eastAsia" w:ascii="Times New Roman" w:hAnsi="Times New Roman"/>
                      <w:color w:val="000000" w:themeColor="text1"/>
                      <w:sz w:val="21"/>
                      <w:szCs w:val="21"/>
                    </w:rPr>
                    <w:t>小时自动连续监测</w:t>
                  </w:r>
                </w:p>
              </w:tc>
              <w:tc>
                <w:tcPr>
                  <w:tcW w:w="2610" w:type="dxa"/>
                  <w:tcBorders>
                    <w:top w:val="single" w:color="auto" w:sz="12" w:space="0"/>
                    <w:left w:val="single" w:color="auto" w:sz="4" w:space="0"/>
                    <w:bottom w:val="single" w:color="auto" w:sz="4" w:space="0"/>
                    <w:right w:val="single" w:color="auto" w:sz="4" w:space="0"/>
                  </w:tcBorders>
                  <w:vAlign w:val="center"/>
                </w:tcPr>
                <w:p w14:paraId="08E52255">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甲醛缓冲溶液吸收</w:t>
                  </w:r>
                  <w:r>
                    <w:rPr>
                      <w:rFonts w:ascii="Times New Roman" w:hAnsi="Times New Roman"/>
                      <w:color w:val="000000" w:themeColor="text1"/>
                      <w:sz w:val="21"/>
                      <w:szCs w:val="21"/>
                    </w:rPr>
                    <w:t>-</w:t>
                  </w:r>
                  <w:r>
                    <w:rPr>
                      <w:rFonts w:hint="eastAsia" w:ascii="Times New Roman" w:hAnsi="Times New Roman"/>
                      <w:color w:val="000000" w:themeColor="text1"/>
                      <w:sz w:val="21"/>
                      <w:szCs w:val="21"/>
                    </w:rPr>
                    <w:t>盐酸副玫瑰苯胺分光光度法</w:t>
                  </w:r>
                </w:p>
              </w:tc>
              <w:tc>
                <w:tcPr>
                  <w:tcW w:w="1633" w:type="dxa"/>
                  <w:tcBorders>
                    <w:top w:val="single" w:color="auto" w:sz="12" w:space="0"/>
                    <w:left w:val="single" w:color="auto" w:sz="4" w:space="0"/>
                    <w:bottom w:val="single" w:color="auto" w:sz="4" w:space="0"/>
                    <w:right w:val="nil"/>
                  </w:tcBorders>
                  <w:vAlign w:val="center"/>
                </w:tcPr>
                <w:p w14:paraId="04CD8FD8">
                  <w:pPr>
                    <w:jc w:val="center"/>
                    <w:rPr>
                      <w:rFonts w:ascii="Times New Roman" w:hAnsi="Times New Roman"/>
                      <w:color w:val="000000" w:themeColor="text1"/>
                      <w:sz w:val="21"/>
                      <w:szCs w:val="21"/>
                    </w:rPr>
                  </w:pPr>
                  <w:r>
                    <w:rPr>
                      <w:rFonts w:ascii="Times New Roman" w:hAnsi="Times New Roman"/>
                      <w:color w:val="000000" w:themeColor="text1"/>
                      <w:sz w:val="21"/>
                      <w:szCs w:val="21"/>
                    </w:rPr>
                    <w:t>0.00</w:t>
                  </w:r>
                  <w:r>
                    <w:rPr>
                      <w:rFonts w:hint="eastAsia" w:ascii="Times New Roman" w:hAnsi="Times New Roman"/>
                      <w:color w:val="000000" w:themeColor="text1"/>
                      <w:sz w:val="21"/>
                      <w:szCs w:val="21"/>
                      <w:lang w:val="en-US" w:eastAsia="zh-CN"/>
                    </w:rPr>
                    <w:t>4</w:t>
                  </w:r>
                </w:p>
              </w:tc>
            </w:tr>
            <w:tr w14:paraId="27B4D0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tcBorders>
                    <w:top w:val="single" w:color="auto" w:sz="4" w:space="0"/>
                    <w:left w:val="nil"/>
                    <w:bottom w:val="single" w:color="auto" w:sz="4" w:space="0"/>
                    <w:right w:val="single" w:color="auto" w:sz="4" w:space="0"/>
                  </w:tcBorders>
                  <w:vAlign w:val="center"/>
                </w:tcPr>
                <w:p w14:paraId="7B16F877">
                  <w:pPr>
                    <w:jc w:val="center"/>
                    <w:rPr>
                      <w:rFonts w:ascii="Times New Roman" w:hAnsi="Times New Roman"/>
                      <w:color w:val="000000" w:themeColor="text1"/>
                      <w:sz w:val="21"/>
                      <w:szCs w:val="21"/>
                    </w:rPr>
                  </w:pPr>
                  <w:r>
                    <w:rPr>
                      <w:rFonts w:ascii="Times New Roman" w:hAnsi="Times New Roman"/>
                      <w:color w:val="000000" w:themeColor="text1"/>
                      <w:sz w:val="21"/>
                      <w:szCs w:val="21"/>
                    </w:rPr>
                    <w:t>2</w:t>
                  </w:r>
                </w:p>
              </w:tc>
              <w:tc>
                <w:tcPr>
                  <w:tcW w:w="1065" w:type="dxa"/>
                  <w:tcBorders>
                    <w:top w:val="single" w:color="auto" w:sz="4" w:space="0"/>
                    <w:left w:val="single" w:color="auto" w:sz="4" w:space="0"/>
                    <w:bottom w:val="single" w:color="auto" w:sz="4" w:space="0"/>
                    <w:right w:val="single" w:color="auto" w:sz="4" w:space="0"/>
                  </w:tcBorders>
                  <w:vAlign w:val="center"/>
                </w:tcPr>
                <w:p w14:paraId="66045968">
                  <w:pPr>
                    <w:jc w:val="center"/>
                    <w:rPr>
                      <w:rFonts w:ascii="Times New Roman" w:hAnsi="Times New Roman"/>
                      <w:color w:val="000000" w:themeColor="text1"/>
                      <w:sz w:val="21"/>
                      <w:szCs w:val="21"/>
                    </w:rPr>
                  </w:pPr>
                  <w:r>
                    <w:rPr>
                      <w:rFonts w:ascii="Times New Roman" w:hAnsi="Times New Roman"/>
                      <w:color w:val="000000" w:themeColor="text1"/>
                      <w:sz w:val="21"/>
                      <w:szCs w:val="21"/>
                    </w:rPr>
                    <w:t>NO</w:t>
                  </w:r>
                  <w:r>
                    <w:rPr>
                      <w:rFonts w:ascii="Times New Roman" w:hAnsi="Times New Roman"/>
                      <w:color w:val="000000" w:themeColor="text1"/>
                      <w:sz w:val="21"/>
                      <w:szCs w:val="21"/>
                      <w:vertAlign w:val="subscript"/>
                    </w:rPr>
                    <w:t>2</w:t>
                  </w:r>
                </w:p>
              </w:tc>
              <w:tc>
                <w:tcPr>
                  <w:tcW w:w="2190" w:type="dxa"/>
                  <w:tcBorders>
                    <w:top w:val="single" w:color="auto" w:sz="4" w:space="0"/>
                    <w:left w:val="single" w:color="auto" w:sz="4" w:space="0"/>
                    <w:bottom w:val="single" w:color="auto" w:sz="4" w:space="0"/>
                    <w:right w:val="single" w:color="auto" w:sz="4" w:space="0"/>
                  </w:tcBorders>
                  <w:vAlign w:val="center"/>
                </w:tcPr>
                <w:p w14:paraId="4D0DC1C2">
                  <w:pPr>
                    <w:jc w:val="center"/>
                    <w:rPr>
                      <w:rFonts w:ascii="Times New Roman" w:hAnsi="Times New Roman"/>
                      <w:color w:val="000000" w:themeColor="text1"/>
                      <w:sz w:val="21"/>
                      <w:szCs w:val="21"/>
                    </w:rPr>
                  </w:pPr>
                  <w:r>
                    <w:rPr>
                      <w:rFonts w:ascii="Times New Roman" w:hAnsi="Times New Roman"/>
                      <w:color w:val="000000" w:themeColor="text1"/>
                      <w:sz w:val="21"/>
                      <w:szCs w:val="21"/>
                    </w:rPr>
                    <w:t>24</w:t>
                  </w:r>
                  <w:r>
                    <w:rPr>
                      <w:rFonts w:hint="eastAsia" w:ascii="Times New Roman" w:hAnsi="Times New Roman"/>
                      <w:color w:val="000000" w:themeColor="text1"/>
                      <w:sz w:val="21"/>
                      <w:szCs w:val="21"/>
                    </w:rPr>
                    <w:t>小时自动连续监测</w:t>
                  </w:r>
                </w:p>
              </w:tc>
              <w:tc>
                <w:tcPr>
                  <w:tcW w:w="2610" w:type="dxa"/>
                  <w:tcBorders>
                    <w:top w:val="single" w:color="auto" w:sz="4" w:space="0"/>
                    <w:left w:val="single" w:color="auto" w:sz="4" w:space="0"/>
                    <w:bottom w:val="single" w:color="auto" w:sz="4" w:space="0"/>
                    <w:right w:val="single" w:color="auto" w:sz="4" w:space="0"/>
                  </w:tcBorders>
                  <w:vAlign w:val="center"/>
                </w:tcPr>
                <w:p w14:paraId="124CF84E">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盐酸萘乙二胺分光光度法</w:t>
                  </w:r>
                </w:p>
              </w:tc>
              <w:tc>
                <w:tcPr>
                  <w:tcW w:w="1633" w:type="dxa"/>
                  <w:tcBorders>
                    <w:top w:val="single" w:color="auto" w:sz="4" w:space="0"/>
                    <w:left w:val="single" w:color="auto" w:sz="4" w:space="0"/>
                    <w:bottom w:val="single" w:color="auto" w:sz="4" w:space="0"/>
                    <w:right w:val="nil"/>
                  </w:tcBorders>
                  <w:vAlign w:val="center"/>
                </w:tcPr>
                <w:p w14:paraId="60371820">
                  <w:pPr>
                    <w:jc w:val="center"/>
                    <w:rPr>
                      <w:rFonts w:ascii="Times New Roman" w:hAnsi="Times New Roman"/>
                      <w:color w:val="000000" w:themeColor="text1"/>
                      <w:sz w:val="21"/>
                      <w:szCs w:val="21"/>
                    </w:rPr>
                  </w:pPr>
                  <w:r>
                    <w:rPr>
                      <w:rFonts w:ascii="Times New Roman" w:hAnsi="Times New Roman"/>
                      <w:color w:val="000000" w:themeColor="text1"/>
                      <w:sz w:val="21"/>
                      <w:szCs w:val="21"/>
                    </w:rPr>
                    <w:t>0.00</w:t>
                  </w:r>
                  <w:r>
                    <w:rPr>
                      <w:rFonts w:hint="eastAsia" w:ascii="Times New Roman" w:hAnsi="Times New Roman"/>
                      <w:color w:val="000000" w:themeColor="text1"/>
                      <w:sz w:val="21"/>
                      <w:szCs w:val="21"/>
                      <w:lang w:val="en-US" w:eastAsia="zh-CN"/>
                    </w:rPr>
                    <w:t>3</w:t>
                  </w:r>
                </w:p>
              </w:tc>
            </w:tr>
            <w:tr w14:paraId="043E62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tcBorders>
                    <w:top w:val="single" w:color="auto" w:sz="4" w:space="0"/>
                    <w:left w:val="nil"/>
                    <w:bottom w:val="single" w:color="auto" w:sz="4" w:space="0"/>
                    <w:right w:val="single" w:color="auto" w:sz="4" w:space="0"/>
                  </w:tcBorders>
                  <w:vAlign w:val="center"/>
                </w:tcPr>
                <w:p w14:paraId="4DF59E09">
                  <w:pPr>
                    <w:jc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3</w:t>
                  </w:r>
                </w:p>
              </w:tc>
              <w:tc>
                <w:tcPr>
                  <w:tcW w:w="1065" w:type="dxa"/>
                  <w:tcBorders>
                    <w:top w:val="single" w:color="auto" w:sz="4" w:space="0"/>
                    <w:left w:val="single" w:color="auto" w:sz="4" w:space="0"/>
                    <w:bottom w:val="single" w:color="auto" w:sz="4" w:space="0"/>
                    <w:right w:val="single" w:color="auto" w:sz="4" w:space="0"/>
                  </w:tcBorders>
                  <w:vAlign w:val="center"/>
                </w:tcPr>
                <w:p w14:paraId="6C93B587">
                  <w:pPr>
                    <w:jc w:val="center"/>
                    <w:rPr>
                      <w:rFonts w:hint="eastAsia" w:ascii="Times New Roman" w:hAnsi="Times New Roman" w:eastAsia="宋体"/>
                      <w:color w:val="000000" w:themeColor="text1"/>
                      <w:kern w:val="0"/>
                      <w:sz w:val="21"/>
                      <w:szCs w:val="21"/>
                      <w:lang w:val="en-US" w:eastAsia="zh-CN"/>
                    </w:rPr>
                  </w:pPr>
                  <w:r>
                    <w:rPr>
                      <w:rFonts w:hint="eastAsia" w:ascii="Times New Roman" w:hAnsi="Times New Roman"/>
                      <w:color w:val="000000" w:themeColor="text1"/>
                      <w:kern w:val="0"/>
                      <w:sz w:val="21"/>
                      <w:szCs w:val="21"/>
                      <w:lang w:val="en-US" w:eastAsia="zh-CN"/>
                    </w:rPr>
                    <w:t>PM</w:t>
                  </w:r>
                  <w:r>
                    <w:rPr>
                      <w:rFonts w:hint="eastAsia" w:ascii="Times New Roman" w:hAnsi="Times New Roman"/>
                      <w:color w:val="000000" w:themeColor="text1"/>
                      <w:kern w:val="0"/>
                      <w:sz w:val="21"/>
                      <w:szCs w:val="21"/>
                      <w:vertAlign w:val="subscript"/>
                      <w:lang w:val="en-US" w:eastAsia="zh-CN"/>
                    </w:rPr>
                    <w:t>2.5</w:t>
                  </w:r>
                </w:p>
              </w:tc>
              <w:tc>
                <w:tcPr>
                  <w:tcW w:w="2190" w:type="dxa"/>
                  <w:tcBorders>
                    <w:top w:val="single" w:color="auto" w:sz="4" w:space="0"/>
                    <w:left w:val="single" w:color="auto" w:sz="4" w:space="0"/>
                    <w:bottom w:val="single" w:color="auto" w:sz="4" w:space="0"/>
                    <w:right w:val="single" w:color="auto" w:sz="4" w:space="0"/>
                  </w:tcBorders>
                  <w:vAlign w:val="center"/>
                </w:tcPr>
                <w:p w14:paraId="5A6BB04F">
                  <w:pPr>
                    <w:jc w:val="center"/>
                    <w:rPr>
                      <w:rFonts w:ascii="Times New Roman" w:hAnsi="Times New Roman"/>
                      <w:color w:val="000000" w:themeColor="text1"/>
                      <w:sz w:val="21"/>
                      <w:szCs w:val="21"/>
                    </w:rPr>
                  </w:pPr>
                  <w:r>
                    <w:rPr>
                      <w:rFonts w:ascii="Times New Roman" w:hAnsi="Times New Roman"/>
                      <w:color w:val="000000" w:themeColor="text1"/>
                      <w:sz w:val="21"/>
                      <w:szCs w:val="21"/>
                    </w:rPr>
                    <w:t>24</w:t>
                  </w:r>
                  <w:r>
                    <w:rPr>
                      <w:rFonts w:hint="eastAsia" w:ascii="Times New Roman" w:hAnsi="Times New Roman"/>
                      <w:color w:val="000000" w:themeColor="text1"/>
                      <w:sz w:val="21"/>
                      <w:szCs w:val="21"/>
                    </w:rPr>
                    <w:t>小时自动连续监测</w:t>
                  </w:r>
                </w:p>
              </w:tc>
              <w:tc>
                <w:tcPr>
                  <w:tcW w:w="2610" w:type="dxa"/>
                  <w:tcBorders>
                    <w:top w:val="single" w:color="auto" w:sz="4" w:space="0"/>
                    <w:left w:val="single" w:color="auto" w:sz="4" w:space="0"/>
                    <w:bottom w:val="single" w:color="auto" w:sz="4" w:space="0"/>
                    <w:right w:val="single" w:color="auto" w:sz="4" w:space="0"/>
                  </w:tcBorders>
                  <w:vAlign w:val="center"/>
                </w:tcPr>
                <w:p w14:paraId="1F543292">
                  <w:pPr>
                    <w:jc w:val="center"/>
                    <w:rPr>
                      <w:rFonts w:hint="eastAsia" w:ascii="Times New Roman" w:hAnsi="Times New Roman"/>
                      <w:color w:val="000000" w:themeColor="text1"/>
                      <w:sz w:val="21"/>
                      <w:szCs w:val="21"/>
                    </w:rPr>
                  </w:pPr>
                  <w:r>
                    <w:rPr>
                      <w:rFonts w:hint="eastAsia" w:ascii="Times New Roman" w:hAnsi="Times New Roman"/>
                      <w:color w:val="000000" w:themeColor="text1"/>
                      <w:sz w:val="21"/>
                      <w:szCs w:val="21"/>
                    </w:rPr>
                    <w:t>重量法</w:t>
                  </w:r>
                </w:p>
              </w:tc>
              <w:tc>
                <w:tcPr>
                  <w:tcW w:w="1633" w:type="dxa"/>
                  <w:tcBorders>
                    <w:top w:val="single" w:color="auto" w:sz="4" w:space="0"/>
                    <w:left w:val="single" w:color="auto" w:sz="4" w:space="0"/>
                    <w:bottom w:val="single" w:color="auto" w:sz="4" w:space="0"/>
                    <w:right w:val="nil"/>
                  </w:tcBorders>
                  <w:vAlign w:val="center"/>
                </w:tcPr>
                <w:p w14:paraId="73D304CF">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0.010</w:t>
                  </w:r>
                </w:p>
              </w:tc>
            </w:tr>
            <w:tr w14:paraId="6A366A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tcBorders>
                    <w:top w:val="single" w:color="auto" w:sz="4" w:space="0"/>
                    <w:left w:val="nil"/>
                    <w:bottom w:val="single" w:color="auto" w:sz="4" w:space="0"/>
                    <w:right w:val="single" w:color="auto" w:sz="4" w:space="0"/>
                  </w:tcBorders>
                  <w:vAlign w:val="center"/>
                </w:tcPr>
                <w:p w14:paraId="1598092D">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w:t>
                  </w:r>
                </w:p>
              </w:tc>
              <w:tc>
                <w:tcPr>
                  <w:tcW w:w="1065" w:type="dxa"/>
                  <w:tcBorders>
                    <w:top w:val="single" w:color="auto" w:sz="4" w:space="0"/>
                    <w:left w:val="single" w:color="auto" w:sz="4" w:space="0"/>
                    <w:bottom w:val="single" w:color="auto" w:sz="4" w:space="0"/>
                    <w:right w:val="single" w:color="auto" w:sz="4" w:space="0"/>
                  </w:tcBorders>
                  <w:vAlign w:val="center"/>
                </w:tcPr>
                <w:p w14:paraId="58AAEEAE">
                  <w:pPr>
                    <w:jc w:val="center"/>
                    <w:rPr>
                      <w:rFonts w:hint="eastAsia" w:ascii="Times New Roman" w:hAnsi="Times New Roman"/>
                      <w:color w:val="000000" w:themeColor="text1"/>
                      <w:kern w:val="0"/>
                      <w:sz w:val="21"/>
                      <w:szCs w:val="21"/>
                      <w:lang w:val="en-US" w:eastAsia="zh-CN"/>
                    </w:rPr>
                  </w:pPr>
                  <w:r>
                    <w:rPr>
                      <w:rFonts w:hint="eastAsia" w:ascii="Times New Roman" w:hAnsi="Times New Roman"/>
                      <w:color w:val="000000" w:themeColor="text1"/>
                      <w:kern w:val="0"/>
                      <w:sz w:val="21"/>
                      <w:szCs w:val="21"/>
                      <w:lang w:val="en-US" w:eastAsia="zh-CN"/>
                    </w:rPr>
                    <w:t>甲烷</w:t>
                  </w:r>
                </w:p>
              </w:tc>
              <w:tc>
                <w:tcPr>
                  <w:tcW w:w="2190" w:type="dxa"/>
                  <w:tcBorders>
                    <w:top w:val="single" w:color="auto" w:sz="4" w:space="0"/>
                    <w:left w:val="single" w:color="auto" w:sz="4" w:space="0"/>
                    <w:bottom w:val="single" w:color="auto" w:sz="4" w:space="0"/>
                    <w:right w:val="single" w:color="auto" w:sz="4" w:space="0"/>
                  </w:tcBorders>
                  <w:vAlign w:val="center"/>
                </w:tcPr>
                <w:p w14:paraId="6BF7EF71">
                  <w:pPr>
                    <w:jc w:val="center"/>
                    <w:rPr>
                      <w:rFonts w:ascii="Times New Roman" w:hAnsi="Times New Roman"/>
                      <w:color w:val="000000" w:themeColor="text1"/>
                      <w:sz w:val="21"/>
                      <w:szCs w:val="21"/>
                    </w:rPr>
                  </w:pPr>
                  <w:r>
                    <w:rPr>
                      <w:rFonts w:ascii="Times New Roman" w:hAnsi="Times New Roman"/>
                      <w:color w:val="000000" w:themeColor="text1"/>
                      <w:sz w:val="21"/>
                      <w:szCs w:val="21"/>
                    </w:rPr>
                    <w:t>24</w:t>
                  </w:r>
                  <w:r>
                    <w:rPr>
                      <w:rFonts w:hint="eastAsia" w:ascii="Times New Roman" w:hAnsi="Times New Roman"/>
                      <w:color w:val="000000" w:themeColor="text1"/>
                      <w:sz w:val="21"/>
                      <w:szCs w:val="21"/>
                    </w:rPr>
                    <w:t>小时自动连续监测</w:t>
                  </w:r>
                </w:p>
              </w:tc>
              <w:tc>
                <w:tcPr>
                  <w:tcW w:w="2610" w:type="dxa"/>
                  <w:tcBorders>
                    <w:top w:val="single" w:color="auto" w:sz="4" w:space="0"/>
                    <w:left w:val="single" w:color="auto" w:sz="4" w:space="0"/>
                    <w:bottom w:val="single" w:color="auto" w:sz="4" w:space="0"/>
                    <w:right w:val="single" w:color="auto" w:sz="4" w:space="0"/>
                  </w:tcBorders>
                  <w:vAlign w:val="center"/>
                </w:tcPr>
                <w:p w14:paraId="648E79FF">
                  <w:pPr>
                    <w:jc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气相色谱法</w:t>
                  </w:r>
                </w:p>
              </w:tc>
              <w:tc>
                <w:tcPr>
                  <w:tcW w:w="1633" w:type="dxa"/>
                  <w:tcBorders>
                    <w:top w:val="single" w:color="auto" w:sz="4" w:space="0"/>
                    <w:left w:val="single" w:color="auto" w:sz="4" w:space="0"/>
                    <w:bottom w:val="single" w:color="auto" w:sz="4" w:space="0"/>
                    <w:right w:val="nil"/>
                  </w:tcBorders>
                  <w:vAlign w:val="center"/>
                </w:tcPr>
                <w:p w14:paraId="68B688FE">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0.06</w:t>
                  </w:r>
                </w:p>
              </w:tc>
            </w:tr>
            <w:tr w14:paraId="1B5C0C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22" w:type="dxa"/>
                  <w:tcBorders>
                    <w:top w:val="single" w:color="auto" w:sz="4" w:space="0"/>
                    <w:left w:val="nil"/>
                    <w:bottom w:val="single" w:color="auto" w:sz="12" w:space="0"/>
                    <w:right w:val="single" w:color="auto" w:sz="4" w:space="0"/>
                  </w:tcBorders>
                  <w:vAlign w:val="center"/>
                </w:tcPr>
                <w:p w14:paraId="4B5B9C13">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5</w:t>
                  </w:r>
                </w:p>
              </w:tc>
              <w:tc>
                <w:tcPr>
                  <w:tcW w:w="1065" w:type="dxa"/>
                  <w:tcBorders>
                    <w:top w:val="single" w:color="auto" w:sz="4" w:space="0"/>
                    <w:left w:val="single" w:color="auto" w:sz="4" w:space="0"/>
                    <w:bottom w:val="single" w:color="auto" w:sz="12" w:space="0"/>
                    <w:right w:val="single" w:color="auto" w:sz="4" w:space="0"/>
                  </w:tcBorders>
                  <w:vAlign w:val="center"/>
                </w:tcPr>
                <w:p w14:paraId="0A9DAD6A">
                  <w:pPr>
                    <w:jc w:val="center"/>
                    <w:rPr>
                      <w:rFonts w:hint="eastAsia" w:ascii="Times New Roman" w:hAnsi="Times New Roman"/>
                      <w:color w:val="000000" w:themeColor="text1"/>
                      <w:kern w:val="0"/>
                      <w:sz w:val="21"/>
                      <w:szCs w:val="21"/>
                      <w:lang w:val="en-US" w:eastAsia="zh-CN"/>
                    </w:rPr>
                  </w:pPr>
                  <w:r>
                    <w:rPr>
                      <w:rFonts w:hint="eastAsia" w:ascii="Times New Roman" w:hAnsi="Times New Roman"/>
                      <w:color w:val="000000" w:themeColor="text1"/>
                      <w:kern w:val="0"/>
                      <w:sz w:val="21"/>
                      <w:szCs w:val="21"/>
                      <w:lang w:val="en-US" w:eastAsia="zh-CN"/>
                    </w:rPr>
                    <w:t>总烃</w:t>
                  </w:r>
                </w:p>
              </w:tc>
              <w:tc>
                <w:tcPr>
                  <w:tcW w:w="2190" w:type="dxa"/>
                  <w:tcBorders>
                    <w:top w:val="single" w:color="auto" w:sz="4" w:space="0"/>
                    <w:left w:val="single" w:color="auto" w:sz="4" w:space="0"/>
                    <w:bottom w:val="single" w:color="auto" w:sz="12" w:space="0"/>
                    <w:right w:val="single" w:color="auto" w:sz="4" w:space="0"/>
                  </w:tcBorders>
                  <w:vAlign w:val="center"/>
                </w:tcPr>
                <w:p w14:paraId="5AC9A63E">
                  <w:pPr>
                    <w:jc w:val="center"/>
                    <w:rPr>
                      <w:rFonts w:ascii="Times New Roman" w:hAnsi="Times New Roman"/>
                      <w:color w:val="000000" w:themeColor="text1"/>
                      <w:sz w:val="21"/>
                      <w:szCs w:val="21"/>
                    </w:rPr>
                  </w:pPr>
                  <w:r>
                    <w:rPr>
                      <w:rFonts w:ascii="Times New Roman" w:hAnsi="Times New Roman"/>
                      <w:color w:val="000000" w:themeColor="text1"/>
                      <w:sz w:val="21"/>
                      <w:szCs w:val="21"/>
                    </w:rPr>
                    <w:t>24</w:t>
                  </w:r>
                  <w:r>
                    <w:rPr>
                      <w:rFonts w:hint="eastAsia" w:ascii="Times New Roman" w:hAnsi="Times New Roman"/>
                      <w:color w:val="000000" w:themeColor="text1"/>
                      <w:sz w:val="21"/>
                      <w:szCs w:val="21"/>
                    </w:rPr>
                    <w:t>小时自动连续监测</w:t>
                  </w:r>
                </w:p>
              </w:tc>
              <w:tc>
                <w:tcPr>
                  <w:tcW w:w="2610" w:type="dxa"/>
                  <w:tcBorders>
                    <w:top w:val="single" w:color="auto" w:sz="4" w:space="0"/>
                    <w:left w:val="single" w:color="auto" w:sz="4" w:space="0"/>
                    <w:bottom w:val="single" w:color="auto" w:sz="12" w:space="0"/>
                    <w:right w:val="single" w:color="auto" w:sz="4" w:space="0"/>
                  </w:tcBorders>
                  <w:vAlign w:val="center"/>
                </w:tcPr>
                <w:p w14:paraId="3D0E2BAC">
                  <w:pPr>
                    <w:jc w:val="center"/>
                    <w:rPr>
                      <w:rFonts w:hint="eastAsia" w:ascii="Times New Roman" w:hAnsi="Times New Roman"/>
                      <w:color w:val="000000" w:themeColor="text1"/>
                      <w:sz w:val="21"/>
                      <w:szCs w:val="21"/>
                    </w:rPr>
                  </w:pPr>
                  <w:r>
                    <w:rPr>
                      <w:rFonts w:hint="eastAsia" w:ascii="Times New Roman" w:hAnsi="Times New Roman"/>
                      <w:color w:val="000000" w:themeColor="text1"/>
                      <w:sz w:val="21"/>
                      <w:szCs w:val="21"/>
                      <w:lang w:val="en-US" w:eastAsia="zh-CN"/>
                    </w:rPr>
                    <w:t>气相色谱法</w:t>
                  </w:r>
                </w:p>
              </w:tc>
              <w:tc>
                <w:tcPr>
                  <w:tcW w:w="1633" w:type="dxa"/>
                  <w:tcBorders>
                    <w:top w:val="single" w:color="auto" w:sz="4" w:space="0"/>
                    <w:left w:val="single" w:color="auto" w:sz="4" w:space="0"/>
                    <w:bottom w:val="single" w:color="auto" w:sz="12" w:space="0"/>
                    <w:right w:val="nil"/>
                  </w:tcBorders>
                  <w:vAlign w:val="center"/>
                </w:tcPr>
                <w:p w14:paraId="77DDC58D">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0.06</w:t>
                  </w:r>
                </w:p>
              </w:tc>
            </w:tr>
          </w:tbl>
          <w:p w14:paraId="0BF92AD3">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1.2 </w:t>
            </w:r>
            <w:r>
              <w:rPr>
                <w:rFonts w:hint="eastAsia" w:ascii="Times New Roman" w:hAnsi="Times New Roman"/>
                <w:b/>
                <w:bCs/>
                <w:color w:val="000000" w:themeColor="text1"/>
                <w:sz w:val="24"/>
                <w:szCs w:val="24"/>
              </w:rPr>
              <w:t>评价标准</w:t>
            </w:r>
          </w:p>
          <w:p w14:paraId="10FC5773">
            <w:pPr>
              <w:spacing w:line="360" w:lineRule="auto"/>
              <w:ind w:left="91" w:leftChars="38" w:right="125" w:rightChars="52" w:firstLine="480"/>
              <w:rPr>
                <w:rFonts w:ascii="Times New Roman" w:hAnsi="Times New Roman"/>
                <w:color w:val="000000" w:themeColor="text1"/>
                <w:kern w:val="0"/>
                <w:sz w:val="24"/>
                <w:szCs w:val="24"/>
              </w:rPr>
            </w:pPr>
            <w:r>
              <w:rPr>
                <w:rFonts w:hint="eastAsia" w:ascii="Times New Roman" w:hAnsi="Times New Roman"/>
                <w:color w:val="000000" w:themeColor="text1"/>
                <w:kern w:val="0"/>
                <w:sz w:val="24"/>
                <w:szCs w:val="24"/>
              </w:rPr>
              <w:t>环境空气质量评价标准选用《环境空气质量标准》（</w:t>
            </w:r>
            <w:r>
              <w:rPr>
                <w:rFonts w:ascii="Times New Roman" w:hAnsi="Times New Roman"/>
                <w:color w:val="000000" w:themeColor="text1"/>
                <w:kern w:val="0"/>
                <w:sz w:val="24"/>
                <w:szCs w:val="24"/>
              </w:rPr>
              <w:t>GB3095-2012</w:t>
            </w:r>
            <w:r>
              <w:rPr>
                <w:rFonts w:hint="eastAsia" w:ascii="Times New Roman" w:hAnsi="Times New Roman"/>
                <w:color w:val="000000" w:themeColor="text1"/>
                <w:kern w:val="0"/>
                <w:sz w:val="24"/>
                <w:szCs w:val="24"/>
              </w:rPr>
              <w:t>）中的二级标准日均浓度限值进行评价，其浓度限值见表</w:t>
            </w:r>
            <w:r>
              <w:rPr>
                <w:rFonts w:hint="eastAsia" w:ascii="Times New Roman" w:hAnsi="Times New Roman"/>
                <w:color w:val="000000" w:themeColor="text1"/>
                <w:kern w:val="0"/>
                <w:sz w:val="24"/>
                <w:szCs w:val="24"/>
                <w:lang w:val="en-US" w:eastAsia="zh-CN"/>
              </w:rPr>
              <w:t>16</w:t>
            </w:r>
            <w:r>
              <w:rPr>
                <w:rFonts w:hint="eastAsia" w:ascii="Times New Roman" w:hAnsi="Times New Roman"/>
                <w:color w:val="000000" w:themeColor="text1"/>
                <w:kern w:val="0"/>
                <w:sz w:val="24"/>
                <w:szCs w:val="24"/>
              </w:rPr>
              <w:t>。</w:t>
            </w:r>
          </w:p>
          <w:p w14:paraId="2053C983">
            <w:pPr>
              <w:spacing w:line="360" w:lineRule="auto"/>
              <w:ind w:firstLine="422" w:firstLineChars="200"/>
              <w:jc w:val="left"/>
              <w:rPr>
                <w:rFonts w:ascii="黑体" w:hAnsi="黑体" w:eastAsia="黑体" w:cs="黑体"/>
                <w:b/>
                <w:color w:val="000000" w:themeColor="text1"/>
                <w:sz w:val="21"/>
                <w:szCs w:val="21"/>
              </w:rPr>
            </w:pPr>
            <w:r>
              <w:rPr>
                <w:rFonts w:hint="eastAsia" w:ascii="黑体" w:hAnsi="黑体" w:eastAsia="黑体" w:cs="黑体"/>
                <w:b/>
                <w:color w:val="000000" w:themeColor="text1"/>
                <w:sz w:val="21"/>
                <w:szCs w:val="21"/>
              </w:rPr>
              <w:t>表</w:t>
            </w:r>
            <w:r>
              <w:rPr>
                <w:rFonts w:hint="eastAsia" w:ascii="黑体" w:hAnsi="黑体" w:eastAsia="黑体" w:cs="黑体"/>
                <w:b/>
                <w:color w:val="000000" w:themeColor="text1"/>
                <w:sz w:val="21"/>
                <w:szCs w:val="21"/>
                <w:lang w:val="en-US" w:eastAsia="zh-CN"/>
              </w:rPr>
              <w:t>16</w:t>
            </w:r>
            <w:r>
              <w:rPr>
                <w:rFonts w:ascii="黑体" w:hAnsi="黑体" w:eastAsia="黑体" w:cs="黑体"/>
                <w:b/>
                <w:color w:val="000000" w:themeColor="text1"/>
                <w:sz w:val="21"/>
                <w:szCs w:val="21"/>
              </w:rPr>
              <w:t xml:space="preserve">                </w:t>
            </w:r>
            <w:r>
              <w:rPr>
                <w:rFonts w:hint="eastAsia" w:ascii="黑体" w:hAnsi="黑体" w:eastAsia="黑体" w:cs="黑体"/>
                <w:b/>
                <w:color w:val="000000" w:themeColor="text1"/>
                <w:sz w:val="21"/>
                <w:szCs w:val="21"/>
              </w:rPr>
              <w:t>《环境空气质量标准》</w:t>
            </w:r>
            <w:r>
              <w:rPr>
                <w:rFonts w:ascii="黑体" w:hAnsi="黑体" w:eastAsia="黑体" w:cs="黑体"/>
                <w:b/>
                <w:color w:val="000000" w:themeColor="text1"/>
                <w:sz w:val="21"/>
                <w:szCs w:val="21"/>
              </w:rPr>
              <w:t xml:space="preserve">GB3095-2012 </w:t>
            </w:r>
          </w:p>
          <w:tbl>
            <w:tblPr>
              <w:tblStyle w:val="19"/>
              <w:tblW w:w="8220" w:type="dxa"/>
              <w:jc w:val="center"/>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
            <w:tblGrid>
              <w:gridCol w:w="2237"/>
              <w:gridCol w:w="3628"/>
              <w:gridCol w:w="2355"/>
            </w:tblGrid>
            <w:tr w14:paraId="581FBA1E">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23" w:hRule="atLeast"/>
                <w:jc w:val="center"/>
              </w:trPr>
              <w:tc>
                <w:tcPr>
                  <w:tcW w:w="2237" w:type="dxa"/>
                  <w:tcBorders>
                    <w:bottom w:val="single" w:color="auto" w:sz="12" w:space="0"/>
                    <w:right w:val="single" w:color="auto" w:sz="4" w:space="0"/>
                  </w:tcBorders>
                  <w:vAlign w:val="center"/>
                </w:tcPr>
                <w:p w14:paraId="613CB3B7">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污染物</w:t>
                  </w:r>
                </w:p>
              </w:tc>
              <w:tc>
                <w:tcPr>
                  <w:tcW w:w="3628" w:type="dxa"/>
                  <w:tcBorders>
                    <w:left w:val="single" w:color="auto" w:sz="4" w:space="0"/>
                    <w:bottom w:val="single" w:color="auto" w:sz="12" w:space="0"/>
                    <w:right w:val="single" w:color="auto" w:sz="4" w:space="0"/>
                  </w:tcBorders>
                  <w:vAlign w:val="center"/>
                </w:tcPr>
                <w:p w14:paraId="43AE8C75">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取值时间</w:t>
                  </w:r>
                </w:p>
              </w:tc>
              <w:tc>
                <w:tcPr>
                  <w:tcW w:w="2355" w:type="dxa"/>
                  <w:tcBorders>
                    <w:left w:val="single" w:color="auto" w:sz="4" w:space="0"/>
                    <w:bottom w:val="single" w:color="auto" w:sz="12" w:space="0"/>
                  </w:tcBorders>
                  <w:vAlign w:val="center"/>
                </w:tcPr>
                <w:p w14:paraId="456DE9A3">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标准值（</w:t>
                  </w:r>
                  <w:r>
                    <w:rPr>
                      <w:rFonts w:hint="default" w:ascii="Times New Roman" w:hAnsi="Times New Roman" w:eastAsia="宋体" w:cs="Times New Roman"/>
                      <w:b/>
                      <w:bCs/>
                      <w:color w:val="000000" w:themeColor="text1"/>
                      <w:sz w:val="21"/>
                      <w:szCs w:val="21"/>
                    </w:rPr>
                    <w:t>ug/m</w:t>
                  </w:r>
                  <w:r>
                    <w:rPr>
                      <w:rFonts w:hint="default" w:ascii="Times New Roman" w:hAnsi="Times New Roman" w:eastAsia="宋体" w:cs="Times New Roman"/>
                      <w:b/>
                      <w:bCs/>
                      <w:color w:val="000000" w:themeColor="text1"/>
                      <w:sz w:val="21"/>
                      <w:szCs w:val="21"/>
                      <w:vertAlign w:val="superscript"/>
                    </w:rPr>
                    <w:t>3</w:t>
                  </w:r>
                  <w:r>
                    <w:rPr>
                      <w:rFonts w:hint="eastAsia" w:ascii="Times New Roman" w:hAnsi="Times New Roman"/>
                      <w:b/>
                      <w:color w:val="000000" w:themeColor="text1"/>
                      <w:sz w:val="21"/>
                      <w:szCs w:val="21"/>
                    </w:rPr>
                    <w:t>）</w:t>
                  </w:r>
                </w:p>
              </w:tc>
            </w:tr>
            <w:tr w14:paraId="5CB93002">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23" w:hRule="atLeast"/>
                <w:jc w:val="center"/>
              </w:trPr>
              <w:tc>
                <w:tcPr>
                  <w:tcW w:w="2237" w:type="dxa"/>
                  <w:tcBorders>
                    <w:top w:val="single" w:color="auto" w:sz="12" w:space="0"/>
                    <w:bottom w:val="single" w:color="auto" w:sz="4" w:space="0"/>
                    <w:right w:val="single" w:color="auto" w:sz="4" w:space="0"/>
                  </w:tcBorders>
                  <w:vAlign w:val="center"/>
                </w:tcPr>
                <w:p w14:paraId="1244C7DC">
                  <w:pPr>
                    <w:jc w:val="center"/>
                    <w:rPr>
                      <w:rFonts w:ascii="Times New Roman" w:hAnsi="Times New Roman"/>
                      <w:color w:val="000000" w:themeColor="text1"/>
                      <w:sz w:val="21"/>
                      <w:szCs w:val="21"/>
                      <w:vertAlign w:val="subscript"/>
                    </w:rPr>
                  </w:pPr>
                  <w:r>
                    <w:rPr>
                      <w:rFonts w:ascii="Times New Roman" w:hAnsi="Times New Roman"/>
                      <w:color w:val="000000" w:themeColor="text1"/>
                      <w:sz w:val="21"/>
                      <w:szCs w:val="21"/>
                    </w:rPr>
                    <w:t>SO</w:t>
                  </w:r>
                  <w:r>
                    <w:rPr>
                      <w:rFonts w:ascii="Times New Roman" w:hAnsi="Times New Roman"/>
                      <w:color w:val="000000" w:themeColor="text1"/>
                      <w:sz w:val="21"/>
                      <w:szCs w:val="21"/>
                      <w:vertAlign w:val="subscript"/>
                    </w:rPr>
                    <w:t>2</w:t>
                  </w:r>
                </w:p>
              </w:tc>
              <w:tc>
                <w:tcPr>
                  <w:tcW w:w="3628" w:type="dxa"/>
                  <w:tcBorders>
                    <w:top w:val="single" w:color="auto" w:sz="12" w:space="0"/>
                    <w:left w:val="single" w:color="auto" w:sz="4" w:space="0"/>
                    <w:bottom w:val="single" w:color="auto" w:sz="4" w:space="0"/>
                    <w:right w:val="single" w:color="auto" w:sz="4" w:space="0"/>
                  </w:tcBorders>
                  <w:vAlign w:val="center"/>
                </w:tcPr>
                <w:p w14:paraId="729C113F">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日平均值</w:t>
                  </w:r>
                </w:p>
              </w:tc>
              <w:tc>
                <w:tcPr>
                  <w:tcW w:w="2355" w:type="dxa"/>
                  <w:tcBorders>
                    <w:top w:val="single" w:color="auto" w:sz="12" w:space="0"/>
                    <w:left w:val="single" w:color="auto" w:sz="4" w:space="0"/>
                    <w:bottom w:val="single" w:color="auto" w:sz="4" w:space="0"/>
                  </w:tcBorders>
                  <w:vAlign w:val="center"/>
                </w:tcPr>
                <w:p w14:paraId="09187E79">
                  <w:pPr>
                    <w:jc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sz w:val="21"/>
                      <w:szCs w:val="21"/>
                      <w:lang w:val="en-US" w:eastAsia="zh-CN"/>
                    </w:rPr>
                    <w:t>150</w:t>
                  </w:r>
                </w:p>
              </w:tc>
            </w:tr>
            <w:tr w14:paraId="4DCBB4D4">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23" w:hRule="atLeast"/>
                <w:jc w:val="center"/>
              </w:trPr>
              <w:tc>
                <w:tcPr>
                  <w:tcW w:w="2237" w:type="dxa"/>
                  <w:tcBorders>
                    <w:top w:val="single" w:color="auto" w:sz="4" w:space="0"/>
                    <w:bottom w:val="single" w:color="auto" w:sz="4" w:space="0"/>
                    <w:right w:val="single" w:color="auto" w:sz="4" w:space="0"/>
                  </w:tcBorders>
                  <w:vAlign w:val="center"/>
                </w:tcPr>
                <w:p w14:paraId="1083E556">
                  <w:pPr>
                    <w:jc w:val="center"/>
                    <w:rPr>
                      <w:rFonts w:ascii="Times New Roman" w:hAnsi="Times New Roman"/>
                      <w:color w:val="000000" w:themeColor="text1"/>
                      <w:sz w:val="21"/>
                      <w:szCs w:val="21"/>
                      <w:vertAlign w:val="subscript"/>
                    </w:rPr>
                  </w:pPr>
                  <w:r>
                    <w:rPr>
                      <w:rFonts w:ascii="Times New Roman" w:hAnsi="Times New Roman"/>
                      <w:color w:val="000000" w:themeColor="text1"/>
                      <w:sz w:val="21"/>
                      <w:szCs w:val="21"/>
                    </w:rPr>
                    <w:t>NO</w:t>
                  </w:r>
                  <w:r>
                    <w:rPr>
                      <w:rFonts w:ascii="Times New Roman" w:hAnsi="Times New Roman"/>
                      <w:color w:val="000000" w:themeColor="text1"/>
                      <w:sz w:val="21"/>
                      <w:szCs w:val="21"/>
                      <w:vertAlign w:val="subscript"/>
                    </w:rPr>
                    <w:t>2</w:t>
                  </w:r>
                </w:p>
              </w:tc>
              <w:tc>
                <w:tcPr>
                  <w:tcW w:w="3628" w:type="dxa"/>
                  <w:tcBorders>
                    <w:top w:val="single" w:color="auto" w:sz="4" w:space="0"/>
                    <w:left w:val="single" w:color="auto" w:sz="4" w:space="0"/>
                    <w:bottom w:val="single" w:color="auto" w:sz="4" w:space="0"/>
                    <w:right w:val="single" w:color="auto" w:sz="4" w:space="0"/>
                  </w:tcBorders>
                  <w:vAlign w:val="center"/>
                </w:tcPr>
                <w:p w14:paraId="4D794FD6">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日平均值</w:t>
                  </w:r>
                </w:p>
              </w:tc>
              <w:tc>
                <w:tcPr>
                  <w:tcW w:w="2355" w:type="dxa"/>
                  <w:tcBorders>
                    <w:top w:val="single" w:color="auto" w:sz="4" w:space="0"/>
                    <w:left w:val="single" w:color="auto" w:sz="4" w:space="0"/>
                    <w:bottom w:val="single" w:color="auto" w:sz="4" w:space="0"/>
                  </w:tcBorders>
                  <w:vAlign w:val="center"/>
                </w:tcPr>
                <w:p w14:paraId="3A33CA04">
                  <w:pPr>
                    <w:jc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sz w:val="21"/>
                      <w:szCs w:val="21"/>
                      <w:lang w:val="en-US" w:eastAsia="zh-CN"/>
                    </w:rPr>
                    <w:t>80</w:t>
                  </w:r>
                </w:p>
              </w:tc>
            </w:tr>
            <w:tr w14:paraId="4CCE8E16">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23" w:hRule="atLeast"/>
                <w:jc w:val="center"/>
              </w:trPr>
              <w:tc>
                <w:tcPr>
                  <w:tcW w:w="2237" w:type="dxa"/>
                  <w:tcBorders>
                    <w:top w:val="single" w:color="auto" w:sz="4" w:space="0"/>
                    <w:right w:val="single" w:color="auto" w:sz="4" w:space="0"/>
                  </w:tcBorders>
                  <w:vAlign w:val="center"/>
                </w:tcPr>
                <w:p w14:paraId="53BB717F">
                  <w:pPr>
                    <w:jc w:val="center"/>
                    <w:rPr>
                      <w:rFonts w:ascii="Times New Roman" w:hAnsi="Times New Roman"/>
                      <w:color w:val="000000" w:themeColor="text1"/>
                      <w:kern w:val="0"/>
                      <w:sz w:val="21"/>
                      <w:szCs w:val="21"/>
                    </w:rPr>
                  </w:pPr>
                  <w:r>
                    <w:rPr>
                      <w:rFonts w:ascii="Times New Roman" w:hAnsi="Times New Roman"/>
                      <w:color w:val="000000" w:themeColor="text1"/>
                      <w:kern w:val="0"/>
                      <w:sz w:val="21"/>
                      <w:szCs w:val="21"/>
                    </w:rPr>
                    <w:t>PM</w:t>
                  </w:r>
                  <w:r>
                    <w:rPr>
                      <w:rFonts w:hint="eastAsia" w:ascii="Times New Roman" w:hAnsi="Times New Roman"/>
                      <w:color w:val="000000" w:themeColor="text1"/>
                      <w:kern w:val="0"/>
                      <w:sz w:val="21"/>
                      <w:szCs w:val="21"/>
                      <w:vertAlign w:val="subscript"/>
                      <w:lang w:val="en-US" w:eastAsia="zh-CN"/>
                    </w:rPr>
                    <w:t>2.5</w:t>
                  </w:r>
                </w:p>
              </w:tc>
              <w:tc>
                <w:tcPr>
                  <w:tcW w:w="3628" w:type="dxa"/>
                  <w:tcBorders>
                    <w:top w:val="single" w:color="auto" w:sz="4" w:space="0"/>
                    <w:left w:val="single" w:color="auto" w:sz="4" w:space="0"/>
                    <w:right w:val="single" w:color="auto" w:sz="4" w:space="0"/>
                  </w:tcBorders>
                  <w:vAlign w:val="center"/>
                </w:tcPr>
                <w:p w14:paraId="5209191D">
                  <w:pPr>
                    <w:jc w:val="center"/>
                    <w:rPr>
                      <w:rFonts w:hint="eastAsia" w:ascii="Times New Roman" w:hAnsi="Times New Roman"/>
                      <w:color w:val="000000" w:themeColor="text1"/>
                      <w:sz w:val="21"/>
                      <w:szCs w:val="21"/>
                    </w:rPr>
                  </w:pPr>
                  <w:r>
                    <w:rPr>
                      <w:rFonts w:hint="eastAsia" w:ascii="Times New Roman" w:hAnsi="Times New Roman"/>
                      <w:color w:val="000000" w:themeColor="text1"/>
                      <w:sz w:val="21"/>
                      <w:szCs w:val="21"/>
                    </w:rPr>
                    <w:t>日平均值</w:t>
                  </w:r>
                </w:p>
              </w:tc>
              <w:tc>
                <w:tcPr>
                  <w:tcW w:w="2355" w:type="dxa"/>
                  <w:tcBorders>
                    <w:top w:val="single" w:color="auto" w:sz="4" w:space="0"/>
                    <w:left w:val="single" w:color="auto" w:sz="4" w:space="0"/>
                  </w:tcBorders>
                  <w:vAlign w:val="center"/>
                </w:tcPr>
                <w:p w14:paraId="7485204A">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75</w:t>
                  </w:r>
                </w:p>
              </w:tc>
            </w:tr>
          </w:tbl>
          <w:p w14:paraId="4B3F2B0A">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1.3 </w:t>
            </w:r>
            <w:r>
              <w:rPr>
                <w:rFonts w:hint="eastAsia" w:ascii="Times New Roman" w:hAnsi="Times New Roman"/>
                <w:b/>
                <w:bCs/>
                <w:color w:val="000000" w:themeColor="text1"/>
                <w:sz w:val="24"/>
                <w:szCs w:val="24"/>
              </w:rPr>
              <w:t>评价方法</w:t>
            </w:r>
          </w:p>
          <w:p w14:paraId="5945DB8D">
            <w:pPr>
              <w:spacing w:line="360" w:lineRule="auto"/>
              <w:ind w:firstLine="480" w:firstLineChars="200"/>
              <w:rPr>
                <w:color w:val="000000" w:themeColor="text1"/>
                <w:sz w:val="24"/>
              </w:rPr>
            </w:pPr>
            <w:r>
              <w:rPr>
                <w:rFonts w:hint="eastAsia"/>
                <w:color w:val="000000" w:themeColor="text1"/>
                <w:sz w:val="24"/>
              </w:rPr>
              <w:t>本次环评空气环境质量现状采用超标率和最大浓度占标率进行评价，计算公式为：</w:t>
            </w:r>
          </w:p>
          <w:p w14:paraId="6040FB90">
            <w:pPr>
              <w:spacing w:line="360" w:lineRule="auto"/>
              <w:ind w:firstLine="480" w:firstLineChars="200"/>
              <w:rPr>
                <w:rFonts w:ascii="Times New Roman" w:hAnsi="Times New Roman"/>
                <w:color w:val="000000" w:themeColor="text1"/>
                <w:sz w:val="24"/>
              </w:rPr>
            </w:pPr>
            <w:r>
              <w:rPr>
                <w:rFonts w:hint="eastAsia" w:ascii="Times New Roman" w:hAnsi="Times New Roman"/>
                <w:color w:val="000000" w:themeColor="text1"/>
                <w:sz w:val="24"/>
              </w:rPr>
              <w:t>超标率</w:t>
            </w:r>
            <w:r>
              <w:rPr>
                <w:rFonts w:ascii="Times New Roman" w:hAnsi="Times New Roman"/>
                <w:color w:val="000000" w:themeColor="text1"/>
                <w:sz w:val="24"/>
              </w:rPr>
              <w:t>=</w:t>
            </w:r>
            <w:r>
              <w:rPr>
                <w:rFonts w:hint="eastAsia" w:ascii="Times New Roman" w:hAnsi="Times New Roman"/>
                <w:color w:val="000000" w:themeColor="text1"/>
                <w:sz w:val="24"/>
              </w:rPr>
              <w:t>超标数据个数</w:t>
            </w:r>
            <w:r>
              <w:rPr>
                <w:rFonts w:ascii="Times New Roman" w:hAnsi="Times New Roman"/>
                <w:color w:val="000000" w:themeColor="text1"/>
                <w:sz w:val="24"/>
              </w:rPr>
              <w:t>/</w:t>
            </w:r>
            <w:r>
              <w:rPr>
                <w:rFonts w:hint="eastAsia" w:ascii="Times New Roman" w:hAnsi="Times New Roman"/>
                <w:color w:val="000000" w:themeColor="text1"/>
                <w:sz w:val="24"/>
              </w:rPr>
              <w:t>总监测数据个数</w:t>
            </w:r>
            <w:r>
              <w:rPr>
                <w:rFonts w:ascii="Times New Roman" w:hAnsi="Times New Roman"/>
                <w:color w:val="000000" w:themeColor="text1"/>
                <w:sz w:val="24"/>
              </w:rPr>
              <w:t>×100%</w:t>
            </w:r>
          </w:p>
          <w:p w14:paraId="6C02BE57">
            <w:pPr>
              <w:spacing w:line="360" w:lineRule="auto"/>
              <w:ind w:firstLine="2380" w:firstLineChars="850"/>
              <w:rPr>
                <w:rFonts w:ascii="Times New Roman" w:hAnsi="Times New Roman"/>
                <w:color w:val="000000" w:themeColor="text1"/>
                <w:sz w:val="28"/>
                <w:szCs w:val="28"/>
              </w:rPr>
            </w:pPr>
            <w:r>
              <w:rPr>
                <w:rFonts w:ascii="Times New Roman" w:hAnsi="Times New Roman"/>
                <w:color w:val="000000" w:themeColor="text1"/>
                <w:sz w:val="28"/>
                <w:szCs w:val="28"/>
              </w:rPr>
              <w:t>P</w:t>
            </w:r>
            <w:r>
              <w:rPr>
                <w:rFonts w:ascii="Times New Roman" w:hAnsi="Times New Roman"/>
                <w:color w:val="000000" w:themeColor="text1"/>
                <w:sz w:val="28"/>
                <w:szCs w:val="28"/>
                <w:vertAlign w:val="subscript"/>
              </w:rPr>
              <w:t>i</w:t>
            </w:r>
            <w:r>
              <w:rPr>
                <w:rFonts w:ascii="Times New Roman" w:hAnsi="Times New Roman"/>
                <w:color w:val="000000" w:themeColor="text1"/>
                <w:sz w:val="28"/>
                <w:szCs w:val="28"/>
              </w:rPr>
              <w:t>=</w:t>
            </w:r>
            <w:r>
              <w:rPr>
                <w:rFonts w:ascii="Times New Roman" w:hAnsi="Times New Roman"/>
                <w:color w:val="000000" w:themeColor="text1"/>
                <w:position w:val="-24"/>
                <w:sz w:val="28"/>
                <w:szCs w:val="28"/>
              </w:rPr>
              <w:object>
                <v:shape id="_x0000_i1025" o:spt="75" type="#_x0000_t75" style="height:30.75pt;width:18.75pt;" o:ole="t" filled="f" o:preferrelative="t" stroked="f" coordsize="21600,21600">
                  <v:path/>
                  <v:fill on="f" focussize="0,0"/>
                  <v:stroke on="f" joinstyle="miter"/>
                  <v:imagedata r:id="rId7" o:title=""/>
                  <o:lock v:ext="edit" aspectratio="t"/>
                  <w10:wrap type="none"/>
                  <w10:anchorlock/>
                </v:shape>
                <o:OLEObject Type="Embed" ProgID="Equation.3" ShapeID="_x0000_i1025" DrawAspect="Content" ObjectID="_1468075725" r:id="rId6">
                  <o:LockedField>false</o:LockedField>
                </o:OLEObject>
              </w:object>
            </w:r>
            <w:r>
              <w:rPr>
                <w:rFonts w:ascii="Times New Roman" w:hAnsi="Times New Roman"/>
                <w:color w:val="000000" w:themeColor="text1"/>
                <w:sz w:val="28"/>
                <w:szCs w:val="28"/>
              </w:rPr>
              <w:t>×100%</w:t>
            </w:r>
          </w:p>
          <w:p w14:paraId="1059CC83">
            <w:pPr>
              <w:spacing w:line="360" w:lineRule="auto"/>
              <w:ind w:firstLine="480" w:firstLineChars="200"/>
              <w:rPr>
                <w:rFonts w:ascii="Times New Roman" w:hAnsi="Times New Roman"/>
                <w:color w:val="000000" w:themeColor="text1"/>
                <w:sz w:val="24"/>
              </w:rPr>
            </w:pPr>
            <w:r>
              <w:rPr>
                <w:rFonts w:hint="eastAsia" w:ascii="Times New Roman" w:hAnsi="Times New Roman"/>
                <w:color w:val="000000" w:themeColor="text1"/>
                <w:sz w:val="24"/>
              </w:rPr>
              <w:t>式中：</w:t>
            </w:r>
            <w:r>
              <w:rPr>
                <w:rFonts w:ascii="Times New Roman" w:hAnsi="Times New Roman"/>
                <w:color w:val="000000" w:themeColor="text1"/>
                <w:sz w:val="24"/>
              </w:rPr>
              <w:t>P</w:t>
            </w:r>
            <w:r>
              <w:rPr>
                <w:rFonts w:ascii="Times New Roman" w:hAnsi="Times New Roman"/>
                <w:color w:val="000000" w:themeColor="text1"/>
                <w:sz w:val="24"/>
                <w:vertAlign w:val="subscript"/>
              </w:rPr>
              <w:t>i</w:t>
            </w:r>
            <w:r>
              <w:rPr>
                <w:rFonts w:ascii="Times New Roman" w:hAnsi="Times New Roman"/>
                <w:color w:val="000000" w:themeColor="text1"/>
                <w:sz w:val="24"/>
              </w:rPr>
              <w:t>—</w:t>
            </w:r>
            <w:r>
              <w:rPr>
                <w:rFonts w:hint="eastAsia" w:ascii="Times New Roman" w:hAnsi="Times New Roman"/>
                <w:color w:val="000000" w:themeColor="text1"/>
                <w:sz w:val="24"/>
              </w:rPr>
              <w:t>第</w:t>
            </w:r>
            <w:r>
              <w:rPr>
                <w:rFonts w:ascii="Times New Roman" w:hAnsi="Times New Roman"/>
                <w:color w:val="000000" w:themeColor="text1"/>
                <w:sz w:val="24"/>
              </w:rPr>
              <w:t>i</w:t>
            </w:r>
            <w:r>
              <w:rPr>
                <w:rFonts w:hint="eastAsia" w:ascii="Times New Roman" w:hAnsi="Times New Roman"/>
                <w:color w:val="000000" w:themeColor="text1"/>
                <w:sz w:val="24"/>
              </w:rPr>
              <w:t>个污染物的最大浓度占标率（无量纲）；</w:t>
            </w:r>
          </w:p>
          <w:p w14:paraId="662A7944">
            <w:pPr>
              <w:spacing w:line="360" w:lineRule="auto"/>
              <w:ind w:firstLine="480" w:firstLineChars="200"/>
              <w:rPr>
                <w:rFonts w:ascii="Times New Roman" w:hAnsi="Times New Roman"/>
                <w:color w:val="000000" w:themeColor="text1"/>
                <w:sz w:val="24"/>
              </w:rPr>
            </w:pPr>
            <w:r>
              <w:rPr>
                <w:rFonts w:ascii="Times New Roman" w:hAnsi="Times New Roman"/>
                <w:color w:val="000000" w:themeColor="text1"/>
                <w:sz w:val="24"/>
              </w:rPr>
              <w:t xml:space="preserve">      C</w:t>
            </w:r>
            <w:r>
              <w:rPr>
                <w:rFonts w:ascii="Times New Roman" w:hAnsi="Times New Roman"/>
                <w:color w:val="000000" w:themeColor="text1"/>
                <w:sz w:val="24"/>
                <w:vertAlign w:val="subscript"/>
              </w:rPr>
              <w:t>i</w:t>
            </w:r>
            <w:r>
              <w:rPr>
                <w:rFonts w:ascii="Times New Roman" w:hAnsi="Times New Roman"/>
                <w:color w:val="000000" w:themeColor="text1"/>
                <w:sz w:val="24"/>
              </w:rPr>
              <w:t>—</w:t>
            </w:r>
            <w:r>
              <w:rPr>
                <w:rFonts w:hint="eastAsia" w:ascii="Times New Roman" w:hAnsi="Times New Roman"/>
                <w:color w:val="000000" w:themeColor="text1"/>
                <w:sz w:val="24"/>
              </w:rPr>
              <w:t>第</w:t>
            </w:r>
            <w:r>
              <w:rPr>
                <w:rFonts w:ascii="Times New Roman" w:hAnsi="Times New Roman"/>
                <w:color w:val="000000" w:themeColor="text1"/>
                <w:sz w:val="24"/>
              </w:rPr>
              <w:t>i</w:t>
            </w:r>
            <w:r>
              <w:rPr>
                <w:rFonts w:hint="eastAsia" w:ascii="Times New Roman" w:hAnsi="Times New Roman"/>
                <w:color w:val="000000" w:themeColor="text1"/>
                <w:sz w:val="24"/>
              </w:rPr>
              <w:t>个污染物的最大浓度（</w:t>
            </w:r>
            <w:r>
              <w:rPr>
                <w:rFonts w:hint="eastAsia" w:ascii="Times New Roman" w:hAnsi="Times New Roman"/>
                <w:color w:val="000000" w:themeColor="text1"/>
                <w:sz w:val="24"/>
                <w:lang w:val="en-US" w:eastAsia="zh-CN"/>
              </w:rPr>
              <w:t>u</w:t>
            </w:r>
            <w:r>
              <w:rPr>
                <w:rFonts w:ascii="Times New Roman" w:hAnsi="Times New Roman"/>
                <w:color w:val="000000" w:themeColor="text1"/>
                <w:sz w:val="24"/>
              </w:rPr>
              <w:t>g/m</w:t>
            </w:r>
            <w:r>
              <w:rPr>
                <w:rFonts w:ascii="Times New Roman" w:hAnsi="Times New Roman"/>
                <w:color w:val="000000" w:themeColor="text1"/>
                <w:sz w:val="24"/>
                <w:vertAlign w:val="superscript"/>
              </w:rPr>
              <w:t>3</w:t>
            </w:r>
            <w:r>
              <w:rPr>
                <w:rFonts w:hint="eastAsia" w:ascii="Times New Roman" w:hAnsi="Times New Roman"/>
                <w:color w:val="000000" w:themeColor="text1"/>
                <w:sz w:val="24"/>
              </w:rPr>
              <w:t>）；</w:t>
            </w:r>
          </w:p>
          <w:p w14:paraId="56A8A3A6">
            <w:pPr>
              <w:spacing w:line="360" w:lineRule="auto"/>
              <w:ind w:firstLine="480" w:firstLineChars="200"/>
              <w:rPr>
                <w:color w:val="000000" w:themeColor="text1"/>
                <w:sz w:val="24"/>
              </w:rPr>
            </w:pPr>
            <w:r>
              <w:rPr>
                <w:rFonts w:ascii="Times New Roman" w:hAnsi="Times New Roman"/>
                <w:color w:val="000000" w:themeColor="text1"/>
                <w:sz w:val="24"/>
              </w:rPr>
              <w:t xml:space="preserve">      C</w:t>
            </w:r>
            <w:r>
              <w:rPr>
                <w:rFonts w:ascii="Times New Roman" w:hAnsi="Times New Roman"/>
                <w:color w:val="000000" w:themeColor="text1"/>
                <w:sz w:val="24"/>
                <w:vertAlign w:val="subscript"/>
              </w:rPr>
              <w:t>oi</w:t>
            </w:r>
            <w:r>
              <w:rPr>
                <w:rFonts w:ascii="Times New Roman" w:hAnsi="Times New Roman"/>
                <w:color w:val="000000" w:themeColor="text1"/>
                <w:sz w:val="24"/>
              </w:rPr>
              <w:t>—</w:t>
            </w:r>
            <w:r>
              <w:rPr>
                <w:rFonts w:hint="eastAsia" w:ascii="Times New Roman" w:hAnsi="Times New Roman"/>
                <w:color w:val="000000" w:themeColor="text1"/>
                <w:sz w:val="24"/>
              </w:rPr>
              <w:t>第</w:t>
            </w:r>
            <w:r>
              <w:rPr>
                <w:rFonts w:ascii="Times New Roman" w:hAnsi="Times New Roman"/>
                <w:color w:val="000000" w:themeColor="text1"/>
                <w:sz w:val="24"/>
              </w:rPr>
              <w:t>i</w:t>
            </w:r>
            <w:r>
              <w:rPr>
                <w:rFonts w:hint="eastAsia" w:ascii="Times New Roman" w:hAnsi="Times New Roman"/>
                <w:color w:val="000000" w:themeColor="text1"/>
                <w:sz w:val="24"/>
              </w:rPr>
              <w:t>个污染物的环境空气质量浓度标准（</w:t>
            </w:r>
            <w:r>
              <w:rPr>
                <w:rFonts w:hint="eastAsia" w:ascii="Times New Roman" w:hAnsi="Times New Roman"/>
                <w:color w:val="000000" w:themeColor="text1"/>
                <w:sz w:val="24"/>
                <w:lang w:val="en-US" w:eastAsia="zh-CN"/>
              </w:rPr>
              <w:t>u</w:t>
            </w:r>
            <w:r>
              <w:rPr>
                <w:rFonts w:ascii="Times New Roman" w:hAnsi="Times New Roman"/>
                <w:color w:val="000000" w:themeColor="text1"/>
                <w:sz w:val="24"/>
              </w:rPr>
              <w:t>g/m</w:t>
            </w:r>
            <w:r>
              <w:rPr>
                <w:rFonts w:ascii="Times New Roman" w:hAnsi="Times New Roman"/>
                <w:color w:val="000000" w:themeColor="text1"/>
                <w:sz w:val="24"/>
                <w:vertAlign w:val="superscript"/>
              </w:rPr>
              <w:t>3</w:t>
            </w:r>
            <w:r>
              <w:rPr>
                <w:rFonts w:hint="eastAsia"/>
                <w:color w:val="000000" w:themeColor="text1"/>
                <w:sz w:val="24"/>
              </w:rPr>
              <w:t>）。</w:t>
            </w:r>
          </w:p>
          <w:p w14:paraId="37BED995">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1.4 </w:t>
            </w:r>
            <w:r>
              <w:rPr>
                <w:rFonts w:hint="eastAsia" w:ascii="Times New Roman" w:hAnsi="Times New Roman"/>
                <w:b/>
                <w:bCs/>
                <w:color w:val="000000" w:themeColor="text1"/>
                <w:sz w:val="24"/>
                <w:szCs w:val="24"/>
              </w:rPr>
              <w:t>监测结果及分析</w:t>
            </w:r>
          </w:p>
          <w:p w14:paraId="7FB8C026">
            <w:pPr>
              <w:spacing w:line="360" w:lineRule="auto"/>
              <w:ind w:left="77" w:leftChars="32" w:right="142" w:rightChars="59" w:firstLine="480"/>
              <w:rPr>
                <w:rFonts w:ascii="Times New Roman" w:hAnsi="Times New Roman"/>
                <w:color w:val="000000" w:themeColor="text1"/>
                <w:sz w:val="24"/>
                <w:szCs w:val="24"/>
              </w:rPr>
            </w:pPr>
            <w:r>
              <w:rPr>
                <w:rFonts w:hint="eastAsia" w:ascii="Times New Roman" w:hAnsi="Times New Roman"/>
                <w:color w:val="000000" w:themeColor="text1"/>
                <w:sz w:val="24"/>
                <w:szCs w:val="24"/>
              </w:rPr>
              <w:t>大气质量现状评价结果见表</w:t>
            </w:r>
            <w:r>
              <w:rPr>
                <w:rFonts w:hint="eastAsia" w:ascii="Times New Roman" w:hAnsi="Times New Roman"/>
                <w:color w:val="000000" w:themeColor="text1"/>
                <w:sz w:val="24"/>
                <w:szCs w:val="24"/>
                <w:lang w:val="en-US" w:eastAsia="zh-CN"/>
              </w:rPr>
              <w:t>17</w:t>
            </w:r>
            <w:r>
              <w:rPr>
                <w:rFonts w:hint="eastAsia" w:ascii="Times New Roman" w:hAnsi="Times New Roman"/>
                <w:color w:val="000000" w:themeColor="text1"/>
                <w:sz w:val="24"/>
                <w:szCs w:val="24"/>
              </w:rPr>
              <w:t>。</w:t>
            </w:r>
          </w:p>
          <w:p w14:paraId="074185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2" w:firstLineChars="200"/>
              <w:jc w:val="both"/>
              <w:textAlignment w:val="auto"/>
              <w:outlineLvl w:val="9"/>
              <w:rPr>
                <w:rFonts w:ascii="黑体" w:hAnsi="黑体" w:eastAsia="黑体" w:cs="黑体"/>
                <w:b/>
                <w:color w:val="000000" w:themeColor="text1"/>
                <w:sz w:val="21"/>
                <w:szCs w:val="21"/>
              </w:rPr>
            </w:pPr>
            <w:r>
              <w:rPr>
                <w:rFonts w:hint="eastAsia" w:ascii="黑体" w:hAnsi="黑体" w:eastAsia="黑体" w:cs="黑体"/>
                <w:b/>
                <w:color w:val="000000" w:themeColor="text1"/>
                <w:sz w:val="21"/>
                <w:szCs w:val="21"/>
              </w:rPr>
              <w:t>表</w:t>
            </w:r>
            <w:r>
              <w:rPr>
                <w:rFonts w:hint="eastAsia" w:ascii="黑体" w:hAnsi="黑体" w:eastAsia="黑体" w:cs="黑体"/>
                <w:b/>
                <w:color w:val="000000" w:themeColor="text1"/>
                <w:sz w:val="21"/>
                <w:szCs w:val="21"/>
                <w:lang w:val="en-US" w:eastAsia="zh-CN"/>
              </w:rPr>
              <w:t>17</w:t>
            </w:r>
            <w:r>
              <w:rPr>
                <w:rFonts w:ascii="黑体" w:hAnsi="黑体" w:eastAsia="黑体" w:cs="黑体"/>
                <w:b/>
                <w:color w:val="000000" w:themeColor="text1"/>
                <w:sz w:val="21"/>
                <w:szCs w:val="21"/>
              </w:rPr>
              <w:t xml:space="preserve">       </w:t>
            </w:r>
            <w:r>
              <w:rPr>
                <w:rFonts w:hint="eastAsia" w:ascii="黑体" w:hAnsi="黑体" w:eastAsia="黑体" w:cs="黑体"/>
                <w:b/>
                <w:color w:val="000000" w:themeColor="text1"/>
                <w:sz w:val="21"/>
                <w:szCs w:val="21"/>
              </w:rPr>
              <w:t>大气环境质量现状评价结果</w:t>
            </w:r>
            <w:r>
              <w:rPr>
                <w:rFonts w:hint="eastAsia" w:ascii="黑体" w:hAnsi="黑体" w:eastAsia="黑体" w:cs="黑体"/>
                <w:b/>
                <w:color w:val="000000" w:themeColor="text1"/>
                <w:sz w:val="21"/>
                <w:szCs w:val="21"/>
                <w:lang w:eastAsia="zh-CN"/>
              </w:rPr>
              <w:t>（</w:t>
            </w:r>
            <w:r>
              <w:rPr>
                <w:rFonts w:hint="eastAsia" w:ascii="黑体" w:hAnsi="黑体" w:eastAsia="黑体" w:cs="黑体"/>
                <w:b/>
                <w:color w:val="000000" w:themeColor="text1"/>
                <w:sz w:val="21"/>
                <w:szCs w:val="21"/>
                <w:lang w:val="en-US" w:eastAsia="zh-CN"/>
              </w:rPr>
              <w:t>SO</w:t>
            </w:r>
            <w:r>
              <w:rPr>
                <w:rFonts w:hint="eastAsia" w:ascii="黑体" w:hAnsi="黑体" w:eastAsia="黑体" w:cs="黑体"/>
                <w:b/>
                <w:color w:val="000000" w:themeColor="text1"/>
                <w:sz w:val="21"/>
                <w:szCs w:val="21"/>
                <w:vertAlign w:val="subscript"/>
                <w:lang w:val="en-US" w:eastAsia="zh-CN"/>
              </w:rPr>
              <w:t>2</w:t>
            </w:r>
            <w:r>
              <w:rPr>
                <w:rFonts w:hint="eastAsia" w:ascii="黑体" w:hAnsi="黑体" w:eastAsia="黑体" w:cs="黑体"/>
                <w:b/>
                <w:color w:val="000000" w:themeColor="text1"/>
                <w:sz w:val="21"/>
                <w:szCs w:val="21"/>
                <w:lang w:val="en-US" w:eastAsia="zh-CN"/>
              </w:rPr>
              <w:t>、NO</w:t>
            </w:r>
            <w:r>
              <w:rPr>
                <w:rFonts w:hint="eastAsia" w:ascii="黑体" w:hAnsi="黑体" w:eastAsia="黑体" w:cs="黑体"/>
                <w:b/>
                <w:color w:val="000000" w:themeColor="text1"/>
                <w:sz w:val="21"/>
                <w:szCs w:val="21"/>
                <w:vertAlign w:val="subscript"/>
                <w:lang w:val="en-US" w:eastAsia="zh-CN"/>
              </w:rPr>
              <w:t>2</w:t>
            </w:r>
            <w:r>
              <w:rPr>
                <w:rFonts w:hint="eastAsia" w:ascii="黑体" w:hAnsi="黑体" w:eastAsia="黑体" w:cs="黑体"/>
                <w:b/>
                <w:color w:val="000000" w:themeColor="text1"/>
                <w:sz w:val="21"/>
                <w:szCs w:val="21"/>
                <w:vertAlign w:val="baseline"/>
                <w:lang w:val="en-US" w:eastAsia="zh-CN"/>
              </w:rPr>
              <w:t>、</w:t>
            </w:r>
            <w:r>
              <w:rPr>
                <w:rFonts w:hint="eastAsia" w:ascii="Times New Roman" w:hAnsi="Times New Roman"/>
                <w:b/>
                <w:color w:val="000000" w:themeColor="text1"/>
                <w:sz w:val="21"/>
                <w:szCs w:val="21"/>
                <w:lang w:val="en-US" w:eastAsia="zh-CN"/>
              </w:rPr>
              <w:t>PM</w:t>
            </w:r>
            <w:r>
              <w:rPr>
                <w:rFonts w:hint="eastAsia" w:ascii="Times New Roman" w:hAnsi="Times New Roman"/>
                <w:b/>
                <w:color w:val="000000" w:themeColor="text1"/>
                <w:sz w:val="21"/>
                <w:szCs w:val="21"/>
                <w:vertAlign w:val="subscript"/>
                <w:lang w:val="en-US" w:eastAsia="zh-CN"/>
              </w:rPr>
              <w:t>2.5</w:t>
            </w:r>
            <w:r>
              <w:rPr>
                <w:rFonts w:hint="eastAsia" w:ascii="黑体" w:hAnsi="黑体" w:eastAsia="黑体" w:cs="黑体"/>
                <w:b/>
                <w:color w:val="000000" w:themeColor="text1"/>
                <w:sz w:val="21"/>
                <w:szCs w:val="21"/>
                <w:lang w:eastAsia="zh-CN"/>
              </w:rPr>
              <w:t>）</w:t>
            </w:r>
            <w:r>
              <w:rPr>
                <w:rFonts w:ascii="黑体" w:hAnsi="黑体" w:eastAsia="黑体" w:cs="黑体"/>
                <w:b/>
                <w:color w:val="000000" w:themeColor="text1"/>
                <w:sz w:val="21"/>
                <w:szCs w:val="21"/>
              </w:rPr>
              <w:t xml:space="preserve">       </w:t>
            </w:r>
            <w:r>
              <w:rPr>
                <w:rFonts w:hint="eastAsia" w:ascii="黑体" w:hAnsi="黑体" w:eastAsia="黑体" w:cs="黑体"/>
                <w:b/>
                <w:color w:val="000000" w:themeColor="text1"/>
                <w:sz w:val="21"/>
                <w:szCs w:val="21"/>
              </w:rPr>
              <w:t>单位：</w:t>
            </w:r>
            <w:r>
              <w:rPr>
                <w:rFonts w:ascii="黑体" w:hAnsi="黑体" w:eastAsia="黑体" w:cs="黑体"/>
                <w:b/>
                <w:bCs/>
                <w:color w:val="000000" w:themeColor="text1"/>
                <w:sz w:val="21"/>
                <w:szCs w:val="21"/>
              </w:rPr>
              <w:t>ug/m</w:t>
            </w:r>
            <w:r>
              <w:rPr>
                <w:rFonts w:ascii="黑体" w:hAnsi="黑体" w:eastAsia="黑体" w:cs="黑体"/>
                <w:b/>
                <w:bCs/>
                <w:color w:val="000000" w:themeColor="text1"/>
                <w:sz w:val="21"/>
                <w:szCs w:val="21"/>
                <w:vertAlign w:val="superscript"/>
              </w:rPr>
              <w:t>3</w:t>
            </w:r>
          </w:p>
          <w:tbl>
            <w:tblPr>
              <w:tblStyle w:val="19"/>
              <w:tblW w:w="8220"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519"/>
              <w:gridCol w:w="1270"/>
              <w:gridCol w:w="1811"/>
              <w:gridCol w:w="1811"/>
              <w:gridCol w:w="1809"/>
            </w:tblGrid>
            <w:tr w14:paraId="35FFDEC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8" w:hRule="exact"/>
                <w:jc w:val="center"/>
              </w:trPr>
              <w:tc>
                <w:tcPr>
                  <w:tcW w:w="1519" w:type="dxa"/>
                  <w:vMerge w:val="restart"/>
                  <w:vAlign w:val="center"/>
                </w:tcPr>
                <w:p w14:paraId="04465FE9">
                  <w:pPr>
                    <w:overflowPunct w:val="0"/>
                    <w:jc w:val="center"/>
                    <w:rPr>
                      <w:rFonts w:ascii="Times New Roman" w:hAnsi="Times New Roman"/>
                      <w:b/>
                      <w:color w:val="000000" w:themeColor="text1"/>
                      <w:kern w:val="28"/>
                      <w:sz w:val="21"/>
                      <w:szCs w:val="21"/>
                    </w:rPr>
                  </w:pPr>
                  <w:r>
                    <w:rPr>
                      <w:rFonts w:hint="eastAsia" w:ascii="Times New Roman" w:hAnsi="Times New Roman"/>
                      <w:b/>
                      <w:color w:val="000000" w:themeColor="text1"/>
                      <w:kern w:val="28"/>
                      <w:sz w:val="21"/>
                      <w:szCs w:val="21"/>
                    </w:rPr>
                    <w:t>监测点名称</w:t>
                  </w:r>
                </w:p>
              </w:tc>
              <w:tc>
                <w:tcPr>
                  <w:tcW w:w="1270" w:type="dxa"/>
                  <w:vMerge w:val="restart"/>
                  <w:vAlign w:val="center"/>
                </w:tcPr>
                <w:p w14:paraId="517C69A7">
                  <w:pPr>
                    <w:overflowPunct w:val="0"/>
                    <w:jc w:val="center"/>
                    <w:rPr>
                      <w:rFonts w:ascii="Times New Roman" w:hAnsi="Times New Roman"/>
                      <w:b/>
                      <w:color w:val="000000" w:themeColor="text1"/>
                      <w:kern w:val="28"/>
                      <w:sz w:val="21"/>
                      <w:szCs w:val="21"/>
                    </w:rPr>
                  </w:pPr>
                  <w:r>
                    <w:rPr>
                      <w:rFonts w:hint="eastAsia" w:ascii="Times New Roman" w:hAnsi="Times New Roman"/>
                      <w:b/>
                      <w:color w:val="000000" w:themeColor="text1"/>
                      <w:kern w:val="28"/>
                      <w:sz w:val="21"/>
                      <w:szCs w:val="21"/>
                    </w:rPr>
                    <w:t>监测时间</w:t>
                  </w:r>
                </w:p>
              </w:tc>
              <w:tc>
                <w:tcPr>
                  <w:tcW w:w="5431" w:type="dxa"/>
                  <w:gridSpan w:val="3"/>
                  <w:vAlign w:val="center"/>
                </w:tcPr>
                <w:p w14:paraId="6DDD4811">
                  <w:pPr>
                    <w:overflowPunct w:val="0"/>
                    <w:jc w:val="center"/>
                    <w:rPr>
                      <w:rFonts w:hint="eastAsia" w:ascii="Times New Roman" w:hAnsi="Times New Roman"/>
                      <w:b/>
                      <w:snapToGrid w:val="0"/>
                      <w:color w:val="000000" w:themeColor="text1"/>
                      <w:sz w:val="21"/>
                      <w:szCs w:val="21"/>
                    </w:rPr>
                  </w:pPr>
                  <w:r>
                    <w:rPr>
                      <w:rFonts w:hint="eastAsia" w:ascii="Times New Roman" w:hAnsi="Times New Roman"/>
                      <w:b/>
                      <w:snapToGrid w:val="0"/>
                      <w:color w:val="000000" w:themeColor="text1"/>
                      <w:sz w:val="21"/>
                      <w:szCs w:val="21"/>
                    </w:rPr>
                    <w:t>评价项目及结果</w:t>
                  </w:r>
                </w:p>
              </w:tc>
            </w:tr>
            <w:tr w14:paraId="444FA8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7" w:hRule="exact"/>
                <w:jc w:val="center"/>
              </w:trPr>
              <w:tc>
                <w:tcPr>
                  <w:tcW w:w="1519" w:type="dxa"/>
                  <w:vMerge w:val="continue"/>
                  <w:tcBorders>
                    <w:bottom w:val="single" w:color="000000" w:sz="12" w:space="0"/>
                  </w:tcBorders>
                  <w:vAlign w:val="center"/>
                </w:tcPr>
                <w:p w14:paraId="0695F7B6">
                  <w:pPr>
                    <w:overflowPunct w:val="0"/>
                    <w:ind w:left="480" w:leftChars="200"/>
                    <w:jc w:val="center"/>
                    <w:rPr>
                      <w:rFonts w:ascii="Times New Roman" w:hAnsi="Times New Roman"/>
                      <w:b/>
                      <w:color w:val="000000" w:themeColor="text1"/>
                      <w:kern w:val="28"/>
                      <w:sz w:val="21"/>
                      <w:szCs w:val="21"/>
                    </w:rPr>
                  </w:pPr>
                </w:p>
              </w:tc>
              <w:tc>
                <w:tcPr>
                  <w:tcW w:w="1270" w:type="dxa"/>
                  <w:vMerge w:val="continue"/>
                  <w:tcBorders>
                    <w:bottom w:val="single" w:color="000000" w:sz="12" w:space="0"/>
                  </w:tcBorders>
                  <w:vAlign w:val="center"/>
                </w:tcPr>
                <w:p w14:paraId="22B32250">
                  <w:pPr>
                    <w:overflowPunct w:val="0"/>
                    <w:ind w:left="480" w:leftChars="200"/>
                    <w:jc w:val="center"/>
                    <w:rPr>
                      <w:rFonts w:ascii="Times New Roman" w:hAnsi="Times New Roman"/>
                      <w:b/>
                      <w:color w:val="000000" w:themeColor="text1"/>
                      <w:kern w:val="28"/>
                      <w:sz w:val="21"/>
                      <w:szCs w:val="21"/>
                    </w:rPr>
                  </w:pPr>
                </w:p>
              </w:tc>
              <w:tc>
                <w:tcPr>
                  <w:tcW w:w="1811" w:type="dxa"/>
                  <w:tcBorders>
                    <w:bottom w:val="single" w:color="000000" w:sz="12" w:space="0"/>
                  </w:tcBorders>
                  <w:vAlign w:val="center"/>
                </w:tcPr>
                <w:p w14:paraId="33CD83F3">
                  <w:pPr>
                    <w:overflowPunct w:val="0"/>
                    <w:jc w:val="center"/>
                    <w:rPr>
                      <w:rFonts w:ascii="Times New Roman" w:hAnsi="Times New Roman"/>
                      <w:b/>
                      <w:color w:val="000000" w:themeColor="text1"/>
                      <w:kern w:val="28"/>
                      <w:sz w:val="21"/>
                      <w:szCs w:val="21"/>
                    </w:rPr>
                  </w:pPr>
                  <w:r>
                    <w:rPr>
                      <w:rFonts w:ascii="Times New Roman" w:hAnsi="Times New Roman"/>
                      <w:b/>
                      <w:color w:val="000000" w:themeColor="text1"/>
                      <w:kern w:val="28"/>
                      <w:sz w:val="21"/>
                      <w:szCs w:val="21"/>
                    </w:rPr>
                    <w:t>SO</w:t>
                  </w:r>
                  <w:r>
                    <w:rPr>
                      <w:rFonts w:ascii="Times New Roman" w:hAnsi="Times New Roman"/>
                      <w:b/>
                      <w:color w:val="000000" w:themeColor="text1"/>
                      <w:kern w:val="28"/>
                      <w:sz w:val="21"/>
                      <w:szCs w:val="21"/>
                      <w:vertAlign w:val="subscript"/>
                    </w:rPr>
                    <w:t>2</w:t>
                  </w:r>
                </w:p>
              </w:tc>
              <w:tc>
                <w:tcPr>
                  <w:tcW w:w="1811" w:type="dxa"/>
                  <w:tcBorders>
                    <w:bottom w:val="single" w:color="000000" w:sz="12" w:space="0"/>
                  </w:tcBorders>
                  <w:vAlign w:val="center"/>
                </w:tcPr>
                <w:p w14:paraId="21F85E1A">
                  <w:pPr>
                    <w:overflowPunct w:val="0"/>
                    <w:jc w:val="center"/>
                    <w:rPr>
                      <w:rFonts w:ascii="Times New Roman" w:hAnsi="Times New Roman"/>
                      <w:b/>
                      <w:color w:val="000000" w:themeColor="text1"/>
                      <w:kern w:val="28"/>
                      <w:sz w:val="21"/>
                      <w:szCs w:val="21"/>
                    </w:rPr>
                  </w:pPr>
                  <w:r>
                    <w:rPr>
                      <w:rFonts w:ascii="Times New Roman" w:hAnsi="Times New Roman"/>
                      <w:b/>
                      <w:color w:val="000000" w:themeColor="text1"/>
                      <w:kern w:val="28"/>
                      <w:sz w:val="21"/>
                      <w:szCs w:val="21"/>
                    </w:rPr>
                    <w:t>NO</w:t>
                  </w:r>
                  <w:r>
                    <w:rPr>
                      <w:rFonts w:ascii="Times New Roman" w:hAnsi="Times New Roman"/>
                      <w:b/>
                      <w:color w:val="000000" w:themeColor="text1"/>
                      <w:kern w:val="28"/>
                      <w:sz w:val="21"/>
                      <w:szCs w:val="21"/>
                      <w:vertAlign w:val="subscript"/>
                    </w:rPr>
                    <w:t>2</w:t>
                  </w:r>
                </w:p>
              </w:tc>
              <w:tc>
                <w:tcPr>
                  <w:tcW w:w="1809" w:type="dxa"/>
                  <w:tcBorders>
                    <w:bottom w:val="single" w:color="000000" w:sz="12" w:space="0"/>
                  </w:tcBorders>
                  <w:vAlign w:val="center"/>
                </w:tcPr>
                <w:p w14:paraId="795723EE">
                  <w:pPr>
                    <w:jc w:val="center"/>
                    <w:rPr>
                      <w:rFonts w:hint="eastAsia" w:ascii="Times New Roman" w:hAnsi="Times New Roman" w:eastAsia="宋体"/>
                      <w:b/>
                      <w:color w:val="000000" w:themeColor="text1"/>
                      <w:sz w:val="21"/>
                      <w:szCs w:val="21"/>
                      <w:lang w:val="en-US" w:eastAsia="zh-CN"/>
                    </w:rPr>
                  </w:pPr>
                  <w:r>
                    <w:rPr>
                      <w:rFonts w:hint="eastAsia" w:ascii="Times New Roman" w:hAnsi="Times New Roman"/>
                      <w:b/>
                      <w:color w:val="000000" w:themeColor="text1"/>
                      <w:sz w:val="21"/>
                      <w:szCs w:val="21"/>
                      <w:lang w:val="en-US" w:eastAsia="zh-CN"/>
                    </w:rPr>
                    <w:t>PM</w:t>
                  </w:r>
                  <w:r>
                    <w:rPr>
                      <w:rFonts w:hint="eastAsia" w:ascii="Times New Roman" w:hAnsi="Times New Roman"/>
                      <w:b/>
                      <w:color w:val="000000" w:themeColor="text1"/>
                      <w:sz w:val="21"/>
                      <w:szCs w:val="21"/>
                      <w:vertAlign w:val="subscript"/>
                      <w:lang w:val="en-US" w:eastAsia="zh-CN"/>
                    </w:rPr>
                    <w:t>2.5</w:t>
                  </w:r>
                </w:p>
                <w:p w14:paraId="1F582C0E">
                  <w:pPr>
                    <w:overflowPunct w:val="0"/>
                    <w:jc w:val="center"/>
                    <w:rPr>
                      <w:rFonts w:ascii="Times New Roman" w:hAnsi="Times New Roman"/>
                      <w:b/>
                      <w:color w:val="000000" w:themeColor="text1"/>
                      <w:kern w:val="28"/>
                      <w:sz w:val="21"/>
                      <w:szCs w:val="21"/>
                    </w:rPr>
                  </w:pPr>
                  <w:r>
                    <w:rPr>
                      <w:rFonts w:ascii="Times New Roman" w:hAnsi="Times New Roman"/>
                      <w:b/>
                      <w:color w:val="000000" w:themeColor="text1"/>
                      <w:kern w:val="28"/>
                      <w:sz w:val="21"/>
                      <w:szCs w:val="21"/>
                    </w:rPr>
                    <w:t>SO</w:t>
                  </w:r>
                  <w:r>
                    <w:rPr>
                      <w:rFonts w:ascii="Times New Roman" w:hAnsi="Times New Roman"/>
                      <w:b/>
                      <w:color w:val="000000" w:themeColor="text1"/>
                      <w:kern w:val="28"/>
                      <w:sz w:val="21"/>
                      <w:szCs w:val="21"/>
                      <w:vertAlign w:val="subscript"/>
                    </w:rPr>
                    <w:t>2</w:t>
                  </w:r>
                </w:p>
                <w:p w14:paraId="6F67D95F">
                  <w:pPr>
                    <w:overflowPunct w:val="0"/>
                    <w:jc w:val="center"/>
                    <w:rPr>
                      <w:rFonts w:ascii="Times New Roman" w:hAnsi="Times New Roman"/>
                      <w:b/>
                      <w:color w:val="000000" w:themeColor="text1"/>
                      <w:kern w:val="28"/>
                      <w:sz w:val="21"/>
                      <w:szCs w:val="21"/>
                    </w:rPr>
                  </w:pPr>
                  <w:r>
                    <w:rPr>
                      <w:rFonts w:ascii="Times New Roman" w:hAnsi="Times New Roman"/>
                      <w:b/>
                      <w:color w:val="000000" w:themeColor="text1"/>
                      <w:kern w:val="28"/>
                      <w:sz w:val="21"/>
                      <w:szCs w:val="21"/>
                    </w:rPr>
                    <w:t>NO</w:t>
                  </w:r>
                  <w:r>
                    <w:rPr>
                      <w:rFonts w:ascii="Times New Roman" w:hAnsi="Times New Roman"/>
                      <w:b/>
                      <w:color w:val="000000" w:themeColor="text1"/>
                      <w:kern w:val="28"/>
                      <w:sz w:val="21"/>
                      <w:szCs w:val="21"/>
                      <w:vertAlign w:val="subscript"/>
                    </w:rPr>
                    <w:t>2</w:t>
                  </w:r>
                </w:p>
              </w:tc>
            </w:tr>
            <w:tr w14:paraId="77BEFE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exact"/>
                <w:jc w:val="center"/>
              </w:trPr>
              <w:tc>
                <w:tcPr>
                  <w:tcW w:w="1519" w:type="dxa"/>
                  <w:vMerge w:val="restart"/>
                  <w:tcBorders>
                    <w:top w:val="single" w:color="000000" w:sz="12" w:space="0"/>
                    <w:tl2br w:val="nil"/>
                    <w:tr2bl w:val="nil"/>
                  </w:tcBorders>
                  <w:vAlign w:val="center"/>
                </w:tcPr>
                <w:p w14:paraId="020AC6A2">
                  <w:pPr>
                    <w:overflowPunct w:val="0"/>
                    <w:jc w:val="center"/>
                    <w:rPr>
                      <w:rFonts w:hint="eastAsia" w:ascii="Times New Roman" w:hAnsi="Times New Roman" w:eastAsia="宋体"/>
                      <w:color w:val="000000" w:themeColor="text1"/>
                      <w:kern w:val="28"/>
                      <w:sz w:val="21"/>
                      <w:szCs w:val="21"/>
                      <w:lang w:eastAsia="zh-CN"/>
                    </w:rPr>
                  </w:pPr>
                  <w:r>
                    <w:rPr>
                      <w:rFonts w:hint="eastAsia" w:ascii="Times New Roman" w:hAnsi="Times New Roman"/>
                      <w:color w:val="000000" w:themeColor="text1"/>
                      <w:kern w:val="28"/>
                      <w:sz w:val="21"/>
                      <w:szCs w:val="21"/>
                      <w:lang w:eastAsia="zh-CN"/>
                    </w:rPr>
                    <w:t>项目区上风向</w:t>
                  </w:r>
                </w:p>
              </w:tc>
              <w:tc>
                <w:tcPr>
                  <w:tcW w:w="1270" w:type="dxa"/>
                  <w:tcBorders>
                    <w:top w:val="single" w:color="000000" w:sz="12" w:space="0"/>
                    <w:tl2br w:val="nil"/>
                    <w:tr2bl w:val="nil"/>
                  </w:tcBorders>
                  <w:vAlign w:val="center"/>
                </w:tcPr>
                <w:p w14:paraId="5726E49D">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4</w:t>
                  </w:r>
                  <w:r>
                    <w:rPr>
                      <w:rFonts w:hint="eastAsia" w:ascii="Times New Roman" w:hAnsi="Times New Roman"/>
                      <w:color w:val="000000" w:themeColor="text1"/>
                      <w:sz w:val="21"/>
                      <w:szCs w:val="21"/>
                    </w:rPr>
                    <w:t>日</w:t>
                  </w:r>
                </w:p>
              </w:tc>
              <w:tc>
                <w:tcPr>
                  <w:tcW w:w="1811" w:type="dxa"/>
                  <w:tcBorders>
                    <w:top w:val="single" w:color="000000" w:sz="12" w:space="0"/>
                    <w:tl2br w:val="nil"/>
                    <w:tr2bl w:val="nil"/>
                  </w:tcBorders>
                  <w:vAlign w:val="center"/>
                </w:tcPr>
                <w:p w14:paraId="485322B3">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24</w:t>
                  </w:r>
                </w:p>
              </w:tc>
              <w:tc>
                <w:tcPr>
                  <w:tcW w:w="1811" w:type="dxa"/>
                  <w:tcBorders>
                    <w:top w:val="single" w:color="000000" w:sz="12" w:space="0"/>
                    <w:tl2br w:val="nil"/>
                    <w:tr2bl w:val="nil"/>
                  </w:tcBorders>
                  <w:vAlign w:val="center"/>
                </w:tcPr>
                <w:p w14:paraId="386B845C">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21</w:t>
                  </w:r>
                </w:p>
              </w:tc>
              <w:tc>
                <w:tcPr>
                  <w:tcW w:w="1809" w:type="dxa"/>
                  <w:tcBorders>
                    <w:top w:val="single" w:color="000000" w:sz="12" w:space="0"/>
                    <w:tl2br w:val="nil"/>
                    <w:tr2bl w:val="nil"/>
                  </w:tcBorders>
                  <w:vAlign w:val="center"/>
                </w:tcPr>
                <w:p w14:paraId="06AF937A">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52</w:t>
                  </w:r>
                </w:p>
              </w:tc>
            </w:tr>
            <w:tr w14:paraId="091116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exact"/>
                <w:jc w:val="center"/>
              </w:trPr>
              <w:tc>
                <w:tcPr>
                  <w:tcW w:w="1519" w:type="dxa"/>
                  <w:vMerge w:val="continue"/>
                  <w:tcBorders>
                    <w:tl2br w:val="nil"/>
                    <w:tr2bl w:val="nil"/>
                  </w:tcBorders>
                  <w:vAlign w:val="center"/>
                </w:tcPr>
                <w:p w14:paraId="3D7A7555">
                  <w:pPr>
                    <w:overflowPunct w:val="0"/>
                    <w:ind w:left="480" w:leftChars="200"/>
                    <w:jc w:val="center"/>
                    <w:rPr>
                      <w:rFonts w:ascii="Times New Roman" w:hAnsi="Times New Roman"/>
                      <w:color w:val="000000" w:themeColor="text1"/>
                      <w:kern w:val="28"/>
                      <w:sz w:val="21"/>
                      <w:szCs w:val="21"/>
                    </w:rPr>
                  </w:pPr>
                </w:p>
              </w:tc>
              <w:tc>
                <w:tcPr>
                  <w:tcW w:w="1270" w:type="dxa"/>
                  <w:tcBorders>
                    <w:tl2br w:val="nil"/>
                    <w:tr2bl w:val="nil"/>
                  </w:tcBorders>
                  <w:vAlign w:val="center"/>
                </w:tcPr>
                <w:p w14:paraId="4164AEBC">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5</w:t>
                  </w:r>
                  <w:r>
                    <w:rPr>
                      <w:rFonts w:hint="eastAsia" w:ascii="Times New Roman" w:hAnsi="Times New Roman"/>
                      <w:color w:val="000000" w:themeColor="text1"/>
                      <w:sz w:val="21"/>
                      <w:szCs w:val="21"/>
                    </w:rPr>
                    <w:t>日</w:t>
                  </w:r>
                </w:p>
              </w:tc>
              <w:tc>
                <w:tcPr>
                  <w:tcW w:w="1811" w:type="dxa"/>
                  <w:tcBorders>
                    <w:tl2br w:val="nil"/>
                    <w:tr2bl w:val="nil"/>
                  </w:tcBorders>
                  <w:vAlign w:val="center"/>
                </w:tcPr>
                <w:p w14:paraId="6EE7486A">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18</w:t>
                  </w:r>
                </w:p>
              </w:tc>
              <w:tc>
                <w:tcPr>
                  <w:tcW w:w="1811" w:type="dxa"/>
                  <w:tcBorders>
                    <w:tl2br w:val="nil"/>
                    <w:tr2bl w:val="nil"/>
                  </w:tcBorders>
                  <w:vAlign w:val="center"/>
                </w:tcPr>
                <w:p w14:paraId="54D66367">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22</w:t>
                  </w:r>
                </w:p>
              </w:tc>
              <w:tc>
                <w:tcPr>
                  <w:tcW w:w="1809" w:type="dxa"/>
                  <w:tcBorders>
                    <w:tl2br w:val="nil"/>
                    <w:tr2bl w:val="nil"/>
                  </w:tcBorders>
                  <w:vAlign w:val="center"/>
                </w:tcPr>
                <w:p w14:paraId="2804A402">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42</w:t>
                  </w:r>
                </w:p>
              </w:tc>
            </w:tr>
            <w:tr w14:paraId="0BD503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exact"/>
                <w:jc w:val="center"/>
              </w:trPr>
              <w:tc>
                <w:tcPr>
                  <w:tcW w:w="1519" w:type="dxa"/>
                  <w:vMerge w:val="continue"/>
                  <w:tcBorders>
                    <w:tl2br w:val="nil"/>
                    <w:tr2bl w:val="nil"/>
                  </w:tcBorders>
                  <w:vAlign w:val="center"/>
                </w:tcPr>
                <w:p w14:paraId="2031D131">
                  <w:pPr>
                    <w:overflowPunct w:val="0"/>
                    <w:ind w:left="480" w:leftChars="200"/>
                    <w:jc w:val="center"/>
                    <w:rPr>
                      <w:rFonts w:ascii="Times New Roman" w:hAnsi="Times New Roman"/>
                      <w:color w:val="000000" w:themeColor="text1"/>
                      <w:kern w:val="28"/>
                      <w:sz w:val="21"/>
                      <w:szCs w:val="21"/>
                    </w:rPr>
                  </w:pPr>
                </w:p>
              </w:tc>
              <w:tc>
                <w:tcPr>
                  <w:tcW w:w="1270" w:type="dxa"/>
                  <w:tcBorders>
                    <w:tl2br w:val="nil"/>
                    <w:tr2bl w:val="nil"/>
                  </w:tcBorders>
                  <w:vAlign w:val="center"/>
                </w:tcPr>
                <w:p w14:paraId="491CAAA5">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日</w:t>
                  </w:r>
                </w:p>
              </w:tc>
              <w:tc>
                <w:tcPr>
                  <w:tcW w:w="1811" w:type="dxa"/>
                  <w:tcBorders>
                    <w:tl2br w:val="nil"/>
                    <w:tr2bl w:val="nil"/>
                  </w:tcBorders>
                  <w:vAlign w:val="center"/>
                </w:tcPr>
                <w:p w14:paraId="5E1DD825">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32</w:t>
                  </w:r>
                </w:p>
              </w:tc>
              <w:tc>
                <w:tcPr>
                  <w:tcW w:w="1811" w:type="dxa"/>
                  <w:tcBorders>
                    <w:tl2br w:val="nil"/>
                    <w:tr2bl w:val="nil"/>
                  </w:tcBorders>
                  <w:vAlign w:val="center"/>
                </w:tcPr>
                <w:p w14:paraId="4CBD7F5D">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28</w:t>
                  </w:r>
                </w:p>
              </w:tc>
              <w:tc>
                <w:tcPr>
                  <w:tcW w:w="1809" w:type="dxa"/>
                  <w:tcBorders>
                    <w:tl2br w:val="nil"/>
                    <w:tr2bl w:val="nil"/>
                  </w:tcBorders>
                  <w:vAlign w:val="center"/>
                </w:tcPr>
                <w:p w14:paraId="7F6701CB">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45</w:t>
                  </w:r>
                </w:p>
              </w:tc>
            </w:tr>
            <w:tr w14:paraId="15A5B7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exact"/>
                <w:jc w:val="center"/>
              </w:trPr>
              <w:tc>
                <w:tcPr>
                  <w:tcW w:w="1519" w:type="dxa"/>
                  <w:vMerge w:val="continue"/>
                  <w:tcBorders>
                    <w:tl2br w:val="nil"/>
                    <w:tr2bl w:val="nil"/>
                  </w:tcBorders>
                  <w:vAlign w:val="center"/>
                </w:tcPr>
                <w:p w14:paraId="57F80A0F">
                  <w:pPr>
                    <w:overflowPunct w:val="0"/>
                    <w:ind w:left="480" w:leftChars="200"/>
                    <w:jc w:val="center"/>
                    <w:rPr>
                      <w:rFonts w:ascii="Times New Roman" w:hAnsi="Times New Roman"/>
                      <w:color w:val="000000" w:themeColor="text1"/>
                      <w:kern w:val="28"/>
                      <w:sz w:val="21"/>
                      <w:szCs w:val="21"/>
                    </w:rPr>
                  </w:pPr>
                </w:p>
              </w:tc>
              <w:tc>
                <w:tcPr>
                  <w:tcW w:w="1270" w:type="dxa"/>
                  <w:tcBorders>
                    <w:tl2br w:val="nil"/>
                    <w:tr2bl w:val="nil"/>
                  </w:tcBorders>
                  <w:vAlign w:val="center"/>
                </w:tcPr>
                <w:p w14:paraId="17ED43E0">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7</w:t>
                  </w:r>
                  <w:r>
                    <w:rPr>
                      <w:rFonts w:hint="eastAsia" w:ascii="Times New Roman" w:hAnsi="Times New Roman"/>
                      <w:color w:val="000000" w:themeColor="text1"/>
                      <w:sz w:val="21"/>
                      <w:szCs w:val="21"/>
                    </w:rPr>
                    <w:t>日</w:t>
                  </w:r>
                </w:p>
              </w:tc>
              <w:tc>
                <w:tcPr>
                  <w:tcW w:w="1811" w:type="dxa"/>
                  <w:tcBorders>
                    <w:tl2br w:val="nil"/>
                    <w:tr2bl w:val="nil"/>
                  </w:tcBorders>
                  <w:vAlign w:val="center"/>
                </w:tcPr>
                <w:p w14:paraId="6A8ADC9A">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34</w:t>
                  </w:r>
                </w:p>
              </w:tc>
              <w:tc>
                <w:tcPr>
                  <w:tcW w:w="1811" w:type="dxa"/>
                  <w:tcBorders>
                    <w:tl2br w:val="nil"/>
                    <w:tr2bl w:val="nil"/>
                  </w:tcBorders>
                  <w:vAlign w:val="center"/>
                </w:tcPr>
                <w:p w14:paraId="4F5EBC23">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30</w:t>
                  </w:r>
                </w:p>
              </w:tc>
              <w:tc>
                <w:tcPr>
                  <w:tcW w:w="1809" w:type="dxa"/>
                  <w:tcBorders>
                    <w:tl2br w:val="nil"/>
                    <w:tr2bl w:val="nil"/>
                  </w:tcBorders>
                  <w:vAlign w:val="center"/>
                </w:tcPr>
                <w:p w14:paraId="5D08EF1D">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34</w:t>
                  </w:r>
                </w:p>
              </w:tc>
            </w:tr>
            <w:tr w14:paraId="799A80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exact"/>
                <w:jc w:val="center"/>
              </w:trPr>
              <w:tc>
                <w:tcPr>
                  <w:tcW w:w="1519" w:type="dxa"/>
                  <w:vMerge w:val="continue"/>
                  <w:tcBorders>
                    <w:tl2br w:val="nil"/>
                    <w:tr2bl w:val="nil"/>
                  </w:tcBorders>
                  <w:vAlign w:val="center"/>
                </w:tcPr>
                <w:p w14:paraId="50D3C47A">
                  <w:pPr>
                    <w:overflowPunct w:val="0"/>
                    <w:ind w:left="480" w:leftChars="200"/>
                    <w:jc w:val="center"/>
                    <w:rPr>
                      <w:rFonts w:ascii="Times New Roman" w:hAnsi="Times New Roman"/>
                      <w:color w:val="000000" w:themeColor="text1"/>
                      <w:kern w:val="28"/>
                      <w:sz w:val="21"/>
                      <w:szCs w:val="21"/>
                    </w:rPr>
                  </w:pPr>
                </w:p>
              </w:tc>
              <w:tc>
                <w:tcPr>
                  <w:tcW w:w="1270" w:type="dxa"/>
                  <w:tcBorders>
                    <w:tl2br w:val="nil"/>
                    <w:tr2bl w:val="nil"/>
                  </w:tcBorders>
                  <w:vAlign w:val="center"/>
                </w:tcPr>
                <w:p w14:paraId="406C4522">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8</w:t>
                  </w:r>
                  <w:r>
                    <w:rPr>
                      <w:rFonts w:hint="eastAsia" w:ascii="Times New Roman" w:hAnsi="Times New Roman"/>
                      <w:color w:val="000000" w:themeColor="text1"/>
                      <w:sz w:val="21"/>
                      <w:szCs w:val="21"/>
                    </w:rPr>
                    <w:t>日</w:t>
                  </w:r>
                </w:p>
              </w:tc>
              <w:tc>
                <w:tcPr>
                  <w:tcW w:w="1811" w:type="dxa"/>
                  <w:tcBorders>
                    <w:tl2br w:val="nil"/>
                    <w:tr2bl w:val="nil"/>
                  </w:tcBorders>
                  <w:vAlign w:val="center"/>
                </w:tcPr>
                <w:p w14:paraId="6F4BE0B6">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40</w:t>
                  </w:r>
                </w:p>
              </w:tc>
              <w:tc>
                <w:tcPr>
                  <w:tcW w:w="1811" w:type="dxa"/>
                  <w:tcBorders>
                    <w:tl2br w:val="nil"/>
                    <w:tr2bl w:val="nil"/>
                  </w:tcBorders>
                  <w:vAlign w:val="center"/>
                </w:tcPr>
                <w:p w14:paraId="2ECEC610">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35</w:t>
                  </w:r>
                </w:p>
              </w:tc>
              <w:tc>
                <w:tcPr>
                  <w:tcW w:w="1809" w:type="dxa"/>
                  <w:tcBorders>
                    <w:tl2br w:val="nil"/>
                    <w:tr2bl w:val="nil"/>
                  </w:tcBorders>
                  <w:vAlign w:val="center"/>
                </w:tcPr>
                <w:p w14:paraId="545129CA">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39</w:t>
                  </w:r>
                </w:p>
              </w:tc>
            </w:tr>
            <w:tr w14:paraId="6ECF81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exact"/>
                <w:jc w:val="center"/>
              </w:trPr>
              <w:tc>
                <w:tcPr>
                  <w:tcW w:w="1519" w:type="dxa"/>
                  <w:vMerge w:val="continue"/>
                  <w:tcBorders>
                    <w:tl2br w:val="nil"/>
                    <w:tr2bl w:val="nil"/>
                  </w:tcBorders>
                  <w:vAlign w:val="center"/>
                </w:tcPr>
                <w:p w14:paraId="1A281975">
                  <w:pPr>
                    <w:overflowPunct w:val="0"/>
                    <w:ind w:left="480" w:leftChars="200"/>
                    <w:jc w:val="center"/>
                    <w:rPr>
                      <w:rFonts w:ascii="Times New Roman" w:hAnsi="Times New Roman"/>
                      <w:color w:val="000000" w:themeColor="text1"/>
                      <w:kern w:val="28"/>
                      <w:sz w:val="21"/>
                      <w:szCs w:val="21"/>
                    </w:rPr>
                  </w:pPr>
                </w:p>
              </w:tc>
              <w:tc>
                <w:tcPr>
                  <w:tcW w:w="1270" w:type="dxa"/>
                  <w:tcBorders>
                    <w:tl2br w:val="nil"/>
                    <w:tr2bl w:val="nil"/>
                  </w:tcBorders>
                  <w:vAlign w:val="center"/>
                </w:tcPr>
                <w:p w14:paraId="6EAEAA02">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9</w:t>
                  </w:r>
                  <w:r>
                    <w:rPr>
                      <w:rFonts w:hint="eastAsia" w:ascii="Times New Roman" w:hAnsi="Times New Roman"/>
                      <w:color w:val="000000" w:themeColor="text1"/>
                      <w:sz w:val="21"/>
                      <w:szCs w:val="21"/>
                    </w:rPr>
                    <w:t>日</w:t>
                  </w:r>
                </w:p>
              </w:tc>
              <w:tc>
                <w:tcPr>
                  <w:tcW w:w="1811" w:type="dxa"/>
                  <w:tcBorders>
                    <w:tl2br w:val="nil"/>
                    <w:tr2bl w:val="nil"/>
                  </w:tcBorders>
                  <w:vAlign w:val="center"/>
                </w:tcPr>
                <w:p w14:paraId="58FDC08A">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34</w:t>
                  </w:r>
                </w:p>
              </w:tc>
              <w:tc>
                <w:tcPr>
                  <w:tcW w:w="1811" w:type="dxa"/>
                  <w:tcBorders>
                    <w:tl2br w:val="nil"/>
                    <w:tr2bl w:val="nil"/>
                  </w:tcBorders>
                  <w:vAlign w:val="center"/>
                </w:tcPr>
                <w:p w14:paraId="69D4BB49">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40</w:t>
                  </w:r>
                </w:p>
              </w:tc>
              <w:tc>
                <w:tcPr>
                  <w:tcW w:w="1809" w:type="dxa"/>
                  <w:tcBorders>
                    <w:tl2br w:val="nil"/>
                    <w:tr2bl w:val="nil"/>
                  </w:tcBorders>
                  <w:vAlign w:val="center"/>
                </w:tcPr>
                <w:p w14:paraId="1BA708FF">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46</w:t>
                  </w:r>
                </w:p>
              </w:tc>
            </w:tr>
            <w:tr w14:paraId="440813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exact"/>
                <w:jc w:val="center"/>
              </w:trPr>
              <w:tc>
                <w:tcPr>
                  <w:tcW w:w="1519" w:type="dxa"/>
                  <w:vMerge w:val="continue"/>
                  <w:tcBorders>
                    <w:tl2br w:val="nil"/>
                    <w:tr2bl w:val="nil"/>
                  </w:tcBorders>
                  <w:vAlign w:val="center"/>
                </w:tcPr>
                <w:p w14:paraId="7ACFFBCE">
                  <w:pPr>
                    <w:overflowPunct w:val="0"/>
                    <w:ind w:left="480" w:leftChars="200"/>
                    <w:jc w:val="center"/>
                    <w:rPr>
                      <w:rFonts w:ascii="Times New Roman" w:hAnsi="Times New Roman"/>
                      <w:color w:val="000000" w:themeColor="text1"/>
                      <w:kern w:val="28"/>
                      <w:sz w:val="21"/>
                      <w:szCs w:val="21"/>
                    </w:rPr>
                  </w:pPr>
                </w:p>
              </w:tc>
              <w:tc>
                <w:tcPr>
                  <w:tcW w:w="1270" w:type="dxa"/>
                  <w:tcBorders>
                    <w:tl2br w:val="nil"/>
                    <w:tr2bl w:val="nil"/>
                  </w:tcBorders>
                  <w:vAlign w:val="center"/>
                </w:tcPr>
                <w:p w14:paraId="1BC422A9">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10</w:t>
                  </w:r>
                  <w:r>
                    <w:rPr>
                      <w:rFonts w:hint="eastAsia" w:ascii="Times New Roman" w:hAnsi="Times New Roman"/>
                      <w:color w:val="000000" w:themeColor="text1"/>
                      <w:sz w:val="21"/>
                      <w:szCs w:val="21"/>
                    </w:rPr>
                    <w:t>日</w:t>
                  </w:r>
                </w:p>
              </w:tc>
              <w:tc>
                <w:tcPr>
                  <w:tcW w:w="1811" w:type="dxa"/>
                  <w:tcBorders>
                    <w:tl2br w:val="nil"/>
                    <w:tr2bl w:val="nil"/>
                  </w:tcBorders>
                  <w:vAlign w:val="center"/>
                </w:tcPr>
                <w:p w14:paraId="02E2A55F">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39</w:t>
                  </w:r>
                </w:p>
              </w:tc>
              <w:tc>
                <w:tcPr>
                  <w:tcW w:w="1811" w:type="dxa"/>
                  <w:tcBorders>
                    <w:tl2br w:val="nil"/>
                    <w:tr2bl w:val="nil"/>
                  </w:tcBorders>
                  <w:vAlign w:val="center"/>
                </w:tcPr>
                <w:p w14:paraId="1D450141">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42</w:t>
                  </w:r>
                </w:p>
              </w:tc>
              <w:tc>
                <w:tcPr>
                  <w:tcW w:w="1809" w:type="dxa"/>
                  <w:tcBorders>
                    <w:tl2br w:val="nil"/>
                    <w:tr2bl w:val="nil"/>
                  </w:tcBorders>
                  <w:vAlign w:val="center"/>
                </w:tcPr>
                <w:p w14:paraId="026EADB6">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49</w:t>
                  </w:r>
                </w:p>
              </w:tc>
            </w:tr>
            <w:tr w14:paraId="38E2044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 w:hRule="atLeast"/>
                <w:jc w:val="center"/>
              </w:trPr>
              <w:tc>
                <w:tcPr>
                  <w:tcW w:w="1519" w:type="dxa"/>
                  <w:vMerge w:val="restart"/>
                  <w:tcBorders>
                    <w:tl2br w:val="nil"/>
                    <w:tr2bl w:val="nil"/>
                  </w:tcBorders>
                  <w:vAlign w:val="center"/>
                </w:tcPr>
                <w:p w14:paraId="01779350">
                  <w:pPr>
                    <w:overflowPunct w:val="0"/>
                    <w:jc w:val="center"/>
                    <w:rPr>
                      <w:rFonts w:hint="eastAsia" w:ascii="Times New Roman" w:hAnsi="Times New Roman" w:eastAsia="宋体"/>
                      <w:color w:val="000000" w:themeColor="text1"/>
                      <w:kern w:val="28"/>
                      <w:sz w:val="21"/>
                      <w:szCs w:val="21"/>
                      <w:lang w:eastAsia="zh-CN"/>
                    </w:rPr>
                  </w:pPr>
                  <w:r>
                    <w:rPr>
                      <w:rFonts w:hint="eastAsia" w:ascii="Times New Roman" w:hAnsi="Times New Roman"/>
                      <w:color w:val="000000" w:themeColor="text1"/>
                      <w:kern w:val="28"/>
                      <w:sz w:val="21"/>
                      <w:szCs w:val="21"/>
                      <w:lang w:eastAsia="zh-CN"/>
                    </w:rPr>
                    <w:t>项目区下风向</w:t>
                  </w:r>
                </w:p>
              </w:tc>
              <w:tc>
                <w:tcPr>
                  <w:tcW w:w="1270" w:type="dxa"/>
                  <w:tcBorders>
                    <w:tl2br w:val="nil"/>
                    <w:tr2bl w:val="nil"/>
                  </w:tcBorders>
                  <w:vAlign w:val="center"/>
                </w:tcPr>
                <w:p w14:paraId="262DCA99">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4</w:t>
                  </w:r>
                  <w:r>
                    <w:rPr>
                      <w:rFonts w:hint="eastAsia" w:ascii="Times New Roman" w:hAnsi="Times New Roman"/>
                      <w:color w:val="000000" w:themeColor="text1"/>
                      <w:sz w:val="21"/>
                      <w:szCs w:val="21"/>
                    </w:rPr>
                    <w:t>日</w:t>
                  </w:r>
                </w:p>
              </w:tc>
              <w:tc>
                <w:tcPr>
                  <w:tcW w:w="1811" w:type="dxa"/>
                  <w:tcBorders>
                    <w:tl2br w:val="nil"/>
                    <w:tr2bl w:val="nil"/>
                  </w:tcBorders>
                  <w:vAlign w:val="center"/>
                </w:tcPr>
                <w:p w14:paraId="70318AE5">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28</w:t>
                  </w:r>
                </w:p>
              </w:tc>
              <w:tc>
                <w:tcPr>
                  <w:tcW w:w="1811" w:type="dxa"/>
                  <w:tcBorders>
                    <w:tl2br w:val="nil"/>
                    <w:tr2bl w:val="nil"/>
                  </w:tcBorders>
                  <w:vAlign w:val="center"/>
                </w:tcPr>
                <w:p w14:paraId="70876330">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28</w:t>
                  </w:r>
                </w:p>
              </w:tc>
              <w:tc>
                <w:tcPr>
                  <w:tcW w:w="1809" w:type="dxa"/>
                  <w:tcBorders>
                    <w:tl2br w:val="nil"/>
                    <w:tr2bl w:val="nil"/>
                  </w:tcBorders>
                  <w:vAlign w:val="center"/>
                </w:tcPr>
                <w:p w14:paraId="27869559">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58</w:t>
                  </w:r>
                </w:p>
              </w:tc>
            </w:tr>
            <w:tr w14:paraId="3E3FE0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 w:hRule="atLeast"/>
                <w:jc w:val="center"/>
              </w:trPr>
              <w:tc>
                <w:tcPr>
                  <w:tcW w:w="1519" w:type="dxa"/>
                  <w:vMerge w:val="continue"/>
                  <w:tcBorders>
                    <w:tl2br w:val="nil"/>
                    <w:tr2bl w:val="nil"/>
                  </w:tcBorders>
                  <w:vAlign w:val="center"/>
                </w:tcPr>
                <w:p w14:paraId="7EE49DD2">
                  <w:pPr>
                    <w:jc w:val="center"/>
                    <w:rPr>
                      <w:color w:val="000000" w:themeColor="text1"/>
                      <w:sz w:val="21"/>
                      <w:szCs w:val="21"/>
                    </w:rPr>
                  </w:pPr>
                </w:p>
              </w:tc>
              <w:tc>
                <w:tcPr>
                  <w:tcW w:w="1270" w:type="dxa"/>
                  <w:tcBorders>
                    <w:tl2br w:val="nil"/>
                    <w:tr2bl w:val="nil"/>
                  </w:tcBorders>
                  <w:vAlign w:val="center"/>
                </w:tcPr>
                <w:p w14:paraId="0FDF7A82">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5</w:t>
                  </w:r>
                  <w:r>
                    <w:rPr>
                      <w:rFonts w:hint="eastAsia" w:ascii="Times New Roman" w:hAnsi="Times New Roman"/>
                      <w:color w:val="000000" w:themeColor="text1"/>
                      <w:sz w:val="21"/>
                      <w:szCs w:val="21"/>
                    </w:rPr>
                    <w:t>日</w:t>
                  </w:r>
                </w:p>
              </w:tc>
              <w:tc>
                <w:tcPr>
                  <w:tcW w:w="1811" w:type="dxa"/>
                  <w:tcBorders>
                    <w:tl2br w:val="nil"/>
                    <w:tr2bl w:val="nil"/>
                  </w:tcBorders>
                  <w:vAlign w:val="center"/>
                </w:tcPr>
                <w:p w14:paraId="67CE14AE">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24</w:t>
                  </w:r>
                </w:p>
              </w:tc>
              <w:tc>
                <w:tcPr>
                  <w:tcW w:w="1811" w:type="dxa"/>
                  <w:tcBorders>
                    <w:tl2br w:val="nil"/>
                    <w:tr2bl w:val="nil"/>
                  </w:tcBorders>
                  <w:vAlign w:val="center"/>
                </w:tcPr>
                <w:p w14:paraId="250B612F">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26</w:t>
                  </w:r>
                </w:p>
              </w:tc>
              <w:tc>
                <w:tcPr>
                  <w:tcW w:w="1809" w:type="dxa"/>
                  <w:tcBorders>
                    <w:tl2br w:val="nil"/>
                    <w:tr2bl w:val="nil"/>
                  </w:tcBorders>
                  <w:vAlign w:val="center"/>
                </w:tcPr>
                <w:p w14:paraId="5254E1A2">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50</w:t>
                  </w:r>
                </w:p>
              </w:tc>
            </w:tr>
            <w:tr w14:paraId="43EDFE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 w:hRule="atLeast"/>
                <w:jc w:val="center"/>
              </w:trPr>
              <w:tc>
                <w:tcPr>
                  <w:tcW w:w="1519" w:type="dxa"/>
                  <w:vMerge w:val="continue"/>
                  <w:tcBorders>
                    <w:tl2br w:val="nil"/>
                    <w:tr2bl w:val="nil"/>
                  </w:tcBorders>
                  <w:vAlign w:val="center"/>
                </w:tcPr>
                <w:p w14:paraId="16AC91B2">
                  <w:pPr>
                    <w:jc w:val="center"/>
                    <w:rPr>
                      <w:rFonts w:hint="eastAsia" w:ascii="Times New Roman" w:hAnsi="Times New Roman"/>
                      <w:color w:val="000000" w:themeColor="text1"/>
                      <w:sz w:val="21"/>
                      <w:szCs w:val="21"/>
                      <w:lang w:val="en-US" w:eastAsia="zh-CN"/>
                    </w:rPr>
                  </w:pPr>
                </w:p>
              </w:tc>
              <w:tc>
                <w:tcPr>
                  <w:tcW w:w="1270" w:type="dxa"/>
                  <w:tcBorders>
                    <w:tl2br w:val="nil"/>
                    <w:tr2bl w:val="nil"/>
                  </w:tcBorders>
                  <w:vAlign w:val="center"/>
                </w:tcPr>
                <w:p w14:paraId="52B8A13A">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日</w:t>
                  </w:r>
                </w:p>
              </w:tc>
              <w:tc>
                <w:tcPr>
                  <w:tcW w:w="1811" w:type="dxa"/>
                  <w:tcBorders>
                    <w:tl2br w:val="nil"/>
                    <w:tr2bl w:val="nil"/>
                  </w:tcBorders>
                  <w:vAlign w:val="center"/>
                </w:tcPr>
                <w:p w14:paraId="0971FE93">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35</w:t>
                  </w:r>
                </w:p>
              </w:tc>
              <w:tc>
                <w:tcPr>
                  <w:tcW w:w="1811" w:type="dxa"/>
                  <w:tcBorders>
                    <w:tl2br w:val="nil"/>
                    <w:tr2bl w:val="nil"/>
                  </w:tcBorders>
                  <w:vAlign w:val="center"/>
                </w:tcPr>
                <w:p w14:paraId="47CA8B2D">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33</w:t>
                  </w:r>
                </w:p>
              </w:tc>
              <w:tc>
                <w:tcPr>
                  <w:tcW w:w="1809" w:type="dxa"/>
                  <w:tcBorders>
                    <w:tl2br w:val="nil"/>
                    <w:tr2bl w:val="nil"/>
                  </w:tcBorders>
                  <w:vAlign w:val="center"/>
                </w:tcPr>
                <w:p w14:paraId="4BA32C00">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59</w:t>
                  </w:r>
                </w:p>
              </w:tc>
            </w:tr>
            <w:tr w14:paraId="3FE0CD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 w:hRule="atLeast"/>
                <w:jc w:val="center"/>
              </w:trPr>
              <w:tc>
                <w:tcPr>
                  <w:tcW w:w="1519" w:type="dxa"/>
                  <w:vMerge w:val="continue"/>
                  <w:tcBorders>
                    <w:tl2br w:val="nil"/>
                    <w:tr2bl w:val="nil"/>
                  </w:tcBorders>
                  <w:vAlign w:val="center"/>
                </w:tcPr>
                <w:p w14:paraId="7E604E6E">
                  <w:pPr>
                    <w:jc w:val="center"/>
                    <w:rPr>
                      <w:rFonts w:hint="eastAsia" w:ascii="Times New Roman" w:hAnsi="Times New Roman"/>
                      <w:color w:val="000000" w:themeColor="text1"/>
                      <w:sz w:val="21"/>
                      <w:szCs w:val="21"/>
                      <w:lang w:val="en-US" w:eastAsia="zh-CN"/>
                    </w:rPr>
                  </w:pPr>
                </w:p>
              </w:tc>
              <w:tc>
                <w:tcPr>
                  <w:tcW w:w="1270" w:type="dxa"/>
                  <w:tcBorders>
                    <w:tl2br w:val="nil"/>
                    <w:tr2bl w:val="nil"/>
                  </w:tcBorders>
                  <w:vAlign w:val="center"/>
                </w:tcPr>
                <w:p w14:paraId="52B7ADA0">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7</w:t>
                  </w:r>
                  <w:r>
                    <w:rPr>
                      <w:rFonts w:hint="eastAsia" w:ascii="Times New Roman" w:hAnsi="Times New Roman"/>
                      <w:color w:val="000000" w:themeColor="text1"/>
                      <w:sz w:val="21"/>
                      <w:szCs w:val="21"/>
                    </w:rPr>
                    <w:t>日</w:t>
                  </w:r>
                </w:p>
              </w:tc>
              <w:tc>
                <w:tcPr>
                  <w:tcW w:w="1811" w:type="dxa"/>
                  <w:tcBorders>
                    <w:tl2br w:val="nil"/>
                    <w:tr2bl w:val="nil"/>
                  </w:tcBorders>
                  <w:vAlign w:val="center"/>
                </w:tcPr>
                <w:p w14:paraId="6C4CA545">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40</w:t>
                  </w:r>
                </w:p>
              </w:tc>
              <w:tc>
                <w:tcPr>
                  <w:tcW w:w="1811" w:type="dxa"/>
                  <w:tcBorders>
                    <w:tl2br w:val="nil"/>
                    <w:tr2bl w:val="nil"/>
                  </w:tcBorders>
                  <w:vAlign w:val="center"/>
                </w:tcPr>
                <w:p w14:paraId="155610A5">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37</w:t>
                  </w:r>
                </w:p>
              </w:tc>
              <w:tc>
                <w:tcPr>
                  <w:tcW w:w="1809" w:type="dxa"/>
                  <w:tcBorders>
                    <w:tl2br w:val="nil"/>
                    <w:tr2bl w:val="nil"/>
                  </w:tcBorders>
                  <w:vAlign w:val="center"/>
                </w:tcPr>
                <w:p w14:paraId="797F93DB">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44</w:t>
                  </w:r>
                </w:p>
              </w:tc>
            </w:tr>
            <w:tr w14:paraId="1F02DA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 w:hRule="atLeast"/>
                <w:jc w:val="center"/>
              </w:trPr>
              <w:tc>
                <w:tcPr>
                  <w:tcW w:w="1519" w:type="dxa"/>
                  <w:vMerge w:val="continue"/>
                  <w:tcBorders>
                    <w:tl2br w:val="nil"/>
                    <w:tr2bl w:val="nil"/>
                  </w:tcBorders>
                  <w:vAlign w:val="center"/>
                </w:tcPr>
                <w:p w14:paraId="6901B24C">
                  <w:pPr>
                    <w:jc w:val="center"/>
                    <w:rPr>
                      <w:rFonts w:hint="eastAsia" w:ascii="Times New Roman" w:hAnsi="Times New Roman"/>
                      <w:color w:val="000000" w:themeColor="text1"/>
                      <w:sz w:val="21"/>
                      <w:szCs w:val="21"/>
                      <w:lang w:val="en-US" w:eastAsia="zh-CN"/>
                    </w:rPr>
                  </w:pPr>
                </w:p>
              </w:tc>
              <w:tc>
                <w:tcPr>
                  <w:tcW w:w="1270" w:type="dxa"/>
                  <w:tcBorders>
                    <w:tl2br w:val="nil"/>
                    <w:tr2bl w:val="nil"/>
                  </w:tcBorders>
                  <w:vAlign w:val="center"/>
                </w:tcPr>
                <w:p w14:paraId="1A9C6843">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8</w:t>
                  </w:r>
                  <w:r>
                    <w:rPr>
                      <w:rFonts w:hint="eastAsia" w:ascii="Times New Roman" w:hAnsi="Times New Roman"/>
                      <w:color w:val="000000" w:themeColor="text1"/>
                      <w:sz w:val="21"/>
                      <w:szCs w:val="21"/>
                    </w:rPr>
                    <w:t>日</w:t>
                  </w:r>
                </w:p>
              </w:tc>
              <w:tc>
                <w:tcPr>
                  <w:tcW w:w="1811" w:type="dxa"/>
                  <w:tcBorders>
                    <w:tl2br w:val="nil"/>
                    <w:tr2bl w:val="nil"/>
                  </w:tcBorders>
                  <w:vAlign w:val="center"/>
                </w:tcPr>
                <w:p w14:paraId="29C9747A">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47</w:t>
                  </w:r>
                </w:p>
              </w:tc>
              <w:tc>
                <w:tcPr>
                  <w:tcW w:w="1811" w:type="dxa"/>
                  <w:tcBorders>
                    <w:tl2br w:val="nil"/>
                    <w:tr2bl w:val="nil"/>
                  </w:tcBorders>
                  <w:vAlign w:val="center"/>
                </w:tcPr>
                <w:p w14:paraId="5073CD73">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43</w:t>
                  </w:r>
                </w:p>
              </w:tc>
              <w:tc>
                <w:tcPr>
                  <w:tcW w:w="1809" w:type="dxa"/>
                  <w:tcBorders>
                    <w:tl2br w:val="nil"/>
                    <w:tr2bl w:val="nil"/>
                  </w:tcBorders>
                  <w:vAlign w:val="center"/>
                </w:tcPr>
                <w:p w14:paraId="6D77AD10">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48</w:t>
                  </w:r>
                </w:p>
              </w:tc>
            </w:tr>
            <w:tr w14:paraId="77AD6F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 w:hRule="atLeast"/>
                <w:jc w:val="center"/>
              </w:trPr>
              <w:tc>
                <w:tcPr>
                  <w:tcW w:w="1519" w:type="dxa"/>
                  <w:vMerge w:val="continue"/>
                  <w:tcBorders>
                    <w:tl2br w:val="nil"/>
                    <w:tr2bl w:val="nil"/>
                  </w:tcBorders>
                  <w:vAlign w:val="center"/>
                </w:tcPr>
                <w:p w14:paraId="08539A7C">
                  <w:pPr>
                    <w:jc w:val="center"/>
                    <w:rPr>
                      <w:rFonts w:hint="eastAsia" w:ascii="Times New Roman" w:hAnsi="Times New Roman"/>
                      <w:color w:val="000000" w:themeColor="text1"/>
                      <w:sz w:val="21"/>
                      <w:szCs w:val="21"/>
                      <w:lang w:val="en-US" w:eastAsia="zh-CN"/>
                    </w:rPr>
                  </w:pPr>
                </w:p>
              </w:tc>
              <w:tc>
                <w:tcPr>
                  <w:tcW w:w="1270" w:type="dxa"/>
                  <w:tcBorders>
                    <w:tl2br w:val="nil"/>
                    <w:tr2bl w:val="nil"/>
                  </w:tcBorders>
                  <w:vAlign w:val="center"/>
                </w:tcPr>
                <w:p w14:paraId="6571E202">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9</w:t>
                  </w:r>
                  <w:r>
                    <w:rPr>
                      <w:rFonts w:hint="eastAsia" w:ascii="Times New Roman" w:hAnsi="Times New Roman"/>
                      <w:color w:val="000000" w:themeColor="text1"/>
                      <w:sz w:val="21"/>
                      <w:szCs w:val="21"/>
                    </w:rPr>
                    <w:t>日</w:t>
                  </w:r>
                </w:p>
              </w:tc>
              <w:tc>
                <w:tcPr>
                  <w:tcW w:w="1811" w:type="dxa"/>
                  <w:tcBorders>
                    <w:tl2br w:val="nil"/>
                    <w:tr2bl w:val="nil"/>
                  </w:tcBorders>
                  <w:vAlign w:val="center"/>
                </w:tcPr>
                <w:p w14:paraId="006FBBC8">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39</w:t>
                  </w:r>
                </w:p>
              </w:tc>
              <w:tc>
                <w:tcPr>
                  <w:tcW w:w="1811" w:type="dxa"/>
                  <w:tcBorders>
                    <w:tl2br w:val="nil"/>
                    <w:tr2bl w:val="nil"/>
                  </w:tcBorders>
                  <w:vAlign w:val="center"/>
                </w:tcPr>
                <w:p w14:paraId="2065A630">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47</w:t>
                  </w:r>
                </w:p>
              </w:tc>
              <w:tc>
                <w:tcPr>
                  <w:tcW w:w="1809" w:type="dxa"/>
                  <w:tcBorders>
                    <w:tl2br w:val="nil"/>
                    <w:tr2bl w:val="nil"/>
                  </w:tcBorders>
                  <w:vAlign w:val="center"/>
                </w:tcPr>
                <w:p w14:paraId="7E1A0B7D">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53</w:t>
                  </w:r>
                </w:p>
              </w:tc>
            </w:tr>
            <w:tr w14:paraId="14D3ED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 w:hRule="atLeast"/>
                <w:jc w:val="center"/>
              </w:trPr>
              <w:tc>
                <w:tcPr>
                  <w:tcW w:w="1519" w:type="dxa"/>
                  <w:vMerge w:val="continue"/>
                  <w:tcBorders>
                    <w:tl2br w:val="nil"/>
                    <w:tr2bl w:val="nil"/>
                  </w:tcBorders>
                  <w:vAlign w:val="center"/>
                </w:tcPr>
                <w:p w14:paraId="7C3D585A">
                  <w:pPr>
                    <w:jc w:val="center"/>
                    <w:rPr>
                      <w:rFonts w:hint="eastAsia" w:ascii="Times New Roman" w:hAnsi="Times New Roman"/>
                      <w:color w:val="000000" w:themeColor="text1"/>
                      <w:sz w:val="21"/>
                      <w:szCs w:val="21"/>
                      <w:lang w:val="en-US" w:eastAsia="zh-CN"/>
                    </w:rPr>
                  </w:pPr>
                </w:p>
              </w:tc>
              <w:tc>
                <w:tcPr>
                  <w:tcW w:w="1270" w:type="dxa"/>
                  <w:tcBorders>
                    <w:tl2br w:val="nil"/>
                    <w:tr2bl w:val="nil"/>
                  </w:tcBorders>
                  <w:vAlign w:val="center"/>
                </w:tcPr>
                <w:p w14:paraId="27DE7653">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6</w:t>
                  </w:r>
                  <w:r>
                    <w:rPr>
                      <w:rFonts w:hint="eastAsia" w:ascii="Times New Roman" w:hAnsi="Times New Roman"/>
                      <w:color w:val="000000" w:themeColor="text1"/>
                      <w:sz w:val="21"/>
                      <w:szCs w:val="21"/>
                    </w:rPr>
                    <w:t>月</w:t>
                  </w:r>
                  <w:r>
                    <w:rPr>
                      <w:rFonts w:hint="eastAsia" w:ascii="Times New Roman" w:hAnsi="Times New Roman"/>
                      <w:color w:val="000000" w:themeColor="text1"/>
                      <w:sz w:val="21"/>
                      <w:szCs w:val="21"/>
                      <w:lang w:val="en-US" w:eastAsia="zh-CN"/>
                    </w:rPr>
                    <w:t>10</w:t>
                  </w:r>
                  <w:r>
                    <w:rPr>
                      <w:rFonts w:hint="eastAsia" w:ascii="Times New Roman" w:hAnsi="Times New Roman"/>
                      <w:color w:val="000000" w:themeColor="text1"/>
                      <w:sz w:val="21"/>
                      <w:szCs w:val="21"/>
                    </w:rPr>
                    <w:t>日</w:t>
                  </w:r>
                </w:p>
              </w:tc>
              <w:tc>
                <w:tcPr>
                  <w:tcW w:w="1811" w:type="dxa"/>
                  <w:tcBorders>
                    <w:tl2br w:val="nil"/>
                    <w:tr2bl w:val="nil"/>
                  </w:tcBorders>
                  <w:vAlign w:val="center"/>
                </w:tcPr>
                <w:p w14:paraId="1F1C7864">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43</w:t>
                  </w:r>
                </w:p>
              </w:tc>
              <w:tc>
                <w:tcPr>
                  <w:tcW w:w="1811" w:type="dxa"/>
                  <w:tcBorders>
                    <w:tl2br w:val="nil"/>
                    <w:tr2bl w:val="nil"/>
                  </w:tcBorders>
                  <w:vAlign w:val="center"/>
                </w:tcPr>
                <w:p w14:paraId="64E6D06A">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50</w:t>
                  </w:r>
                </w:p>
              </w:tc>
              <w:tc>
                <w:tcPr>
                  <w:tcW w:w="1809" w:type="dxa"/>
                  <w:tcBorders>
                    <w:tl2br w:val="nil"/>
                    <w:tr2bl w:val="nil"/>
                  </w:tcBorders>
                  <w:vAlign w:val="center"/>
                </w:tcPr>
                <w:p w14:paraId="7ACC9E24">
                  <w:pPr>
                    <w:spacing w:line="280" w:lineRule="exact"/>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59</w:t>
                  </w:r>
                </w:p>
              </w:tc>
            </w:tr>
            <w:tr w14:paraId="4C3961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exact"/>
                <w:jc w:val="center"/>
              </w:trPr>
              <w:tc>
                <w:tcPr>
                  <w:tcW w:w="2789" w:type="dxa"/>
                  <w:gridSpan w:val="2"/>
                  <w:tcBorders>
                    <w:tl2br w:val="nil"/>
                    <w:tr2bl w:val="nil"/>
                  </w:tcBorders>
                  <w:vAlign w:val="center"/>
                </w:tcPr>
                <w:p w14:paraId="791D0AFA">
                  <w:pPr>
                    <w:overflowPunct w:val="0"/>
                    <w:jc w:val="center"/>
                    <w:rPr>
                      <w:rFonts w:ascii="Times New Roman" w:hAnsi="Times New Roman"/>
                      <w:color w:val="000000" w:themeColor="text1"/>
                      <w:kern w:val="28"/>
                      <w:sz w:val="21"/>
                      <w:szCs w:val="21"/>
                    </w:rPr>
                  </w:pPr>
                  <w:r>
                    <w:rPr>
                      <w:rFonts w:hint="eastAsia" w:ascii="Times New Roman" w:hAnsi="Times New Roman"/>
                      <w:color w:val="000000" w:themeColor="text1"/>
                      <w:sz w:val="21"/>
                      <w:szCs w:val="21"/>
                    </w:rPr>
                    <w:t>最大占标率（</w:t>
                  </w:r>
                  <w:r>
                    <w:rPr>
                      <w:rFonts w:ascii="Times New Roman" w:hAnsi="Times New Roman"/>
                      <w:color w:val="000000" w:themeColor="text1"/>
                      <w:sz w:val="21"/>
                      <w:szCs w:val="21"/>
                    </w:rPr>
                    <w:t>%</w:t>
                  </w:r>
                  <w:r>
                    <w:rPr>
                      <w:rFonts w:hint="eastAsia" w:ascii="Times New Roman" w:hAnsi="Times New Roman"/>
                      <w:color w:val="000000" w:themeColor="text1"/>
                      <w:sz w:val="21"/>
                      <w:szCs w:val="21"/>
                    </w:rPr>
                    <w:t>）</w:t>
                  </w:r>
                </w:p>
              </w:tc>
              <w:tc>
                <w:tcPr>
                  <w:tcW w:w="1811" w:type="dxa"/>
                  <w:tcBorders>
                    <w:tl2br w:val="nil"/>
                    <w:tr2bl w:val="nil"/>
                  </w:tcBorders>
                  <w:vAlign w:val="center"/>
                </w:tcPr>
                <w:p w14:paraId="7A6A7087">
                  <w:pPr>
                    <w:jc w:val="center"/>
                    <w:rPr>
                      <w:rFonts w:hint="eastAsia" w:ascii="Times New Roman" w:hAnsi="Times New Roman" w:eastAsia="宋体"/>
                      <w:color w:val="000000" w:themeColor="text1"/>
                      <w:kern w:val="28"/>
                      <w:sz w:val="21"/>
                      <w:szCs w:val="21"/>
                      <w:lang w:val="en-US" w:eastAsia="zh-CN"/>
                    </w:rPr>
                  </w:pPr>
                  <w:r>
                    <w:rPr>
                      <w:rFonts w:hint="eastAsia" w:ascii="Times New Roman" w:hAnsi="Times New Roman"/>
                      <w:color w:val="000000" w:themeColor="text1"/>
                      <w:kern w:val="28"/>
                      <w:sz w:val="21"/>
                      <w:szCs w:val="21"/>
                      <w:lang w:val="en-US" w:eastAsia="zh-CN"/>
                    </w:rPr>
                    <w:t>31.3</w:t>
                  </w:r>
                </w:p>
              </w:tc>
              <w:tc>
                <w:tcPr>
                  <w:tcW w:w="1811" w:type="dxa"/>
                  <w:tcBorders>
                    <w:tl2br w:val="nil"/>
                    <w:tr2bl w:val="nil"/>
                  </w:tcBorders>
                  <w:vAlign w:val="center"/>
                </w:tcPr>
                <w:p w14:paraId="6564D351">
                  <w:pPr>
                    <w:overflowPunct w:val="0"/>
                    <w:jc w:val="center"/>
                    <w:rPr>
                      <w:rFonts w:hint="eastAsia" w:ascii="Times New Roman" w:hAnsi="Times New Roman" w:eastAsia="宋体"/>
                      <w:color w:val="000000" w:themeColor="text1"/>
                      <w:kern w:val="28"/>
                      <w:sz w:val="21"/>
                      <w:szCs w:val="21"/>
                      <w:lang w:val="en-US" w:eastAsia="zh-CN"/>
                    </w:rPr>
                  </w:pPr>
                  <w:r>
                    <w:rPr>
                      <w:rFonts w:hint="eastAsia" w:ascii="Times New Roman" w:hAnsi="Times New Roman"/>
                      <w:color w:val="000000" w:themeColor="text1"/>
                      <w:kern w:val="28"/>
                      <w:sz w:val="21"/>
                      <w:szCs w:val="21"/>
                      <w:lang w:val="en-US" w:eastAsia="zh-CN"/>
                    </w:rPr>
                    <w:t>62.5</w:t>
                  </w:r>
                </w:p>
              </w:tc>
              <w:tc>
                <w:tcPr>
                  <w:tcW w:w="1809" w:type="dxa"/>
                  <w:tcBorders>
                    <w:tl2br w:val="nil"/>
                    <w:tr2bl w:val="nil"/>
                  </w:tcBorders>
                  <w:vAlign w:val="center"/>
                </w:tcPr>
                <w:p w14:paraId="402D3C6B">
                  <w:pPr>
                    <w:overflowPunct w:val="0"/>
                    <w:jc w:val="center"/>
                    <w:rPr>
                      <w:rFonts w:hint="eastAsia" w:ascii="Times New Roman" w:hAnsi="Times New Roman"/>
                      <w:color w:val="000000" w:themeColor="text1"/>
                      <w:kern w:val="28"/>
                      <w:sz w:val="21"/>
                      <w:szCs w:val="21"/>
                      <w:lang w:val="en-US" w:eastAsia="zh-CN"/>
                    </w:rPr>
                  </w:pPr>
                  <w:r>
                    <w:rPr>
                      <w:rFonts w:hint="eastAsia" w:ascii="Times New Roman" w:hAnsi="Times New Roman"/>
                      <w:color w:val="000000" w:themeColor="text1"/>
                      <w:kern w:val="28"/>
                      <w:sz w:val="21"/>
                      <w:szCs w:val="21"/>
                      <w:lang w:val="en-US" w:eastAsia="zh-CN"/>
                    </w:rPr>
                    <w:t>78.7</w:t>
                  </w:r>
                </w:p>
              </w:tc>
            </w:tr>
            <w:tr w14:paraId="635028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4" w:hRule="exact"/>
                <w:jc w:val="center"/>
              </w:trPr>
              <w:tc>
                <w:tcPr>
                  <w:tcW w:w="2789" w:type="dxa"/>
                  <w:gridSpan w:val="2"/>
                  <w:tcBorders>
                    <w:tl2br w:val="nil"/>
                    <w:tr2bl w:val="nil"/>
                  </w:tcBorders>
                  <w:vAlign w:val="center"/>
                </w:tcPr>
                <w:p w14:paraId="52A6D4A5">
                  <w:pPr>
                    <w:overflowPunct w:val="0"/>
                    <w:jc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sz w:val="21"/>
                      <w:szCs w:val="21"/>
                      <w:lang w:eastAsia="zh-CN"/>
                    </w:rPr>
                    <w:t>超标率（</w:t>
                  </w:r>
                  <w:r>
                    <w:rPr>
                      <w:rFonts w:hint="eastAsia" w:ascii="Times New Roman" w:hAnsi="Times New Roman"/>
                      <w:color w:val="000000" w:themeColor="text1"/>
                      <w:sz w:val="21"/>
                      <w:szCs w:val="21"/>
                      <w:lang w:val="en-US" w:eastAsia="zh-CN"/>
                    </w:rPr>
                    <w:t>%</w:t>
                  </w:r>
                  <w:r>
                    <w:rPr>
                      <w:rFonts w:hint="eastAsia" w:ascii="Times New Roman" w:hAnsi="Times New Roman"/>
                      <w:color w:val="000000" w:themeColor="text1"/>
                      <w:sz w:val="21"/>
                      <w:szCs w:val="21"/>
                      <w:lang w:eastAsia="zh-CN"/>
                    </w:rPr>
                    <w:t>）</w:t>
                  </w:r>
                </w:p>
              </w:tc>
              <w:tc>
                <w:tcPr>
                  <w:tcW w:w="1811" w:type="dxa"/>
                  <w:tcBorders>
                    <w:tl2br w:val="nil"/>
                    <w:tr2bl w:val="nil"/>
                  </w:tcBorders>
                  <w:vAlign w:val="center"/>
                </w:tcPr>
                <w:p w14:paraId="612A1936">
                  <w:pPr>
                    <w:jc w:val="center"/>
                    <w:rPr>
                      <w:rFonts w:hint="eastAsia" w:ascii="Times New Roman" w:hAnsi="Times New Roman" w:eastAsia="宋体"/>
                      <w:color w:val="000000" w:themeColor="text1"/>
                      <w:kern w:val="28"/>
                      <w:sz w:val="21"/>
                      <w:szCs w:val="21"/>
                      <w:lang w:val="en-US" w:eastAsia="zh-CN"/>
                    </w:rPr>
                  </w:pPr>
                  <w:r>
                    <w:rPr>
                      <w:rFonts w:hint="eastAsia" w:ascii="Times New Roman" w:hAnsi="Times New Roman"/>
                      <w:color w:val="000000" w:themeColor="text1"/>
                      <w:kern w:val="28"/>
                      <w:sz w:val="21"/>
                      <w:szCs w:val="21"/>
                      <w:lang w:val="en-US" w:eastAsia="zh-CN"/>
                    </w:rPr>
                    <w:t>0</w:t>
                  </w:r>
                </w:p>
              </w:tc>
              <w:tc>
                <w:tcPr>
                  <w:tcW w:w="1811" w:type="dxa"/>
                  <w:tcBorders>
                    <w:tl2br w:val="nil"/>
                    <w:tr2bl w:val="nil"/>
                  </w:tcBorders>
                  <w:vAlign w:val="center"/>
                </w:tcPr>
                <w:p w14:paraId="7857D110">
                  <w:pPr>
                    <w:overflowPunct w:val="0"/>
                    <w:jc w:val="center"/>
                    <w:rPr>
                      <w:rFonts w:hint="eastAsia" w:ascii="Times New Roman" w:hAnsi="Times New Roman" w:eastAsia="宋体"/>
                      <w:color w:val="000000" w:themeColor="text1"/>
                      <w:kern w:val="28"/>
                      <w:sz w:val="21"/>
                      <w:szCs w:val="21"/>
                      <w:lang w:val="en-US" w:eastAsia="zh-CN"/>
                    </w:rPr>
                  </w:pPr>
                  <w:r>
                    <w:rPr>
                      <w:rFonts w:hint="eastAsia" w:ascii="Times New Roman" w:hAnsi="Times New Roman"/>
                      <w:color w:val="000000" w:themeColor="text1"/>
                      <w:kern w:val="28"/>
                      <w:sz w:val="21"/>
                      <w:szCs w:val="21"/>
                      <w:lang w:val="en-US" w:eastAsia="zh-CN"/>
                    </w:rPr>
                    <w:t>0</w:t>
                  </w:r>
                </w:p>
              </w:tc>
              <w:tc>
                <w:tcPr>
                  <w:tcW w:w="1809" w:type="dxa"/>
                  <w:tcBorders>
                    <w:tl2br w:val="nil"/>
                    <w:tr2bl w:val="nil"/>
                  </w:tcBorders>
                  <w:vAlign w:val="center"/>
                </w:tcPr>
                <w:p w14:paraId="304F0411">
                  <w:pPr>
                    <w:jc w:val="center"/>
                    <w:rPr>
                      <w:rFonts w:hint="eastAsia" w:ascii="Times New Roman" w:hAnsi="Times New Roman" w:eastAsia="宋体"/>
                      <w:color w:val="000000" w:themeColor="text1"/>
                      <w:kern w:val="28"/>
                      <w:sz w:val="21"/>
                      <w:szCs w:val="21"/>
                      <w:lang w:val="en-US" w:eastAsia="zh-CN"/>
                    </w:rPr>
                  </w:pPr>
                  <w:r>
                    <w:rPr>
                      <w:rFonts w:hint="eastAsia" w:ascii="Times New Roman" w:hAnsi="Times New Roman"/>
                      <w:color w:val="000000" w:themeColor="text1"/>
                      <w:kern w:val="28"/>
                      <w:sz w:val="21"/>
                      <w:szCs w:val="21"/>
                      <w:lang w:val="en-US" w:eastAsia="zh-CN"/>
                    </w:rPr>
                    <w:t>0</w:t>
                  </w:r>
                </w:p>
                <w:p w14:paraId="07650C49">
                  <w:pPr>
                    <w:overflowPunct w:val="0"/>
                    <w:jc w:val="center"/>
                    <w:rPr>
                      <w:rFonts w:hint="eastAsia" w:ascii="Times New Roman" w:hAnsi="Times New Roman"/>
                      <w:color w:val="000000" w:themeColor="text1"/>
                      <w:kern w:val="28"/>
                      <w:sz w:val="21"/>
                      <w:szCs w:val="21"/>
                      <w:lang w:val="en-US" w:eastAsia="zh-CN"/>
                    </w:rPr>
                  </w:pPr>
                  <w:r>
                    <w:rPr>
                      <w:rFonts w:hint="eastAsia" w:ascii="Times New Roman" w:hAnsi="Times New Roman"/>
                      <w:color w:val="000000" w:themeColor="text1"/>
                      <w:kern w:val="28"/>
                      <w:sz w:val="21"/>
                      <w:szCs w:val="21"/>
                      <w:lang w:val="en-US" w:eastAsia="zh-CN"/>
                    </w:rPr>
                    <w:t>0</w:t>
                  </w:r>
                </w:p>
              </w:tc>
            </w:tr>
          </w:tbl>
          <w:p w14:paraId="0327E51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olor w:val="000000" w:themeColor="text1"/>
                <w:sz w:val="24"/>
                <w:szCs w:val="24"/>
              </w:rPr>
            </w:pPr>
            <w:r>
              <w:rPr>
                <w:rFonts w:hint="eastAsia" w:ascii="Times New Roman" w:hAnsi="Times New Roman"/>
                <w:color w:val="000000" w:themeColor="text1"/>
                <w:sz w:val="24"/>
                <w:szCs w:val="24"/>
              </w:rPr>
              <w:t>由</w:t>
            </w:r>
            <w:r>
              <w:rPr>
                <w:rFonts w:hint="eastAsia" w:ascii="Times New Roman" w:hAnsi="Times New Roman"/>
                <w:color w:val="000000" w:themeColor="text1"/>
                <w:sz w:val="24"/>
                <w:szCs w:val="24"/>
                <w:lang w:val="en-US" w:eastAsia="zh-CN"/>
              </w:rPr>
              <w:t>上表</w:t>
            </w:r>
            <w:r>
              <w:rPr>
                <w:rFonts w:hint="eastAsia" w:ascii="Times New Roman" w:hAnsi="Times New Roman"/>
                <w:color w:val="000000" w:themeColor="text1"/>
                <w:sz w:val="24"/>
                <w:szCs w:val="24"/>
              </w:rPr>
              <w:t>的监测和评价结果可以看出，评价区域大气环境中</w:t>
            </w:r>
            <w:r>
              <w:rPr>
                <w:rFonts w:ascii="Times New Roman" w:hAnsi="Times New Roman"/>
                <w:color w:val="000000" w:themeColor="text1"/>
                <w:sz w:val="24"/>
                <w:szCs w:val="24"/>
              </w:rPr>
              <w:t>SO</w:t>
            </w:r>
            <w:r>
              <w:rPr>
                <w:rFonts w:ascii="Times New Roman" w:hAnsi="Times New Roman"/>
                <w:color w:val="000000" w:themeColor="text1"/>
                <w:sz w:val="24"/>
                <w:szCs w:val="24"/>
                <w:vertAlign w:val="subscript"/>
              </w:rPr>
              <w:t>2</w:t>
            </w:r>
            <w:r>
              <w:rPr>
                <w:rFonts w:hint="eastAsia" w:ascii="Times New Roman" w:hAnsi="Times New Roman"/>
                <w:color w:val="000000" w:themeColor="text1"/>
                <w:sz w:val="24"/>
                <w:szCs w:val="24"/>
              </w:rPr>
              <w:t>、</w:t>
            </w:r>
            <w:r>
              <w:rPr>
                <w:rFonts w:ascii="Times New Roman" w:hAnsi="Times New Roman"/>
                <w:color w:val="000000" w:themeColor="text1"/>
                <w:sz w:val="24"/>
                <w:szCs w:val="24"/>
              </w:rPr>
              <w:t>NO</w:t>
            </w:r>
            <w:r>
              <w:rPr>
                <w:rFonts w:ascii="Times New Roman" w:hAnsi="Times New Roman"/>
                <w:color w:val="000000" w:themeColor="text1"/>
                <w:sz w:val="24"/>
                <w:szCs w:val="24"/>
                <w:vertAlign w:val="subscript"/>
              </w:rPr>
              <w:t>2</w:t>
            </w:r>
            <w:r>
              <w:rPr>
                <w:rFonts w:hint="eastAsia" w:ascii="Times New Roman" w:hAnsi="Times New Roman"/>
                <w:color w:val="000000" w:themeColor="text1"/>
                <w:sz w:val="24"/>
                <w:szCs w:val="24"/>
              </w:rPr>
              <w:t>、</w:t>
            </w:r>
            <w:r>
              <w:rPr>
                <w:rFonts w:ascii="Times New Roman" w:hAnsi="Times New Roman"/>
                <w:color w:val="000000" w:themeColor="text1"/>
                <w:sz w:val="24"/>
                <w:szCs w:val="24"/>
              </w:rPr>
              <w:t>PM</w:t>
            </w:r>
            <w:r>
              <w:rPr>
                <w:rFonts w:hint="eastAsia" w:ascii="Times New Roman" w:hAnsi="Times New Roman"/>
                <w:color w:val="000000" w:themeColor="text1"/>
                <w:sz w:val="24"/>
                <w:szCs w:val="24"/>
                <w:vertAlign w:val="subscript"/>
                <w:lang w:val="en-US" w:eastAsia="zh-CN"/>
              </w:rPr>
              <w:t>2.5</w:t>
            </w:r>
            <w:r>
              <w:rPr>
                <w:rFonts w:hint="eastAsia" w:ascii="Times New Roman" w:hAnsi="Times New Roman"/>
                <w:color w:val="000000" w:themeColor="text1"/>
                <w:sz w:val="24"/>
                <w:szCs w:val="24"/>
              </w:rPr>
              <w:t>污染物日均值最大占标率小于</w:t>
            </w:r>
            <w:r>
              <w:rPr>
                <w:rFonts w:ascii="Times New Roman" w:hAnsi="Times New Roman"/>
                <w:color w:val="000000" w:themeColor="text1"/>
                <w:sz w:val="24"/>
                <w:szCs w:val="24"/>
              </w:rPr>
              <w:t>100%</w:t>
            </w:r>
            <w:r>
              <w:rPr>
                <w:rFonts w:hint="eastAsia" w:ascii="Times New Roman" w:hAnsi="Times New Roman"/>
                <w:color w:val="000000" w:themeColor="text1"/>
                <w:sz w:val="24"/>
                <w:szCs w:val="24"/>
              </w:rPr>
              <w:t>，说明监测点</w:t>
            </w:r>
            <w:r>
              <w:rPr>
                <w:rFonts w:ascii="Times New Roman" w:hAnsi="Times New Roman"/>
                <w:color w:val="000000" w:themeColor="text1"/>
                <w:sz w:val="24"/>
                <w:szCs w:val="24"/>
              </w:rPr>
              <w:t>SO</w:t>
            </w:r>
            <w:r>
              <w:rPr>
                <w:rFonts w:ascii="Times New Roman" w:hAnsi="Times New Roman"/>
                <w:color w:val="000000" w:themeColor="text1"/>
                <w:sz w:val="24"/>
                <w:szCs w:val="24"/>
                <w:vertAlign w:val="subscript"/>
              </w:rPr>
              <w:t>2</w:t>
            </w:r>
            <w:r>
              <w:rPr>
                <w:rFonts w:hint="eastAsia" w:ascii="Times New Roman" w:hAnsi="Times New Roman"/>
                <w:color w:val="000000" w:themeColor="text1"/>
                <w:sz w:val="24"/>
                <w:szCs w:val="24"/>
              </w:rPr>
              <w:t>、</w:t>
            </w:r>
            <w:r>
              <w:rPr>
                <w:rFonts w:ascii="Times New Roman" w:hAnsi="Times New Roman"/>
                <w:color w:val="000000" w:themeColor="text1"/>
                <w:sz w:val="24"/>
                <w:szCs w:val="24"/>
              </w:rPr>
              <w:t>NO</w:t>
            </w:r>
            <w:r>
              <w:rPr>
                <w:rFonts w:ascii="Times New Roman" w:hAnsi="Times New Roman"/>
                <w:color w:val="000000" w:themeColor="text1"/>
                <w:sz w:val="24"/>
                <w:szCs w:val="24"/>
                <w:vertAlign w:val="subscript"/>
              </w:rPr>
              <w:t>2</w:t>
            </w:r>
            <w:r>
              <w:rPr>
                <w:rFonts w:hint="eastAsia" w:ascii="Times New Roman" w:hAnsi="Times New Roman"/>
                <w:color w:val="000000" w:themeColor="text1"/>
                <w:sz w:val="24"/>
                <w:szCs w:val="24"/>
              </w:rPr>
              <w:t>、</w:t>
            </w:r>
            <w:r>
              <w:rPr>
                <w:rFonts w:ascii="Times New Roman" w:hAnsi="Times New Roman"/>
                <w:color w:val="000000" w:themeColor="text1"/>
                <w:sz w:val="24"/>
                <w:szCs w:val="24"/>
              </w:rPr>
              <w:t>PM</w:t>
            </w:r>
            <w:r>
              <w:rPr>
                <w:rFonts w:hint="eastAsia" w:ascii="Times New Roman" w:hAnsi="Times New Roman"/>
                <w:color w:val="000000" w:themeColor="text1"/>
                <w:sz w:val="24"/>
                <w:szCs w:val="24"/>
                <w:vertAlign w:val="subscript"/>
                <w:lang w:val="en-US" w:eastAsia="zh-CN"/>
              </w:rPr>
              <w:t>2.5</w:t>
            </w:r>
            <w:r>
              <w:rPr>
                <w:rFonts w:hint="eastAsia" w:ascii="Times New Roman" w:hAnsi="Times New Roman"/>
                <w:color w:val="000000" w:themeColor="text1"/>
                <w:sz w:val="24"/>
                <w:szCs w:val="24"/>
              </w:rPr>
              <w:t>在监测期间的日均浓度全部满足《环境空气质量标准》（</w:t>
            </w:r>
            <w:r>
              <w:rPr>
                <w:rFonts w:ascii="Times New Roman" w:hAnsi="Times New Roman"/>
                <w:color w:val="000000" w:themeColor="text1"/>
                <w:sz w:val="24"/>
                <w:szCs w:val="24"/>
              </w:rPr>
              <w:t>GB3095-2012</w:t>
            </w:r>
            <w:r>
              <w:rPr>
                <w:rFonts w:hint="eastAsia" w:ascii="Times New Roman" w:hAnsi="Times New Roman"/>
                <w:color w:val="000000" w:themeColor="text1"/>
                <w:sz w:val="24"/>
                <w:szCs w:val="24"/>
              </w:rPr>
              <w:t>）中的二级</w:t>
            </w:r>
            <w:r>
              <w:rPr>
                <w:rFonts w:hint="eastAsia" w:ascii="Times New Roman" w:hAnsi="Times New Roman"/>
                <w:color w:val="000000" w:themeColor="text1"/>
                <w:kern w:val="0"/>
                <w:sz w:val="24"/>
                <w:szCs w:val="24"/>
              </w:rPr>
              <w:t>标准日均浓度限值</w:t>
            </w:r>
            <w:r>
              <w:rPr>
                <w:rFonts w:hint="eastAsia" w:ascii="Times New Roman" w:hAnsi="Times New Roman"/>
                <w:color w:val="000000" w:themeColor="text1"/>
                <w:sz w:val="24"/>
                <w:szCs w:val="24"/>
              </w:rPr>
              <w:t>。由此可见，拟建项目区周围大气环境质量良好。</w:t>
            </w:r>
          </w:p>
          <w:p w14:paraId="439566B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甲烷和总烃的大气质量现状监测结果见表18。</w:t>
            </w:r>
          </w:p>
          <w:p w14:paraId="46387A4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2" w:firstLineChars="200"/>
              <w:jc w:val="both"/>
              <w:textAlignment w:val="auto"/>
              <w:outlineLvl w:val="9"/>
              <w:rPr>
                <w:rFonts w:hint="eastAsia" w:ascii="黑体" w:hAnsi="黑体" w:eastAsia="黑体" w:cs="黑体"/>
                <w:b/>
                <w:color w:val="000000" w:themeColor="text1"/>
                <w:sz w:val="21"/>
                <w:szCs w:val="21"/>
                <w:lang w:val="en-US" w:eastAsia="zh-CN"/>
              </w:rPr>
            </w:pPr>
            <w:r>
              <w:rPr>
                <w:rFonts w:hint="eastAsia" w:ascii="黑体" w:hAnsi="黑体" w:eastAsia="黑体" w:cs="黑体"/>
                <w:b/>
                <w:color w:val="000000" w:themeColor="text1"/>
                <w:sz w:val="21"/>
                <w:szCs w:val="21"/>
                <w:lang w:val="en-US" w:eastAsia="zh-CN"/>
              </w:rPr>
              <w:t>表18                 甲烷和总烃的大气质量现状监测结果</w:t>
            </w:r>
          </w:p>
          <w:tbl>
            <w:tblPr>
              <w:tblStyle w:val="20"/>
              <w:tblW w:w="8288"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1528"/>
              <w:gridCol w:w="1658"/>
              <w:gridCol w:w="1658"/>
              <w:gridCol w:w="1658"/>
            </w:tblGrid>
            <w:tr w14:paraId="20B6955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1786" w:type="dxa"/>
                  <w:vMerge w:val="restart"/>
                  <w:tcBorders>
                    <w:top w:val="single" w:color="auto" w:sz="12" w:space="0"/>
                  </w:tcBorders>
                  <w:vAlign w:val="center"/>
                </w:tcPr>
                <w:p w14:paraId="026544A2">
                  <w:pPr>
                    <w:ind w:left="0" w:leftChars="0" w:right="0" w:rightChars="0" w:firstLine="0" w:firstLineChars="0"/>
                    <w:jc w:val="center"/>
                    <w:rPr>
                      <w:rFonts w:hint="eastAsia" w:ascii="Times New Roman" w:hAnsi="Times New Roman"/>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日期</w:t>
                  </w:r>
                </w:p>
              </w:tc>
              <w:tc>
                <w:tcPr>
                  <w:tcW w:w="1528" w:type="dxa"/>
                  <w:vMerge w:val="restart"/>
                  <w:tcBorders>
                    <w:top w:val="single" w:color="auto" w:sz="12" w:space="0"/>
                  </w:tcBorders>
                  <w:vAlign w:val="center"/>
                </w:tcPr>
                <w:p w14:paraId="4702D24C">
                  <w:pPr>
                    <w:ind w:left="0" w:leftChars="0" w:right="0" w:rightChars="0" w:firstLine="0" w:firstLineChars="0"/>
                    <w:jc w:val="center"/>
                    <w:rPr>
                      <w:rFonts w:hint="eastAsia" w:ascii="Times New Roman" w:hAnsi="Times New Roman"/>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监测项目</w:t>
                  </w:r>
                </w:p>
              </w:tc>
              <w:tc>
                <w:tcPr>
                  <w:tcW w:w="3316" w:type="dxa"/>
                  <w:gridSpan w:val="2"/>
                  <w:tcBorders>
                    <w:top w:val="single" w:color="auto" w:sz="12" w:space="0"/>
                    <w:bottom w:val="single" w:color="auto" w:sz="4" w:space="0"/>
                  </w:tcBorders>
                  <w:vAlign w:val="center"/>
                </w:tcPr>
                <w:p w14:paraId="424C554B">
                  <w:pPr>
                    <w:ind w:left="0" w:leftChars="0" w:right="0" w:rightChars="0" w:firstLine="0" w:firstLineChars="0"/>
                    <w:jc w:val="center"/>
                    <w:rPr>
                      <w:rFonts w:hint="eastAsia" w:ascii="Times New Roman" w:hAnsi="Times New Roman"/>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分析结果（mg/m</w:t>
                  </w:r>
                  <w:r>
                    <w:rPr>
                      <w:rFonts w:hint="eastAsia" w:ascii="Times New Roman" w:hAnsi="Times New Roman"/>
                      <w:b/>
                      <w:bCs/>
                      <w:color w:val="000000" w:themeColor="text1"/>
                      <w:sz w:val="21"/>
                      <w:szCs w:val="21"/>
                      <w:vertAlign w:val="superscript"/>
                      <w:lang w:val="en-US" w:eastAsia="zh-CN"/>
                    </w:rPr>
                    <w:t>3</w:t>
                  </w:r>
                  <w:r>
                    <w:rPr>
                      <w:rFonts w:hint="eastAsia" w:ascii="Times New Roman" w:hAnsi="Times New Roman"/>
                      <w:b/>
                      <w:bCs/>
                      <w:color w:val="000000" w:themeColor="text1"/>
                      <w:sz w:val="21"/>
                      <w:szCs w:val="21"/>
                      <w:lang w:val="en-US" w:eastAsia="zh-CN"/>
                    </w:rPr>
                    <w:t>）</w:t>
                  </w:r>
                </w:p>
              </w:tc>
              <w:tc>
                <w:tcPr>
                  <w:tcW w:w="1658" w:type="dxa"/>
                  <w:vMerge w:val="restart"/>
                  <w:tcBorders>
                    <w:top w:val="single" w:color="auto" w:sz="12" w:space="0"/>
                  </w:tcBorders>
                  <w:vAlign w:val="center"/>
                </w:tcPr>
                <w:p w14:paraId="3DB483F5">
                  <w:pPr>
                    <w:ind w:left="0" w:leftChars="0" w:right="0" w:rightChars="0" w:firstLine="0" w:firstLineChars="0"/>
                    <w:jc w:val="center"/>
                    <w:rPr>
                      <w:rFonts w:hint="eastAsia" w:ascii="Times New Roman" w:hAnsi="Times New Roman"/>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分析方法及检出限</w:t>
                  </w:r>
                </w:p>
              </w:tc>
            </w:tr>
            <w:tr w14:paraId="11C697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1786" w:type="dxa"/>
                  <w:vMerge w:val="continue"/>
                  <w:tcBorders>
                    <w:bottom w:val="single" w:color="auto" w:sz="12" w:space="0"/>
                  </w:tcBorders>
                  <w:vAlign w:val="center"/>
                </w:tcPr>
                <w:p w14:paraId="01B9D7F2">
                  <w:pPr>
                    <w:ind w:left="0" w:leftChars="0" w:right="0" w:rightChars="0" w:firstLine="0" w:firstLineChars="0"/>
                    <w:jc w:val="center"/>
                    <w:rPr>
                      <w:color w:val="000000" w:themeColor="text1"/>
                    </w:rPr>
                  </w:pPr>
                </w:p>
              </w:tc>
              <w:tc>
                <w:tcPr>
                  <w:tcW w:w="1528" w:type="dxa"/>
                  <w:vMerge w:val="continue"/>
                  <w:tcBorders>
                    <w:bottom w:val="single" w:color="auto" w:sz="12" w:space="0"/>
                  </w:tcBorders>
                  <w:vAlign w:val="center"/>
                </w:tcPr>
                <w:p w14:paraId="713278A4">
                  <w:pPr>
                    <w:ind w:left="0" w:leftChars="0" w:right="0" w:rightChars="0" w:firstLine="0" w:firstLineChars="0"/>
                    <w:jc w:val="center"/>
                    <w:rPr>
                      <w:color w:val="000000" w:themeColor="text1"/>
                    </w:rPr>
                  </w:pPr>
                </w:p>
              </w:tc>
              <w:tc>
                <w:tcPr>
                  <w:tcW w:w="1658" w:type="dxa"/>
                  <w:tcBorders>
                    <w:top w:val="single" w:color="auto" w:sz="4" w:space="0"/>
                    <w:bottom w:val="single" w:color="auto" w:sz="12" w:space="0"/>
                  </w:tcBorders>
                  <w:vAlign w:val="center"/>
                </w:tcPr>
                <w:p w14:paraId="4066C62E">
                  <w:pPr>
                    <w:ind w:left="0" w:leftChars="0" w:right="0" w:rightChars="0" w:firstLine="0" w:firstLineChars="0"/>
                    <w:jc w:val="center"/>
                    <w:rPr>
                      <w:rFonts w:hint="eastAsia" w:ascii="Times New Roman" w:hAnsi="Times New Roman"/>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上风向</w:t>
                  </w:r>
                </w:p>
              </w:tc>
              <w:tc>
                <w:tcPr>
                  <w:tcW w:w="1658" w:type="dxa"/>
                  <w:tcBorders>
                    <w:bottom w:val="single" w:color="auto" w:sz="12" w:space="0"/>
                  </w:tcBorders>
                  <w:vAlign w:val="center"/>
                </w:tcPr>
                <w:p w14:paraId="0AFCEDAA">
                  <w:pPr>
                    <w:ind w:left="0" w:leftChars="0" w:right="0" w:rightChars="0" w:firstLine="0" w:firstLineChars="0"/>
                    <w:jc w:val="center"/>
                    <w:rPr>
                      <w:rFonts w:hint="eastAsia" w:ascii="Times New Roman" w:hAnsi="Times New Roman"/>
                      <w:b/>
                      <w:bCs/>
                      <w:color w:val="000000" w:themeColor="text1"/>
                      <w:sz w:val="21"/>
                      <w:szCs w:val="21"/>
                      <w:lang w:val="en-US" w:eastAsia="zh-CN"/>
                    </w:rPr>
                  </w:pPr>
                  <w:r>
                    <w:rPr>
                      <w:rFonts w:hint="eastAsia" w:ascii="Times New Roman" w:hAnsi="Times New Roman"/>
                      <w:b/>
                      <w:bCs/>
                      <w:color w:val="000000" w:themeColor="text1"/>
                      <w:sz w:val="21"/>
                      <w:szCs w:val="21"/>
                      <w:lang w:val="en-US" w:eastAsia="zh-CN"/>
                    </w:rPr>
                    <w:t>下风向</w:t>
                  </w:r>
                </w:p>
              </w:tc>
              <w:tc>
                <w:tcPr>
                  <w:tcW w:w="1658" w:type="dxa"/>
                  <w:vMerge w:val="continue"/>
                  <w:tcBorders>
                    <w:bottom w:val="single" w:color="auto" w:sz="12" w:space="0"/>
                  </w:tcBorders>
                  <w:vAlign w:val="center"/>
                </w:tcPr>
                <w:p w14:paraId="6BC14DDB">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4D347A5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op w:val="single" w:color="auto" w:sz="12" w:space="0"/>
                    <w:tl2br w:val="nil"/>
                    <w:tr2bl w:val="nil"/>
                  </w:tcBorders>
                  <w:vAlign w:val="center"/>
                </w:tcPr>
                <w:p w14:paraId="2A0319A8">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2018年6月4日</w:t>
                  </w:r>
                </w:p>
              </w:tc>
              <w:tc>
                <w:tcPr>
                  <w:tcW w:w="1528" w:type="dxa"/>
                  <w:vMerge w:val="restart"/>
                  <w:tcBorders>
                    <w:top w:val="single" w:color="auto" w:sz="12" w:space="0"/>
                    <w:tl2br w:val="nil"/>
                    <w:tr2bl w:val="nil"/>
                  </w:tcBorders>
                  <w:vAlign w:val="center"/>
                </w:tcPr>
                <w:p w14:paraId="0B020A27">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甲烷</w:t>
                  </w:r>
                </w:p>
              </w:tc>
              <w:tc>
                <w:tcPr>
                  <w:tcW w:w="1658" w:type="dxa"/>
                  <w:tcBorders>
                    <w:top w:val="single" w:color="auto" w:sz="12" w:space="0"/>
                    <w:tl2br w:val="nil"/>
                    <w:tr2bl w:val="nil"/>
                  </w:tcBorders>
                  <w:vAlign w:val="center"/>
                </w:tcPr>
                <w:p w14:paraId="734C1387">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1.72</w:t>
                  </w:r>
                </w:p>
              </w:tc>
              <w:tc>
                <w:tcPr>
                  <w:tcW w:w="1658" w:type="dxa"/>
                  <w:tcBorders>
                    <w:top w:val="single" w:color="auto" w:sz="12" w:space="0"/>
                    <w:tl2br w:val="nil"/>
                    <w:tr2bl w:val="nil"/>
                  </w:tcBorders>
                  <w:vAlign w:val="center"/>
                </w:tcPr>
                <w:p w14:paraId="7C12F760">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1.63</w:t>
                  </w:r>
                </w:p>
              </w:tc>
              <w:tc>
                <w:tcPr>
                  <w:tcW w:w="1658" w:type="dxa"/>
                  <w:vMerge w:val="restart"/>
                  <w:tcBorders>
                    <w:top w:val="single" w:color="auto" w:sz="12" w:space="0"/>
                    <w:tl2br w:val="nil"/>
                    <w:tr2bl w:val="nil"/>
                  </w:tcBorders>
                  <w:vAlign w:val="center"/>
                </w:tcPr>
                <w:p w14:paraId="2A1C6DAD">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环境空气  总烃、甲烷、非甲烷总烃的测定</w:t>
                  </w:r>
                </w:p>
                <w:p w14:paraId="6BA5A7BD">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气相色谱法</w:t>
                  </w:r>
                </w:p>
                <w:p w14:paraId="1ADCA26D">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HJ604-2017</w:t>
                  </w:r>
                </w:p>
                <w:p w14:paraId="7E5F2919">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0.06mg/m</w:t>
                  </w:r>
                  <w:r>
                    <w:rPr>
                      <w:rFonts w:hint="eastAsia" w:ascii="Times New Roman" w:hAnsi="Times New Roman"/>
                      <w:color w:val="000000" w:themeColor="text1"/>
                      <w:sz w:val="21"/>
                      <w:szCs w:val="21"/>
                      <w:vertAlign w:val="superscript"/>
                      <w:lang w:val="en-US" w:eastAsia="zh-CN"/>
                    </w:rPr>
                    <w:t>3</w:t>
                  </w:r>
                </w:p>
              </w:tc>
            </w:tr>
            <w:tr w14:paraId="51DC1B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74CC85C5">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2018年6月5日</w:t>
                  </w:r>
                </w:p>
              </w:tc>
              <w:tc>
                <w:tcPr>
                  <w:tcW w:w="1528" w:type="dxa"/>
                  <w:vMerge w:val="continue"/>
                  <w:tcBorders>
                    <w:tl2br w:val="nil"/>
                    <w:tr2bl w:val="nil"/>
                  </w:tcBorders>
                  <w:vAlign w:val="center"/>
                </w:tcPr>
                <w:p w14:paraId="1FFD1809">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37497564">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1.55</w:t>
                  </w:r>
                </w:p>
              </w:tc>
              <w:tc>
                <w:tcPr>
                  <w:tcW w:w="1658" w:type="dxa"/>
                  <w:tcBorders>
                    <w:tl2br w:val="nil"/>
                    <w:tr2bl w:val="nil"/>
                  </w:tcBorders>
                  <w:vAlign w:val="center"/>
                </w:tcPr>
                <w:p w14:paraId="37BCC1BE">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1.84</w:t>
                  </w:r>
                </w:p>
              </w:tc>
              <w:tc>
                <w:tcPr>
                  <w:tcW w:w="1658" w:type="dxa"/>
                  <w:vMerge w:val="continue"/>
                  <w:tcBorders>
                    <w:tl2br w:val="nil"/>
                    <w:tr2bl w:val="nil"/>
                  </w:tcBorders>
                  <w:vAlign w:val="center"/>
                </w:tcPr>
                <w:p w14:paraId="39DD69B5">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493D00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611384BC">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2018年6月6日</w:t>
                  </w:r>
                </w:p>
              </w:tc>
              <w:tc>
                <w:tcPr>
                  <w:tcW w:w="1528" w:type="dxa"/>
                  <w:vMerge w:val="continue"/>
                  <w:tcBorders>
                    <w:tl2br w:val="nil"/>
                    <w:tr2bl w:val="nil"/>
                  </w:tcBorders>
                  <w:vAlign w:val="center"/>
                </w:tcPr>
                <w:p w14:paraId="38C2A4E2">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17314DB1">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1.46</w:t>
                  </w:r>
                </w:p>
              </w:tc>
              <w:tc>
                <w:tcPr>
                  <w:tcW w:w="1658" w:type="dxa"/>
                  <w:tcBorders>
                    <w:tl2br w:val="nil"/>
                    <w:tr2bl w:val="nil"/>
                  </w:tcBorders>
                  <w:vAlign w:val="center"/>
                </w:tcPr>
                <w:p w14:paraId="7975A799">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1.68</w:t>
                  </w:r>
                </w:p>
              </w:tc>
              <w:tc>
                <w:tcPr>
                  <w:tcW w:w="1658" w:type="dxa"/>
                  <w:vMerge w:val="continue"/>
                  <w:tcBorders>
                    <w:tl2br w:val="nil"/>
                    <w:tr2bl w:val="nil"/>
                  </w:tcBorders>
                  <w:vAlign w:val="center"/>
                </w:tcPr>
                <w:p w14:paraId="789A4A55">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224C3F9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3067B09F">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2018年6月7日</w:t>
                  </w:r>
                </w:p>
              </w:tc>
              <w:tc>
                <w:tcPr>
                  <w:tcW w:w="1528" w:type="dxa"/>
                  <w:vMerge w:val="continue"/>
                  <w:tcBorders>
                    <w:tl2br w:val="nil"/>
                    <w:tr2bl w:val="nil"/>
                  </w:tcBorders>
                  <w:vAlign w:val="center"/>
                </w:tcPr>
                <w:p w14:paraId="779C9868">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32FB4986">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1.45</w:t>
                  </w:r>
                </w:p>
              </w:tc>
              <w:tc>
                <w:tcPr>
                  <w:tcW w:w="1658" w:type="dxa"/>
                  <w:tcBorders>
                    <w:tl2br w:val="nil"/>
                    <w:tr2bl w:val="nil"/>
                  </w:tcBorders>
                  <w:vAlign w:val="center"/>
                </w:tcPr>
                <w:p w14:paraId="5055B4A0">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2.10</w:t>
                  </w:r>
                </w:p>
              </w:tc>
              <w:tc>
                <w:tcPr>
                  <w:tcW w:w="1658" w:type="dxa"/>
                  <w:vMerge w:val="continue"/>
                  <w:tcBorders>
                    <w:tl2br w:val="nil"/>
                    <w:tr2bl w:val="nil"/>
                  </w:tcBorders>
                  <w:vAlign w:val="center"/>
                </w:tcPr>
                <w:p w14:paraId="655035E0">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0B48DD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4EC3A157">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2018年6月8日</w:t>
                  </w:r>
                </w:p>
              </w:tc>
              <w:tc>
                <w:tcPr>
                  <w:tcW w:w="1528" w:type="dxa"/>
                  <w:vMerge w:val="continue"/>
                  <w:tcBorders>
                    <w:tl2br w:val="nil"/>
                    <w:tr2bl w:val="nil"/>
                  </w:tcBorders>
                  <w:vAlign w:val="center"/>
                </w:tcPr>
                <w:p w14:paraId="645472CD">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5BD85F55">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1.50</w:t>
                  </w:r>
                </w:p>
              </w:tc>
              <w:tc>
                <w:tcPr>
                  <w:tcW w:w="1658" w:type="dxa"/>
                  <w:tcBorders>
                    <w:tl2br w:val="nil"/>
                    <w:tr2bl w:val="nil"/>
                  </w:tcBorders>
                  <w:vAlign w:val="center"/>
                </w:tcPr>
                <w:p w14:paraId="0ACB85C7">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1.58</w:t>
                  </w:r>
                </w:p>
              </w:tc>
              <w:tc>
                <w:tcPr>
                  <w:tcW w:w="1658" w:type="dxa"/>
                  <w:vMerge w:val="continue"/>
                  <w:tcBorders>
                    <w:tl2br w:val="nil"/>
                    <w:tr2bl w:val="nil"/>
                  </w:tcBorders>
                  <w:vAlign w:val="center"/>
                </w:tcPr>
                <w:p w14:paraId="6DEB8779">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751DBDE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639BE834">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2018年6月9日</w:t>
                  </w:r>
                </w:p>
              </w:tc>
              <w:tc>
                <w:tcPr>
                  <w:tcW w:w="1528" w:type="dxa"/>
                  <w:vMerge w:val="continue"/>
                  <w:tcBorders>
                    <w:tl2br w:val="nil"/>
                    <w:tr2bl w:val="nil"/>
                  </w:tcBorders>
                  <w:vAlign w:val="center"/>
                </w:tcPr>
                <w:p w14:paraId="7945A06C">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5FE1E1F8">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1.42</w:t>
                  </w:r>
                </w:p>
              </w:tc>
              <w:tc>
                <w:tcPr>
                  <w:tcW w:w="1658" w:type="dxa"/>
                  <w:tcBorders>
                    <w:tl2br w:val="nil"/>
                    <w:tr2bl w:val="nil"/>
                  </w:tcBorders>
                  <w:vAlign w:val="center"/>
                </w:tcPr>
                <w:p w14:paraId="191216AE">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1.50</w:t>
                  </w:r>
                </w:p>
              </w:tc>
              <w:tc>
                <w:tcPr>
                  <w:tcW w:w="1658" w:type="dxa"/>
                  <w:vMerge w:val="continue"/>
                  <w:tcBorders>
                    <w:tl2br w:val="nil"/>
                    <w:tr2bl w:val="nil"/>
                  </w:tcBorders>
                  <w:vAlign w:val="center"/>
                </w:tcPr>
                <w:p w14:paraId="574DF8C4">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1E0E0E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214EF721">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2018年6月10日</w:t>
                  </w:r>
                </w:p>
              </w:tc>
              <w:tc>
                <w:tcPr>
                  <w:tcW w:w="1528" w:type="dxa"/>
                  <w:vMerge w:val="continue"/>
                  <w:tcBorders>
                    <w:tl2br w:val="nil"/>
                    <w:tr2bl w:val="nil"/>
                  </w:tcBorders>
                  <w:vAlign w:val="center"/>
                </w:tcPr>
                <w:p w14:paraId="7FDB59C8">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5DE5652D">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1.53</w:t>
                  </w:r>
                </w:p>
              </w:tc>
              <w:tc>
                <w:tcPr>
                  <w:tcW w:w="1658" w:type="dxa"/>
                  <w:tcBorders>
                    <w:tl2br w:val="nil"/>
                    <w:tr2bl w:val="nil"/>
                  </w:tcBorders>
                  <w:vAlign w:val="center"/>
                </w:tcPr>
                <w:p w14:paraId="7C82C657">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1.62</w:t>
                  </w:r>
                </w:p>
              </w:tc>
              <w:tc>
                <w:tcPr>
                  <w:tcW w:w="1658" w:type="dxa"/>
                  <w:vMerge w:val="continue"/>
                  <w:tcBorders>
                    <w:tl2br w:val="nil"/>
                    <w:tr2bl w:val="nil"/>
                  </w:tcBorders>
                  <w:vAlign w:val="center"/>
                </w:tcPr>
                <w:p w14:paraId="526F9626">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71E7CE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62BB7113">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2018年6月4日</w:t>
                  </w:r>
                </w:p>
              </w:tc>
              <w:tc>
                <w:tcPr>
                  <w:tcW w:w="1528" w:type="dxa"/>
                  <w:vMerge w:val="restart"/>
                  <w:tcBorders>
                    <w:tl2br w:val="nil"/>
                    <w:tr2bl w:val="nil"/>
                  </w:tcBorders>
                  <w:vAlign w:val="center"/>
                </w:tcPr>
                <w:p w14:paraId="03E1FDE9">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总烃</w:t>
                  </w:r>
                </w:p>
              </w:tc>
              <w:tc>
                <w:tcPr>
                  <w:tcW w:w="1658" w:type="dxa"/>
                  <w:tcBorders>
                    <w:tl2br w:val="nil"/>
                    <w:tr2bl w:val="nil"/>
                  </w:tcBorders>
                  <w:vAlign w:val="center"/>
                </w:tcPr>
                <w:p w14:paraId="6CADECAE">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2.80</w:t>
                  </w:r>
                </w:p>
              </w:tc>
              <w:tc>
                <w:tcPr>
                  <w:tcW w:w="1658" w:type="dxa"/>
                  <w:tcBorders>
                    <w:tl2br w:val="nil"/>
                    <w:tr2bl w:val="nil"/>
                  </w:tcBorders>
                  <w:vAlign w:val="center"/>
                </w:tcPr>
                <w:p w14:paraId="5FAA70EB">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2.74</w:t>
                  </w:r>
                </w:p>
              </w:tc>
              <w:tc>
                <w:tcPr>
                  <w:tcW w:w="1658" w:type="dxa"/>
                  <w:vMerge w:val="continue"/>
                  <w:tcBorders>
                    <w:tl2br w:val="nil"/>
                    <w:tr2bl w:val="nil"/>
                  </w:tcBorders>
                  <w:vAlign w:val="center"/>
                </w:tcPr>
                <w:p w14:paraId="0C538FFE">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4AC702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05B850C9">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2018年6月5日</w:t>
                  </w:r>
                </w:p>
              </w:tc>
              <w:tc>
                <w:tcPr>
                  <w:tcW w:w="1528" w:type="dxa"/>
                  <w:vMerge w:val="continue"/>
                  <w:tcBorders>
                    <w:tl2br w:val="nil"/>
                    <w:tr2bl w:val="nil"/>
                  </w:tcBorders>
                  <w:vAlign w:val="center"/>
                </w:tcPr>
                <w:p w14:paraId="56868700">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1E627522">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2.56</w:t>
                  </w:r>
                </w:p>
              </w:tc>
              <w:tc>
                <w:tcPr>
                  <w:tcW w:w="1658" w:type="dxa"/>
                  <w:tcBorders>
                    <w:tl2br w:val="nil"/>
                    <w:tr2bl w:val="nil"/>
                  </w:tcBorders>
                  <w:vAlign w:val="center"/>
                </w:tcPr>
                <w:p w14:paraId="60328CA9">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3.04</w:t>
                  </w:r>
                </w:p>
              </w:tc>
              <w:tc>
                <w:tcPr>
                  <w:tcW w:w="1658" w:type="dxa"/>
                  <w:vMerge w:val="continue"/>
                  <w:tcBorders>
                    <w:tl2br w:val="nil"/>
                    <w:tr2bl w:val="nil"/>
                  </w:tcBorders>
                  <w:vAlign w:val="center"/>
                </w:tcPr>
                <w:p w14:paraId="745547DD">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0AEA0F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41D0F70C">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2018年6月6日</w:t>
                  </w:r>
                </w:p>
              </w:tc>
              <w:tc>
                <w:tcPr>
                  <w:tcW w:w="1528" w:type="dxa"/>
                  <w:vMerge w:val="continue"/>
                  <w:tcBorders>
                    <w:tl2br w:val="nil"/>
                    <w:tr2bl w:val="nil"/>
                  </w:tcBorders>
                  <w:vAlign w:val="center"/>
                </w:tcPr>
                <w:p w14:paraId="40514C24">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582D3777">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2.46</w:t>
                  </w:r>
                </w:p>
              </w:tc>
              <w:tc>
                <w:tcPr>
                  <w:tcW w:w="1658" w:type="dxa"/>
                  <w:tcBorders>
                    <w:tl2br w:val="nil"/>
                    <w:tr2bl w:val="nil"/>
                  </w:tcBorders>
                  <w:vAlign w:val="center"/>
                </w:tcPr>
                <w:p w14:paraId="57E19B4B">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2.92</w:t>
                  </w:r>
                </w:p>
              </w:tc>
              <w:tc>
                <w:tcPr>
                  <w:tcW w:w="1658" w:type="dxa"/>
                  <w:vMerge w:val="continue"/>
                  <w:tcBorders>
                    <w:tl2br w:val="nil"/>
                    <w:tr2bl w:val="nil"/>
                  </w:tcBorders>
                  <w:vAlign w:val="center"/>
                </w:tcPr>
                <w:p w14:paraId="2183B20D">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2B54CA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0E03AF34">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2018年6月7日</w:t>
                  </w:r>
                </w:p>
              </w:tc>
              <w:tc>
                <w:tcPr>
                  <w:tcW w:w="1528" w:type="dxa"/>
                  <w:vMerge w:val="continue"/>
                  <w:tcBorders>
                    <w:tl2br w:val="nil"/>
                    <w:tr2bl w:val="nil"/>
                  </w:tcBorders>
                  <w:vAlign w:val="center"/>
                </w:tcPr>
                <w:p w14:paraId="46470829">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7CBCDEDE">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2.47</w:t>
                  </w:r>
                </w:p>
              </w:tc>
              <w:tc>
                <w:tcPr>
                  <w:tcW w:w="1658" w:type="dxa"/>
                  <w:tcBorders>
                    <w:tl2br w:val="nil"/>
                    <w:tr2bl w:val="nil"/>
                  </w:tcBorders>
                  <w:vAlign w:val="center"/>
                </w:tcPr>
                <w:p w14:paraId="1FC2D7F4">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3.42</w:t>
                  </w:r>
                </w:p>
              </w:tc>
              <w:tc>
                <w:tcPr>
                  <w:tcW w:w="1658" w:type="dxa"/>
                  <w:vMerge w:val="continue"/>
                  <w:tcBorders>
                    <w:tl2br w:val="nil"/>
                    <w:tr2bl w:val="nil"/>
                  </w:tcBorders>
                  <w:vAlign w:val="center"/>
                </w:tcPr>
                <w:p w14:paraId="680A5C38">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44B0C25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1786" w:type="dxa"/>
                  <w:tcBorders>
                    <w:tl2br w:val="nil"/>
                    <w:tr2bl w:val="nil"/>
                  </w:tcBorders>
                  <w:vAlign w:val="center"/>
                </w:tcPr>
                <w:p w14:paraId="68EDD3CA">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2018年6月8日</w:t>
                  </w:r>
                </w:p>
              </w:tc>
              <w:tc>
                <w:tcPr>
                  <w:tcW w:w="1528" w:type="dxa"/>
                  <w:vMerge w:val="continue"/>
                  <w:tcBorders>
                    <w:tl2br w:val="nil"/>
                    <w:tr2bl w:val="nil"/>
                  </w:tcBorders>
                  <w:vAlign w:val="center"/>
                </w:tcPr>
                <w:p w14:paraId="4FDEAFD9">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3088BF2D">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2.52</w:t>
                  </w:r>
                </w:p>
              </w:tc>
              <w:tc>
                <w:tcPr>
                  <w:tcW w:w="1658" w:type="dxa"/>
                  <w:tcBorders>
                    <w:tl2br w:val="nil"/>
                    <w:tr2bl w:val="nil"/>
                  </w:tcBorders>
                  <w:vAlign w:val="center"/>
                </w:tcPr>
                <w:p w14:paraId="365AF22A">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2.75</w:t>
                  </w:r>
                </w:p>
              </w:tc>
              <w:tc>
                <w:tcPr>
                  <w:tcW w:w="1658" w:type="dxa"/>
                  <w:vMerge w:val="continue"/>
                  <w:tcBorders>
                    <w:tl2br w:val="nil"/>
                    <w:tr2bl w:val="nil"/>
                  </w:tcBorders>
                  <w:vAlign w:val="center"/>
                </w:tcPr>
                <w:p w14:paraId="4ADB7659">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51B93E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tl2br w:val="nil"/>
                    <w:tr2bl w:val="nil"/>
                  </w:tcBorders>
                  <w:vAlign w:val="center"/>
                </w:tcPr>
                <w:p w14:paraId="54ADF63C">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2018年6月9日</w:t>
                  </w:r>
                </w:p>
              </w:tc>
              <w:tc>
                <w:tcPr>
                  <w:tcW w:w="1528" w:type="dxa"/>
                  <w:vMerge w:val="continue"/>
                  <w:tcBorders>
                    <w:tl2br w:val="nil"/>
                    <w:tr2bl w:val="nil"/>
                  </w:tcBorders>
                  <w:vAlign w:val="center"/>
                </w:tcPr>
                <w:p w14:paraId="29FF408C">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tl2br w:val="nil"/>
                    <w:tr2bl w:val="nil"/>
                  </w:tcBorders>
                  <w:vAlign w:val="center"/>
                </w:tcPr>
                <w:p w14:paraId="4675510C">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2.47</w:t>
                  </w:r>
                </w:p>
              </w:tc>
              <w:tc>
                <w:tcPr>
                  <w:tcW w:w="1658" w:type="dxa"/>
                  <w:tcBorders>
                    <w:tl2br w:val="nil"/>
                    <w:tr2bl w:val="nil"/>
                  </w:tcBorders>
                  <w:vAlign w:val="center"/>
                </w:tcPr>
                <w:p w14:paraId="6A620D81">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2.62</w:t>
                  </w:r>
                </w:p>
              </w:tc>
              <w:tc>
                <w:tcPr>
                  <w:tcW w:w="1658" w:type="dxa"/>
                  <w:vMerge w:val="continue"/>
                  <w:tcBorders>
                    <w:tl2br w:val="nil"/>
                    <w:tr2bl w:val="nil"/>
                  </w:tcBorders>
                  <w:vAlign w:val="center"/>
                </w:tcPr>
                <w:p w14:paraId="1BCF0D46">
                  <w:pPr>
                    <w:ind w:left="0" w:leftChars="0" w:right="0" w:rightChars="0" w:firstLine="0" w:firstLineChars="0"/>
                    <w:jc w:val="center"/>
                    <w:rPr>
                      <w:rFonts w:hint="eastAsia" w:ascii="Times New Roman" w:hAnsi="Times New Roman"/>
                      <w:color w:val="000000" w:themeColor="text1"/>
                      <w:sz w:val="21"/>
                      <w:szCs w:val="21"/>
                      <w:lang w:val="en-US" w:eastAsia="zh-CN"/>
                    </w:rPr>
                  </w:pPr>
                </w:p>
              </w:tc>
            </w:tr>
            <w:tr w14:paraId="1689751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86" w:type="dxa"/>
                  <w:tcBorders>
                    <w:bottom w:val="single" w:color="auto" w:sz="12" w:space="0"/>
                  </w:tcBorders>
                  <w:vAlign w:val="center"/>
                </w:tcPr>
                <w:p w14:paraId="2DDF1F15">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2018年6月10日</w:t>
                  </w:r>
                </w:p>
              </w:tc>
              <w:tc>
                <w:tcPr>
                  <w:tcW w:w="1528" w:type="dxa"/>
                  <w:vMerge w:val="continue"/>
                  <w:tcBorders>
                    <w:bottom w:val="single" w:color="auto" w:sz="12" w:space="0"/>
                  </w:tcBorders>
                  <w:vAlign w:val="center"/>
                </w:tcPr>
                <w:p w14:paraId="0EBC5AAC">
                  <w:pPr>
                    <w:ind w:left="0" w:leftChars="0" w:right="0" w:rightChars="0" w:firstLine="0" w:firstLineChars="0"/>
                    <w:jc w:val="center"/>
                    <w:rPr>
                      <w:rFonts w:hint="eastAsia" w:ascii="Times New Roman" w:hAnsi="Times New Roman"/>
                      <w:color w:val="000000" w:themeColor="text1"/>
                      <w:sz w:val="21"/>
                      <w:szCs w:val="21"/>
                      <w:lang w:val="en-US" w:eastAsia="zh-CN"/>
                    </w:rPr>
                  </w:pPr>
                </w:p>
              </w:tc>
              <w:tc>
                <w:tcPr>
                  <w:tcW w:w="1658" w:type="dxa"/>
                  <w:tcBorders>
                    <w:bottom w:val="single" w:color="auto" w:sz="12" w:space="0"/>
                  </w:tcBorders>
                  <w:vAlign w:val="center"/>
                </w:tcPr>
                <w:p w14:paraId="58485441">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2.58</w:t>
                  </w:r>
                </w:p>
              </w:tc>
              <w:tc>
                <w:tcPr>
                  <w:tcW w:w="1658" w:type="dxa"/>
                  <w:tcBorders>
                    <w:bottom w:val="single" w:color="auto" w:sz="12" w:space="0"/>
                  </w:tcBorders>
                  <w:vAlign w:val="center"/>
                </w:tcPr>
                <w:p w14:paraId="4B1A6A9B">
                  <w:pPr>
                    <w:ind w:left="0" w:leftChars="0" w:right="0" w:rightChars="0" w:firstLine="0" w:firstLineChars="0"/>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2.94</w:t>
                  </w:r>
                </w:p>
              </w:tc>
              <w:tc>
                <w:tcPr>
                  <w:tcW w:w="1658" w:type="dxa"/>
                  <w:vMerge w:val="continue"/>
                  <w:tcBorders>
                    <w:bottom w:val="single" w:color="auto" w:sz="12" w:space="0"/>
                  </w:tcBorders>
                  <w:vAlign w:val="center"/>
                </w:tcPr>
                <w:p w14:paraId="47361FA2">
                  <w:pPr>
                    <w:ind w:left="0" w:leftChars="0" w:right="0" w:rightChars="0" w:firstLine="0" w:firstLineChars="0"/>
                    <w:jc w:val="center"/>
                    <w:rPr>
                      <w:rFonts w:hint="eastAsia" w:ascii="Times New Roman" w:hAnsi="Times New Roman"/>
                      <w:color w:val="000000" w:themeColor="text1"/>
                      <w:sz w:val="21"/>
                      <w:szCs w:val="21"/>
                      <w:lang w:val="en-US" w:eastAsia="zh-CN"/>
                    </w:rPr>
                  </w:pPr>
                </w:p>
              </w:tc>
            </w:tr>
          </w:tbl>
          <w:p w14:paraId="30D0FAB3">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根据上表可知，现有加气站的甲烷监测浓度最高值为2.10mg/m</w:t>
            </w:r>
            <w:r>
              <w:rPr>
                <w:rFonts w:hint="eastAsia" w:ascii="Times New Roman" w:hAnsi="Times New Roman"/>
                <w:color w:val="000000" w:themeColor="text1"/>
                <w:sz w:val="24"/>
                <w:szCs w:val="24"/>
                <w:vertAlign w:val="superscript"/>
                <w:lang w:val="en-US" w:eastAsia="zh-CN"/>
              </w:rPr>
              <w:t>3</w:t>
            </w:r>
            <w:r>
              <w:rPr>
                <w:rFonts w:hint="eastAsia" w:ascii="Times New Roman" w:hAnsi="Times New Roman"/>
                <w:color w:val="000000" w:themeColor="text1"/>
                <w:sz w:val="24"/>
                <w:szCs w:val="24"/>
                <w:lang w:val="en-US" w:eastAsia="zh-CN"/>
              </w:rPr>
              <w:t>，总烃的检测浓度最高值为3.42mg/m</w:t>
            </w:r>
            <w:r>
              <w:rPr>
                <w:rFonts w:hint="eastAsia" w:ascii="Times New Roman" w:hAnsi="Times New Roman"/>
                <w:color w:val="000000" w:themeColor="text1"/>
                <w:sz w:val="24"/>
                <w:szCs w:val="24"/>
                <w:vertAlign w:val="superscript"/>
                <w:lang w:val="en-US" w:eastAsia="zh-CN"/>
              </w:rPr>
              <w:t>3</w:t>
            </w:r>
            <w:r>
              <w:rPr>
                <w:rFonts w:hint="eastAsia" w:ascii="Times New Roman" w:hAnsi="Times New Roman"/>
                <w:color w:val="000000" w:themeColor="text1"/>
                <w:sz w:val="24"/>
                <w:szCs w:val="24"/>
                <w:lang w:val="en-US" w:eastAsia="zh-CN"/>
              </w:rPr>
              <w:t>。</w:t>
            </w:r>
          </w:p>
          <w:p w14:paraId="6D0F1259">
            <w:pPr>
              <w:spacing w:line="36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2</w:t>
            </w:r>
            <w:r>
              <w:rPr>
                <w:rFonts w:hint="eastAsia" w:ascii="Times New Roman" w:hAnsi="Times New Roman"/>
                <w:b/>
                <w:bCs/>
                <w:color w:val="000000" w:themeColor="text1"/>
                <w:sz w:val="24"/>
                <w:szCs w:val="24"/>
              </w:rPr>
              <w:t>、地下水质量现状</w:t>
            </w:r>
            <w:r>
              <w:rPr>
                <w:rFonts w:hint="eastAsia" w:ascii="Times New Roman" w:hAnsi="Times New Roman"/>
                <w:b/>
                <w:bCs/>
                <w:color w:val="000000" w:themeColor="text1"/>
                <w:sz w:val="24"/>
                <w:szCs w:val="24"/>
                <w:lang w:eastAsia="zh-CN"/>
              </w:rPr>
              <w:t>监测与评价</w:t>
            </w:r>
          </w:p>
          <w:p w14:paraId="2AA7C09F">
            <w:pPr>
              <w:spacing w:line="360" w:lineRule="auto"/>
              <w:ind w:firstLine="480"/>
              <w:rPr>
                <w:color w:val="000000" w:themeColor="text1"/>
              </w:rPr>
            </w:pPr>
            <w:r>
              <w:rPr>
                <w:rFonts w:hint="eastAsia" w:ascii="Times New Roman" w:hAnsi="Times New Roman"/>
                <w:snapToGrid w:val="0"/>
                <w:color w:val="000000" w:themeColor="text1"/>
                <w:sz w:val="24"/>
                <w:szCs w:val="24"/>
              </w:rPr>
              <w:t>本次地下水环境质量现状监测</w:t>
            </w:r>
            <w:r>
              <w:rPr>
                <w:rFonts w:hint="eastAsia" w:ascii="Times New Roman" w:hAnsi="Times New Roman"/>
                <w:snapToGrid w:val="0"/>
                <w:color w:val="000000" w:themeColor="text1"/>
                <w:sz w:val="24"/>
                <w:szCs w:val="24"/>
                <w:lang w:eastAsia="zh-CN"/>
              </w:rPr>
              <w:t>由</w:t>
            </w:r>
            <w:r>
              <w:rPr>
                <w:rFonts w:hint="eastAsia" w:ascii="Times New Roman" w:hAnsi="Times New Roman"/>
                <w:color w:val="000000" w:themeColor="text1"/>
                <w:sz w:val="24"/>
                <w:szCs w:val="24"/>
                <w:lang w:eastAsia="zh-CN"/>
              </w:rPr>
              <w:t>新疆国泰民康职业环境检测评价有限责任公司</w:t>
            </w:r>
            <w:r>
              <w:rPr>
                <w:rFonts w:hint="eastAsia" w:ascii="Times New Roman" w:hAnsi="Times New Roman"/>
                <w:color w:val="000000" w:themeColor="text1"/>
                <w:sz w:val="24"/>
                <w:szCs w:val="24"/>
              </w:rPr>
              <w:t>于</w:t>
            </w:r>
            <w:r>
              <w:rPr>
                <w:rFonts w:ascii="Times New Roman" w:hAnsi="Times New Roman"/>
                <w:color w:val="000000" w:themeColor="text1"/>
                <w:sz w:val="24"/>
                <w:szCs w:val="24"/>
              </w:rPr>
              <w:t>201</w:t>
            </w:r>
            <w:r>
              <w:rPr>
                <w:rFonts w:hint="eastAsia" w:ascii="Times New Roman" w:hAnsi="Times New Roman"/>
                <w:color w:val="000000" w:themeColor="text1"/>
                <w:sz w:val="24"/>
                <w:szCs w:val="24"/>
                <w:lang w:val="en-US" w:eastAsia="zh-CN"/>
              </w:rPr>
              <w:t>8</w:t>
            </w:r>
            <w:r>
              <w:rPr>
                <w:rFonts w:hint="eastAsia" w:ascii="Times New Roman" w:hAnsi="Times New Roman"/>
                <w:color w:val="000000" w:themeColor="text1"/>
                <w:sz w:val="24"/>
                <w:szCs w:val="24"/>
              </w:rPr>
              <w:t>年</w:t>
            </w:r>
            <w:r>
              <w:rPr>
                <w:rFonts w:hint="eastAsia" w:ascii="Times New Roman" w:hAnsi="Times New Roman"/>
                <w:color w:val="000000" w:themeColor="text1"/>
                <w:sz w:val="24"/>
                <w:szCs w:val="24"/>
                <w:lang w:val="en-US" w:eastAsia="zh-CN"/>
              </w:rPr>
              <w:t>6</w:t>
            </w:r>
            <w:r>
              <w:rPr>
                <w:rFonts w:hint="eastAsia" w:ascii="Times New Roman" w:hAnsi="Times New Roman"/>
                <w:color w:val="000000" w:themeColor="text1"/>
                <w:sz w:val="24"/>
                <w:szCs w:val="24"/>
              </w:rPr>
              <w:t>月</w:t>
            </w:r>
            <w:r>
              <w:rPr>
                <w:rFonts w:hint="eastAsia" w:ascii="Times New Roman" w:hAnsi="Times New Roman"/>
                <w:color w:val="000000" w:themeColor="text1"/>
                <w:sz w:val="24"/>
                <w:szCs w:val="24"/>
                <w:lang w:val="en-US" w:eastAsia="zh-CN"/>
              </w:rPr>
              <w:t>1</w:t>
            </w:r>
            <w:r>
              <w:rPr>
                <w:rFonts w:hint="eastAsia" w:ascii="Times New Roman" w:hAnsi="Times New Roman"/>
                <w:color w:val="000000" w:themeColor="text1"/>
                <w:sz w:val="24"/>
                <w:szCs w:val="24"/>
              </w:rPr>
              <w:t>日在</w:t>
            </w:r>
            <w:r>
              <w:rPr>
                <w:rFonts w:hint="eastAsia" w:ascii="Times New Roman" w:hAnsi="Times New Roman"/>
                <w:color w:val="000000" w:themeColor="text1"/>
                <w:sz w:val="24"/>
                <w:szCs w:val="24"/>
                <w:lang w:eastAsia="zh-CN"/>
              </w:rPr>
              <w:t>本项目</w:t>
            </w:r>
            <w:r>
              <w:rPr>
                <w:rFonts w:hint="eastAsia" w:ascii="Times New Roman" w:hAnsi="Times New Roman"/>
                <w:color w:val="000000" w:themeColor="text1"/>
                <w:sz w:val="24"/>
                <w:szCs w:val="24"/>
                <w:lang w:val="en-US" w:eastAsia="zh-CN"/>
              </w:rPr>
              <w:t>东侧2km处昌吉高新区农业产业园水厂进行取样检测</w:t>
            </w:r>
            <w:r>
              <w:rPr>
                <w:rFonts w:hint="eastAsia" w:ascii="Times New Roman" w:hAnsi="Times New Roman"/>
                <w:color w:val="000000" w:themeColor="text1"/>
                <w:sz w:val="24"/>
                <w:szCs w:val="24"/>
                <w:lang w:eastAsia="zh-CN"/>
              </w:rPr>
              <w:t>。取样点与本项目处于同一地下水单元，取样点水质可代表项目区地下水水质。</w:t>
            </w:r>
          </w:p>
          <w:p w14:paraId="256A2691">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2.1 </w:t>
            </w:r>
            <w:r>
              <w:rPr>
                <w:rFonts w:hint="eastAsia" w:ascii="Times New Roman" w:hAnsi="Times New Roman"/>
                <w:b/>
                <w:bCs/>
                <w:color w:val="000000" w:themeColor="text1"/>
                <w:sz w:val="24"/>
                <w:szCs w:val="24"/>
              </w:rPr>
              <w:t>评价标准</w:t>
            </w:r>
          </w:p>
          <w:p w14:paraId="104C968C">
            <w:pPr>
              <w:spacing w:line="360" w:lineRule="auto"/>
              <w:ind w:firstLine="480"/>
              <w:rPr>
                <w:rFonts w:ascii="Times New Roman" w:hAnsi="Times New Roman"/>
                <w:color w:val="000000" w:themeColor="text1"/>
                <w:sz w:val="24"/>
                <w:szCs w:val="24"/>
              </w:rPr>
            </w:pPr>
            <w:r>
              <w:rPr>
                <w:rFonts w:hint="eastAsia" w:ascii="Times New Roman" w:hAnsi="Times New Roman"/>
                <w:color w:val="000000" w:themeColor="text1"/>
                <w:sz w:val="24"/>
                <w:szCs w:val="24"/>
              </w:rPr>
              <w:t>《地下水质量标准》（</w:t>
            </w:r>
            <w:r>
              <w:rPr>
                <w:rFonts w:ascii="Times New Roman" w:hAnsi="Times New Roman"/>
                <w:color w:val="000000" w:themeColor="text1"/>
                <w:sz w:val="24"/>
                <w:szCs w:val="24"/>
              </w:rPr>
              <w:t>GB/T14848-</w:t>
            </w:r>
            <w:r>
              <w:rPr>
                <w:rFonts w:hint="eastAsia" w:ascii="Times New Roman" w:hAnsi="Times New Roman"/>
                <w:color w:val="000000" w:themeColor="text1"/>
                <w:sz w:val="24"/>
                <w:szCs w:val="24"/>
                <w:lang w:val="en-US" w:eastAsia="zh-CN"/>
              </w:rPr>
              <w:t>2017</w:t>
            </w:r>
            <w:r>
              <w:rPr>
                <w:rFonts w:hint="eastAsia" w:ascii="Times New Roman" w:hAnsi="Times New Roman"/>
                <w:color w:val="000000" w:themeColor="text1"/>
                <w:sz w:val="24"/>
                <w:szCs w:val="24"/>
              </w:rPr>
              <w:t>）</w:t>
            </w:r>
            <w:r>
              <w:rPr>
                <w:rFonts w:hint="eastAsia" w:ascii="宋体" w:hAnsi="宋体" w:cs="宋体"/>
                <w:color w:val="000000" w:themeColor="text1"/>
                <w:sz w:val="24"/>
                <w:szCs w:val="24"/>
              </w:rPr>
              <w:t>Ⅲ</w:t>
            </w:r>
            <w:r>
              <w:rPr>
                <w:rFonts w:hint="eastAsia" w:ascii="Times New Roman" w:hAnsi="Times New Roman"/>
                <w:color w:val="000000" w:themeColor="text1"/>
                <w:sz w:val="24"/>
                <w:szCs w:val="24"/>
              </w:rPr>
              <w:t>类标准。</w:t>
            </w:r>
          </w:p>
          <w:p w14:paraId="6248095E">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2.2  </w:t>
            </w:r>
            <w:r>
              <w:rPr>
                <w:rFonts w:hint="eastAsia" w:ascii="Times New Roman" w:hAnsi="Times New Roman"/>
                <w:b/>
                <w:bCs/>
                <w:color w:val="000000" w:themeColor="text1"/>
                <w:sz w:val="24"/>
                <w:szCs w:val="24"/>
              </w:rPr>
              <w:t>评价方法</w:t>
            </w:r>
          </w:p>
          <w:p w14:paraId="6E742113">
            <w:pPr>
              <w:spacing w:line="360" w:lineRule="auto"/>
              <w:ind w:left="137" w:leftChars="57" w:right="55" w:rightChars="23" w:firstLine="480"/>
              <w:rPr>
                <w:rFonts w:ascii="Times New Roman" w:hAnsi="Times New Roman"/>
                <w:color w:val="000000" w:themeColor="text1"/>
                <w:sz w:val="24"/>
                <w:szCs w:val="24"/>
              </w:rPr>
            </w:pPr>
            <w:r>
              <w:rPr>
                <w:rFonts w:hint="eastAsia" w:ascii="Times New Roman" w:hAnsi="Times New Roman"/>
                <w:color w:val="000000" w:themeColor="text1"/>
                <w:sz w:val="24"/>
                <w:szCs w:val="24"/>
              </w:rPr>
              <w:t>采用单因子标准指数法，公式如下：</w:t>
            </w:r>
          </w:p>
          <w:p w14:paraId="1F5398C8">
            <w:pPr>
              <w:spacing w:line="360" w:lineRule="auto"/>
              <w:ind w:left="137" w:leftChars="57" w:right="55" w:rightChars="23" w:firstLine="2683" w:firstLineChars="1118"/>
              <w:rPr>
                <w:rFonts w:ascii="Times New Roman" w:hAnsi="Times New Roman"/>
                <w:color w:val="000000" w:themeColor="text1"/>
                <w:sz w:val="24"/>
                <w:szCs w:val="24"/>
              </w:rPr>
            </w:pPr>
            <w:r>
              <w:rPr>
                <w:rFonts w:ascii="Times New Roman" w:hAnsi="Times New Roman"/>
                <w:color w:val="000000" w:themeColor="text1"/>
                <w:sz w:val="24"/>
                <w:szCs w:val="24"/>
              </w:rPr>
              <w:t>P</w:t>
            </w:r>
            <w:r>
              <w:rPr>
                <w:rFonts w:ascii="Times New Roman" w:hAnsi="Times New Roman"/>
                <w:color w:val="000000" w:themeColor="text1"/>
                <w:sz w:val="24"/>
                <w:szCs w:val="24"/>
                <w:vertAlign w:val="subscript"/>
              </w:rPr>
              <w:t>i</w:t>
            </w:r>
            <w:r>
              <w:rPr>
                <w:rFonts w:ascii="Times New Roman" w:hAnsi="Times New Roman"/>
                <w:color w:val="000000" w:themeColor="text1"/>
                <w:sz w:val="24"/>
                <w:szCs w:val="24"/>
              </w:rPr>
              <w:t>=C</w:t>
            </w:r>
            <w:r>
              <w:rPr>
                <w:rFonts w:ascii="Times New Roman" w:hAnsi="Times New Roman"/>
                <w:color w:val="000000" w:themeColor="text1"/>
                <w:sz w:val="24"/>
                <w:szCs w:val="24"/>
                <w:vertAlign w:val="subscript"/>
              </w:rPr>
              <w:t>i</w:t>
            </w:r>
            <w:r>
              <w:rPr>
                <w:rFonts w:ascii="Times New Roman" w:hAnsi="Times New Roman"/>
                <w:color w:val="000000" w:themeColor="text1"/>
                <w:sz w:val="24"/>
                <w:szCs w:val="24"/>
              </w:rPr>
              <w:t>/C</w:t>
            </w:r>
            <w:r>
              <w:rPr>
                <w:rFonts w:hint="eastAsia" w:ascii="Times New Roman" w:hAnsi="Times New Roman"/>
                <w:color w:val="000000" w:themeColor="text1"/>
                <w:sz w:val="24"/>
                <w:szCs w:val="24"/>
              </w:rPr>
              <w:t>。</w:t>
            </w:r>
          </w:p>
          <w:p w14:paraId="34EE0B41">
            <w:pPr>
              <w:spacing w:line="360" w:lineRule="auto"/>
              <w:ind w:left="137" w:leftChars="57" w:right="55" w:rightChars="23" w:firstLine="480"/>
              <w:rPr>
                <w:rFonts w:ascii="Times New Roman" w:hAnsi="Times New Roman"/>
                <w:color w:val="000000" w:themeColor="text1"/>
                <w:sz w:val="24"/>
                <w:szCs w:val="24"/>
              </w:rPr>
            </w:pPr>
            <w:r>
              <w:rPr>
                <w:rFonts w:hint="eastAsia" w:ascii="Times New Roman" w:hAnsi="Times New Roman"/>
                <w:color w:val="000000" w:themeColor="text1"/>
                <w:sz w:val="24"/>
                <w:szCs w:val="24"/>
              </w:rPr>
              <w:t>式中：</w:t>
            </w:r>
            <w:r>
              <w:rPr>
                <w:rFonts w:ascii="Times New Roman" w:hAnsi="Times New Roman"/>
                <w:color w:val="000000" w:themeColor="text1"/>
                <w:sz w:val="24"/>
                <w:szCs w:val="24"/>
              </w:rPr>
              <w:t>P</w:t>
            </w:r>
            <w:r>
              <w:rPr>
                <w:rFonts w:ascii="Times New Roman" w:hAnsi="Times New Roman"/>
                <w:color w:val="000000" w:themeColor="text1"/>
                <w:sz w:val="24"/>
                <w:szCs w:val="24"/>
                <w:vertAlign w:val="subscript"/>
              </w:rPr>
              <w:t>i</w:t>
            </w:r>
            <w:r>
              <w:rPr>
                <w:rFonts w:ascii="Times New Roman" w:hAnsi="Times New Roman"/>
                <w:color w:val="000000" w:themeColor="text1"/>
                <w:sz w:val="24"/>
                <w:szCs w:val="24"/>
              </w:rPr>
              <w:t>——</w:t>
            </w:r>
            <w:r>
              <w:rPr>
                <w:rFonts w:hint="eastAsia" w:ascii="Times New Roman" w:hAnsi="Times New Roman"/>
                <w:color w:val="000000" w:themeColor="text1"/>
                <w:sz w:val="24"/>
                <w:szCs w:val="24"/>
              </w:rPr>
              <w:t>单因子标准指数（无量纲）</w:t>
            </w:r>
          </w:p>
          <w:p w14:paraId="592ABB81">
            <w:pPr>
              <w:spacing w:line="360" w:lineRule="auto"/>
              <w:ind w:left="137" w:leftChars="57" w:right="55" w:rightChars="23" w:firstLine="480"/>
              <w:rPr>
                <w:rFonts w:ascii="Times New Roman" w:hAnsi="Times New Roman"/>
                <w:color w:val="000000" w:themeColor="text1"/>
                <w:sz w:val="24"/>
                <w:szCs w:val="24"/>
              </w:rPr>
            </w:pPr>
            <w:r>
              <w:rPr>
                <w:rFonts w:ascii="Times New Roman" w:hAnsi="Times New Roman"/>
                <w:color w:val="000000" w:themeColor="text1"/>
                <w:sz w:val="24"/>
                <w:szCs w:val="24"/>
              </w:rPr>
              <w:t xml:space="preserve">      C</w:t>
            </w:r>
            <w:r>
              <w:rPr>
                <w:rFonts w:ascii="Times New Roman" w:hAnsi="Times New Roman"/>
                <w:color w:val="000000" w:themeColor="text1"/>
                <w:sz w:val="24"/>
                <w:szCs w:val="24"/>
                <w:vertAlign w:val="subscript"/>
              </w:rPr>
              <w:t>i</w:t>
            </w:r>
            <w:r>
              <w:rPr>
                <w:rFonts w:ascii="Times New Roman" w:hAnsi="Times New Roman"/>
                <w:color w:val="000000" w:themeColor="text1"/>
                <w:sz w:val="24"/>
                <w:szCs w:val="24"/>
              </w:rPr>
              <w:t>——</w:t>
            </w:r>
            <w:r>
              <w:rPr>
                <w:rFonts w:hint="eastAsia" w:ascii="Times New Roman" w:hAnsi="Times New Roman"/>
                <w:color w:val="000000" w:themeColor="text1"/>
                <w:sz w:val="24"/>
                <w:szCs w:val="24"/>
              </w:rPr>
              <w:t>污染物实测浓度平均值（</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p>
          <w:p w14:paraId="7A7E112D">
            <w:pPr>
              <w:spacing w:line="360" w:lineRule="auto"/>
              <w:ind w:left="137" w:leftChars="57" w:right="55" w:rightChars="23" w:firstLine="480"/>
              <w:rPr>
                <w:rFonts w:ascii="Times New Roman" w:hAnsi="Times New Roman"/>
                <w:color w:val="000000" w:themeColor="text1"/>
                <w:sz w:val="24"/>
                <w:szCs w:val="24"/>
              </w:rPr>
            </w:pPr>
            <w:r>
              <w:rPr>
                <w:rFonts w:ascii="Times New Roman" w:hAnsi="Times New Roman"/>
                <w:color w:val="000000" w:themeColor="text1"/>
                <w:sz w:val="24"/>
                <w:szCs w:val="24"/>
              </w:rPr>
              <w:t xml:space="preserve">      C</w:t>
            </w:r>
            <w:r>
              <w:rPr>
                <w:rFonts w:ascii="Times New Roman" w:hAnsi="Times New Roman"/>
                <w:color w:val="000000" w:themeColor="text1"/>
                <w:sz w:val="24"/>
                <w:szCs w:val="24"/>
                <w:vertAlign w:val="subscript"/>
              </w:rPr>
              <w:t>o</w:t>
            </w:r>
            <w:r>
              <w:rPr>
                <w:rFonts w:ascii="Times New Roman" w:hAnsi="Times New Roman"/>
                <w:color w:val="000000" w:themeColor="text1"/>
                <w:sz w:val="24"/>
                <w:szCs w:val="24"/>
              </w:rPr>
              <w:t>——</w:t>
            </w:r>
            <w:r>
              <w:rPr>
                <w:rFonts w:hint="eastAsia" w:ascii="Times New Roman" w:hAnsi="Times New Roman"/>
                <w:color w:val="000000" w:themeColor="text1"/>
                <w:sz w:val="24"/>
                <w:szCs w:val="24"/>
              </w:rPr>
              <w:t>评价标准值</w:t>
            </w:r>
          </w:p>
          <w:p w14:paraId="19882497">
            <w:pPr>
              <w:spacing w:line="360" w:lineRule="auto"/>
              <w:ind w:left="137" w:leftChars="57" w:right="55" w:rightChars="23" w:firstLine="480"/>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p</w:t>
            </w:r>
            <w:r>
              <w:rPr>
                <w:rFonts w:ascii="Times New Roman" w:hAnsi="Times New Roman"/>
                <w:color w:val="000000" w:themeColor="text1"/>
                <w:sz w:val="24"/>
                <w:szCs w:val="24"/>
              </w:rPr>
              <w:t>H</w:t>
            </w:r>
            <w:r>
              <w:rPr>
                <w:rFonts w:hint="eastAsia" w:ascii="Times New Roman" w:hAnsi="Times New Roman"/>
                <w:color w:val="000000" w:themeColor="text1"/>
                <w:sz w:val="24"/>
                <w:szCs w:val="24"/>
              </w:rPr>
              <w:t>的评价方法略有不同，其公式为：</w:t>
            </w:r>
          </w:p>
          <w:p w14:paraId="0E59D45F">
            <w:pPr>
              <w:spacing w:line="360" w:lineRule="auto"/>
              <w:ind w:left="137" w:leftChars="57" w:right="55" w:rightChars="23" w:firstLine="1140" w:firstLineChars="475"/>
              <w:rPr>
                <w:rFonts w:ascii="Times New Roman" w:hAnsi="Times New Roman"/>
                <w:color w:val="000000" w:themeColor="text1"/>
                <w:sz w:val="24"/>
                <w:szCs w:val="24"/>
              </w:rPr>
            </w:pPr>
            <w:r>
              <w:rPr>
                <w:rFonts w:ascii="Times New Roman" w:hAnsi="Times New Roman"/>
                <w:color w:val="000000" w:themeColor="text1"/>
                <w:sz w:val="24"/>
                <w:szCs w:val="24"/>
              </w:rPr>
              <w:t>pH≤7.0</w:t>
            </w:r>
            <w:r>
              <w:rPr>
                <w:rFonts w:hint="eastAsia" w:ascii="Times New Roman" w:hAnsi="Times New Roman"/>
                <w:color w:val="000000" w:themeColor="text1"/>
                <w:sz w:val="24"/>
                <w:szCs w:val="24"/>
              </w:rPr>
              <w:t>时，</w:t>
            </w:r>
            <w:r>
              <w:rPr>
                <w:rFonts w:ascii="Times New Roman" w:hAnsi="Times New Roman"/>
                <w:color w:val="000000" w:themeColor="text1"/>
                <w:sz w:val="24"/>
                <w:szCs w:val="24"/>
              </w:rPr>
              <w:t>S</w:t>
            </w:r>
            <w:r>
              <w:rPr>
                <w:rFonts w:ascii="Times New Roman" w:hAnsi="Times New Roman"/>
                <w:color w:val="000000" w:themeColor="text1"/>
                <w:sz w:val="24"/>
                <w:szCs w:val="24"/>
                <w:vertAlign w:val="subscript"/>
              </w:rPr>
              <w:t>pH</w:t>
            </w:r>
            <w:r>
              <w:rPr>
                <w:rFonts w:ascii="Times New Roman" w:hAnsi="Times New Roman"/>
                <w:color w:val="000000" w:themeColor="text1"/>
                <w:sz w:val="24"/>
                <w:szCs w:val="24"/>
              </w:rPr>
              <w:t>=</w:t>
            </w:r>
            <w:r>
              <w:rPr>
                <w:rFonts w:hint="eastAsia" w:ascii="Times New Roman" w:hAnsi="Times New Roman"/>
                <w:color w:val="000000" w:themeColor="text1"/>
                <w:sz w:val="24"/>
                <w:szCs w:val="24"/>
              </w:rPr>
              <w:t>（</w:t>
            </w:r>
            <w:r>
              <w:rPr>
                <w:rFonts w:ascii="Times New Roman" w:hAnsi="Times New Roman"/>
                <w:color w:val="000000" w:themeColor="text1"/>
                <w:sz w:val="24"/>
                <w:szCs w:val="24"/>
              </w:rPr>
              <w:t xml:space="preserve">7.0- pH </w:t>
            </w:r>
            <w:r>
              <w:rPr>
                <w:rFonts w:hint="eastAsia" w:ascii="Times New Roman" w:hAnsi="Times New Roman"/>
                <w:color w:val="000000" w:themeColor="text1"/>
                <w:sz w:val="24"/>
                <w:szCs w:val="24"/>
              </w:rPr>
              <w:t>）</w:t>
            </w:r>
            <w:r>
              <w:rPr>
                <w:rFonts w:ascii="Times New Roman" w:hAnsi="Times New Roman"/>
                <w:color w:val="000000" w:themeColor="text1"/>
                <w:sz w:val="24"/>
                <w:szCs w:val="24"/>
              </w:rPr>
              <w:t>/</w:t>
            </w:r>
            <w:r>
              <w:rPr>
                <w:rFonts w:hint="eastAsia" w:ascii="Times New Roman" w:hAnsi="Times New Roman"/>
                <w:color w:val="000000" w:themeColor="text1"/>
                <w:sz w:val="24"/>
                <w:szCs w:val="24"/>
              </w:rPr>
              <w:t>（</w:t>
            </w:r>
            <w:r>
              <w:rPr>
                <w:rFonts w:ascii="Times New Roman" w:hAnsi="Times New Roman"/>
                <w:color w:val="000000" w:themeColor="text1"/>
                <w:sz w:val="24"/>
                <w:szCs w:val="24"/>
              </w:rPr>
              <w:t>7.0-pH</w:t>
            </w:r>
            <w:r>
              <w:rPr>
                <w:rFonts w:ascii="Times New Roman" w:hAnsi="Times New Roman"/>
                <w:color w:val="000000" w:themeColor="text1"/>
                <w:sz w:val="24"/>
                <w:szCs w:val="24"/>
                <w:vertAlign w:val="subscript"/>
              </w:rPr>
              <w:t>sd</w:t>
            </w:r>
            <w:r>
              <w:rPr>
                <w:rFonts w:hint="eastAsia" w:ascii="Times New Roman" w:hAnsi="Times New Roman"/>
                <w:color w:val="000000" w:themeColor="text1"/>
                <w:sz w:val="24"/>
                <w:szCs w:val="24"/>
              </w:rPr>
              <w:t>）</w:t>
            </w:r>
          </w:p>
          <w:p w14:paraId="53F32703">
            <w:pPr>
              <w:spacing w:line="360" w:lineRule="auto"/>
              <w:ind w:left="137" w:leftChars="57" w:right="55" w:rightChars="23" w:firstLine="1140" w:firstLineChars="475"/>
              <w:rPr>
                <w:rFonts w:ascii="Times New Roman" w:hAnsi="Times New Roman"/>
                <w:color w:val="000000" w:themeColor="text1"/>
                <w:sz w:val="24"/>
                <w:szCs w:val="24"/>
              </w:rPr>
            </w:pPr>
            <w:r>
              <w:rPr>
                <w:rFonts w:ascii="Times New Roman" w:hAnsi="Times New Roman"/>
                <w:color w:val="000000" w:themeColor="text1"/>
                <w:sz w:val="24"/>
                <w:szCs w:val="24"/>
              </w:rPr>
              <w:t>pH≥7.0</w:t>
            </w:r>
            <w:r>
              <w:rPr>
                <w:rFonts w:hint="eastAsia" w:ascii="Times New Roman" w:hAnsi="Times New Roman"/>
                <w:color w:val="000000" w:themeColor="text1"/>
                <w:sz w:val="24"/>
                <w:szCs w:val="24"/>
              </w:rPr>
              <w:t>时，</w:t>
            </w:r>
            <w:r>
              <w:rPr>
                <w:rFonts w:ascii="Times New Roman" w:hAnsi="Times New Roman"/>
                <w:color w:val="000000" w:themeColor="text1"/>
                <w:sz w:val="24"/>
                <w:szCs w:val="24"/>
              </w:rPr>
              <w:t>S</w:t>
            </w:r>
            <w:r>
              <w:rPr>
                <w:rFonts w:ascii="Times New Roman" w:hAnsi="Times New Roman"/>
                <w:color w:val="000000" w:themeColor="text1"/>
                <w:sz w:val="24"/>
                <w:szCs w:val="24"/>
                <w:vertAlign w:val="subscript"/>
              </w:rPr>
              <w:t>pH</w:t>
            </w:r>
            <w:r>
              <w:rPr>
                <w:rFonts w:ascii="Times New Roman" w:hAnsi="Times New Roman"/>
                <w:color w:val="000000" w:themeColor="text1"/>
                <w:sz w:val="24"/>
                <w:szCs w:val="24"/>
              </w:rPr>
              <w:t>=</w:t>
            </w:r>
            <w:r>
              <w:rPr>
                <w:rFonts w:hint="eastAsia" w:ascii="Times New Roman" w:hAnsi="Times New Roman"/>
                <w:color w:val="000000" w:themeColor="text1"/>
                <w:sz w:val="24"/>
                <w:szCs w:val="24"/>
              </w:rPr>
              <w:t>（</w:t>
            </w:r>
            <w:r>
              <w:rPr>
                <w:rFonts w:ascii="Times New Roman" w:hAnsi="Times New Roman"/>
                <w:color w:val="000000" w:themeColor="text1"/>
                <w:sz w:val="24"/>
                <w:szCs w:val="24"/>
              </w:rPr>
              <w:t>pH-7.0</w:t>
            </w:r>
            <w:r>
              <w:rPr>
                <w:rFonts w:hint="eastAsia" w:ascii="Times New Roman" w:hAnsi="Times New Roman"/>
                <w:color w:val="000000" w:themeColor="text1"/>
                <w:sz w:val="24"/>
                <w:szCs w:val="24"/>
              </w:rPr>
              <w:t>）</w:t>
            </w:r>
            <w:r>
              <w:rPr>
                <w:rFonts w:ascii="Times New Roman" w:hAnsi="Times New Roman"/>
                <w:color w:val="000000" w:themeColor="text1"/>
                <w:sz w:val="24"/>
                <w:szCs w:val="24"/>
              </w:rPr>
              <w:t xml:space="preserve">/ </w:t>
            </w:r>
            <w:r>
              <w:rPr>
                <w:rFonts w:hint="eastAsia" w:ascii="Times New Roman" w:hAnsi="Times New Roman"/>
                <w:color w:val="000000" w:themeColor="text1"/>
                <w:sz w:val="24"/>
                <w:szCs w:val="24"/>
              </w:rPr>
              <w:t>（</w:t>
            </w:r>
            <w:r>
              <w:rPr>
                <w:rFonts w:ascii="Times New Roman" w:hAnsi="Times New Roman"/>
                <w:color w:val="000000" w:themeColor="text1"/>
                <w:sz w:val="24"/>
                <w:szCs w:val="24"/>
              </w:rPr>
              <w:t>pH</w:t>
            </w:r>
            <w:r>
              <w:rPr>
                <w:rFonts w:ascii="Times New Roman" w:hAnsi="Times New Roman"/>
                <w:color w:val="000000" w:themeColor="text1"/>
                <w:sz w:val="24"/>
                <w:szCs w:val="24"/>
                <w:vertAlign w:val="subscript"/>
              </w:rPr>
              <w:t>su</w:t>
            </w:r>
            <w:r>
              <w:rPr>
                <w:rFonts w:ascii="Times New Roman" w:hAnsi="Times New Roman"/>
                <w:color w:val="000000" w:themeColor="text1"/>
                <w:sz w:val="24"/>
                <w:szCs w:val="24"/>
              </w:rPr>
              <w:t>-7.0</w:t>
            </w:r>
            <w:r>
              <w:rPr>
                <w:rFonts w:hint="eastAsia" w:ascii="Times New Roman" w:hAnsi="Times New Roman"/>
                <w:color w:val="000000" w:themeColor="text1"/>
                <w:sz w:val="24"/>
                <w:szCs w:val="24"/>
              </w:rPr>
              <w:t>）</w:t>
            </w:r>
          </w:p>
          <w:p w14:paraId="3BDF108E">
            <w:pPr>
              <w:spacing w:line="360" w:lineRule="auto"/>
              <w:ind w:left="137" w:leftChars="57" w:right="55" w:rightChars="23" w:firstLine="480"/>
              <w:rPr>
                <w:rFonts w:ascii="Times New Roman" w:hAnsi="Times New Roman"/>
                <w:color w:val="000000" w:themeColor="text1"/>
                <w:sz w:val="24"/>
                <w:szCs w:val="24"/>
              </w:rPr>
            </w:pPr>
            <w:r>
              <w:rPr>
                <w:rFonts w:hint="eastAsia" w:ascii="Times New Roman" w:hAnsi="Times New Roman"/>
                <w:color w:val="000000" w:themeColor="text1"/>
                <w:sz w:val="24"/>
                <w:szCs w:val="24"/>
              </w:rPr>
              <w:t>式中：</w:t>
            </w:r>
            <w:r>
              <w:rPr>
                <w:rFonts w:ascii="Times New Roman" w:hAnsi="Times New Roman"/>
                <w:color w:val="000000" w:themeColor="text1"/>
                <w:sz w:val="24"/>
                <w:szCs w:val="24"/>
              </w:rPr>
              <w:t>S</w:t>
            </w:r>
            <w:r>
              <w:rPr>
                <w:rFonts w:ascii="Times New Roman" w:hAnsi="Times New Roman"/>
                <w:color w:val="000000" w:themeColor="text1"/>
                <w:sz w:val="24"/>
                <w:szCs w:val="24"/>
                <w:vertAlign w:val="subscript"/>
              </w:rPr>
              <w:t>pH</w:t>
            </w:r>
            <w:r>
              <w:rPr>
                <w:rFonts w:ascii="Times New Roman" w:hAnsi="Times New Roman"/>
                <w:color w:val="000000" w:themeColor="text1"/>
                <w:sz w:val="24"/>
                <w:szCs w:val="24"/>
              </w:rPr>
              <w:t>——pH</w:t>
            </w:r>
            <w:r>
              <w:rPr>
                <w:rFonts w:hint="eastAsia" w:ascii="Times New Roman" w:hAnsi="Times New Roman"/>
                <w:color w:val="000000" w:themeColor="text1"/>
                <w:sz w:val="24"/>
                <w:szCs w:val="24"/>
              </w:rPr>
              <w:t>的标准指数（无量纲）</w:t>
            </w:r>
          </w:p>
          <w:p w14:paraId="26A23DE5">
            <w:pPr>
              <w:tabs>
                <w:tab w:val="left" w:pos="720"/>
                <w:tab w:val="left" w:pos="6090"/>
              </w:tabs>
              <w:spacing w:line="360" w:lineRule="auto"/>
              <w:ind w:left="137" w:leftChars="57" w:right="55" w:rightChars="23" w:firstLine="1140" w:firstLineChars="475"/>
              <w:rPr>
                <w:rFonts w:ascii="Times New Roman" w:hAnsi="Times New Roman"/>
                <w:color w:val="000000" w:themeColor="text1"/>
                <w:sz w:val="24"/>
                <w:szCs w:val="24"/>
              </w:rPr>
            </w:pPr>
            <w:r>
              <w:rPr>
                <w:rFonts w:ascii="Times New Roman" w:hAnsi="Times New Roman"/>
                <w:color w:val="000000" w:themeColor="text1"/>
                <w:sz w:val="24"/>
                <w:szCs w:val="24"/>
              </w:rPr>
              <w:t>pH</w:t>
            </w:r>
            <w:r>
              <w:rPr>
                <w:rFonts w:ascii="Times New Roman" w:hAnsi="Times New Roman"/>
                <w:color w:val="000000" w:themeColor="text1"/>
                <w:sz w:val="24"/>
                <w:szCs w:val="24"/>
                <w:vertAlign w:val="subscript"/>
              </w:rPr>
              <w:t>sd</w:t>
            </w:r>
            <w:r>
              <w:rPr>
                <w:rFonts w:ascii="Times New Roman" w:hAnsi="Times New Roman"/>
                <w:color w:val="000000" w:themeColor="text1"/>
                <w:sz w:val="24"/>
                <w:szCs w:val="24"/>
              </w:rPr>
              <w:t>——</w:t>
            </w:r>
            <w:r>
              <w:rPr>
                <w:rFonts w:hint="eastAsia" w:ascii="Times New Roman" w:hAnsi="Times New Roman"/>
                <w:color w:val="000000" w:themeColor="text1"/>
                <w:sz w:val="24"/>
                <w:szCs w:val="24"/>
              </w:rPr>
              <w:t>标准中的</w:t>
            </w:r>
            <w:r>
              <w:rPr>
                <w:rFonts w:ascii="Times New Roman" w:hAnsi="Times New Roman"/>
                <w:color w:val="000000" w:themeColor="text1"/>
                <w:sz w:val="24"/>
                <w:szCs w:val="24"/>
              </w:rPr>
              <w:t>pH</w:t>
            </w:r>
            <w:r>
              <w:rPr>
                <w:rFonts w:hint="eastAsia" w:ascii="Times New Roman" w:hAnsi="Times New Roman"/>
                <w:color w:val="000000" w:themeColor="text1"/>
                <w:sz w:val="24"/>
                <w:szCs w:val="24"/>
              </w:rPr>
              <w:t>值的下限值（</w:t>
            </w:r>
            <w:r>
              <w:rPr>
                <w:rFonts w:ascii="Times New Roman" w:hAnsi="Times New Roman"/>
                <w:color w:val="000000" w:themeColor="text1"/>
                <w:sz w:val="24"/>
                <w:szCs w:val="24"/>
              </w:rPr>
              <w:t>6.5</w:t>
            </w:r>
            <w:r>
              <w:rPr>
                <w:rFonts w:hint="eastAsia" w:ascii="Times New Roman" w:hAnsi="Times New Roman"/>
                <w:color w:val="000000" w:themeColor="text1"/>
                <w:sz w:val="24"/>
                <w:szCs w:val="24"/>
              </w:rPr>
              <w:t>）</w:t>
            </w:r>
          </w:p>
          <w:p w14:paraId="16639ACE">
            <w:pPr>
              <w:spacing w:line="360" w:lineRule="auto"/>
              <w:ind w:firstLine="1920" w:firstLineChars="800"/>
              <w:rPr>
                <w:rFonts w:ascii="Times New Roman" w:hAnsi="Times New Roman"/>
                <w:color w:val="000000" w:themeColor="text1"/>
                <w:sz w:val="24"/>
                <w:szCs w:val="24"/>
              </w:rPr>
            </w:pPr>
            <w:r>
              <w:rPr>
                <w:rFonts w:ascii="Times New Roman" w:hAnsi="Times New Roman"/>
                <w:color w:val="000000" w:themeColor="text1"/>
                <w:sz w:val="24"/>
                <w:szCs w:val="24"/>
              </w:rPr>
              <w:t>pH</w:t>
            </w:r>
            <w:r>
              <w:rPr>
                <w:rFonts w:ascii="Times New Roman" w:hAnsi="Times New Roman"/>
                <w:color w:val="000000" w:themeColor="text1"/>
                <w:sz w:val="24"/>
                <w:szCs w:val="24"/>
                <w:vertAlign w:val="subscript"/>
              </w:rPr>
              <w:t>su</w:t>
            </w:r>
            <w:r>
              <w:rPr>
                <w:rFonts w:ascii="Times New Roman" w:hAnsi="Times New Roman"/>
                <w:color w:val="000000" w:themeColor="text1"/>
                <w:sz w:val="24"/>
                <w:szCs w:val="24"/>
              </w:rPr>
              <w:t>——</w:t>
            </w:r>
            <w:r>
              <w:rPr>
                <w:rFonts w:hint="eastAsia" w:ascii="Times New Roman" w:hAnsi="Times New Roman"/>
                <w:color w:val="000000" w:themeColor="text1"/>
                <w:sz w:val="24"/>
                <w:szCs w:val="24"/>
              </w:rPr>
              <w:t>标准中</w:t>
            </w:r>
            <w:r>
              <w:rPr>
                <w:rFonts w:ascii="Times New Roman" w:hAnsi="Times New Roman"/>
                <w:color w:val="000000" w:themeColor="text1"/>
                <w:sz w:val="24"/>
                <w:szCs w:val="24"/>
              </w:rPr>
              <w:t>pH</w:t>
            </w:r>
            <w:r>
              <w:rPr>
                <w:rFonts w:hint="eastAsia" w:ascii="Times New Roman" w:hAnsi="Times New Roman"/>
                <w:color w:val="000000" w:themeColor="text1"/>
                <w:sz w:val="24"/>
                <w:szCs w:val="24"/>
              </w:rPr>
              <w:t>值的上限值（</w:t>
            </w:r>
            <w:r>
              <w:rPr>
                <w:rFonts w:ascii="Times New Roman" w:hAnsi="Times New Roman"/>
                <w:color w:val="000000" w:themeColor="text1"/>
                <w:sz w:val="24"/>
                <w:szCs w:val="24"/>
              </w:rPr>
              <w:t>8.5</w:t>
            </w:r>
            <w:r>
              <w:rPr>
                <w:rFonts w:hint="eastAsia" w:ascii="Times New Roman" w:hAnsi="Times New Roman"/>
                <w:color w:val="000000" w:themeColor="text1"/>
                <w:sz w:val="24"/>
                <w:szCs w:val="24"/>
              </w:rPr>
              <w:t>）</w:t>
            </w:r>
          </w:p>
          <w:p w14:paraId="6A992BAA">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2.3 </w:t>
            </w:r>
            <w:r>
              <w:rPr>
                <w:rFonts w:hint="eastAsia" w:ascii="Times New Roman" w:hAnsi="Times New Roman"/>
                <w:b/>
                <w:bCs/>
                <w:color w:val="000000" w:themeColor="text1"/>
                <w:sz w:val="24"/>
                <w:szCs w:val="24"/>
              </w:rPr>
              <w:t>评价结果及分析</w:t>
            </w:r>
          </w:p>
          <w:p w14:paraId="194B2EA5">
            <w:pPr>
              <w:spacing w:line="360" w:lineRule="auto"/>
              <w:ind w:firstLine="480"/>
              <w:rPr>
                <w:rFonts w:ascii="宋体" w:cs="宋体"/>
                <w:color w:val="000000" w:themeColor="text1"/>
                <w:sz w:val="24"/>
                <w:szCs w:val="24"/>
              </w:rPr>
            </w:pPr>
            <w:r>
              <w:rPr>
                <w:rFonts w:hint="eastAsia" w:ascii="宋体" w:hAnsi="宋体" w:cs="宋体"/>
                <w:color w:val="000000" w:themeColor="text1"/>
                <w:sz w:val="24"/>
                <w:szCs w:val="24"/>
              </w:rPr>
              <w:t>地下水水质监测及评价结果见下表：</w:t>
            </w:r>
          </w:p>
          <w:p w14:paraId="35D42598">
            <w:pPr>
              <w:spacing w:line="360" w:lineRule="auto"/>
              <w:ind w:firstLine="422" w:firstLineChars="200"/>
              <w:jc w:val="left"/>
              <w:rPr>
                <w:rFonts w:ascii="黑体" w:hAnsi="黑体" w:eastAsia="黑体" w:cs="黑体"/>
                <w:b/>
                <w:color w:val="000000" w:themeColor="text1"/>
                <w:sz w:val="21"/>
                <w:szCs w:val="21"/>
              </w:rPr>
            </w:pPr>
            <w:r>
              <w:rPr>
                <w:rFonts w:hint="eastAsia" w:ascii="黑体" w:hAnsi="黑体" w:eastAsia="黑体" w:cs="黑体"/>
                <w:b/>
                <w:color w:val="000000" w:themeColor="text1"/>
                <w:sz w:val="21"/>
                <w:szCs w:val="21"/>
              </w:rPr>
              <w:t>表</w:t>
            </w:r>
            <w:r>
              <w:rPr>
                <w:rFonts w:hint="eastAsia" w:ascii="黑体" w:hAnsi="黑体" w:eastAsia="黑体" w:cs="黑体"/>
                <w:b/>
                <w:color w:val="000000" w:themeColor="text1"/>
                <w:sz w:val="21"/>
                <w:szCs w:val="21"/>
                <w:lang w:val="en-US" w:eastAsia="zh-CN"/>
              </w:rPr>
              <w:t xml:space="preserve">19 </w:t>
            </w:r>
            <w:r>
              <w:rPr>
                <w:rFonts w:ascii="黑体" w:hAnsi="黑体" w:eastAsia="黑体" w:cs="黑体"/>
                <w:b/>
                <w:color w:val="000000" w:themeColor="text1"/>
                <w:sz w:val="21"/>
                <w:szCs w:val="21"/>
              </w:rPr>
              <w:t xml:space="preserve">      </w:t>
            </w:r>
            <w:r>
              <w:rPr>
                <w:rFonts w:hint="eastAsia" w:ascii="黑体" w:hAnsi="黑体" w:eastAsia="黑体" w:cs="黑体"/>
                <w:b/>
                <w:color w:val="000000" w:themeColor="text1"/>
                <w:sz w:val="21"/>
                <w:szCs w:val="21"/>
              </w:rPr>
              <w:t>项目区地下水水质监测及评价结果</w:t>
            </w:r>
            <w:r>
              <w:rPr>
                <w:rFonts w:ascii="黑体" w:hAnsi="黑体" w:eastAsia="黑体" w:cs="黑体"/>
                <w:b/>
                <w:color w:val="000000" w:themeColor="text1"/>
                <w:sz w:val="21"/>
                <w:szCs w:val="21"/>
              </w:rPr>
              <w:t xml:space="preserve">      </w:t>
            </w:r>
            <w:r>
              <w:rPr>
                <w:rFonts w:hint="eastAsia" w:ascii="黑体" w:hAnsi="黑体" w:eastAsia="黑体" w:cs="黑体"/>
                <w:b/>
                <w:color w:val="000000" w:themeColor="text1"/>
                <w:sz w:val="21"/>
                <w:szCs w:val="21"/>
              </w:rPr>
              <w:t>（单位：</w:t>
            </w:r>
            <w:r>
              <w:rPr>
                <w:rFonts w:ascii="黑体" w:hAnsi="黑体" w:eastAsia="黑体" w:cs="黑体"/>
                <w:b/>
                <w:color w:val="000000" w:themeColor="text1"/>
                <w:sz w:val="21"/>
                <w:szCs w:val="21"/>
              </w:rPr>
              <w:t>mg/L</w:t>
            </w:r>
            <w:r>
              <w:rPr>
                <w:rFonts w:hint="eastAsia" w:ascii="黑体" w:hAnsi="黑体" w:eastAsia="黑体" w:cs="黑体"/>
                <w:b/>
                <w:color w:val="000000" w:themeColor="text1"/>
                <w:sz w:val="21"/>
                <w:szCs w:val="21"/>
              </w:rPr>
              <w:t>，</w:t>
            </w:r>
            <w:r>
              <w:rPr>
                <w:rFonts w:ascii="黑体" w:hAnsi="黑体" w:eastAsia="黑体" w:cs="黑体"/>
                <w:b/>
                <w:color w:val="000000" w:themeColor="text1"/>
                <w:sz w:val="21"/>
                <w:szCs w:val="21"/>
              </w:rPr>
              <w:t>pH</w:t>
            </w:r>
            <w:r>
              <w:rPr>
                <w:rFonts w:hint="eastAsia" w:ascii="黑体" w:hAnsi="黑体" w:eastAsia="黑体" w:cs="黑体"/>
                <w:b/>
                <w:color w:val="000000" w:themeColor="text1"/>
                <w:sz w:val="21"/>
                <w:szCs w:val="21"/>
              </w:rPr>
              <w:t>值除外）</w:t>
            </w:r>
          </w:p>
          <w:tbl>
            <w:tblPr>
              <w:tblStyle w:val="19"/>
              <w:tblW w:w="8220" w:type="dxa"/>
              <w:tblInd w:w="6" w:type="dxa"/>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fixed"/>
              <w:tblCellMar>
                <w:top w:w="0" w:type="dxa"/>
                <w:left w:w="108" w:type="dxa"/>
                <w:bottom w:w="0" w:type="dxa"/>
                <w:right w:w="108" w:type="dxa"/>
              </w:tblCellMar>
            </w:tblPr>
            <w:tblGrid>
              <w:gridCol w:w="757"/>
              <w:gridCol w:w="2085"/>
              <w:gridCol w:w="1260"/>
              <w:gridCol w:w="2022"/>
              <w:gridCol w:w="2096"/>
            </w:tblGrid>
            <w:tr w14:paraId="74521148">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PrEx>
              <w:trPr>
                <w:trHeight w:val="351" w:hRule="atLeast"/>
              </w:trPr>
              <w:tc>
                <w:tcPr>
                  <w:tcW w:w="757" w:type="dxa"/>
                  <w:tcBorders>
                    <w:top w:val="single" w:color="auto" w:sz="12" w:space="0"/>
                    <w:bottom w:val="single" w:color="auto" w:sz="12" w:space="0"/>
                    <w:right w:val="single" w:color="auto" w:sz="6" w:space="0"/>
                  </w:tcBorders>
                  <w:vAlign w:val="center"/>
                </w:tcPr>
                <w:p w14:paraId="50923EB0">
                  <w:pPr>
                    <w:tabs>
                      <w:tab w:val="left" w:pos="720"/>
                    </w:tabs>
                    <w:jc w:val="center"/>
                    <w:rPr>
                      <w:rFonts w:hint="default" w:ascii="Times New Roman" w:hAnsi="Times New Roman" w:eastAsia="宋体" w:cs="Times New Roman"/>
                      <w:b/>
                      <w:color w:val="000000" w:themeColor="text1"/>
                      <w:sz w:val="21"/>
                      <w:szCs w:val="21"/>
                    </w:rPr>
                  </w:pPr>
                  <w:r>
                    <w:rPr>
                      <w:rFonts w:hint="default" w:ascii="Times New Roman" w:hAnsi="Times New Roman" w:eastAsia="宋体" w:cs="Times New Roman"/>
                      <w:b/>
                      <w:color w:val="000000" w:themeColor="text1"/>
                      <w:sz w:val="21"/>
                      <w:szCs w:val="21"/>
                    </w:rPr>
                    <w:t>序号</w:t>
                  </w:r>
                </w:p>
              </w:tc>
              <w:tc>
                <w:tcPr>
                  <w:tcW w:w="2085" w:type="dxa"/>
                  <w:tcBorders>
                    <w:top w:val="single" w:color="auto" w:sz="12" w:space="0"/>
                    <w:left w:val="single" w:color="auto" w:sz="6" w:space="0"/>
                    <w:bottom w:val="single" w:color="auto" w:sz="12" w:space="0"/>
                    <w:right w:val="single" w:color="auto" w:sz="6" w:space="0"/>
                  </w:tcBorders>
                  <w:vAlign w:val="center"/>
                </w:tcPr>
                <w:p w14:paraId="2204BAE2">
                  <w:pPr>
                    <w:tabs>
                      <w:tab w:val="left" w:pos="720"/>
                    </w:tabs>
                    <w:jc w:val="center"/>
                    <w:rPr>
                      <w:rFonts w:hint="default" w:ascii="Times New Roman" w:hAnsi="Times New Roman" w:eastAsia="宋体" w:cs="Times New Roman"/>
                      <w:b/>
                      <w:color w:val="000000" w:themeColor="text1"/>
                      <w:sz w:val="21"/>
                      <w:szCs w:val="21"/>
                    </w:rPr>
                  </w:pPr>
                  <w:r>
                    <w:rPr>
                      <w:rFonts w:hint="default" w:ascii="Times New Roman" w:hAnsi="Times New Roman" w:eastAsia="宋体" w:cs="Times New Roman"/>
                      <w:b/>
                      <w:color w:val="000000" w:themeColor="text1"/>
                      <w:sz w:val="21"/>
                      <w:szCs w:val="21"/>
                    </w:rPr>
                    <w:t>监测项目</w:t>
                  </w:r>
                </w:p>
              </w:tc>
              <w:tc>
                <w:tcPr>
                  <w:tcW w:w="1260" w:type="dxa"/>
                  <w:tcBorders>
                    <w:top w:val="single" w:color="auto" w:sz="12" w:space="0"/>
                    <w:left w:val="single" w:color="auto" w:sz="6" w:space="0"/>
                    <w:bottom w:val="single" w:color="auto" w:sz="12" w:space="0"/>
                    <w:right w:val="single" w:color="auto" w:sz="6" w:space="0"/>
                  </w:tcBorders>
                  <w:vAlign w:val="center"/>
                </w:tcPr>
                <w:p w14:paraId="37756441">
                  <w:pPr>
                    <w:jc w:val="center"/>
                    <w:rPr>
                      <w:rFonts w:hint="default" w:ascii="Times New Roman" w:hAnsi="Times New Roman" w:eastAsia="宋体" w:cs="Times New Roman"/>
                      <w:b/>
                      <w:color w:val="000000" w:themeColor="text1"/>
                      <w:sz w:val="21"/>
                      <w:szCs w:val="21"/>
                    </w:rPr>
                  </w:pPr>
                  <w:r>
                    <w:rPr>
                      <w:rFonts w:hint="default" w:ascii="Times New Roman" w:hAnsi="Times New Roman" w:eastAsia="宋体" w:cs="Times New Roman"/>
                      <w:b/>
                      <w:color w:val="000000" w:themeColor="text1"/>
                      <w:sz w:val="21"/>
                      <w:szCs w:val="21"/>
                    </w:rPr>
                    <w:t>监测结果</w:t>
                  </w:r>
                </w:p>
              </w:tc>
              <w:tc>
                <w:tcPr>
                  <w:tcW w:w="2022" w:type="dxa"/>
                  <w:tcBorders>
                    <w:top w:val="single" w:color="auto" w:sz="12" w:space="0"/>
                    <w:left w:val="single" w:color="auto" w:sz="6" w:space="0"/>
                    <w:bottom w:val="single" w:color="auto" w:sz="12" w:space="0"/>
                    <w:right w:val="single" w:color="auto" w:sz="6" w:space="0"/>
                  </w:tcBorders>
                  <w:vAlign w:val="center"/>
                </w:tcPr>
                <w:p w14:paraId="17F542D0">
                  <w:pPr>
                    <w:jc w:val="center"/>
                    <w:rPr>
                      <w:rFonts w:hint="default" w:ascii="Times New Roman" w:hAnsi="Times New Roman" w:eastAsia="宋体" w:cs="Times New Roman"/>
                      <w:b/>
                      <w:color w:val="000000" w:themeColor="text1"/>
                      <w:sz w:val="21"/>
                      <w:szCs w:val="21"/>
                    </w:rPr>
                  </w:pPr>
                  <w:r>
                    <w:rPr>
                      <w:rFonts w:hint="default" w:ascii="Times New Roman" w:hAnsi="Times New Roman" w:eastAsia="宋体" w:cs="Times New Roman"/>
                      <w:b/>
                      <w:color w:val="000000" w:themeColor="text1"/>
                      <w:sz w:val="21"/>
                      <w:szCs w:val="21"/>
                    </w:rPr>
                    <w:t>标准限值（mg/L）</w:t>
                  </w:r>
                </w:p>
              </w:tc>
              <w:tc>
                <w:tcPr>
                  <w:tcW w:w="2096" w:type="dxa"/>
                  <w:tcBorders>
                    <w:top w:val="single" w:color="auto" w:sz="12" w:space="0"/>
                    <w:left w:val="single" w:color="auto" w:sz="6" w:space="0"/>
                    <w:bottom w:val="single" w:color="auto" w:sz="12" w:space="0"/>
                  </w:tcBorders>
                  <w:vAlign w:val="center"/>
                </w:tcPr>
                <w:p w14:paraId="1F4E60D4">
                  <w:pPr>
                    <w:jc w:val="center"/>
                    <w:rPr>
                      <w:rFonts w:hint="default" w:ascii="Times New Roman" w:hAnsi="Times New Roman" w:eastAsia="宋体" w:cs="Times New Roman"/>
                      <w:b/>
                      <w:color w:val="000000" w:themeColor="text1"/>
                      <w:sz w:val="21"/>
                      <w:szCs w:val="21"/>
                    </w:rPr>
                  </w:pPr>
                  <w:r>
                    <w:rPr>
                      <w:rFonts w:hint="default" w:ascii="Times New Roman" w:hAnsi="Times New Roman" w:eastAsia="宋体" w:cs="Times New Roman"/>
                      <w:b/>
                      <w:color w:val="000000" w:themeColor="text1"/>
                      <w:sz w:val="21"/>
                      <w:szCs w:val="21"/>
                    </w:rPr>
                    <w:t>单因子标准指数P</w:t>
                  </w:r>
                  <w:r>
                    <w:rPr>
                      <w:rFonts w:hint="default" w:ascii="Times New Roman" w:hAnsi="Times New Roman" w:eastAsia="宋体" w:cs="Times New Roman"/>
                      <w:b/>
                      <w:color w:val="000000" w:themeColor="text1"/>
                      <w:sz w:val="21"/>
                      <w:szCs w:val="21"/>
                      <w:vertAlign w:val="subscript"/>
                    </w:rPr>
                    <w:t>i</w:t>
                  </w:r>
                </w:p>
              </w:tc>
            </w:tr>
            <w:tr w14:paraId="28473A7F">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51" w:hRule="atLeast"/>
              </w:trPr>
              <w:tc>
                <w:tcPr>
                  <w:tcW w:w="757" w:type="dxa"/>
                  <w:tcBorders>
                    <w:top w:val="single" w:color="auto" w:sz="12" w:space="0"/>
                    <w:bottom w:val="single" w:color="auto" w:sz="4" w:space="0"/>
                    <w:right w:val="single" w:color="auto" w:sz="6" w:space="0"/>
                  </w:tcBorders>
                  <w:vAlign w:val="center"/>
                </w:tcPr>
                <w:p w14:paraId="5B5CAC6D">
                  <w:pPr>
                    <w:tabs>
                      <w:tab w:val="left" w:pos="72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w:t>
                  </w:r>
                </w:p>
              </w:tc>
              <w:tc>
                <w:tcPr>
                  <w:tcW w:w="2085" w:type="dxa"/>
                  <w:tcBorders>
                    <w:top w:val="single" w:color="auto" w:sz="12" w:space="0"/>
                    <w:left w:val="single" w:color="auto" w:sz="6" w:space="0"/>
                    <w:bottom w:val="single" w:color="auto" w:sz="4" w:space="0"/>
                    <w:right w:val="single" w:color="auto" w:sz="6" w:space="0"/>
                  </w:tcBorders>
                  <w:shd w:val="clear" w:color="auto" w:fill="auto"/>
                  <w:vAlign w:val="center"/>
                </w:tcPr>
                <w:p w14:paraId="36B9B16C">
                  <w:pPr>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pH值</w:t>
                  </w:r>
                </w:p>
              </w:tc>
              <w:tc>
                <w:tcPr>
                  <w:tcW w:w="1260" w:type="dxa"/>
                  <w:tcBorders>
                    <w:top w:val="single" w:color="auto" w:sz="12" w:space="0"/>
                    <w:left w:val="single" w:color="auto" w:sz="6" w:space="0"/>
                    <w:bottom w:val="single" w:color="auto" w:sz="4" w:space="0"/>
                    <w:right w:val="single" w:color="auto" w:sz="6" w:space="0"/>
                  </w:tcBorders>
                  <w:vAlign w:val="center"/>
                </w:tcPr>
                <w:p w14:paraId="506E35E6">
                  <w:pPr>
                    <w:jc w:val="center"/>
                    <w:rPr>
                      <w:rFonts w:hint="default"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7.2</w:t>
                  </w:r>
                </w:p>
              </w:tc>
              <w:tc>
                <w:tcPr>
                  <w:tcW w:w="2022" w:type="dxa"/>
                  <w:tcBorders>
                    <w:top w:val="single" w:color="auto" w:sz="12" w:space="0"/>
                    <w:left w:val="single" w:color="auto" w:sz="6" w:space="0"/>
                    <w:bottom w:val="single" w:color="auto" w:sz="4" w:space="0"/>
                    <w:right w:val="single" w:color="auto" w:sz="6" w:space="0"/>
                  </w:tcBorders>
                  <w:vAlign w:val="center"/>
                </w:tcPr>
                <w:p w14:paraId="76CF8839">
                  <w:pPr>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6.5-8.5</w:t>
                  </w:r>
                </w:p>
              </w:tc>
              <w:tc>
                <w:tcPr>
                  <w:tcW w:w="2096" w:type="dxa"/>
                  <w:tcBorders>
                    <w:top w:val="single" w:color="auto" w:sz="12" w:space="0"/>
                    <w:left w:val="single" w:color="auto" w:sz="6" w:space="0"/>
                    <w:bottom w:val="single" w:color="auto" w:sz="4" w:space="0"/>
                  </w:tcBorders>
                  <w:vAlign w:val="center"/>
                </w:tcPr>
                <w:p w14:paraId="05FF7B04">
                  <w:pPr>
                    <w:tabs>
                      <w:tab w:val="left" w:pos="720"/>
                    </w:tabs>
                    <w:jc w:val="center"/>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0.13</w:t>
                  </w:r>
                </w:p>
              </w:tc>
            </w:tr>
            <w:tr w14:paraId="666746AB">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51" w:hRule="atLeast"/>
              </w:trPr>
              <w:tc>
                <w:tcPr>
                  <w:tcW w:w="757" w:type="dxa"/>
                  <w:tcBorders>
                    <w:top w:val="single" w:color="auto" w:sz="4" w:space="0"/>
                    <w:bottom w:val="single" w:color="auto" w:sz="4" w:space="0"/>
                    <w:right w:val="single" w:color="auto" w:sz="6" w:space="0"/>
                  </w:tcBorders>
                  <w:vAlign w:val="center"/>
                </w:tcPr>
                <w:p w14:paraId="4BD621DD">
                  <w:pPr>
                    <w:tabs>
                      <w:tab w:val="left" w:pos="72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w:t>
                  </w:r>
                </w:p>
              </w:tc>
              <w:tc>
                <w:tcPr>
                  <w:tcW w:w="2085" w:type="dxa"/>
                  <w:tcBorders>
                    <w:top w:val="single" w:color="auto" w:sz="4" w:space="0"/>
                    <w:left w:val="single" w:color="auto" w:sz="6" w:space="0"/>
                    <w:bottom w:val="single" w:color="auto" w:sz="4" w:space="0"/>
                    <w:right w:val="single" w:color="auto" w:sz="6" w:space="0"/>
                  </w:tcBorders>
                  <w:shd w:val="clear" w:color="auto" w:fill="auto"/>
                  <w:vAlign w:val="center"/>
                </w:tcPr>
                <w:p w14:paraId="688B007F">
                  <w:pPr>
                    <w:jc w:val="center"/>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总硬度</w:t>
                  </w:r>
                </w:p>
              </w:tc>
              <w:tc>
                <w:tcPr>
                  <w:tcW w:w="1260" w:type="dxa"/>
                  <w:tcBorders>
                    <w:top w:val="single" w:color="auto" w:sz="4" w:space="0"/>
                    <w:left w:val="single" w:color="auto" w:sz="6" w:space="0"/>
                    <w:bottom w:val="single" w:color="auto" w:sz="4" w:space="0"/>
                    <w:right w:val="single" w:color="auto" w:sz="6" w:space="0"/>
                  </w:tcBorders>
                  <w:vAlign w:val="center"/>
                </w:tcPr>
                <w:p w14:paraId="2078554E">
                  <w:pPr>
                    <w:jc w:val="center"/>
                    <w:rPr>
                      <w:rFonts w:hint="default"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209</w:t>
                  </w:r>
                </w:p>
              </w:tc>
              <w:tc>
                <w:tcPr>
                  <w:tcW w:w="2022" w:type="dxa"/>
                  <w:tcBorders>
                    <w:top w:val="single" w:color="auto" w:sz="4" w:space="0"/>
                    <w:left w:val="single" w:color="auto" w:sz="6" w:space="0"/>
                    <w:bottom w:val="single" w:color="auto" w:sz="4" w:space="0"/>
                    <w:right w:val="single" w:color="auto" w:sz="6" w:space="0"/>
                  </w:tcBorders>
                  <w:vAlign w:val="center"/>
                </w:tcPr>
                <w:p w14:paraId="0E6E1EC0">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≤450</w:t>
                  </w:r>
                </w:p>
              </w:tc>
              <w:tc>
                <w:tcPr>
                  <w:tcW w:w="2096" w:type="dxa"/>
                  <w:tcBorders>
                    <w:top w:val="single" w:color="auto" w:sz="4" w:space="0"/>
                    <w:left w:val="single" w:color="auto" w:sz="6" w:space="0"/>
                    <w:bottom w:val="single" w:color="auto" w:sz="4" w:space="0"/>
                  </w:tcBorders>
                  <w:vAlign w:val="center"/>
                </w:tcPr>
                <w:p w14:paraId="494EDD26">
                  <w:pPr>
                    <w:widowControl/>
                    <w:jc w:val="center"/>
                    <w:rPr>
                      <w:rFonts w:hint="eastAsia" w:ascii="Times New Roman" w:hAnsi="Times New Roman" w:eastAsia="宋体" w:cs="Times New Roman"/>
                      <w:color w:val="000000" w:themeColor="text1"/>
                      <w:kern w:val="0"/>
                      <w:sz w:val="21"/>
                      <w:szCs w:val="21"/>
                      <w:lang w:eastAsia="zh-CN"/>
                    </w:rPr>
                  </w:pPr>
                  <w:r>
                    <w:rPr>
                      <w:rFonts w:hint="eastAsia" w:ascii="Times New Roman" w:hAnsi="Times New Roman" w:cs="Times New Roman"/>
                      <w:color w:val="000000" w:themeColor="text1"/>
                      <w:kern w:val="0"/>
                      <w:sz w:val="21"/>
                      <w:szCs w:val="21"/>
                      <w:lang w:val="en-US" w:eastAsia="zh-CN"/>
                    </w:rPr>
                    <w:t>0.46</w:t>
                  </w:r>
                </w:p>
              </w:tc>
            </w:tr>
            <w:tr w14:paraId="6A32F22E">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51" w:hRule="atLeast"/>
              </w:trPr>
              <w:tc>
                <w:tcPr>
                  <w:tcW w:w="757" w:type="dxa"/>
                  <w:tcBorders>
                    <w:top w:val="single" w:color="auto" w:sz="4" w:space="0"/>
                    <w:bottom w:val="single" w:color="auto" w:sz="4" w:space="0"/>
                    <w:right w:val="single" w:color="auto" w:sz="6" w:space="0"/>
                  </w:tcBorders>
                  <w:vAlign w:val="center"/>
                </w:tcPr>
                <w:p w14:paraId="6CD3B7B9">
                  <w:pPr>
                    <w:tabs>
                      <w:tab w:val="left" w:pos="72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3</w:t>
                  </w:r>
                </w:p>
              </w:tc>
              <w:tc>
                <w:tcPr>
                  <w:tcW w:w="2085" w:type="dxa"/>
                  <w:tcBorders>
                    <w:top w:val="single" w:color="auto" w:sz="4" w:space="0"/>
                    <w:left w:val="single" w:color="auto" w:sz="6" w:space="0"/>
                    <w:bottom w:val="single" w:color="auto" w:sz="4" w:space="0"/>
                    <w:right w:val="single" w:color="auto" w:sz="6" w:space="0"/>
                  </w:tcBorders>
                  <w:shd w:val="clear" w:color="auto" w:fill="auto"/>
                  <w:vAlign w:val="center"/>
                </w:tcPr>
                <w:p w14:paraId="53446AD1">
                  <w:pPr>
                    <w:jc w:val="center"/>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六价铬</w:t>
                  </w:r>
                </w:p>
              </w:tc>
              <w:tc>
                <w:tcPr>
                  <w:tcW w:w="1260" w:type="dxa"/>
                  <w:tcBorders>
                    <w:top w:val="single" w:color="auto" w:sz="4" w:space="0"/>
                    <w:left w:val="single" w:color="auto" w:sz="6" w:space="0"/>
                    <w:bottom w:val="single" w:color="auto" w:sz="4" w:space="0"/>
                    <w:right w:val="single" w:color="auto" w:sz="6" w:space="0"/>
                  </w:tcBorders>
                  <w:vAlign w:val="center"/>
                </w:tcPr>
                <w:p w14:paraId="0B82158F">
                  <w:pPr>
                    <w:jc w:val="center"/>
                    <w:rPr>
                      <w:rFonts w:hint="default"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＜0.004</w:t>
                  </w:r>
                </w:p>
              </w:tc>
              <w:tc>
                <w:tcPr>
                  <w:tcW w:w="2022" w:type="dxa"/>
                  <w:tcBorders>
                    <w:top w:val="single" w:color="auto" w:sz="4" w:space="0"/>
                    <w:left w:val="single" w:color="auto" w:sz="6" w:space="0"/>
                    <w:bottom w:val="single" w:color="auto" w:sz="4" w:space="0"/>
                    <w:right w:val="single" w:color="auto" w:sz="6" w:space="0"/>
                  </w:tcBorders>
                  <w:vAlign w:val="center"/>
                </w:tcPr>
                <w:p w14:paraId="15B2B211">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≤0.05</w:t>
                  </w:r>
                </w:p>
              </w:tc>
              <w:tc>
                <w:tcPr>
                  <w:tcW w:w="2096" w:type="dxa"/>
                  <w:tcBorders>
                    <w:top w:val="single" w:color="auto" w:sz="4" w:space="0"/>
                    <w:left w:val="single" w:color="auto" w:sz="6" w:space="0"/>
                    <w:bottom w:val="single" w:color="auto" w:sz="4" w:space="0"/>
                  </w:tcBorders>
                  <w:vAlign w:val="center"/>
                </w:tcPr>
                <w:p w14:paraId="1709D412">
                  <w:pPr>
                    <w:widowControl/>
                    <w:jc w:val="center"/>
                    <w:rPr>
                      <w:rFonts w:hint="eastAsia" w:ascii="Times New Roman" w:hAnsi="Times New Roman" w:eastAsia="宋体" w:cs="Times New Roman"/>
                      <w:color w:val="000000" w:themeColor="text1"/>
                      <w:kern w:val="0"/>
                      <w:sz w:val="21"/>
                      <w:szCs w:val="21"/>
                      <w:lang w:eastAsia="zh-CN"/>
                    </w:rPr>
                  </w:pPr>
                  <w:r>
                    <w:rPr>
                      <w:rFonts w:hint="eastAsia" w:ascii="Times New Roman" w:hAnsi="Times New Roman" w:cs="Times New Roman"/>
                      <w:color w:val="000000" w:themeColor="text1"/>
                      <w:kern w:val="0"/>
                      <w:sz w:val="21"/>
                      <w:szCs w:val="21"/>
                      <w:lang w:val="en-US" w:eastAsia="zh-CN"/>
                    </w:rPr>
                    <w:t>/</w:t>
                  </w:r>
                </w:p>
              </w:tc>
            </w:tr>
            <w:tr w14:paraId="4415EBB4">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51" w:hRule="atLeast"/>
              </w:trPr>
              <w:tc>
                <w:tcPr>
                  <w:tcW w:w="757" w:type="dxa"/>
                  <w:tcBorders>
                    <w:top w:val="single" w:color="auto" w:sz="4" w:space="0"/>
                    <w:bottom w:val="single" w:color="auto" w:sz="4" w:space="0"/>
                    <w:right w:val="single" w:color="auto" w:sz="6" w:space="0"/>
                  </w:tcBorders>
                  <w:vAlign w:val="center"/>
                </w:tcPr>
                <w:p w14:paraId="18073E7F">
                  <w:pPr>
                    <w:tabs>
                      <w:tab w:val="left" w:pos="72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4</w:t>
                  </w:r>
                </w:p>
              </w:tc>
              <w:tc>
                <w:tcPr>
                  <w:tcW w:w="2085" w:type="dxa"/>
                  <w:tcBorders>
                    <w:top w:val="single" w:color="auto" w:sz="4" w:space="0"/>
                    <w:left w:val="single" w:color="auto" w:sz="6" w:space="0"/>
                    <w:bottom w:val="single" w:color="auto" w:sz="4" w:space="0"/>
                    <w:right w:val="single" w:color="auto" w:sz="6" w:space="0"/>
                  </w:tcBorders>
                  <w:shd w:val="clear" w:color="auto" w:fill="auto"/>
                  <w:vAlign w:val="center"/>
                </w:tcPr>
                <w:p w14:paraId="6B54065C">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氨氮</w:t>
                  </w:r>
                </w:p>
              </w:tc>
              <w:tc>
                <w:tcPr>
                  <w:tcW w:w="1260" w:type="dxa"/>
                  <w:tcBorders>
                    <w:top w:val="single" w:color="auto" w:sz="4" w:space="0"/>
                    <w:left w:val="single" w:color="auto" w:sz="6" w:space="0"/>
                    <w:bottom w:val="single" w:color="auto" w:sz="4" w:space="0"/>
                    <w:right w:val="single" w:color="auto" w:sz="6" w:space="0"/>
                  </w:tcBorders>
                  <w:vAlign w:val="center"/>
                </w:tcPr>
                <w:p w14:paraId="3E7FB350">
                  <w:pPr>
                    <w:jc w:val="center"/>
                    <w:rPr>
                      <w:rFonts w:hint="default"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0.047</w:t>
                  </w:r>
                </w:p>
              </w:tc>
              <w:tc>
                <w:tcPr>
                  <w:tcW w:w="2022" w:type="dxa"/>
                  <w:tcBorders>
                    <w:top w:val="single" w:color="auto" w:sz="4" w:space="0"/>
                    <w:left w:val="single" w:color="auto" w:sz="6" w:space="0"/>
                    <w:bottom w:val="single" w:color="auto" w:sz="4" w:space="0"/>
                    <w:right w:val="single" w:color="auto" w:sz="6" w:space="0"/>
                  </w:tcBorders>
                  <w:vAlign w:val="center"/>
                </w:tcPr>
                <w:p w14:paraId="5EFC4EA3">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≤0.50</w:t>
                  </w:r>
                </w:p>
              </w:tc>
              <w:tc>
                <w:tcPr>
                  <w:tcW w:w="2096" w:type="dxa"/>
                  <w:tcBorders>
                    <w:top w:val="single" w:color="auto" w:sz="4" w:space="0"/>
                    <w:left w:val="single" w:color="auto" w:sz="6" w:space="0"/>
                    <w:bottom w:val="single" w:color="auto" w:sz="4" w:space="0"/>
                  </w:tcBorders>
                  <w:vAlign w:val="center"/>
                </w:tcPr>
                <w:p w14:paraId="212545C4">
                  <w:pPr>
                    <w:widowControl/>
                    <w:jc w:val="center"/>
                    <w:rPr>
                      <w:rFonts w:hint="eastAsia" w:ascii="Times New Roman" w:hAnsi="Times New Roman" w:eastAsia="宋体" w:cs="Times New Roman"/>
                      <w:color w:val="000000" w:themeColor="text1"/>
                      <w:kern w:val="0"/>
                      <w:sz w:val="21"/>
                      <w:szCs w:val="21"/>
                      <w:lang w:eastAsia="zh-CN"/>
                    </w:rPr>
                  </w:pPr>
                  <w:r>
                    <w:rPr>
                      <w:rFonts w:hint="eastAsia" w:ascii="Times New Roman" w:hAnsi="Times New Roman" w:cs="Times New Roman"/>
                      <w:color w:val="000000" w:themeColor="text1"/>
                      <w:kern w:val="0"/>
                      <w:sz w:val="21"/>
                      <w:szCs w:val="21"/>
                      <w:lang w:val="en-US" w:eastAsia="zh-CN"/>
                    </w:rPr>
                    <w:t>0.09</w:t>
                  </w:r>
                </w:p>
              </w:tc>
            </w:tr>
            <w:tr w14:paraId="70D9AFF9">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51" w:hRule="atLeast"/>
              </w:trPr>
              <w:tc>
                <w:tcPr>
                  <w:tcW w:w="757" w:type="dxa"/>
                  <w:tcBorders>
                    <w:top w:val="single" w:color="auto" w:sz="4" w:space="0"/>
                    <w:bottom w:val="single" w:color="auto" w:sz="4" w:space="0"/>
                    <w:right w:val="single" w:color="auto" w:sz="6" w:space="0"/>
                  </w:tcBorders>
                  <w:vAlign w:val="center"/>
                </w:tcPr>
                <w:p w14:paraId="4618A4BD">
                  <w:pPr>
                    <w:tabs>
                      <w:tab w:val="left" w:pos="720"/>
                    </w:tabs>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5</w:t>
                  </w:r>
                </w:p>
              </w:tc>
              <w:tc>
                <w:tcPr>
                  <w:tcW w:w="2085" w:type="dxa"/>
                  <w:tcBorders>
                    <w:top w:val="single" w:color="auto" w:sz="4" w:space="0"/>
                    <w:left w:val="single" w:color="auto" w:sz="6" w:space="0"/>
                    <w:bottom w:val="single" w:color="auto" w:sz="4" w:space="0"/>
                    <w:right w:val="single" w:color="auto" w:sz="6" w:space="0"/>
                  </w:tcBorders>
                  <w:shd w:val="clear" w:color="auto" w:fill="auto"/>
                  <w:vAlign w:val="center"/>
                </w:tcPr>
                <w:p w14:paraId="1B17688E">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挥发酚</w:t>
                  </w:r>
                </w:p>
              </w:tc>
              <w:tc>
                <w:tcPr>
                  <w:tcW w:w="1260" w:type="dxa"/>
                  <w:tcBorders>
                    <w:top w:val="single" w:color="auto" w:sz="4" w:space="0"/>
                    <w:left w:val="single" w:color="auto" w:sz="6" w:space="0"/>
                    <w:bottom w:val="single" w:color="auto" w:sz="4" w:space="0"/>
                    <w:right w:val="single" w:color="auto" w:sz="6" w:space="0"/>
                  </w:tcBorders>
                  <w:vAlign w:val="center"/>
                </w:tcPr>
                <w:p w14:paraId="499228B8">
                  <w:pPr>
                    <w:jc w:val="center"/>
                    <w:rPr>
                      <w:rFonts w:hint="default"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＜0.0003</w:t>
                  </w:r>
                </w:p>
              </w:tc>
              <w:tc>
                <w:tcPr>
                  <w:tcW w:w="2022" w:type="dxa"/>
                  <w:tcBorders>
                    <w:top w:val="single" w:color="auto" w:sz="4" w:space="0"/>
                    <w:left w:val="single" w:color="auto" w:sz="6" w:space="0"/>
                    <w:bottom w:val="single" w:color="auto" w:sz="4" w:space="0"/>
                    <w:right w:val="single" w:color="auto" w:sz="6" w:space="0"/>
                  </w:tcBorders>
                  <w:vAlign w:val="center"/>
                </w:tcPr>
                <w:p w14:paraId="6DF25806">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≤0.002</w:t>
                  </w:r>
                </w:p>
              </w:tc>
              <w:tc>
                <w:tcPr>
                  <w:tcW w:w="2096" w:type="dxa"/>
                  <w:tcBorders>
                    <w:top w:val="single" w:color="auto" w:sz="4" w:space="0"/>
                    <w:left w:val="single" w:color="auto" w:sz="6" w:space="0"/>
                    <w:bottom w:val="single" w:color="auto" w:sz="4" w:space="0"/>
                  </w:tcBorders>
                  <w:vAlign w:val="center"/>
                </w:tcPr>
                <w:p w14:paraId="057D217D">
                  <w:pPr>
                    <w:widowControl/>
                    <w:jc w:val="center"/>
                    <w:rPr>
                      <w:rFonts w:hint="eastAsia" w:ascii="Times New Roman" w:hAnsi="Times New Roman" w:eastAsia="宋体" w:cs="Times New Roman"/>
                      <w:color w:val="000000" w:themeColor="text1"/>
                      <w:kern w:val="0"/>
                      <w:sz w:val="21"/>
                      <w:szCs w:val="21"/>
                      <w:lang w:eastAsia="zh-CN"/>
                    </w:rPr>
                  </w:pPr>
                  <w:r>
                    <w:rPr>
                      <w:rFonts w:hint="eastAsia" w:ascii="Times New Roman" w:hAnsi="Times New Roman" w:cs="Times New Roman"/>
                      <w:color w:val="000000" w:themeColor="text1"/>
                      <w:kern w:val="0"/>
                      <w:sz w:val="21"/>
                      <w:szCs w:val="21"/>
                      <w:lang w:val="en-US" w:eastAsia="zh-CN"/>
                    </w:rPr>
                    <w:t>/</w:t>
                  </w:r>
                </w:p>
              </w:tc>
            </w:tr>
            <w:tr w14:paraId="389A1302">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51" w:hRule="atLeast"/>
              </w:trPr>
              <w:tc>
                <w:tcPr>
                  <w:tcW w:w="757" w:type="dxa"/>
                  <w:tcBorders>
                    <w:top w:val="single" w:color="auto" w:sz="4" w:space="0"/>
                    <w:bottom w:val="single" w:color="auto" w:sz="4" w:space="0"/>
                    <w:right w:val="single" w:color="auto" w:sz="6" w:space="0"/>
                  </w:tcBorders>
                  <w:vAlign w:val="center"/>
                </w:tcPr>
                <w:p w14:paraId="1F87DC08">
                  <w:pPr>
                    <w:tabs>
                      <w:tab w:val="left" w:pos="72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6</w:t>
                  </w:r>
                </w:p>
              </w:tc>
              <w:tc>
                <w:tcPr>
                  <w:tcW w:w="2085" w:type="dxa"/>
                  <w:tcBorders>
                    <w:top w:val="single" w:color="auto" w:sz="4" w:space="0"/>
                    <w:left w:val="single" w:color="auto" w:sz="6" w:space="0"/>
                    <w:bottom w:val="single" w:color="auto" w:sz="4" w:space="0"/>
                    <w:right w:val="single" w:color="auto" w:sz="6" w:space="0"/>
                  </w:tcBorders>
                  <w:shd w:val="clear" w:color="auto" w:fill="auto"/>
                  <w:vAlign w:val="center"/>
                </w:tcPr>
                <w:p w14:paraId="19D51E69">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耗氧量（COD</w:t>
                  </w:r>
                  <w:r>
                    <w:rPr>
                      <w:rFonts w:hint="eastAsia" w:ascii="Times New Roman" w:hAnsi="Times New Roman" w:cs="Times New Roman"/>
                      <w:color w:val="000000" w:themeColor="text1"/>
                      <w:sz w:val="21"/>
                      <w:szCs w:val="21"/>
                      <w:vertAlign w:val="subscript"/>
                      <w:lang w:val="en-US" w:eastAsia="zh-CN"/>
                    </w:rPr>
                    <w:t>Mn</w:t>
                  </w:r>
                  <w:r>
                    <w:rPr>
                      <w:rFonts w:hint="eastAsia" w:ascii="Times New Roman" w:hAnsi="Times New Roman" w:cs="Times New Roman"/>
                      <w:color w:val="000000" w:themeColor="text1"/>
                      <w:sz w:val="21"/>
                      <w:szCs w:val="21"/>
                      <w:lang w:val="en-US" w:eastAsia="zh-CN"/>
                    </w:rPr>
                    <w:t>法，以O</w:t>
                  </w:r>
                  <w:r>
                    <w:rPr>
                      <w:rFonts w:hint="eastAsia" w:ascii="Times New Roman" w:hAnsi="Times New Roman" w:cs="Times New Roman"/>
                      <w:color w:val="000000" w:themeColor="text1"/>
                      <w:sz w:val="21"/>
                      <w:szCs w:val="21"/>
                      <w:vertAlign w:val="subscript"/>
                      <w:lang w:val="en-US" w:eastAsia="zh-CN"/>
                    </w:rPr>
                    <w:t>2</w:t>
                  </w:r>
                  <w:r>
                    <w:rPr>
                      <w:rFonts w:hint="eastAsia" w:ascii="Times New Roman" w:hAnsi="Times New Roman" w:cs="Times New Roman"/>
                      <w:color w:val="000000" w:themeColor="text1"/>
                      <w:sz w:val="21"/>
                      <w:szCs w:val="21"/>
                      <w:lang w:val="en-US" w:eastAsia="zh-CN"/>
                    </w:rPr>
                    <w:t>计）</w:t>
                  </w:r>
                </w:p>
              </w:tc>
              <w:tc>
                <w:tcPr>
                  <w:tcW w:w="1260" w:type="dxa"/>
                  <w:tcBorders>
                    <w:top w:val="single" w:color="auto" w:sz="4" w:space="0"/>
                    <w:left w:val="single" w:color="auto" w:sz="6" w:space="0"/>
                    <w:bottom w:val="single" w:color="auto" w:sz="4" w:space="0"/>
                    <w:right w:val="single" w:color="auto" w:sz="6" w:space="0"/>
                  </w:tcBorders>
                  <w:vAlign w:val="center"/>
                </w:tcPr>
                <w:p w14:paraId="6088A0DE">
                  <w:pPr>
                    <w:jc w:val="center"/>
                    <w:rPr>
                      <w:rFonts w:hint="default"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2.8</w:t>
                  </w:r>
                </w:p>
              </w:tc>
              <w:tc>
                <w:tcPr>
                  <w:tcW w:w="2022" w:type="dxa"/>
                  <w:tcBorders>
                    <w:top w:val="single" w:color="auto" w:sz="4" w:space="0"/>
                    <w:left w:val="single" w:color="auto" w:sz="6" w:space="0"/>
                    <w:bottom w:val="single" w:color="auto" w:sz="4" w:space="0"/>
                    <w:right w:val="single" w:color="auto" w:sz="6" w:space="0"/>
                  </w:tcBorders>
                  <w:vAlign w:val="center"/>
                </w:tcPr>
                <w:p w14:paraId="09C93D10">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≤3.0</w:t>
                  </w:r>
                </w:p>
              </w:tc>
              <w:tc>
                <w:tcPr>
                  <w:tcW w:w="2096" w:type="dxa"/>
                  <w:tcBorders>
                    <w:top w:val="single" w:color="auto" w:sz="4" w:space="0"/>
                    <w:left w:val="single" w:color="auto" w:sz="6" w:space="0"/>
                    <w:bottom w:val="single" w:color="auto" w:sz="4" w:space="0"/>
                  </w:tcBorders>
                  <w:vAlign w:val="center"/>
                </w:tcPr>
                <w:p w14:paraId="4262F1CE">
                  <w:pPr>
                    <w:widowControl/>
                    <w:jc w:val="center"/>
                    <w:rPr>
                      <w:rFonts w:hint="eastAsia" w:ascii="Times New Roman" w:hAnsi="Times New Roman" w:eastAsia="宋体" w:cs="Times New Roman"/>
                      <w:color w:val="000000" w:themeColor="text1"/>
                      <w:kern w:val="0"/>
                      <w:sz w:val="21"/>
                      <w:szCs w:val="21"/>
                      <w:lang w:val="en-US" w:eastAsia="zh-CN"/>
                    </w:rPr>
                  </w:pPr>
                  <w:r>
                    <w:rPr>
                      <w:rFonts w:hint="eastAsia" w:ascii="Times New Roman" w:hAnsi="Times New Roman" w:cs="Times New Roman"/>
                      <w:color w:val="000000" w:themeColor="text1"/>
                      <w:kern w:val="0"/>
                      <w:sz w:val="21"/>
                      <w:szCs w:val="21"/>
                      <w:lang w:val="en-US" w:eastAsia="zh-CN"/>
                    </w:rPr>
                    <w:t>0.93</w:t>
                  </w:r>
                </w:p>
              </w:tc>
            </w:tr>
            <w:tr w14:paraId="7627D693">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51" w:hRule="atLeast"/>
              </w:trPr>
              <w:tc>
                <w:tcPr>
                  <w:tcW w:w="757" w:type="dxa"/>
                  <w:tcBorders>
                    <w:top w:val="single" w:color="auto" w:sz="4" w:space="0"/>
                    <w:bottom w:val="single" w:color="auto" w:sz="4" w:space="0"/>
                    <w:right w:val="single" w:color="auto" w:sz="6" w:space="0"/>
                  </w:tcBorders>
                  <w:vAlign w:val="center"/>
                </w:tcPr>
                <w:p w14:paraId="3B1D27EA">
                  <w:pPr>
                    <w:tabs>
                      <w:tab w:val="left" w:pos="720"/>
                    </w:tabs>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7</w:t>
                  </w:r>
                </w:p>
              </w:tc>
              <w:tc>
                <w:tcPr>
                  <w:tcW w:w="2085" w:type="dxa"/>
                  <w:tcBorders>
                    <w:top w:val="single" w:color="auto" w:sz="4" w:space="0"/>
                    <w:left w:val="single" w:color="auto" w:sz="6" w:space="0"/>
                    <w:bottom w:val="single" w:color="auto" w:sz="4" w:space="0"/>
                    <w:right w:val="single" w:color="auto" w:sz="6" w:space="0"/>
                  </w:tcBorders>
                  <w:shd w:val="clear" w:color="auto" w:fill="auto"/>
                  <w:vAlign w:val="center"/>
                </w:tcPr>
                <w:p w14:paraId="1C3F61B1">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氟化物</w:t>
                  </w:r>
                </w:p>
              </w:tc>
              <w:tc>
                <w:tcPr>
                  <w:tcW w:w="1260" w:type="dxa"/>
                  <w:tcBorders>
                    <w:top w:val="single" w:color="auto" w:sz="4" w:space="0"/>
                    <w:left w:val="single" w:color="auto" w:sz="6" w:space="0"/>
                    <w:bottom w:val="single" w:color="auto" w:sz="4" w:space="0"/>
                    <w:right w:val="single" w:color="auto" w:sz="6" w:space="0"/>
                  </w:tcBorders>
                  <w:vAlign w:val="center"/>
                </w:tcPr>
                <w:p w14:paraId="0C151EE4">
                  <w:pPr>
                    <w:jc w:val="center"/>
                    <w:rPr>
                      <w:rFonts w:hint="default"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0.14</w:t>
                  </w:r>
                </w:p>
              </w:tc>
              <w:tc>
                <w:tcPr>
                  <w:tcW w:w="2022" w:type="dxa"/>
                  <w:tcBorders>
                    <w:top w:val="single" w:color="auto" w:sz="4" w:space="0"/>
                    <w:left w:val="single" w:color="auto" w:sz="6" w:space="0"/>
                    <w:bottom w:val="single" w:color="auto" w:sz="4" w:space="0"/>
                    <w:right w:val="single" w:color="auto" w:sz="6" w:space="0"/>
                  </w:tcBorders>
                  <w:vAlign w:val="center"/>
                </w:tcPr>
                <w:p w14:paraId="4F74F59D">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≤1.0</w:t>
                  </w:r>
                </w:p>
              </w:tc>
              <w:tc>
                <w:tcPr>
                  <w:tcW w:w="2096" w:type="dxa"/>
                  <w:tcBorders>
                    <w:top w:val="single" w:color="auto" w:sz="4" w:space="0"/>
                    <w:left w:val="single" w:color="auto" w:sz="6" w:space="0"/>
                    <w:bottom w:val="single" w:color="auto" w:sz="4" w:space="0"/>
                  </w:tcBorders>
                  <w:vAlign w:val="center"/>
                </w:tcPr>
                <w:p w14:paraId="0B5AC895">
                  <w:pPr>
                    <w:widowControl/>
                    <w:jc w:val="center"/>
                    <w:rPr>
                      <w:rFonts w:hint="eastAsia" w:ascii="Times New Roman" w:hAnsi="Times New Roman" w:eastAsia="宋体" w:cs="Times New Roman"/>
                      <w:color w:val="000000" w:themeColor="text1"/>
                      <w:kern w:val="0"/>
                      <w:sz w:val="21"/>
                      <w:szCs w:val="21"/>
                      <w:lang w:val="en-US" w:eastAsia="zh-CN"/>
                    </w:rPr>
                  </w:pPr>
                  <w:r>
                    <w:rPr>
                      <w:rFonts w:hint="eastAsia" w:ascii="Times New Roman" w:hAnsi="Times New Roman" w:cs="Times New Roman"/>
                      <w:color w:val="000000" w:themeColor="text1"/>
                      <w:kern w:val="0"/>
                      <w:sz w:val="21"/>
                      <w:szCs w:val="21"/>
                      <w:lang w:val="en-US" w:eastAsia="zh-CN"/>
                    </w:rPr>
                    <w:t>0.14/</w:t>
                  </w:r>
                </w:p>
              </w:tc>
            </w:tr>
            <w:tr w14:paraId="5039A884">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51" w:hRule="atLeast"/>
              </w:trPr>
              <w:tc>
                <w:tcPr>
                  <w:tcW w:w="757" w:type="dxa"/>
                  <w:tcBorders>
                    <w:top w:val="single" w:color="auto" w:sz="4" w:space="0"/>
                    <w:bottom w:val="single" w:color="auto" w:sz="4" w:space="0"/>
                    <w:right w:val="single" w:color="auto" w:sz="6" w:space="0"/>
                  </w:tcBorders>
                  <w:vAlign w:val="center"/>
                </w:tcPr>
                <w:p w14:paraId="3D65D61F">
                  <w:pPr>
                    <w:tabs>
                      <w:tab w:val="left" w:pos="72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8</w:t>
                  </w:r>
                </w:p>
              </w:tc>
              <w:tc>
                <w:tcPr>
                  <w:tcW w:w="2085" w:type="dxa"/>
                  <w:tcBorders>
                    <w:top w:val="single" w:color="auto" w:sz="4" w:space="0"/>
                    <w:left w:val="single" w:color="auto" w:sz="6" w:space="0"/>
                    <w:bottom w:val="single" w:color="auto" w:sz="4" w:space="0"/>
                    <w:right w:val="single" w:color="auto" w:sz="6" w:space="0"/>
                  </w:tcBorders>
                  <w:shd w:val="clear" w:color="auto" w:fill="auto"/>
                  <w:vAlign w:val="center"/>
                </w:tcPr>
                <w:p w14:paraId="1E75C68C">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硝酸盐氮</w:t>
                  </w:r>
                </w:p>
              </w:tc>
              <w:tc>
                <w:tcPr>
                  <w:tcW w:w="1260" w:type="dxa"/>
                  <w:tcBorders>
                    <w:top w:val="single" w:color="auto" w:sz="4" w:space="0"/>
                    <w:left w:val="single" w:color="auto" w:sz="6" w:space="0"/>
                    <w:bottom w:val="single" w:color="auto" w:sz="4" w:space="0"/>
                    <w:right w:val="single" w:color="auto" w:sz="6" w:space="0"/>
                  </w:tcBorders>
                  <w:vAlign w:val="center"/>
                </w:tcPr>
                <w:p w14:paraId="531D1885">
                  <w:pPr>
                    <w:jc w:val="center"/>
                    <w:rPr>
                      <w:rFonts w:hint="default"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0.09</w:t>
                  </w:r>
                </w:p>
              </w:tc>
              <w:tc>
                <w:tcPr>
                  <w:tcW w:w="2022" w:type="dxa"/>
                  <w:tcBorders>
                    <w:top w:val="single" w:color="auto" w:sz="4" w:space="0"/>
                    <w:left w:val="single" w:color="auto" w:sz="6" w:space="0"/>
                    <w:bottom w:val="single" w:color="auto" w:sz="4" w:space="0"/>
                    <w:right w:val="single" w:color="auto" w:sz="6" w:space="0"/>
                  </w:tcBorders>
                  <w:vAlign w:val="center"/>
                </w:tcPr>
                <w:p w14:paraId="569E39FF">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≤20.0</w:t>
                  </w:r>
                </w:p>
              </w:tc>
              <w:tc>
                <w:tcPr>
                  <w:tcW w:w="2096" w:type="dxa"/>
                  <w:tcBorders>
                    <w:top w:val="single" w:color="auto" w:sz="4" w:space="0"/>
                    <w:left w:val="single" w:color="auto" w:sz="6" w:space="0"/>
                    <w:bottom w:val="single" w:color="auto" w:sz="4" w:space="0"/>
                  </w:tcBorders>
                  <w:vAlign w:val="center"/>
                </w:tcPr>
                <w:p w14:paraId="5F618E86">
                  <w:pPr>
                    <w:widowControl/>
                    <w:jc w:val="center"/>
                    <w:rPr>
                      <w:rFonts w:hint="eastAsia" w:ascii="Times New Roman" w:hAnsi="Times New Roman" w:eastAsia="宋体" w:cs="Times New Roman"/>
                      <w:color w:val="000000" w:themeColor="text1"/>
                      <w:kern w:val="0"/>
                      <w:sz w:val="21"/>
                      <w:szCs w:val="21"/>
                      <w:lang w:val="en-US" w:eastAsia="zh-CN"/>
                    </w:rPr>
                  </w:pPr>
                  <w:r>
                    <w:rPr>
                      <w:rFonts w:hint="eastAsia" w:ascii="Times New Roman" w:hAnsi="Times New Roman" w:cs="Times New Roman"/>
                      <w:color w:val="000000" w:themeColor="text1"/>
                      <w:kern w:val="0"/>
                      <w:sz w:val="21"/>
                      <w:szCs w:val="21"/>
                      <w:lang w:val="en-US" w:eastAsia="zh-CN"/>
                    </w:rPr>
                    <w:t>0.005</w:t>
                  </w:r>
                </w:p>
              </w:tc>
            </w:tr>
            <w:tr w14:paraId="7BE17756">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51" w:hRule="atLeast"/>
              </w:trPr>
              <w:tc>
                <w:tcPr>
                  <w:tcW w:w="757" w:type="dxa"/>
                  <w:tcBorders>
                    <w:top w:val="single" w:color="auto" w:sz="4" w:space="0"/>
                    <w:bottom w:val="single" w:color="auto" w:sz="4" w:space="0"/>
                    <w:right w:val="single" w:color="auto" w:sz="6" w:space="0"/>
                  </w:tcBorders>
                  <w:vAlign w:val="center"/>
                </w:tcPr>
                <w:p w14:paraId="24C086BE">
                  <w:pPr>
                    <w:tabs>
                      <w:tab w:val="left" w:pos="72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9</w:t>
                  </w:r>
                </w:p>
              </w:tc>
              <w:tc>
                <w:tcPr>
                  <w:tcW w:w="2085" w:type="dxa"/>
                  <w:tcBorders>
                    <w:top w:val="single" w:color="auto" w:sz="4" w:space="0"/>
                    <w:left w:val="single" w:color="auto" w:sz="6" w:space="0"/>
                    <w:bottom w:val="single" w:color="auto" w:sz="4" w:space="0"/>
                    <w:right w:val="single" w:color="auto" w:sz="6" w:space="0"/>
                  </w:tcBorders>
                  <w:vAlign w:val="center"/>
                </w:tcPr>
                <w:p w14:paraId="4418596C">
                  <w:pPr>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lang w:eastAsia="zh-CN"/>
                    </w:rPr>
                    <w:t>亚硝酸盐氮</w:t>
                  </w:r>
                </w:p>
              </w:tc>
              <w:tc>
                <w:tcPr>
                  <w:tcW w:w="1260" w:type="dxa"/>
                  <w:tcBorders>
                    <w:top w:val="single" w:color="auto" w:sz="4" w:space="0"/>
                    <w:left w:val="single" w:color="auto" w:sz="6" w:space="0"/>
                    <w:bottom w:val="single" w:color="auto" w:sz="4" w:space="0"/>
                    <w:right w:val="single" w:color="auto" w:sz="6" w:space="0"/>
                  </w:tcBorders>
                  <w:vAlign w:val="center"/>
                </w:tcPr>
                <w:p w14:paraId="72E9493B">
                  <w:pPr>
                    <w:jc w:val="center"/>
                    <w:rPr>
                      <w:rFonts w:hint="default"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＜0.003</w:t>
                  </w:r>
                </w:p>
              </w:tc>
              <w:tc>
                <w:tcPr>
                  <w:tcW w:w="2022" w:type="dxa"/>
                  <w:tcBorders>
                    <w:top w:val="single" w:color="auto" w:sz="4" w:space="0"/>
                    <w:left w:val="single" w:color="auto" w:sz="6" w:space="0"/>
                    <w:bottom w:val="single" w:color="auto" w:sz="4" w:space="0"/>
                    <w:right w:val="single" w:color="auto" w:sz="6" w:space="0"/>
                  </w:tcBorders>
                  <w:vAlign w:val="center"/>
                </w:tcPr>
                <w:p w14:paraId="3F9E3099">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≤1.0</w:t>
                  </w:r>
                </w:p>
              </w:tc>
              <w:tc>
                <w:tcPr>
                  <w:tcW w:w="2096" w:type="dxa"/>
                  <w:tcBorders>
                    <w:top w:val="single" w:color="auto" w:sz="4" w:space="0"/>
                    <w:left w:val="single" w:color="auto" w:sz="6" w:space="0"/>
                    <w:bottom w:val="single" w:color="auto" w:sz="4" w:space="0"/>
                  </w:tcBorders>
                  <w:vAlign w:val="center"/>
                </w:tcPr>
                <w:p w14:paraId="1E7969E9">
                  <w:pPr>
                    <w:widowControl/>
                    <w:jc w:val="center"/>
                    <w:rPr>
                      <w:rFonts w:hint="eastAsia" w:ascii="Times New Roman" w:hAnsi="Times New Roman" w:eastAsia="宋体" w:cs="Times New Roman"/>
                      <w:color w:val="000000" w:themeColor="text1"/>
                      <w:kern w:val="0"/>
                      <w:sz w:val="21"/>
                      <w:szCs w:val="21"/>
                      <w:lang w:eastAsia="zh-CN"/>
                    </w:rPr>
                  </w:pPr>
                  <w:r>
                    <w:rPr>
                      <w:rFonts w:hint="eastAsia" w:ascii="Times New Roman" w:hAnsi="Times New Roman" w:cs="Times New Roman"/>
                      <w:color w:val="000000" w:themeColor="text1"/>
                      <w:kern w:val="0"/>
                      <w:sz w:val="21"/>
                      <w:szCs w:val="21"/>
                      <w:lang w:val="en-US" w:eastAsia="zh-CN"/>
                    </w:rPr>
                    <w:t>/</w:t>
                  </w:r>
                </w:p>
              </w:tc>
            </w:tr>
            <w:tr w14:paraId="683BDE17">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51" w:hRule="atLeast"/>
              </w:trPr>
              <w:tc>
                <w:tcPr>
                  <w:tcW w:w="757" w:type="dxa"/>
                  <w:tcBorders>
                    <w:top w:val="single" w:color="auto" w:sz="4" w:space="0"/>
                    <w:bottom w:val="single" w:color="auto" w:sz="4" w:space="0"/>
                    <w:right w:val="single" w:color="auto" w:sz="6" w:space="0"/>
                  </w:tcBorders>
                  <w:vAlign w:val="center"/>
                </w:tcPr>
                <w:p w14:paraId="723B75CD">
                  <w:pPr>
                    <w:tabs>
                      <w:tab w:val="left" w:pos="72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10</w:t>
                  </w:r>
                </w:p>
              </w:tc>
              <w:tc>
                <w:tcPr>
                  <w:tcW w:w="2085" w:type="dxa"/>
                  <w:tcBorders>
                    <w:top w:val="single" w:color="auto" w:sz="4" w:space="0"/>
                    <w:left w:val="single" w:color="auto" w:sz="6" w:space="0"/>
                    <w:bottom w:val="single" w:color="auto" w:sz="4" w:space="0"/>
                    <w:right w:val="single" w:color="auto" w:sz="6" w:space="0"/>
                  </w:tcBorders>
                  <w:vAlign w:val="center"/>
                </w:tcPr>
                <w:p w14:paraId="5597B45E">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氯化物</w:t>
                  </w:r>
                </w:p>
              </w:tc>
              <w:tc>
                <w:tcPr>
                  <w:tcW w:w="1260" w:type="dxa"/>
                  <w:tcBorders>
                    <w:top w:val="single" w:color="auto" w:sz="4" w:space="0"/>
                    <w:left w:val="single" w:color="auto" w:sz="6" w:space="0"/>
                    <w:bottom w:val="single" w:color="auto" w:sz="4" w:space="0"/>
                    <w:right w:val="single" w:color="auto" w:sz="6" w:space="0"/>
                  </w:tcBorders>
                  <w:vAlign w:val="center"/>
                </w:tcPr>
                <w:p w14:paraId="6CE31366">
                  <w:pPr>
                    <w:jc w:val="center"/>
                    <w:rPr>
                      <w:rFonts w:hint="default"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114</w:t>
                  </w:r>
                </w:p>
              </w:tc>
              <w:tc>
                <w:tcPr>
                  <w:tcW w:w="2022" w:type="dxa"/>
                  <w:tcBorders>
                    <w:top w:val="single" w:color="auto" w:sz="4" w:space="0"/>
                    <w:left w:val="single" w:color="auto" w:sz="6" w:space="0"/>
                    <w:bottom w:val="single" w:color="auto" w:sz="4" w:space="0"/>
                    <w:right w:val="single" w:color="auto" w:sz="6" w:space="0"/>
                  </w:tcBorders>
                  <w:vAlign w:val="center"/>
                </w:tcPr>
                <w:p w14:paraId="335126E8">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≤250</w:t>
                  </w:r>
                </w:p>
              </w:tc>
              <w:tc>
                <w:tcPr>
                  <w:tcW w:w="2096" w:type="dxa"/>
                  <w:tcBorders>
                    <w:top w:val="single" w:color="auto" w:sz="4" w:space="0"/>
                    <w:left w:val="single" w:color="auto" w:sz="6" w:space="0"/>
                    <w:bottom w:val="single" w:color="auto" w:sz="4" w:space="0"/>
                  </w:tcBorders>
                  <w:vAlign w:val="center"/>
                </w:tcPr>
                <w:p w14:paraId="544EC6C9">
                  <w:pPr>
                    <w:widowControl/>
                    <w:jc w:val="center"/>
                    <w:rPr>
                      <w:rFonts w:hint="eastAsia" w:ascii="Times New Roman" w:hAnsi="Times New Roman" w:eastAsia="宋体" w:cs="Times New Roman"/>
                      <w:color w:val="000000" w:themeColor="text1"/>
                      <w:kern w:val="0"/>
                      <w:sz w:val="21"/>
                      <w:szCs w:val="21"/>
                      <w:lang w:eastAsia="zh-CN"/>
                    </w:rPr>
                  </w:pPr>
                  <w:r>
                    <w:rPr>
                      <w:rFonts w:hint="eastAsia" w:ascii="Times New Roman" w:hAnsi="Times New Roman" w:cs="Times New Roman"/>
                      <w:color w:val="000000" w:themeColor="text1"/>
                      <w:kern w:val="0"/>
                      <w:sz w:val="21"/>
                      <w:szCs w:val="21"/>
                      <w:lang w:val="en-US" w:eastAsia="zh-CN"/>
                    </w:rPr>
                    <w:t>0.46</w:t>
                  </w:r>
                </w:p>
              </w:tc>
            </w:tr>
            <w:tr w14:paraId="2BCD6887">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351" w:hRule="atLeast"/>
              </w:trPr>
              <w:tc>
                <w:tcPr>
                  <w:tcW w:w="757" w:type="dxa"/>
                  <w:tcBorders>
                    <w:top w:val="single" w:color="auto" w:sz="4" w:space="0"/>
                    <w:bottom w:val="single" w:color="auto" w:sz="12" w:space="0"/>
                    <w:right w:val="single" w:color="auto" w:sz="6" w:space="0"/>
                  </w:tcBorders>
                  <w:vAlign w:val="center"/>
                </w:tcPr>
                <w:p w14:paraId="670C2A12">
                  <w:pPr>
                    <w:tabs>
                      <w:tab w:val="left" w:pos="720"/>
                    </w:tabs>
                    <w:jc w:val="center"/>
                    <w:rPr>
                      <w:rFonts w:hint="default" w:ascii="Times New Roman" w:hAnsi="Times New Roman" w:eastAsia="宋体" w:cs="Times New Roman"/>
                      <w:color w:val="000000" w:themeColor="text1"/>
                      <w:sz w:val="21"/>
                      <w:szCs w:val="21"/>
                      <w:lang w:val="en-US" w:eastAsia="zh-CN"/>
                    </w:rPr>
                  </w:pPr>
                  <w:r>
                    <w:rPr>
                      <w:rFonts w:hint="default" w:ascii="Times New Roman" w:hAnsi="Times New Roman" w:eastAsia="宋体" w:cs="Times New Roman"/>
                      <w:color w:val="000000" w:themeColor="text1"/>
                      <w:sz w:val="21"/>
                      <w:szCs w:val="21"/>
                      <w:lang w:val="en-US" w:eastAsia="zh-CN"/>
                    </w:rPr>
                    <w:t>11</w:t>
                  </w:r>
                </w:p>
              </w:tc>
              <w:tc>
                <w:tcPr>
                  <w:tcW w:w="2085" w:type="dxa"/>
                  <w:tcBorders>
                    <w:top w:val="single" w:color="auto" w:sz="4" w:space="0"/>
                    <w:left w:val="single" w:color="auto" w:sz="6" w:space="0"/>
                    <w:bottom w:val="single" w:color="auto" w:sz="12" w:space="0"/>
                    <w:right w:val="single" w:color="auto" w:sz="6" w:space="0"/>
                  </w:tcBorders>
                  <w:vAlign w:val="center"/>
                </w:tcPr>
                <w:p w14:paraId="21A5FFAF">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铅</w:t>
                  </w:r>
                </w:p>
              </w:tc>
              <w:tc>
                <w:tcPr>
                  <w:tcW w:w="1260" w:type="dxa"/>
                  <w:tcBorders>
                    <w:top w:val="single" w:color="auto" w:sz="4" w:space="0"/>
                    <w:left w:val="single" w:color="auto" w:sz="6" w:space="0"/>
                    <w:bottom w:val="single" w:color="auto" w:sz="12" w:space="0"/>
                    <w:right w:val="single" w:color="auto" w:sz="6" w:space="0"/>
                  </w:tcBorders>
                  <w:vAlign w:val="center"/>
                </w:tcPr>
                <w:p w14:paraId="575FE0B7">
                  <w:pPr>
                    <w:jc w:val="center"/>
                    <w:rPr>
                      <w:rFonts w:hint="default"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＜0.0025</w:t>
                  </w:r>
                </w:p>
              </w:tc>
              <w:tc>
                <w:tcPr>
                  <w:tcW w:w="2022" w:type="dxa"/>
                  <w:tcBorders>
                    <w:top w:val="single" w:color="auto" w:sz="4" w:space="0"/>
                    <w:left w:val="single" w:color="auto" w:sz="6" w:space="0"/>
                    <w:bottom w:val="single" w:color="auto" w:sz="12" w:space="0"/>
                    <w:right w:val="single" w:color="auto" w:sz="6" w:space="0"/>
                  </w:tcBorders>
                  <w:vAlign w:val="center"/>
                </w:tcPr>
                <w:p w14:paraId="20CC9806">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≤0.01</w:t>
                  </w:r>
                </w:p>
              </w:tc>
              <w:tc>
                <w:tcPr>
                  <w:tcW w:w="2096" w:type="dxa"/>
                  <w:tcBorders>
                    <w:top w:val="single" w:color="auto" w:sz="4" w:space="0"/>
                    <w:left w:val="single" w:color="auto" w:sz="6" w:space="0"/>
                    <w:bottom w:val="single" w:color="auto" w:sz="12" w:space="0"/>
                  </w:tcBorders>
                  <w:vAlign w:val="center"/>
                </w:tcPr>
                <w:p w14:paraId="17187C9C">
                  <w:pPr>
                    <w:widowControl/>
                    <w:jc w:val="center"/>
                    <w:rPr>
                      <w:rFonts w:hint="eastAsia" w:ascii="Times New Roman" w:hAnsi="Times New Roman" w:eastAsia="宋体" w:cs="Times New Roman"/>
                      <w:color w:val="000000" w:themeColor="text1"/>
                      <w:kern w:val="0"/>
                      <w:sz w:val="21"/>
                      <w:szCs w:val="21"/>
                      <w:lang w:eastAsia="zh-CN"/>
                    </w:rPr>
                  </w:pPr>
                  <w:r>
                    <w:rPr>
                      <w:rFonts w:hint="eastAsia" w:ascii="Times New Roman" w:hAnsi="Times New Roman" w:cs="Times New Roman"/>
                      <w:color w:val="000000" w:themeColor="text1"/>
                      <w:kern w:val="0"/>
                      <w:sz w:val="21"/>
                      <w:szCs w:val="21"/>
                      <w:lang w:val="en-US" w:eastAsia="zh-CN"/>
                    </w:rPr>
                    <w:t>/</w:t>
                  </w:r>
                </w:p>
              </w:tc>
            </w:tr>
          </w:tbl>
          <w:p w14:paraId="46A32317">
            <w:pPr>
              <w:spacing w:line="360" w:lineRule="auto"/>
              <w:ind w:firstLine="480" w:firstLineChars="200"/>
              <w:rPr>
                <w:rFonts w:hint="eastAsia" w:ascii="Times New Roman" w:hAnsi="Times New Roman"/>
                <w:color w:val="000000" w:themeColor="text1"/>
                <w:sz w:val="24"/>
                <w:szCs w:val="24"/>
              </w:rPr>
            </w:pPr>
            <w:r>
              <w:rPr>
                <w:rFonts w:hint="eastAsia" w:ascii="Times New Roman" w:hAnsi="Times New Roman"/>
                <w:color w:val="000000" w:themeColor="text1"/>
                <w:sz w:val="24"/>
                <w:szCs w:val="24"/>
              </w:rPr>
              <w:t>由以上监测结果可以看出，监测的地下水</w:t>
            </w:r>
            <w:r>
              <w:rPr>
                <w:rFonts w:hint="eastAsia" w:ascii="Times New Roman" w:hAnsi="Times New Roman"/>
                <w:color w:val="000000" w:themeColor="text1"/>
                <w:sz w:val="24"/>
                <w:szCs w:val="24"/>
                <w:lang w:val="en-US" w:eastAsia="zh-CN"/>
              </w:rPr>
              <w:t>11</w:t>
            </w:r>
            <w:r>
              <w:rPr>
                <w:rFonts w:hint="eastAsia" w:ascii="Times New Roman" w:hAnsi="Times New Roman"/>
                <w:color w:val="000000" w:themeColor="text1"/>
                <w:sz w:val="24"/>
                <w:szCs w:val="24"/>
              </w:rPr>
              <w:t>项指标的单因子指数均＜</w:t>
            </w:r>
            <w:r>
              <w:rPr>
                <w:rFonts w:ascii="Times New Roman" w:hAnsi="Times New Roman"/>
                <w:color w:val="000000" w:themeColor="text1"/>
                <w:sz w:val="24"/>
                <w:szCs w:val="24"/>
              </w:rPr>
              <w:t>1</w:t>
            </w:r>
            <w:r>
              <w:rPr>
                <w:rFonts w:hint="eastAsia" w:ascii="Times New Roman" w:hAnsi="Times New Roman"/>
                <w:color w:val="000000" w:themeColor="text1"/>
                <w:sz w:val="24"/>
                <w:szCs w:val="24"/>
              </w:rPr>
              <w:t>，全都能够达到《地下水质量标准》（</w:t>
            </w:r>
            <w:r>
              <w:rPr>
                <w:rFonts w:ascii="Times New Roman" w:hAnsi="Times New Roman"/>
                <w:color w:val="000000" w:themeColor="text1"/>
                <w:sz w:val="24"/>
                <w:szCs w:val="24"/>
              </w:rPr>
              <w:t>GB/T14848-</w:t>
            </w:r>
            <w:r>
              <w:rPr>
                <w:rFonts w:hint="eastAsia" w:ascii="Times New Roman" w:hAnsi="Times New Roman"/>
                <w:color w:val="000000" w:themeColor="text1"/>
                <w:sz w:val="24"/>
                <w:szCs w:val="24"/>
                <w:lang w:val="en-US" w:eastAsia="zh-CN"/>
              </w:rPr>
              <w:t>2017</w:t>
            </w:r>
            <w:r>
              <w:rPr>
                <w:rFonts w:hint="eastAsia" w:ascii="Times New Roman" w:hAnsi="Times New Roman"/>
                <w:color w:val="000000" w:themeColor="text1"/>
                <w:sz w:val="24"/>
                <w:szCs w:val="24"/>
              </w:rPr>
              <w:t>）中的</w:t>
            </w:r>
            <w:r>
              <w:rPr>
                <w:rFonts w:hint="eastAsia" w:ascii="宋体" w:hAnsi="宋体" w:cs="宋体"/>
                <w:color w:val="000000" w:themeColor="text1"/>
                <w:sz w:val="24"/>
                <w:szCs w:val="24"/>
              </w:rPr>
              <w:t>Ⅲ</w:t>
            </w:r>
            <w:r>
              <w:rPr>
                <w:rFonts w:hint="eastAsia" w:ascii="Times New Roman" w:hAnsi="Times New Roman"/>
                <w:color w:val="000000" w:themeColor="text1"/>
                <w:sz w:val="24"/>
                <w:szCs w:val="24"/>
              </w:rPr>
              <w:t>类标准要求，总体来说项目区地下水水质较好。</w:t>
            </w:r>
          </w:p>
          <w:p w14:paraId="506D1000">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3</w:t>
            </w:r>
            <w:r>
              <w:rPr>
                <w:rFonts w:hint="eastAsia" w:ascii="Times New Roman" w:hAnsi="Times New Roman"/>
                <w:b/>
                <w:bCs/>
                <w:color w:val="000000" w:themeColor="text1"/>
                <w:sz w:val="24"/>
                <w:szCs w:val="24"/>
              </w:rPr>
              <w:t>、噪声环境质量现状</w:t>
            </w:r>
          </w:p>
          <w:p w14:paraId="4B743670">
            <w:pPr>
              <w:spacing w:line="360" w:lineRule="auto"/>
              <w:ind w:firstLine="482" w:firstLineChars="200"/>
              <w:rPr>
                <w:rFonts w:ascii="Times New Roman" w:hAnsi="Times New Roman"/>
                <w:color w:val="000000" w:themeColor="text1"/>
                <w:sz w:val="24"/>
                <w:szCs w:val="24"/>
              </w:rPr>
            </w:pPr>
            <w:r>
              <w:rPr>
                <w:rFonts w:hint="eastAsia" w:ascii="Times New Roman" w:hAnsi="Times New Roman"/>
                <w:b/>
                <w:color w:val="000000" w:themeColor="text1"/>
                <w:sz w:val="24"/>
                <w:szCs w:val="24"/>
                <w:lang w:val="en-US" w:eastAsia="zh-CN"/>
              </w:rPr>
              <w:t>3</w:t>
            </w:r>
            <w:r>
              <w:rPr>
                <w:rFonts w:ascii="Times New Roman" w:hAnsi="Times New Roman"/>
                <w:b/>
                <w:color w:val="000000" w:themeColor="text1"/>
                <w:sz w:val="24"/>
                <w:szCs w:val="24"/>
              </w:rPr>
              <w:t xml:space="preserve">.1 </w:t>
            </w:r>
            <w:r>
              <w:rPr>
                <w:rFonts w:hint="eastAsia" w:ascii="Times New Roman" w:hAnsi="Times New Roman"/>
                <w:b/>
                <w:color w:val="000000" w:themeColor="text1"/>
                <w:sz w:val="24"/>
                <w:szCs w:val="24"/>
              </w:rPr>
              <w:t>噪声评价标准</w:t>
            </w:r>
          </w:p>
          <w:p w14:paraId="526EF885">
            <w:pPr>
              <w:spacing w:line="360" w:lineRule="auto"/>
              <w:ind w:firstLine="480"/>
              <w:rPr>
                <w:rFonts w:ascii="Times New Roman" w:hAnsi="Times New Roman"/>
                <w:color w:val="000000" w:themeColor="text1"/>
                <w:sz w:val="24"/>
                <w:szCs w:val="24"/>
              </w:rPr>
            </w:pPr>
            <w:r>
              <w:rPr>
                <w:rFonts w:hint="eastAsia" w:ascii="Times New Roman" w:hAnsi="Times New Roman"/>
                <w:color w:val="000000" w:themeColor="text1"/>
                <w:sz w:val="24"/>
                <w:szCs w:val="24"/>
              </w:rPr>
              <w:t>本次评价标准执行《声环境质量标准》（</w:t>
            </w:r>
            <w:r>
              <w:rPr>
                <w:rFonts w:ascii="Times New Roman" w:hAnsi="Times New Roman"/>
                <w:color w:val="000000" w:themeColor="text1"/>
                <w:sz w:val="24"/>
                <w:szCs w:val="24"/>
              </w:rPr>
              <w:t>GB3096-2008</w:t>
            </w:r>
            <w:r>
              <w:rPr>
                <w:rFonts w:hint="eastAsia" w:ascii="Times New Roman" w:hAnsi="Times New Roman"/>
                <w:color w:val="000000" w:themeColor="text1"/>
                <w:sz w:val="24"/>
                <w:szCs w:val="24"/>
              </w:rPr>
              <w:t>），标准值见表</w:t>
            </w:r>
            <w:r>
              <w:rPr>
                <w:rFonts w:hint="eastAsia" w:ascii="Times New Roman" w:hAnsi="Times New Roman"/>
                <w:color w:val="000000" w:themeColor="text1"/>
                <w:sz w:val="24"/>
                <w:szCs w:val="24"/>
                <w:lang w:val="en-US" w:eastAsia="zh-CN"/>
              </w:rPr>
              <w:t>20</w:t>
            </w:r>
            <w:r>
              <w:rPr>
                <w:rFonts w:hint="eastAsia" w:ascii="Times New Roman" w:hAnsi="Times New Roman"/>
                <w:color w:val="000000" w:themeColor="text1"/>
                <w:sz w:val="24"/>
                <w:szCs w:val="24"/>
              </w:rPr>
              <w:t>。</w:t>
            </w:r>
          </w:p>
          <w:p w14:paraId="2BD2B1AA">
            <w:pPr>
              <w:tabs>
                <w:tab w:val="left" w:pos="1290"/>
              </w:tabs>
              <w:spacing w:line="360" w:lineRule="auto"/>
              <w:ind w:firstLine="422" w:firstLineChars="200"/>
              <w:rPr>
                <w:rFonts w:ascii="黑体" w:hAnsi="黑体" w:eastAsia="黑体" w:cs="黑体"/>
                <w:b/>
                <w:color w:val="000000" w:themeColor="text1"/>
                <w:sz w:val="21"/>
                <w:szCs w:val="21"/>
              </w:rPr>
            </w:pPr>
            <w:r>
              <w:rPr>
                <w:rFonts w:hint="eastAsia" w:ascii="黑体" w:hAnsi="黑体" w:eastAsia="黑体" w:cs="黑体"/>
                <w:b/>
                <w:color w:val="000000" w:themeColor="text1"/>
                <w:sz w:val="21"/>
                <w:szCs w:val="21"/>
              </w:rPr>
              <w:t>表</w:t>
            </w:r>
            <w:r>
              <w:rPr>
                <w:rFonts w:hint="eastAsia" w:ascii="黑体" w:hAnsi="黑体" w:eastAsia="黑体" w:cs="黑体"/>
                <w:b/>
                <w:color w:val="000000" w:themeColor="text1"/>
                <w:sz w:val="21"/>
                <w:szCs w:val="21"/>
                <w:lang w:val="en-US" w:eastAsia="zh-CN"/>
              </w:rPr>
              <w:t>20</w:t>
            </w:r>
            <w:r>
              <w:rPr>
                <w:rFonts w:ascii="黑体" w:hAnsi="黑体" w:eastAsia="黑体" w:cs="黑体"/>
                <w:b/>
                <w:color w:val="000000" w:themeColor="text1"/>
                <w:sz w:val="21"/>
                <w:szCs w:val="21"/>
              </w:rPr>
              <w:t xml:space="preserve">              </w:t>
            </w:r>
            <w:r>
              <w:rPr>
                <w:rFonts w:hint="eastAsia" w:ascii="黑体" w:hAnsi="黑体" w:eastAsia="黑体" w:cs="黑体"/>
                <w:b/>
                <w:color w:val="000000" w:themeColor="text1"/>
                <w:sz w:val="21"/>
                <w:szCs w:val="21"/>
              </w:rPr>
              <w:t>《声环境质量标准》</w:t>
            </w:r>
            <w:r>
              <w:rPr>
                <w:rFonts w:ascii="黑体" w:hAnsi="黑体" w:eastAsia="黑体" w:cs="黑体"/>
                <w:b/>
                <w:color w:val="000000" w:themeColor="text1"/>
                <w:sz w:val="21"/>
                <w:szCs w:val="21"/>
              </w:rPr>
              <w:t xml:space="preserve">                 </w:t>
            </w:r>
            <w:r>
              <w:rPr>
                <w:rFonts w:hint="eastAsia" w:ascii="黑体" w:hAnsi="黑体" w:eastAsia="黑体" w:cs="黑体"/>
                <w:b/>
                <w:color w:val="000000" w:themeColor="text1"/>
                <w:sz w:val="21"/>
                <w:szCs w:val="21"/>
              </w:rPr>
              <w:t>等效声级</w:t>
            </w:r>
            <w:r>
              <w:rPr>
                <w:rFonts w:ascii="黑体" w:hAnsi="黑体" w:eastAsia="黑体" w:cs="黑体"/>
                <w:b/>
                <w:color w:val="000000" w:themeColor="text1"/>
                <w:sz w:val="21"/>
                <w:szCs w:val="21"/>
              </w:rPr>
              <w:t>Leq[dB</w:t>
            </w:r>
            <w:r>
              <w:rPr>
                <w:rFonts w:hint="eastAsia" w:ascii="黑体" w:hAnsi="黑体" w:eastAsia="黑体" w:cs="黑体"/>
                <w:b/>
                <w:color w:val="000000" w:themeColor="text1"/>
                <w:sz w:val="21"/>
                <w:szCs w:val="21"/>
              </w:rPr>
              <w:t>（</w:t>
            </w:r>
            <w:r>
              <w:rPr>
                <w:rFonts w:ascii="黑体" w:hAnsi="黑体" w:eastAsia="黑体" w:cs="黑体"/>
                <w:b/>
                <w:color w:val="000000" w:themeColor="text1"/>
                <w:sz w:val="21"/>
                <w:szCs w:val="21"/>
              </w:rPr>
              <w:t>A</w:t>
            </w:r>
            <w:r>
              <w:rPr>
                <w:rFonts w:hint="eastAsia" w:ascii="黑体" w:hAnsi="黑体" w:eastAsia="黑体" w:cs="黑体"/>
                <w:b/>
                <w:color w:val="000000" w:themeColor="text1"/>
                <w:sz w:val="21"/>
                <w:szCs w:val="21"/>
              </w:rPr>
              <w:t>）</w:t>
            </w:r>
            <w:r>
              <w:rPr>
                <w:rFonts w:ascii="黑体" w:hAnsi="黑体" w:eastAsia="黑体" w:cs="黑体"/>
                <w:b/>
                <w:color w:val="000000" w:themeColor="text1"/>
                <w:sz w:val="21"/>
                <w:szCs w:val="21"/>
              </w:rPr>
              <w:t>]</w:t>
            </w:r>
          </w:p>
          <w:tbl>
            <w:tblPr>
              <w:tblStyle w:val="19"/>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6"/>
              <w:gridCol w:w="3971"/>
              <w:gridCol w:w="1763"/>
              <w:gridCol w:w="1760"/>
            </w:tblGrid>
            <w:tr w14:paraId="0C7F19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7" w:type="dxa"/>
                  <w:gridSpan w:val="2"/>
                  <w:tcBorders>
                    <w:bottom w:val="single" w:color="auto" w:sz="12" w:space="0"/>
                  </w:tcBorders>
                  <w:vAlign w:val="center"/>
                </w:tcPr>
                <w:p w14:paraId="5435868D">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类</w:t>
                  </w:r>
                  <w:r>
                    <w:rPr>
                      <w:rFonts w:ascii="Times New Roman" w:hAnsi="Times New Roman"/>
                      <w:b/>
                      <w:color w:val="000000" w:themeColor="text1"/>
                      <w:sz w:val="21"/>
                      <w:szCs w:val="21"/>
                    </w:rPr>
                    <w:t xml:space="preserve">    </w:t>
                  </w:r>
                  <w:r>
                    <w:rPr>
                      <w:rFonts w:hint="eastAsia" w:ascii="Times New Roman" w:hAnsi="Times New Roman"/>
                      <w:b/>
                      <w:color w:val="000000" w:themeColor="text1"/>
                      <w:sz w:val="21"/>
                      <w:szCs w:val="21"/>
                    </w:rPr>
                    <w:t>别</w:t>
                  </w:r>
                </w:p>
              </w:tc>
              <w:tc>
                <w:tcPr>
                  <w:tcW w:w="1763" w:type="dxa"/>
                  <w:tcBorders>
                    <w:bottom w:val="single" w:color="auto" w:sz="12" w:space="0"/>
                  </w:tcBorders>
                  <w:vAlign w:val="center"/>
                </w:tcPr>
                <w:p w14:paraId="126A4E8E">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昼</w:t>
                  </w:r>
                  <w:r>
                    <w:rPr>
                      <w:rFonts w:ascii="Times New Roman" w:hAnsi="Times New Roman"/>
                      <w:b/>
                      <w:color w:val="000000" w:themeColor="text1"/>
                      <w:sz w:val="21"/>
                      <w:szCs w:val="21"/>
                    </w:rPr>
                    <w:t xml:space="preserve"> </w:t>
                  </w:r>
                  <w:r>
                    <w:rPr>
                      <w:rFonts w:hint="eastAsia" w:ascii="Times New Roman" w:hAnsi="Times New Roman"/>
                      <w:b/>
                      <w:color w:val="000000" w:themeColor="text1"/>
                      <w:sz w:val="21"/>
                      <w:szCs w:val="21"/>
                    </w:rPr>
                    <w:t>间</w:t>
                  </w:r>
                </w:p>
              </w:tc>
              <w:tc>
                <w:tcPr>
                  <w:tcW w:w="1760" w:type="dxa"/>
                  <w:tcBorders>
                    <w:bottom w:val="single" w:color="auto" w:sz="12" w:space="0"/>
                  </w:tcBorders>
                  <w:vAlign w:val="center"/>
                </w:tcPr>
                <w:p w14:paraId="74130DA6">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夜</w:t>
                  </w:r>
                  <w:r>
                    <w:rPr>
                      <w:rFonts w:ascii="Times New Roman" w:hAnsi="Times New Roman"/>
                      <w:b/>
                      <w:color w:val="000000" w:themeColor="text1"/>
                      <w:sz w:val="21"/>
                      <w:szCs w:val="21"/>
                    </w:rPr>
                    <w:t xml:space="preserve"> </w:t>
                  </w:r>
                  <w:r>
                    <w:rPr>
                      <w:rFonts w:hint="eastAsia" w:ascii="Times New Roman" w:hAnsi="Times New Roman"/>
                      <w:b/>
                      <w:color w:val="000000" w:themeColor="text1"/>
                      <w:sz w:val="21"/>
                      <w:szCs w:val="21"/>
                    </w:rPr>
                    <w:t>间</w:t>
                  </w:r>
                </w:p>
              </w:tc>
            </w:tr>
            <w:tr w14:paraId="2713A9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7" w:type="dxa"/>
                  <w:gridSpan w:val="2"/>
                  <w:tcBorders>
                    <w:top w:val="single" w:color="auto" w:sz="12" w:space="0"/>
                    <w:tl2br w:val="nil"/>
                    <w:tr2bl w:val="nil"/>
                  </w:tcBorders>
                  <w:vAlign w:val="center"/>
                </w:tcPr>
                <w:p w14:paraId="408E7092">
                  <w:pPr>
                    <w:rPr>
                      <w:rFonts w:ascii="Times New Roman" w:hAnsi="Times New Roman"/>
                      <w:color w:val="000000" w:themeColor="text1"/>
                      <w:sz w:val="21"/>
                      <w:szCs w:val="21"/>
                    </w:rPr>
                  </w:pPr>
                  <w:r>
                    <w:rPr>
                      <w:rFonts w:ascii="Times New Roman" w:hAnsi="Times New Roman"/>
                      <w:color w:val="000000" w:themeColor="text1"/>
                      <w:sz w:val="21"/>
                      <w:szCs w:val="21"/>
                    </w:rPr>
                    <w:t>0</w:t>
                  </w:r>
                  <w:r>
                    <w:rPr>
                      <w:rFonts w:hint="eastAsia" w:ascii="Times New Roman" w:hAnsi="Times New Roman"/>
                      <w:color w:val="000000" w:themeColor="text1"/>
                      <w:sz w:val="21"/>
                      <w:szCs w:val="21"/>
                    </w:rPr>
                    <w:t>类（康复疗养区）</w:t>
                  </w:r>
                </w:p>
              </w:tc>
              <w:tc>
                <w:tcPr>
                  <w:tcW w:w="1763" w:type="dxa"/>
                  <w:tcBorders>
                    <w:top w:val="single" w:color="auto" w:sz="12" w:space="0"/>
                    <w:tl2br w:val="nil"/>
                    <w:tr2bl w:val="nil"/>
                  </w:tcBorders>
                  <w:vAlign w:val="center"/>
                </w:tcPr>
                <w:p w14:paraId="18B8AC3F">
                  <w:pPr>
                    <w:jc w:val="center"/>
                    <w:rPr>
                      <w:rFonts w:ascii="Times New Roman" w:hAnsi="Times New Roman"/>
                      <w:color w:val="000000" w:themeColor="text1"/>
                      <w:sz w:val="21"/>
                      <w:szCs w:val="21"/>
                    </w:rPr>
                  </w:pPr>
                  <w:r>
                    <w:rPr>
                      <w:rFonts w:ascii="Times New Roman" w:hAnsi="Times New Roman"/>
                      <w:color w:val="000000" w:themeColor="text1"/>
                      <w:sz w:val="21"/>
                      <w:szCs w:val="21"/>
                    </w:rPr>
                    <w:t>50</w:t>
                  </w:r>
                </w:p>
              </w:tc>
              <w:tc>
                <w:tcPr>
                  <w:tcW w:w="1760" w:type="dxa"/>
                  <w:tcBorders>
                    <w:top w:val="single" w:color="auto" w:sz="12" w:space="0"/>
                    <w:tl2br w:val="nil"/>
                    <w:tr2bl w:val="nil"/>
                  </w:tcBorders>
                  <w:vAlign w:val="center"/>
                </w:tcPr>
                <w:p w14:paraId="78D4CF50">
                  <w:pPr>
                    <w:jc w:val="center"/>
                    <w:rPr>
                      <w:rFonts w:ascii="Times New Roman" w:hAnsi="Times New Roman"/>
                      <w:color w:val="000000" w:themeColor="text1"/>
                      <w:sz w:val="21"/>
                      <w:szCs w:val="21"/>
                    </w:rPr>
                  </w:pPr>
                  <w:r>
                    <w:rPr>
                      <w:rFonts w:ascii="Times New Roman" w:hAnsi="Times New Roman"/>
                      <w:color w:val="000000" w:themeColor="text1"/>
                      <w:sz w:val="21"/>
                      <w:szCs w:val="21"/>
                    </w:rPr>
                    <w:t>40</w:t>
                  </w:r>
                </w:p>
              </w:tc>
            </w:tr>
            <w:tr w14:paraId="3FC1A8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7" w:type="dxa"/>
                  <w:gridSpan w:val="2"/>
                  <w:tcBorders>
                    <w:tl2br w:val="nil"/>
                    <w:tr2bl w:val="nil"/>
                  </w:tcBorders>
                  <w:vAlign w:val="center"/>
                </w:tcPr>
                <w:p w14:paraId="2364D6AA">
                  <w:pPr>
                    <w:rPr>
                      <w:rFonts w:ascii="Times New Roman" w:hAnsi="Times New Roman"/>
                      <w:color w:val="000000" w:themeColor="text1"/>
                      <w:sz w:val="21"/>
                      <w:szCs w:val="21"/>
                    </w:rPr>
                  </w:pPr>
                  <w:r>
                    <w:rPr>
                      <w:rFonts w:ascii="Times New Roman" w:hAnsi="Times New Roman"/>
                      <w:color w:val="000000" w:themeColor="text1"/>
                      <w:sz w:val="21"/>
                      <w:szCs w:val="21"/>
                    </w:rPr>
                    <w:t>1</w:t>
                  </w:r>
                  <w:r>
                    <w:rPr>
                      <w:rFonts w:hint="eastAsia" w:ascii="Times New Roman" w:hAnsi="Times New Roman"/>
                      <w:color w:val="000000" w:themeColor="text1"/>
                      <w:sz w:val="21"/>
                      <w:szCs w:val="21"/>
                    </w:rPr>
                    <w:t>类（居民区、文化教育区）</w:t>
                  </w:r>
                </w:p>
              </w:tc>
              <w:tc>
                <w:tcPr>
                  <w:tcW w:w="1763" w:type="dxa"/>
                  <w:tcBorders>
                    <w:tl2br w:val="nil"/>
                    <w:tr2bl w:val="nil"/>
                  </w:tcBorders>
                  <w:vAlign w:val="center"/>
                </w:tcPr>
                <w:p w14:paraId="05FB408F">
                  <w:pPr>
                    <w:jc w:val="center"/>
                    <w:rPr>
                      <w:rFonts w:ascii="Times New Roman" w:hAnsi="Times New Roman"/>
                      <w:color w:val="000000" w:themeColor="text1"/>
                      <w:sz w:val="21"/>
                      <w:szCs w:val="21"/>
                    </w:rPr>
                  </w:pPr>
                  <w:r>
                    <w:rPr>
                      <w:rFonts w:ascii="Times New Roman" w:hAnsi="Times New Roman"/>
                      <w:color w:val="000000" w:themeColor="text1"/>
                      <w:sz w:val="21"/>
                      <w:szCs w:val="21"/>
                    </w:rPr>
                    <w:t>55</w:t>
                  </w:r>
                </w:p>
              </w:tc>
              <w:tc>
                <w:tcPr>
                  <w:tcW w:w="1760" w:type="dxa"/>
                  <w:tcBorders>
                    <w:tl2br w:val="nil"/>
                    <w:tr2bl w:val="nil"/>
                  </w:tcBorders>
                  <w:vAlign w:val="center"/>
                </w:tcPr>
                <w:p w14:paraId="06E184DB">
                  <w:pPr>
                    <w:jc w:val="center"/>
                    <w:rPr>
                      <w:rFonts w:ascii="Times New Roman" w:hAnsi="Times New Roman"/>
                      <w:color w:val="000000" w:themeColor="text1"/>
                      <w:sz w:val="21"/>
                      <w:szCs w:val="21"/>
                    </w:rPr>
                  </w:pPr>
                  <w:r>
                    <w:rPr>
                      <w:rFonts w:ascii="Times New Roman" w:hAnsi="Times New Roman"/>
                      <w:color w:val="000000" w:themeColor="text1"/>
                      <w:sz w:val="21"/>
                      <w:szCs w:val="21"/>
                    </w:rPr>
                    <w:t>45</w:t>
                  </w:r>
                </w:p>
              </w:tc>
            </w:tr>
            <w:tr w14:paraId="2463BB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7" w:type="dxa"/>
                  <w:gridSpan w:val="2"/>
                  <w:tcBorders>
                    <w:tl2br w:val="nil"/>
                    <w:tr2bl w:val="nil"/>
                  </w:tcBorders>
                  <w:vAlign w:val="center"/>
                </w:tcPr>
                <w:p w14:paraId="52E5FFF7">
                  <w:pPr>
                    <w:rPr>
                      <w:rFonts w:ascii="Times New Roman" w:hAnsi="Times New Roman"/>
                      <w:color w:val="000000" w:themeColor="text1"/>
                      <w:sz w:val="21"/>
                      <w:szCs w:val="21"/>
                    </w:rPr>
                  </w:pPr>
                  <w:r>
                    <w:rPr>
                      <w:rFonts w:ascii="Times New Roman" w:hAnsi="Times New Roman"/>
                      <w:color w:val="000000" w:themeColor="text1"/>
                      <w:sz w:val="21"/>
                      <w:szCs w:val="21"/>
                    </w:rPr>
                    <w:t>2</w:t>
                  </w:r>
                  <w:r>
                    <w:rPr>
                      <w:rFonts w:hint="eastAsia" w:ascii="Times New Roman" w:hAnsi="Times New Roman"/>
                      <w:color w:val="000000" w:themeColor="text1"/>
                      <w:sz w:val="21"/>
                      <w:szCs w:val="21"/>
                    </w:rPr>
                    <w:t>类（居住、商业、工业混合区）</w:t>
                  </w:r>
                </w:p>
              </w:tc>
              <w:tc>
                <w:tcPr>
                  <w:tcW w:w="1763" w:type="dxa"/>
                  <w:tcBorders>
                    <w:tl2br w:val="nil"/>
                    <w:tr2bl w:val="nil"/>
                  </w:tcBorders>
                  <w:vAlign w:val="center"/>
                </w:tcPr>
                <w:p w14:paraId="4BE84DC0">
                  <w:pPr>
                    <w:jc w:val="center"/>
                    <w:rPr>
                      <w:rFonts w:ascii="Times New Roman" w:hAnsi="Times New Roman"/>
                      <w:color w:val="000000" w:themeColor="text1"/>
                      <w:sz w:val="21"/>
                      <w:szCs w:val="21"/>
                    </w:rPr>
                  </w:pPr>
                  <w:r>
                    <w:rPr>
                      <w:rFonts w:ascii="Times New Roman" w:hAnsi="Times New Roman"/>
                      <w:color w:val="000000" w:themeColor="text1"/>
                      <w:sz w:val="21"/>
                      <w:szCs w:val="21"/>
                    </w:rPr>
                    <w:t>60</w:t>
                  </w:r>
                </w:p>
              </w:tc>
              <w:tc>
                <w:tcPr>
                  <w:tcW w:w="1760" w:type="dxa"/>
                  <w:tcBorders>
                    <w:tl2br w:val="nil"/>
                    <w:tr2bl w:val="nil"/>
                  </w:tcBorders>
                  <w:vAlign w:val="center"/>
                </w:tcPr>
                <w:p w14:paraId="21854C2A">
                  <w:pPr>
                    <w:jc w:val="center"/>
                    <w:rPr>
                      <w:rFonts w:ascii="Times New Roman" w:hAnsi="Times New Roman"/>
                      <w:color w:val="000000" w:themeColor="text1"/>
                      <w:sz w:val="21"/>
                      <w:szCs w:val="21"/>
                    </w:rPr>
                  </w:pPr>
                  <w:r>
                    <w:rPr>
                      <w:rFonts w:ascii="Times New Roman" w:hAnsi="Times New Roman"/>
                      <w:color w:val="000000" w:themeColor="text1"/>
                      <w:sz w:val="21"/>
                      <w:szCs w:val="21"/>
                    </w:rPr>
                    <w:t>50</w:t>
                  </w:r>
                </w:p>
              </w:tc>
            </w:tr>
            <w:tr w14:paraId="3AEFFA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97" w:type="dxa"/>
                  <w:gridSpan w:val="2"/>
                  <w:tcBorders>
                    <w:tl2br w:val="nil"/>
                    <w:tr2bl w:val="nil"/>
                  </w:tcBorders>
                  <w:vAlign w:val="center"/>
                </w:tcPr>
                <w:p w14:paraId="0E082E3C">
                  <w:pPr>
                    <w:rPr>
                      <w:rFonts w:ascii="Times New Roman" w:hAnsi="Times New Roman"/>
                      <w:color w:val="000000" w:themeColor="text1"/>
                      <w:sz w:val="21"/>
                      <w:szCs w:val="21"/>
                    </w:rPr>
                  </w:pPr>
                  <w:r>
                    <w:rPr>
                      <w:rFonts w:ascii="Times New Roman" w:hAnsi="Times New Roman"/>
                      <w:color w:val="000000" w:themeColor="text1"/>
                      <w:sz w:val="21"/>
                      <w:szCs w:val="21"/>
                    </w:rPr>
                    <w:t>3</w:t>
                  </w:r>
                  <w:r>
                    <w:rPr>
                      <w:rFonts w:hint="eastAsia" w:ascii="Times New Roman" w:hAnsi="Times New Roman"/>
                      <w:color w:val="000000" w:themeColor="text1"/>
                      <w:sz w:val="21"/>
                      <w:szCs w:val="21"/>
                    </w:rPr>
                    <w:t>类（工业集中区）</w:t>
                  </w:r>
                </w:p>
              </w:tc>
              <w:tc>
                <w:tcPr>
                  <w:tcW w:w="1763" w:type="dxa"/>
                  <w:tcBorders>
                    <w:tl2br w:val="nil"/>
                    <w:tr2bl w:val="nil"/>
                  </w:tcBorders>
                  <w:vAlign w:val="center"/>
                </w:tcPr>
                <w:p w14:paraId="75485514">
                  <w:pPr>
                    <w:jc w:val="center"/>
                    <w:rPr>
                      <w:rFonts w:ascii="Times New Roman" w:hAnsi="Times New Roman"/>
                      <w:color w:val="000000" w:themeColor="text1"/>
                      <w:sz w:val="21"/>
                      <w:szCs w:val="21"/>
                    </w:rPr>
                  </w:pPr>
                  <w:r>
                    <w:rPr>
                      <w:rFonts w:ascii="Times New Roman" w:hAnsi="Times New Roman"/>
                      <w:color w:val="000000" w:themeColor="text1"/>
                      <w:sz w:val="21"/>
                      <w:szCs w:val="21"/>
                    </w:rPr>
                    <w:t>65</w:t>
                  </w:r>
                </w:p>
              </w:tc>
              <w:tc>
                <w:tcPr>
                  <w:tcW w:w="1760" w:type="dxa"/>
                  <w:tcBorders>
                    <w:tl2br w:val="nil"/>
                    <w:tr2bl w:val="nil"/>
                  </w:tcBorders>
                  <w:vAlign w:val="center"/>
                </w:tcPr>
                <w:p w14:paraId="25FAB49F">
                  <w:pPr>
                    <w:jc w:val="center"/>
                    <w:rPr>
                      <w:rFonts w:ascii="Times New Roman" w:hAnsi="Times New Roman"/>
                      <w:color w:val="000000" w:themeColor="text1"/>
                      <w:sz w:val="21"/>
                      <w:szCs w:val="21"/>
                    </w:rPr>
                  </w:pPr>
                  <w:r>
                    <w:rPr>
                      <w:rFonts w:ascii="Times New Roman" w:hAnsi="Times New Roman"/>
                      <w:color w:val="000000" w:themeColor="text1"/>
                      <w:sz w:val="21"/>
                      <w:szCs w:val="21"/>
                    </w:rPr>
                    <w:t>55</w:t>
                  </w:r>
                </w:p>
              </w:tc>
            </w:tr>
            <w:tr w14:paraId="11B50D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restart"/>
                  <w:tcBorders>
                    <w:tl2br w:val="nil"/>
                    <w:tr2bl w:val="nil"/>
                  </w:tcBorders>
                  <w:vAlign w:val="center"/>
                </w:tcPr>
                <w:p w14:paraId="64085F24">
                  <w:pPr>
                    <w:jc w:val="center"/>
                    <w:rPr>
                      <w:rFonts w:ascii="Times New Roman" w:hAnsi="Times New Roman"/>
                      <w:color w:val="000000" w:themeColor="text1"/>
                      <w:sz w:val="21"/>
                      <w:szCs w:val="21"/>
                    </w:rPr>
                  </w:pPr>
                  <w:r>
                    <w:rPr>
                      <w:rFonts w:ascii="Times New Roman" w:hAnsi="Times New Roman"/>
                      <w:color w:val="000000" w:themeColor="text1"/>
                      <w:sz w:val="21"/>
                      <w:szCs w:val="21"/>
                    </w:rPr>
                    <w:t>4</w:t>
                  </w:r>
                </w:p>
              </w:tc>
              <w:tc>
                <w:tcPr>
                  <w:tcW w:w="3971" w:type="dxa"/>
                  <w:tcBorders>
                    <w:tl2br w:val="nil"/>
                    <w:tr2bl w:val="nil"/>
                  </w:tcBorders>
                  <w:vAlign w:val="center"/>
                </w:tcPr>
                <w:p w14:paraId="7FB63B75">
                  <w:pPr>
                    <w:rPr>
                      <w:rFonts w:ascii="Times New Roman" w:hAnsi="Times New Roman"/>
                      <w:color w:val="000000" w:themeColor="text1"/>
                      <w:sz w:val="21"/>
                      <w:szCs w:val="21"/>
                    </w:rPr>
                  </w:pPr>
                  <w:r>
                    <w:rPr>
                      <w:rFonts w:ascii="Times New Roman" w:hAnsi="Times New Roman"/>
                      <w:color w:val="000000" w:themeColor="text1"/>
                      <w:sz w:val="21"/>
                      <w:szCs w:val="21"/>
                    </w:rPr>
                    <w:t>4a</w:t>
                  </w:r>
                  <w:r>
                    <w:rPr>
                      <w:rFonts w:hint="eastAsia" w:ascii="Times New Roman" w:hAnsi="Times New Roman"/>
                      <w:color w:val="000000" w:themeColor="text1"/>
                      <w:sz w:val="21"/>
                      <w:szCs w:val="21"/>
                    </w:rPr>
                    <w:t>类（高速路、公路）</w:t>
                  </w:r>
                </w:p>
              </w:tc>
              <w:tc>
                <w:tcPr>
                  <w:tcW w:w="1763" w:type="dxa"/>
                  <w:tcBorders>
                    <w:tl2br w:val="nil"/>
                    <w:tr2bl w:val="nil"/>
                  </w:tcBorders>
                  <w:vAlign w:val="center"/>
                </w:tcPr>
                <w:p w14:paraId="1A46385D">
                  <w:pPr>
                    <w:jc w:val="center"/>
                    <w:rPr>
                      <w:rFonts w:ascii="Times New Roman" w:hAnsi="Times New Roman"/>
                      <w:color w:val="000000" w:themeColor="text1"/>
                      <w:sz w:val="21"/>
                      <w:szCs w:val="21"/>
                    </w:rPr>
                  </w:pPr>
                  <w:r>
                    <w:rPr>
                      <w:rFonts w:ascii="Times New Roman" w:hAnsi="Times New Roman"/>
                      <w:color w:val="000000" w:themeColor="text1"/>
                      <w:sz w:val="21"/>
                      <w:szCs w:val="21"/>
                    </w:rPr>
                    <w:t>70</w:t>
                  </w:r>
                </w:p>
              </w:tc>
              <w:tc>
                <w:tcPr>
                  <w:tcW w:w="1760" w:type="dxa"/>
                  <w:tcBorders>
                    <w:tl2br w:val="nil"/>
                    <w:tr2bl w:val="nil"/>
                  </w:tcBorders>
                  <w:vAlign w:val="center"/>
                </w:tcPr>
                <w:p w14:paraId="5520AB75">
                  <w:pPr>
                    <w:jc w:val="center"/>
                    <w:rPr>
                      <w:rFonts w:ascii="Times New Roman" w:hAnsi="Times New Roman"/>
                      <w:color w:val="000000" w:themeColor="text1"/>
                      <w:sz w:val="21"/>
                      <w:szCs w:val="21"/>
                    </w:rPr>
                  </w:pPr>
                  <w:r>
                    <w:rPr>
                      <w:rFonts w:ascii="Times New Roman" w:hAnsi="Times New Roman"/>
                      <w:color w:val="000000" w:themeColor="text1"/>
                      <w:sz w:val="21"/>
                      <w:szCs w:val="21"/>
                    </w:rPr>
                    <w:t>55</w:t>
                  </w:r>
                </w:p>
              </w:tc>
            </w:tr>
            <w:tr w14:paraId="7E445A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6" w:type="dxa"/>
                  <w:vMerge w:val="continue"/>
                  <w:tcBorders>
                    <w:tl2br w:val="nil"/>
                    <w:tr2bl w:val="nil"/>
                  </w:tcBorders>
                  <w:vAlign w:val="center"/>
                </w:tcPr>
                <w:p w14:paraId="0975D4BD">
                  <w:pPr>
                    <w:rPr>
                      <w:rFonts w:ascii="Times New Roman" w:hAnsi="Times New Roman"/>
                      <w:color w:val="000000" w:themeColor="text1"/>
                      <w:sz w:val="21"/>
                      <w:szCs w:val="21"/>
                    </w:rPr>
                  </w:pPr>
                </w:p>
              </w:tc>
              <w:tc>
                <w:tcPr>
                  <w:tcW w:w="3971" w:type="dxa"/>
                  <w:tcBorders>
                    <w:tl2br w:val="nil"/>
                    <w:tr2bl w:val="nil"/>
                  </w:tcBorders>
                  <w:vAlign w:val="center"/>
                </w:tcPr>
                <w:p w14:paraId="117AD104">
                  <w:pPr>
                    <w:rPr>
                      <w:rFonts w:ascii="Times New Roman" w:hAnsi="Times New Roman"/>
                      <w:color w:val="000000" w:themeColor="text1"/>
                      <w:sz w:val="21"/>
                      <w:szCs w:val="21"/>
                    </w:rPr>
                  </w:pPr>
                  <w:r>
                    <w:rPr>
                      <w:rFonts w:ascii="Times New Roman" w:hAnsi="Times New Roman"/>
                      <w:color w:val="000000" w:themeColor="text1"/>
                      <w:sz w:val="21"/>
                      <w:szCs w:val="21"/>
                    </w:rPr>
                    <w:t>4b</w:t>
                  </w:r>
                  <w:r>
                    <w:rPr>
                      <w:rFonts w:hint="eastAsia" w:ascii="Times New Roman" w:hAnsi="Times New Roman"/>
                      <w:color w:val="000000" w:themeColor="text1"/>
                      <w:sz w:val="21"/>
                      <w:szCs w:val="21"/>
                    </w:rPr>
                    <w:t>类（铁路干线两侧）</w:t>
                  </w:r>
                </w:p>
              </w:tc>
              <w:tc>
                <w:tcPr>
                  <w:tcW w:w="1763" w:type="dxa"/>
                  <w:tcBorders>
                    <w:tl2br w:val="nil"/>
                    <w:tr2bl w:val="nil"/>
                  </w:tcBorders>
                  <w:vAlign w:val="center"/>
                </w:tcPr>
                <w:p w14:paraId="4D82623D">
                  <w:pPr>
                    <w:jc w:val="center"/>
                    <w:rPr>
                      <w:rFonts w:ascii="Times New Roman" w:hAnsi="Times New Roman"/>
                      <w:color w:val="000000" w:themeColor="text1"/>
                      <w:sz w:val="21"/>
                      <w:szCs w:val="21"/>
                    </w:rPr>
                  </w:pPr>
                  <w:r>
                    <w:rPr>
                      <w:rFonts w:ascii="Times New Roman" w:hAnsi="Times New Roman"/>
                      <w:color w:val="000000" w:themeColor="text1"/>
                      <w:sz w:val="21"/>
                      <w:szCs w:val="21"/>
                    </w:rPr>
                    <w:t>70</w:t>
                  </w:r>
                </w:p>
              </w:tc>
              <w:tc>
                <w:tcPr>
                  <w:tcW w:w="1760" w:type="dxa"/>
                  <w:tcBorders>
                    <w:tl2br w:val="nil"/>
                    <w:tr2bl w:val="nil"/>
                  </w:tcBorders>
                  <w:vAlign w:val="center"/>
                </w:tcPr>
                <w:p w14:paraId="427B30F2">
                  <w:pPr>
                    <w:jc w:val="center"/>
                    <w:rPr>
                      <w:rFonts w:ascii="Times New Roman" w:hAnsi="Times New Roman"/>
                      <w:color w:val="000000" w:themeColor="text1"/>
                      <w:sz w:val="21"/>
                      <w:szCs w:val="21"/>
                    </w:rPr>
                  </w:pPr>
                  <w:r>
                    <w:rPr>
                      <w:rFonts w:ascii="Times New Roman" w:hAnsi="Times New Roman"/>
                      <w:color w:val="000000" w:themeColor="text1"/>
                      <w:sz w:val="21"/>
                      <w:szCs w:val="21"/>
                    </w:rPr>
                    <w:t>60</w:t>
                  </w:r>
                </w:p>
              </w:tc>
            </w:tr>
          </w:tbl>
          <w:p w14:paraId="4CE49CEB">
            <w:pPr>
              <w:topLinePunct/>
              <w:spacing w:line="360" w:lineRule="auto"/>
              <w:ind w:firstLine="480"/>
              <w:rPr>
                <w:rFonts w:ascii="Times New Roman" w:hAnsi="Times New Roman"/>
                <w:snapToGrid w:val="0"/>
                <w:color w:val="000000" w:themeColor="text1"/>
                <w:sz w:val="24"/>
                <w:szCs w:val="24"/>
              </w:rPr>
            </w:pPr>
            <w:r>
              <w:rPr>
                <w:rFonts w:hint="eastAsia" w:ascii="Times New Roman" w:hAnsi="Times New Roman"/>
                <w:snapToGrid w:val="0"/>
                <w:color w:val="000000" w:themeColor="text1"/>
                <w:sz w:val="24"/>
                <w:szCs w:val="24"/>
                <w:lang w:val="en-US" w:eastAsia="zh-CN"/>
              </w:rPr>
              <w:t>本项目拟建地点位于</w:t>
            </w:r>
            <w:r>
              <w:rPr>
                <w:rFonts w:hint="default" w:ascii="Times New Roman" w:hAnsi="Times New Roman" w:eastAsia="宋体" w:cs="Times New Roman"/>
                <w:color w:val="000000" w:themeColor="text1"/>
                <w:lang w:eastAsia="zh-CN"/>
              </w:rPr>
              <w:t>昌吉高新</w:t>
            </w:r>
            <w:r>
              <w:rPr>
                <w:rFonts w:hint="eastAsia" w:ascii="Times New Roman" w:hAnsi="Times New Roman" w:cs="Times New Roman"/>
                <w:color w:val="000000" w:themeColor="text1"/>
                <w:lang w:val="en-US" w:eastAsia="zh-CN"/>
              </w:rPr>
              <w:t>技术</w:t>
            </w:r>
            <w:r>
              <w:rPr>
                <w:rFonts w:hint="default" w:ascii="Times New Roman" w:hAnsi="Times New Roman" w:eastAsia="宋体" w:cs="Times New Roman"/>
                <w:color w:val="000000" w:themeColor="text1"/>
                <w:lang w:eastAsia="zh-CN"/>
              </w:rPr>
              <w:t>产业开发区</w:t>
            </w:r>
            <w:r>
              <w:rPr>
                <w:rFonts w:hint="eastAsia" w:ascii="Times New Roman" w:hAnsi="Times New Roman"/>
                <w:color w:val="000000" w:themeColor="text1"/>
                <w:sz w:val="24"/>
                <w:szCs w:val="24"/>
              </w:rPr>
              <w:t>，项目区声环境功能区属于</w:t>
            </w:r>
            <w:r>
              <w:rPr>
                <w:rFonts w:hint="eastAsia" w:ascii="Times New Roman" w:hAnsi="Times New Roman"/>
                <w:color w:val="000000" w:themeColor="text1"/>
                <w:sz w:val="24"/>
                <w:szCs w:val="24"/>
                <w:lang w:val="en-US" w:eastAsia="zh-CN"/>
              </w:rPr>
              <w:t>2</w:t>
            </w:r>
            <w:r>
              <w:rPr>
                <w:rFonts w:hint="eastAsia" w:ascii="Times New Roman" w:hAnsi="Times New Roman"/>
                <w:color w:val="000000" w:themeColor="text1"/>
                <w:sz w:val="24"/>
                <w:szCs w:val="24"/>
              </w:rPr>
              <w:t>类区，因此项目区声环境执行《声环境质量标准》（</w:t>
            </w:r>
            <w:r>
              <w:rPr>
                <w:rFonts w:ascii="Times New Roman" w:hAnsi="Times New Roman"/>
                <w:color w:val="000000" w:themeColor="text1"/>
                <w:sz w:val="24"/>
                <w:szCs w:val="24"/>
              </w:rPr>
              <w:t>GB3096-2008</w:t>
            </w:r>
            <w:r>
              <w:rPr>
                <w:rFonts w:hint="eastAsia" w:ascii="Times New Roman" w:hAnsi="Times New Roman"/>
                <w:color w:val="000000" w:themeColor="text1"/>
                <w:sz w:val="24"/>
                <w:szCs w:val="24"/>
              </w:rPr>
              <w:t>）中的</w:t>
            </w:r>
            <w:r>
              <w:rPr>
                <w:rFonts w:hint="eastAsia" w:ascii="Times New Roman" w:hAnsi="Times New Roman"/>
                <w:color w:val="000000" w:themeColor="text1"/>
                <w:sz w:val="24"/>
                <w:szCs w:val="24"/>
                <w:lang w:val="en-US" w:eastAsia="zh-CN"/>
              </w:rPr>
              <w:t>2</w:t>
            </w:r>
            <w:r>
              <w:rPr>
                <w:rFonts w:hint="eastAsia" w:ascii="Times New Roman" w:hAnsi="Times New Roman"/>
                <w:color w:val="000000" w:themeColor="text1"/>
                <w:sz w:val="24"/>
                <w:szCs w:val="24"/>
              </w:rPr>
              <w:t>类标准，</w:t>
            </w:r>
            <w:r>
              <w:rPr>
                <w:rFonts w:hint="eastAsia" w:ascii="Times New Roman" w:hAnsi="Times New Roman"/>
                <w:snapToGrid w:val="0"/>
                <w:color w:val="000000" w:themeColor="text1"/>
                <w:sz w:val="24"/>
                <w:szCs w:val="24"/>
              </w:rPr>
              <w:t>即昼间</w:t>
            </w:r>
            <w:r>
              <w:rPr>
                <w:rFonts w:hint="eastAsia" w:ascii="Times New Roman" w:hAnsi="Times New Roman"/>
                <w:snapToGrid w:val="0"/>
                <w:color w:val="000000" w:themeColor="text1"/>
                <w:sz w:val="24"/>
                <w:szCs w:val="24"/>
                <w:lang w:val="en-US" w:eastAsia="zh-CN"/>
              </w:rPr>
              <w:t>60</w:t>
            </w:r>
            <w:r>
              <w:rPr>
                <w:rFonts w:ascii="Times New Roman" w:hAnsi="Times New Roman"/>
                <w:snapToGrid w:val="0"/>
                <w:color w:val="000000" w:themeColor="text1"/>
                <w:sz w:val="24"/>
                <w:szCs w:val="24"/>
              </w:rPr>
              <w:t>dB</w:t>
            </w:r>
            <w:r>
              <w:rPr>
                <w:rFonts w:hint="eastAsia" w:ascii="Times New Roman" w:hAnsi="Times New Roman"/>
                <w:snapToGrid w:val="0"/>
                <w:color w:val="000000" w:themeColor="text1"/>
                <w:sz w:val="24"/>
                <w:szCs w:val="24"/>
              </w:rPr>
              <w:t>（</w:t>
            </w:r>
            <w:r>
              <w:rPr>
                <w:rFonts w:ascii="Times New Roman" w:hAnsi="Times New Roman"/>
                <w:snapToGrid w:val="0"/>
                <w:color w:val="000000" w:themeColor="text1"/>
                <w:sz w:val="24"/>
                <w:szCs w:val="24"/>
              </w:rPr>
              <w:t>A</w:t>
            </w:r>
            <w:r>
              <w:rPr>
                <w:rFonts w:hint="eastAsia" w:ascii="Times New Roman" w:hAnsi="Times New Roman"/>
                <w:snapToGrid w:val="0"/>
                <w:color w:val="000000" w:themeColor="text1"/>
                <w:sz w:val="24"/>
                <w:szCs w:val="24"/>
              </w:rPr>
              <w:t>），夜间</w:t>
            </w:r>
            <w:r>
              <w:rPr>
                <w:rFonts w:hint="eastAsia" w:ascii="Times New Roman" w:hAnsi="Times New Roman"/>
                <w:snapToGrid w:val="0"/>
                <w:color w:val="000000" w:themeColor="text1"/>
                <w:sz w:val="24"/>
                <w:szCs w:val="24"/>
                <w:lang w:val="en-US" w:eastAsia="zh-CN"/>
              </w:rPr>
              <w:t>55</w:t>
            </w:r>
            <w:r>
              <w:rPr>
                <w:rFonts w:ascii="Times New Roman" w:hAnsi="Times New Roman"/>
                <w:snapToGrid w:val="0"/>
                <w:color w:val="000000" w:themeColor="text1"/>
                <w:sz w:val="24"/>
                <w:szCs w:val="24"/>
              </w:rPr>
              <w:t>dB</w:t>
            </w:r>
            <w:r>
              <w:rPr>
                <w:rFonts w:hint="eastAsia" w:ascii="Times New Roman" w:hAnsi="Times New Roman"/>
                <w:snapToGrid w:val="0"/>
                <w:color w:val="000000" w:themeColor="text1"/>
                <w:sz w:val="24"/>
                <w:szCs w:val="24"/>
              </w:rPr>
              <w:t>（</w:t>
            </w:r>
            <w:r>
              <w:rPr>
                <w:rFonts w:ascii="Times New Roman" w:hAnsi="Times New Roman"/>
                <w:snapToGrid w:val="0"/>
                <w:color w:val="000000" w:themeColor="text1"/>
                <w:sz w:val="24"/>
                <w:szCs w:val="24"/>
              </w:rPr>
              <w:t>A</w:t>
            </w:r>
            <w:r>
              <w:rPr>
                <w:rFonts w:hint="eastAsia" w:ascii="Times New Roman" w:hAnsi="Times New Roman"/>
                <w:snapToGrid w:val="0"/>
                <w:color w:val="000000" w:themeColor="text1"/>
                <w:sz w:val="24"/>
                <w:szCs w:val="24"/>
              </w:rPr>
              <w:t>）。</w:t>
            </w:r>
          </w:p>
          <w:p w14:paraId="0CDF666C">
            <w:pPr>
              <w:spacing w:line="360" w:lineRule="auto"/>
              <w:ind w:firstLine="482" w:firstLineChars="200"/>
              <w:rPr>
                <w:rFonts w:ascii="Times New Roman" w:hAnsi="Times New Roman"/>
                <w:b/>
                <w:color w:val="000000" w:themeColor="text1"/>
                <w:sz w:val="24"/>
                <w:szCs w:val="24"/>
              </w:rPr>
            </w:pPr>
            <w:r>
              <w:rPr>
                <w:rFonts w:hint="eastAsia" w:ascii="Times New Roman" w:hAnsi="Times New Roman"/>
                <w:b/>
                <w:color w:val="000000" w:themeColor="text1"/>
                <w:sz w:val="24"/>
                <w:szCs w:val="24"/>
                <w:lang w:val="en-US" w:eastAsia="zh-CN"/>
              </w:rPr>
              <w:t>3</w:t>
            </w:r>
            <w:r>
              <w:rPr>
                <w:rFonts w:ascii="Times New Roman" w:hAnsi="Times New Roman"/>
                <w:b/>
                <w:color w:val="000000" w:themeColor="text1"/>
                <w:sz w:val="24"/>
                <w:szCs w:val="24"/>
              </w:rPr>
              <w:t xml:space="preserve">.2 </w:t>
            </w:r>
            <w:r>
              <w:rPr>
                <w:rFonts w:hint="eastAsia" w:ascii="Times New Roman" w:hAnsi="Times New Roman"/>
                <w:b/>
                <w:color w:val="000000" w:themeColor="text1"/>
                <w:sz w:val="24"/>
                <w:szCs w:val="24"/>
              </w:rPr>
              <w:t>监测布点</w:t>
            </w:r>
          </w:p>
          <w:p w14:paraId="34F2B35A">
            <w:pPr>
              <w:topLinePunct/>
              <w:spacing w:line="360" w:lineRule="auto"/>
              <w:ind w:firstLine="480"/>
              <w:rPr>
                <w:rFonts w:ascii="Times New Roman" w:hAnsi="Times New Roman"/>
                <w:color w:val="000000" w:themeColor="text1"/>
                <w:sz w:val="24"/>
                <w:szCs w:val="24"/>
              </w:rPr>
            </w:pPr>
            <w:r>
              <w:rPr>
                <w:rFonts w:hint="eastAsia" w:ascii="Times New Roman" w:hAnsi="Times New Roman"/>
                <w:color w:val="000000" w:themeColor="text1"/>
                <w:sz w:val="24"/>
                <w:szCs w:val="24"/>
              </w:rPr>
              <w:t>本项目在</w:t>
            </w:r>
            <w:r>
              <w:rPr>
                <w:rFonts w:hint="eastAsia" w:ascii="Times New Roman" w:hAnsi="Times New Roman"/>
                <w:color w:val="000000" w:themeColor="text1"/>
                <w:sz w:val="24"/>
                <w:szCs w:val="24"/>
                <w:lang w:eastAsia="zh-CN"/>
              </w:rPr>
              <w:t>项目区</w:t>
            </w:r>
            <w:r>
              <w:rPr>
                <w:rFonts w:hint="eastAsia" w:ascii="Times New Roman" w:hAnsi="Times New Roman"/>
                <w:color w:val="000000" w:themeColor="text1"/>
                <w:sz w:val="24"/>
                <w:szCs w:val="24"/>
              </w:rPr>
              <w:t>四周</w:t>
            </w:r>
            <w:r>
              <w:rPr>
                <w:rFonts w:ascii="Times New Roman" w:hAnsi="Times New Roman"/>
                <w:color w:val="000000" w:themeColor="text1"/>
                <w:sz w:val="24"/>
                <w:szCs w:val="24"/>
              </w:rPr>
              <w:t>1m</w:t>
            </w:r>
            <w:r>
              <w:rPr>
                <w:rFonts w:hint="eastAsia" w:ascii="Times New Roman" w:hAnsi="Times New Roman"/>
                <w:color w:val="000000" w:themeColor="text1"/>
                <w:sz w:val="24"/>
                <w:szCs w:val="24"/>
              </w:rPr>
              <w:t>处各布设了</w:t>
            </w:r>
            <w:r>
              <w:rPr>
                <w:rFonts w:ascii="Times New Roman" w:hAnsi="Times New Roman"/>
                <w:color w:val="000000" w:themeColor="text1"/>
                <w:sz w:val="24"/>
                <w:szCs w:val="24"/>
              </w:rPr>
              <w:t>1</w:t>
            </w:r>
            <w:r>
              <w:rPr>
                <w:rFonts w:hint="eastAsia" w:ascii="Times New Roman" w:hAnsi="Times New Roman"/>
                <w:color w:val="000000" w:themeColor="text1"/>
                <w:sz w:val="24"/>
                <w:szCs w:val="24"/>
              </w:rPr>
              <w:t>个噪声监测点。</w:t>
            </w:r>
            <w:r>
              <w:rPr>
                <w:rFonts w:hint="eastAsia" w:ascii="Times New Roman" w:hAnsi="Times New Roman"/>
                <w:snapToGrid w:val="0"/>
                <w:color w:val="000000" w:themeColor="text1"/>
                <w:sz w:val="24"/>
                <w:szCs w:val="24"/>
                <w:lang w:eastAsia="zh-CN"/>
              </w:rPr>
              <w:t>由</w:t>
            </w:r>
            <w:r>
              <w:rPr>
                <w:rFonts w:hint="eastAsia" w:ascii="Times New Roman" w:hAnsi="Times New Roman"/>
                <w:color w:val="000000" w:themeColor="text1"/>
                <w:sz w:val="24"/>
                <w:szCs w:val="24"/>
                <w:lang w:eastAsia="zh-CN"/>
              </w:rPr>
              <w:t>新疆国泰民康职业环境检测评价有限责任公司</w:t>
            </w:r>
            <w:r>
              <w:rPr>
                <w:rFonts w:hint="eastAsia" w:ascii="Times New Roman" w:hAnsi="Times New Roman"/>
                <w:color w:val="000000" w:themeColor="text1"/>
                <w:sz w:val="24"/>
                <w:szCs w:val="24"/>
              </w:rPr>
              <w:t>于</w:t>
            </w:r>
            <w:r>
              <w:rPr>
                <w:rFonts w:ascii="Times New Roman" w:hAnsi="Times New Roman"/>
                <w:color w:val="000000" w:themeColor="text1"/>
                <w:sz w:val="24"/>
                <w:szCs w:val="24"/>
              </w:rPr>
              <w:t>201</w:t>
            </w:r>
            <w:r>
              <w:rPr>
                <w:rFonts w:hint="eastAsia" w:ascii="Times New Roman" w:hAnsi="Times New Roman"/>
                <w:color w:val="000000" w:themeColor="text1"/>
                <w:sz w:val="24"/>
                <w:szCs w:val="24"/>
                <w:lang w:val="en-US" w:eastAsia="zh-CN"/>
              </w:rPr>
              <w:t>8</w:t>
            </w:r>
            <w:r>
              <w:rPr>
                <w:rFonts w:hint="eastAsia" w:ascii="Times New Roman" w:hAnsi="Times New Roman"/>
                <w:color w:val="000000" w:themeColor="text1"/>
                <w:sz w:val="24"/>
                <w:szCs w:val="24"/>
              </w:rPr>
              <w:t>年</w:t>
            </w:r>
            <w:r>
              <w:rPr>
                <w:rFonts w:hint="eastAsia" w:ascii="Times New Roman" w:hAnsi="Times New Roman"/>
                <w:color w:val="000000" w:themeColor="text1"/>
                <w:sz w:val="24"/>
                <w:szCs w:val="24"/>
                <w:lang w:val="en-US" w:eastAsia="zh-CN"/>
              </w:rPr>
              <w:t>6</w:t>
            </w:r>
            <w:r>
              <w:rPr>
                <w:rFonts w:hint="eastAsia" w:ascii="Times New Roman" w:hAnsi="Times New Roman"/>
                <w:color w:val="000000" w:themeColor="text1"/>
                <w:sz w:val="24"/>
                <w:szCs w:val="24"/>
              </w:rPr>
              <w:t>月</w:t>
            </w:r>
            <w:r>
              <w:rPr>
                <w:rFonts w:hint="eastAsia" w:ascii="Times New Roman" w:hAnsi="Times New Roman"/>
                <w:color w:val="000000" w:themeColor="text1"/>
                <w:sz w:val="24"/>
                <w:szCs w:val="24"/>
                <w:lang w:val="en-US" w:eastAsia="zh-CN"/>
              </w:rPr>
              <w:t>10</w:t>
            </w:r>
            <w:r>
              <w:rPr>
                <w:rFonts w:hint="eastAsia" w:ascii="Times New Roman" w:hAnsi="Times New Roman"/>
                <w:color w:val="000000" w:themeColor="text1"/>
                <w:sz w:val="24"/>
                <w:szCs w:val="24"/>
              </w:rPr>
              <w:t>日</w:t>
            </w:r>
            <w:r>
              <w:rPr>
                <w:rFonts w:hint="eastAsia" w:ascii="Times New Roman" w:hAnsi="Times New Roman"/>
                <w:color w:val="000000" w:themeColor="text1"/>
                <w:sz w:val="24"/>
                <w:szCs w:val="24"/>
                <w:lang w:val="en-US" w:eastAsia="zh-CN"/>
              </w:rPr>
              <w:t>监测</w:t>
            </w:r>
            <w:r>
              <w:rPr>
                <w:rFonts w:hint="eastAsia" w:ascii="Times New Roman" w:hAnsi="Times New Roman"/>
                <w:color w:val="000000" w:themeColor="text1"/>
                <w:sz w:val="24"/>
                <w:szCs w:val="24"/>
              </w:rPr>
              <w:t>。</w:t>
            </w:r>
          </w:p>
          <w:p w14:paraId="7BBAC01C">
            <w:pPr>
              <w:spacing w:line="360" w:lineRule="auto"/>
              <w:ind w:firstLine="482" w:firstLineChars="200"/>
              <w:rPr>
                <w:rFonts w:ascii="Times New Roman" w:hAnsi="Times New Roman"/>
                <w:b/>
                <w:color w:val="000000" w:themeColor="text1"/>
                <w:sz w:val="24"/>
                <w:szCs w:val="24"/>
              </w:rPr>
            </w:pPr>
            <w:r>
              <w:rPr>
                <w:rFonts w:hint="eastAsia" w:ascii="Times New Roman" w:hAnsi="Times New Roman"/>
                <w:b/>
                <w:color w:val="000000" w:themeColor="text1"/>
                <w:sz w:val="24"/>
                <w:szCs w:val="24"/>
                <w:lang w:val="en-US" w:eastAsia="zh-CN"/>
              </w:rPr>
              <w:t>3.</w:t>
            </w:r>
            <w:r>
              <w:rPr>
                <w:rFonts w:ascii="Times New Roman" w:hAnsi="Times New Roman"/>
                <w:b/>
                <w:color w:val="000000" w:themeColor="text1"/>
                <w:sz w:val="24"/>
                <w:szCs w:val="24"/>
              </w:rPr>
              <w:t xml:space="preserve">3 </w:t>
            </w:r>
            <w:r>
              <w:rPr>
                <w:rFonts w:hint="eastAsia" w:ascii="Times New Roman" w:hAnsi="Times New Roman"/>
                <w:b/>
                <w:color w:val="000000" w:themeColor="text1"/>
                <w:sz w:val="24"/>
                <w:szCs w:val="24"/>
              </w:rPr>
              <w:t>监测结果</w:t>
            </w:r>
          </w:p>
          <w:p w14:paraId="0F36F233">
            <w:pPr>
              <w:topLinePunct/>
              <w:spacing w:line="360" w:lineRule="auto"/>
              <w:ind w:firstLine="480"/>
              <w:rPr>
                <w:rFonts w:ascii="Times New Roman" w:hAnsi="Times New Roman"/>
                <w:color w:val="000000" w:themeColor="text1"/>
                <w:sz w:val="24"/>
                <w:szCs w:val="24"/>
              </w:rPr>
            </w:pPr>
            <w:r>
              <w:rPr>
                <w:rFonts w:hint="eastAsia" w:ascii="Times New Roman" w:hAnsi="Times New Roman"/>
                <w:color w:val="000000" w:themeColor="text1"/>
                <w:sz w:val="24"/>
                <w:szCs w:val="24"/>
              </w:rPr>
              <w:t>监测结果见表</w:t>
            </w:r>
            <w:r>
              <w:rPr>
                <w:rFonts w:hint="eastAsia" w:ascii="Times New Roman" w:hAnsi="Times New Roman"/>
                <w:color w:val="000000" w:themeColor="text1"/>
                <w:sz w:val="24"/>
                <w:szCs w:val="24"/>
                <w:lang w:val="en-US" w:eastAsia="zh-CN"/>
              </w:rPr>
              <w:t>21</w:t>
            </w:r>
            <w:r>
              <w:rPr>
                <w:rFonts w:hint="eastAsia" w:ascii="Times New Roman" w:hAnsi="Times New Roman"/>
                <w:color w:val="000000" w:themeColor="text1"/>
                <w:sz w:val="24"/>
                <w:szCs w:val="24"/>
              </w:rPr>
              <w:t>。</w:t>
            </w:r>
          </w:p>
          <w:p w14:paraId="305B08E8">
            <w:pPr>
              <w:topLinePunct/>
              <w:spacing w:line="360" w:lineRule="auto"/>
              <w:ind w:firstLine="422" w:firstLineChars="200"/>
              <w:rPr>
                <w:rFonts w:ascii="黑体" w:hAnsi="黑体" w:eastAsia="黑体" w:cs="黑体"/>
                <w:b/>
                <w:snapToGrid w:val="0"/>
                <w:color w:val="000000" w:themeColor="text1"/>
                <w:sz w:val="21"/>
                <w:szCs w:val="21"/>
              </w:rPr>
            </w:pPr>
            <w:r>
              <w:rPr>
                <w:rFonts w:hint="eastAsia" w:ascii="黑体" w:hAnsi="黑体" w:eastAsia="黑体" w:cs="黑体"/>
                <w:b/>
                <w:snapToGrid w:val="0"/>
                <w:color w:val="000000" w:themeColor="text1"/>
                <w:sz w:val="21"/>
                <w:szCs w:val="21"/>
              </w:rPr>
              <w:t>表</w:t>
            </w:r>
            <w:r>
              <w:rPr>
                <w:rFonts w:hint="eastAsia" w:ascii="黑体" w:hAnsi="黑体" w:eastAsia="黑体" w:cs="黑体"/>
                <w:b/>
                <w:snapToGrid w:val="0"/>
                <w:color w:val="000000" w:themeColor="text1"/>
                <w:sz w:val="21"/>
                <w:szCs w:val="21"/>
                <w:lang w:val="en-US" w:eastAsia="zh-CN"/>
              </w:rPr>
              <w:t xml:space="preserve">21 </w:t>
            </w:r>
            <w:r>
              <w:rPr>
                <w:rFonts w:ascii="黑体" w:hAnsi="黑体" w:eastAsia="黑体" w:cs="黑体"/>
                <w:b/>
                <w:snapToGrid w:val="0"/>
                <w:color w:val="000000" w:themeColor="text1"/>
                <w:sz w:val="21"/>
                <w:szCs w:val="21"/>
              </w:rPr>
              <w:t xml:space="preserve">                        </w:t>
            </w:r>
            <w:r>
              <w:rPr>
                <w:rFonts w:hint="eastAsia" w:ascii="黑体" w:hAnsi="黑体" w:eastAsia="黑体" w:cs="黑体"/>
                <w:b/>
                <w:snapToGrid w:val="0"/>
                <w:color w:val="000000" w:themeColor="text1"/>
                <w:sz w:val="21"/>
                <w:szCs w:val="21"/>
              </w:rPr>
              <w:t>噪声监测结果</w:t>
            </w:r>
            <w:r>
              <w:rPr>
                <w:rFonts w:ascii="黑体" w:hAnsi="黑体" w:eastAsia="黑体" w:cs="黑体"/>
                <w:b/>
                <w:snapToGrid w:val="0"/>
                <w:color w:val="000000" w:themeColor="text1"/>
                <w:sz w:val="21"/>
                <w:szCs w:val="21"/>
              </w:rPr>
              <w:t xml:space="preserve">               </w:t>
            </w:r>
            <w:r>
              <w:rPr>
                <w:rFonts w:hint="eastAsia" w:ascii="黑体" w:hAnsi="黑体" w:eastAsia="黑体" w:cs="黑体"/>
                <w:b/>
                <w:snapToGrid w:val="0"/>
                <w:color w:val="000000" w:themeColor="text1"/>
                <w:sz w:val="21"/>
                <w:szCs w:val="21"/>
              </w:rPr>
              <w:t>单位：</w:t>
            </w:r>
            <w:r>
              <w:rPr>
                <w:rFonts w:ascii="黑体" w:hAnsi="黑体" w:eastAsia="黑体" w:cs="黑体"/>
                <w:b/>
                <w:snapToGrid w:val="0"/>
                <w:color w:val="000000" w:themeColor="text1"/>
                <w:sz w:val="21"/>
                <w:szCs w:val="21"/>
              </w:rPr>
              <w:t>dB</w:t>
            </w:r>
            <w:r>
              <w:rPr>
                <w:rFonts w:hint="eastAsia" w:ascii="黑体" w:hAnsi="黑体" w:eastAsia="黑体" w:cs="黑体"/>
                <w:b/>
                <w:snapToGrid w:val="0"/>
                <w:color w:val="000000" w:themeColor="text1"/>
                <w:sz w:val="21"/>
                <w:szCs w:val="21"/>
              </w:rPr>
              <w:t>（</w:t>
            </w:r>
            <w:r>
              <w:rPr>
                <w:rFonts w:ascii="黑体" w:hAnsi="黑体" w:eastAsia="黑体" w:cs="黑体"/>
                <w:b/>
                <w:snapToGrid w:val="0"/>
                <w:color w:val="000000" w:themeColor="text1"/>
                <w:sz w:val="21"/>
                <w:szCs w:val="21"/>
              </w:rPr>
              <w:t>A</w:t>
            </w:r>
            <w:r>
              <w:rPr>
                <w:rFonts w:hint="eastAsia" w:ascii="黑体" w:hAnsi="黑体" w:eastAsia="黑体" w:cs="黑体"/>
                <w:b/>
                <w:snapToGrid w:val="0"/>
                <w:color w:val="000000" w:themeColor="text1"/>
                <w:sz w:val="21"/>
                <w:szCs w:val="21"/>
              </w:rPr>
              <w:t>）</w:t>
            </w:r>
          </w:p>
          <w:tbl>
            <w:tblPr>
              <w:tblStyle w:val="19"/>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44"/>
              <w:gridCol w:w="1644"/>
              <w:gridCol w:w="1644"/>
              <w:gridCol w:w="1644"/>
              <w:gridCol w:w="1644"/>
            </w:tblGrid>
            <w:tr w14:paraId="028BF5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644" w:type="dxa"/>
                  <w:vMerge w:val="restart"/>
                  <w:vAlign w:val="center"/>
                </w:tcPr>
                <w:p w14:paraId="7AB49DFD">
                  <w:pPr>
                    <w:topLinePunct/>
                    <w:spacing w:line="320" w:lineRule="exact"/>
                    <w:jc w:val="center"/>
                    <w:rPr>
                      <w:rFonts w:hint="default" w:ascii="Times New Roman" w:hAnsi="Times New Roman" w:eastAsia="宋体" w:cs="Times New Roman"/>
                      <w:b/>
                      <w:snapToGrid w:val="0"/>
                      <w:color w:val="000000" w:themeColor="text1"/>
                      <w:sz w:val="21"/>
                      <w:szCs w:val="21"/>
                    </w:rPr>
                  </w:pPr>
                  <w:r>
                    <w:rPr>
                      <w:rFonts w:hint="default" w:ascii="Times New Roman" w:hAnsi="Times New Roman" w:eastAsia="宋体" w:cs="Times New Roman"/>
                      <w:b/>
                      <w:snapToGrid w:val="0"/>
                      <w:color w:val="000000" w:themeColor="text1"/>
                      <w:sz w:val="21"/>
                      <w:szCs w:val="21"/>
                    </w:rPr>
                    <w:t>监测点</w:t>
                  </w:r>
                </w:p>
              </w:tc>
              <w:tc>
                <w:tcPr>
                  <w:tcW w:w="3288" w:type="dxa"/>
                  <w:gridSpan w:val="2"/>
                  <w:vAlign w:val="center"/>
                </w:tcPr>
                <w:p w14:paraId="21FEAECB">
                  <w:pPr>
                    <w:topLinePunct/>
                    <w:spacing w:line="320" w:lineRule="exact"/>
                    <w:jc w:val="center"/>
                    <w:rPr>
                      <w:rFonts w:hint="default" w:ascii="Times New Roman" w:hAnsi="Times New Roman" w:eastAsia="宋体" w:cs="Times New Roman"/>
                      <w:b/>
                      <w:snapToGrid w:val="0"/>
                      <w:color w:val="000000" w:themeColor="text1"/>
                      <w:sz w:val="21"/>
                      <w:szCs w:val="21"/>
                    </w:rPr>
                  </w:pPr>
                  <w:r>
                    <w:rPr>
                      <w:rFonts w:hint="default" w:ascii="Times New Roman" w:hAnsi="Times New Roman" w:eastAsia="宋体" w:cs="Times New Roman"/>
                      <w:b/>
                      <w:snapToGrid w:val="0"/>
                      <w:color w:val="000000" w:themeColor="text1"/>
                      <w:sz w:val="21"/>
                      <w:szCs w:val="21"/>
                    </w:rPr>
                    <w:t>昼间</w:t>
                  </w:r>
                </w:p>
              </w:tc>
              <w:tc>
                <w:tcPr>
                  <w:tcW w:w="3288" w:type="dxa"/>
                  <w:gridSpan w:val="2"/>
                  <w:vAlign w:val="center"/>
                </w:tcPr>
                <w:p w14:paraId="5810FEF4">
                  <w:pPr>
                    <w:topLinePunct/>
                    <w:spacing w:line="320" w:lineRule="exact"/>
                    <w:jc w:val="center"/>
                    <w:rPr>
                      <w:rFonts w:hint="default" w:ascii="Times New Roman" w:hAnsi="Times New Roman" w:eastAsia="宋体" w:cs="Times New Roman"/>
                      <w:b/>
                      <w:snapToGrid w:val="0"/>
                      <w:color w:val="000000" w:themeColor="text1"/>
                      <w:sz w:val="21"/>
                      <w:szCs w:val="21"/>
                    </w:rPr>
                  </w:pPr>
                  <w:r>
                    <w:rPr>
                      <w:rFonts w:hint="default" w:ascii="Times New Roman" w:hAnsi="Times New Roman" w:eastAsia="宋体" w:cs="Times New Roman"/>
                      <w:b/>
                      <w:snapToGrid w:val="0"/>
                      <w:color w:val="000000" w:themeColor="text1"/>
                      <w:sz w:val="21"/>
                      <w:szCs w:val="21"/>
                    </w:rPr>
                    <w:t>夜间</w:t>
                  </w:r>
                </w:p>
              </w:tc>
            </w:tr>
            <w:tr w14:paraId="4A3508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644" w:type="dxa"/>
                  <w:vMerge w:val="continue"/>
                  <w:tcBorders>
                    <w:bottom w:val="single" w:color="auto" w:sz="12" w:space="0"/>
                  </w:tcBorders>
                  <w:vAlign w:val="center"/>
                </w:tcPr>
                <w:p w14:paraId="488B1766">
                  <w:pPr>
                    <w:topLinePunct/>
                    <w:spacing w:line="320" w:lineRule="exact"/>
                    <w:jc w:val="center"/>
                    <w:rPr>
                      <w:rFonts w:hint="default" w:ascii="Times New Roman" w:hAnsi="Times New Roman" w:eastAsia="宋体" w:cs="Times New Roman"/>
                      <w:b/>
                      <w:snapToGrid w:val="0"/>
                      <w:color w:val="000000" w:themeColor="text1"/>
                      <w:sz w:val="21"/>
                      <w:szCs w:val="21"/>
                    </w:rPr>
                  </w:pPr>
                </w:p>
              </w:tc>
              <w:tc>
                <w:tcPr>
                  <w:tcW w:w="1644" w:type="dxa"/>
                  <w:tcBorders>
                    <w:bottom w:val="single" w:color="auto" w:sz="12" w:space="0"/>
                  </w:tcBorders>
                  <w:vAlign w:val="center"/>
                </w:tcPr>
                <w:p w14:paraId="387E2B88">
                  <w:pPr>
                    <w:topLinePunct/>
                    <w:spacing w:line="320" w:lineRule="exact"/>
                    <w:jc w:val="center"/>
                    <w:rPr>
                      <w:rFonts w:hint="default" w:ascii="Times New Roman" w:hAnsi="Times New Roman" w:eastAsia="宋体" w:cs="Times New Roman"/>
                      <w:b/>
                      <w:snapToGrid w:val="0"/>
                      <w:color w:val="000000" w:themeColor="text1"/>
                      <w:sz w:val="21"/>
                      <w:szCs w:val="21"/>
                    </w:rPr>
                  </w:pPr>
                  <w:r>
                    <w:rPr>
                      <w:rFonts w:hint="default" w:ascii="Times New Roman" w:hAnsi="Times New Roman" w:eastAsia="宋体" w:cs="Times New Roman"/>
                      <w:b/>
                      <w:snapToGrid w:val="0"/>
                      <w:color w:val="000000" w:themeColor="text1"/>
                      <w:sz w:val="21"/>
                      <w:szCs w:val="21"/>
                    </w:rPr>
                    <w:t>监测值</w:t>
                  </w:r>
                </w:p>
              </w:tc>
              <w:tc>
                <w:tcPr>
                  <w:tcW w:w="1644" w:type="dxa"/>
                  <w:tcBorders>
                    <w:bottom w:val="single" w:color="auto" w:sz="12" w:space="0"/>
                  </w:tcBorders>
                  <w:vAlign w:val="center"/>
                </w:tcPr>
                <w:p w14:paraId="34BFEBB0">
                  <w:pPr>
                    <w:topLinePunct/>
                    <w:spacing w:line="320" w:lineRule="exact"/>
                    <w:jc w:val="center"/>
                    <w:rPr>
                      <w:rFonts w:hint="default" w:ascii="Times New Roman" w:hAnsi="Times New Roman" w:eastAsia="宋体" w:cs="Times New Roman"/>
                      <w:b/>
                      <w:snapToGrid w:val="0"/>
                      <w:color w:val="000000" w:themeColor="text1"/>
                      <w:sz w:val="21"/>
                      <w:szCs w:val="21"/>
                    </w:rPr>
                  </w:pPr>
                  <w:r>
                    <w:rPr>
                      <w:rFonts w:hint="default" w:ascii="Times New Roman" w:hAnsi="Times New Roman" w:eastAsia="宋体" w:cs="Times New Roman"/>
                      <w:b/>
                      <w:snapToGrid w:val="0"/>
                      <w:color w:val="000000" w:themeColor="text1"/>
                      <w:sz w:val="21"/>
                      <w:szCs w:val="21"/>
                    </w:rPr>
                    <w:t>标准值</w:t>
                  </w:r>
                </w:p>
              </w:tc>
              <w:tc>
                <w:tcPr>
                  <w:tcW w:w="1644" w:type="dxa"/>
                  <w:tcBorders>
                    <w:bottom w:val="single" w:color="auto" w:sz="12" w:space="0"/>
                  </w:tcBorders>
                  <w:vAlign w:val="center"/>
                </w:tcPr>
                <w:p w14:paraId="7676B62B">
                  <w:pPr>
                    <w:topLinePunct/>
                    <w:spacing w:line="320" w:lineRule="exact"/>
                    <w:jc w:val="center"/>
                    <w:rPr>
                      <w:rFonts w:hint="default" w:ascii="Times New Roman" w:hAnsi="Times New Roman" w:eastAsia="宋体" w:cs="Times New Roman"/>
                      <w:b/>
                      <w:snapToGrid w:val="0"/>
                      <w:color w:val="000000" w:themeColor="text1"/>
                      <w:sz w:val="21"/>
                      <w:szCs w:val="21"/>
                    </w:rPr>
                  </w:pPr>
                  <w:r>
                    <w:rPr>
                      <w:rFonts w:hint="default" w:ascii="Times New Roman" w:hAnsi="Times New Roman" w:eastAsia="宋体" w:cs="Times New Roman"/>
                      <w:b/>
                      <w:snapToGrid w:val="0"/>
                      <w:color w:val="000000" w:themeColor="text1"/>
                      <w:sz w:val="21"/>
                      <w:szCs w:val="21"/>
                    </w:rPr>
                    <w:t>监测值</w:t>
                  </w:r>
                </w:p>
              </w:tc>
              <w:tc>
                <w:tcPr>
                  <w:tcW w:w="1644" w:type="dxa"/>
                  <w:tcBorders>
                    <w:bottom w:val="single" w:color="auto" w:sz="12" w:space="0"/>
                  </w:tcBorders>
                  <w:vAlign w:val="center"/>
                </w:tcPr>
                <w:p w14:paraId="0144058A">
                  <w:pPr>
                    <w:topLinePunct/>
                    <w:spacing w:line="320" w:lineRule="exact"/>
                    <w:jc w:val="center"/>
                    <w:rPr>
                      <w:rFonts w:hint="default" w:ascii="Times New Roman" w:hAnsi="Times New Roman" w:eastAsia="宋体" w:cs="Times New Roman"/>
                      <w:b/>
                      <w:snapToGrid w:val="0"/>
                      <w:color w:val="000000" w:themeColor="text1"/>
                      <w:sz w:val="21"/>
                      <w:szCs w:val="21"/>
                    </w:rPr>
                  </w:pPr>
                  <w:r>
                    <w:rPr>
                      <w:rFonts w:hint="default" w:ascii="Times New Roman" w:hAnsi="Times New Roman" w:eastAsia="宋体" w:cs="Times New Roman"/>
                      <w:b/>
                      <w:snapToGrid w:val="0"/>
                      <w:color w:val="000000" w:themeColor="text1"/>
                      <w:sz w:val="21"/>
                      <w:szCs w:val="21"/>
                    </w:rPr>
                    <w:t>标准值</w:t>
                  </w:r>
                </w:p>
              </w:tc>
            </w:tr>
            <w:tr w14:paraId="723BAA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644" w:type="dxa"/>
                  <w:tcBorders>
                    <w:top w:val="single" w:color="auto" w:sz="12" w:space="0"/>
                    <w:tl2br w:val="nil"/>
                    <w:tr2bl w:val="nil"/>
                  </w:tcBorders>
                  <w:vAlign w:val="center"/>
                </w:tcPr>
                <w:p w14:paraId="4E32A769">
                  <w:pPr>
                    <w:topLinePunct/>
                    <w:spacing w:line="320" w:lineRule="exact"/>
                    <w:jc w:val="center"/>
                    <w:rPr>
                      <w:rFonts w:hint="default" w:ascii="Times New Roman" w:hAnsi="Times New Roman" w:eastAsia="宋体" w:cs="Times New Roman"/>
                      <w:snapToGrid w:val="0"/>
                      <w:color w:val="000000" w:themeColor="text1"/>
                      <w:sz w:val="21"/>
                      <w:szCs w:val="21"/>
                    </w:rPr>
                  </w:pPr>
                  <w:r>
                    <w:rPr>
                      <w:rFonts w:hint="default" w:ascii="Times New Roman" w:hAnsi="Times New Roman" w:eastAsia="宋体" w:cs="Times New Roman"/>
                      <w:snapToGrid w:val="0"/>
                      <w:color w:val="000000" w:themeColor="text1"/>
                      <w:sz w:val="21"/>
                      <w:szCs w:val="21"/>
                    </w:rPr>
                    <w:t>1#东边界</w:t>
                  </w:r>
                </w:p>
              </w:tc>
              <w:tc>
                <w:tcPr>
                  <w:tcW w:w="1644" w:type="dxa"/>
                  <w:tcBorders>
                    <w:top w:val="single" w:color="auto" w:sz="12" w:space="0"/>
                    <w:tl2br w:val="nil"/>
                    <w:tr2bl w:val="nil"/>
                  </w:tcBorders>
                  <w:vAlign w:val="center"/>
                </w:tcPr>
                <w:p w14:paraId="75A28803">
                  <w:pPr>
                    <w:topLinePunct/>
                    <w:spacing w:line="320" w:lineRule="exact"/>
                    <w:jc w:val="center"/>
                    <w:rPr>
                      <w:rFonts w:hint="eastAsia" w:ascii="Times New Roman" w:hAnsi="Times New Roman" w:eastAsia="宋体" w:cs="Times New Roman"/>
                      <w:snapToGrid w:val="0"/>
                      <w:color w:val="000000" w:themeColor="text1"/>
                      <w:sz w:val="21"/>
                      <w:szCs w:val="21"/>
                      <w:lang w:val="en-US" w:eastAsia="zh-CN"/>
                    </w:rPr>
                  </w:pPr>
                  <w:r>
                    <w:rPr>
                      <w:rFonts w:hint="eastAsia" w:ascii="Times New Roman" w:hAnsi="Times New Roman" w:cs="Times New Roman"/>
                      <w:snapToGrid w:val="0"/>
                      <w:color w:val="000000" w:themeColor="text1"/>
                      <w:sz w:val="21"/>
                      <w:szCs w:val="21"/>
                      <w:lang w:val="en-US" w:eastAsia="zh-CN"/>
                    </w:rPr>
                    <w:t>42.3</w:t>
                  </w:r>
                </w:p>
              </w:tc>
              <w:tc>
                <w:tcPr>
                  <w:tcW w:w="1644" w:type="dxa"/>
                  <w:tcBorders>
                    <w:top w:val="single" w:color="auto" w:sz="12" w:space="0"/>
                    <w:tl2br w:val="nil"/>
                    <w:tr2bl w:val="nil"/>
                  </w:tcBorders>
                  <w:vAlign w:val="center"/>
                </w:tcPr>
                <w:p w14:paraId="26291F2A">
                  <w:pPr>
                    <w:topLinePunct/>
                    <w:spacing w:line="320" w:lineRule="exact"/>
                    <w:jc w:val="center"/>
                    <w:rPr>
                      <w:rFonts w:hint="eastAsia" w:ascii="Times New Roman" w:hAnsi="Times New Roman" w:eastAsia="宋体" w:cs="Times New Roman"/>
                      <w:snapToGrid w:val="0"/>
                      <w:color w:val="000000" w:themeColor="text1"/>
                      <w:sz w:val="21"/>
                      <w:szCs w:val="21"/>
                      <w:lang w:eastAsia="zh-CN"/>
                    </w:rPr>
                  </w:pPr>
                  <w:r>
                    <w:rPr>
                      <w:rFonts w:hint="eastAsia" w:ascii="Times New Roman" w:hAnsi="Times New Roman" w:cs="Times New Roman"/>
                      <w:snapToGrid w:val="0"/>
                      <w:color w:val="000000" w:themeColor="text1"/>
                      <w:sz w:val="21"/>
                      <w:szCs w:val="21"/>
                      <w:lang w:val="en-US" w:eastAsia="zh-CN"/>
                    </w:rPr>
                    <w:t>60</w:t>
                  </w:r>
                </w:p>
              </w:tc>
              <w:tc>
                <w:tcPr>
                  <w:tcW w:w="1644" w:type="dxa"/>
                  <w:tcBorders>
                    <w:top w:val="single" w:color="auto" w:sz="12" w:space="0"/>
                    <w:tl2br w:val="nil"/>
                    <w:tr2bl w:val="nil"/>
                  </w:tcBorders>
                  <w:vAlign w:val="center"/>
                </w:tcPr>
                <w:p w14:paraId="048FE608">
                  <w:pPr>
                    <w:topLinePunct/>
                    <w:spacing w:line="320" w:lineRule="exact"/>
                    <w:jc w:val="center"/>
                    <w:rPr>
                      <w:rFonts w:hint="eastAsia" w:ascii="Times New Roman" w:hAnsi="Times New Roman" w:eastAsia="宋体" w:cs="Times New Roman"/>
                      <w:snapToGrid w:val="0"/>
                      <w:color w:val="000000" w:themeColor="text1"/>
                      <w:sz w:val="21"/>
                      <w:szCs w:val="21"/>
                      <w:lang w:val="en-US" w:eastAsia="zh-CN"/>
                    </w:rPr>
                  </w:pPr>
                  <w:r>
                    <w:rPr>
                      <w:rFonts w:hint="eastAsia" w:ascii="Times New Roman" w:hAnsi="Times New Roman" w:cs="Times New Roman"/>
                      <w:snapToGrid w:val="0"/>
                      <w:color w:val="000000" w:themeColor="text1"/>
                      <w:sz w:val="21"/>
                      <w:szCs w:val="21"/>
                      <w:lang w:val="en-US" w:eastAsia="zh-CN"/>
                    </w:rPr>
                    <w:t>40.4</w:t>
                  </w:r>
                </w:p>
              </w:tc>
              <w:tc>
                <w:tcPr>
                  <w:tcW w:w="1644" w:type="dxa"/>
                  <w:tcBorders>
                    <w:top w:val="single" w:color="auto" w:sz="12" w:space="0"/>
                    <w:tl2br w:val="nil"/>
                    <w:tr2bl w:val="nil"/>
                  </w:tcBorders>
                  <w:vAlign w:val="center"/>
                </w:tcPr>
                <w:p w14:paraId="1D074E23">
                  <w:pPr>
                    <w:topLinePunct/>
                    <w:spacing w:line="320" w:lineRule="exact"/>
                    <w:jc w:val="center"/>
                    <w:rPr>
                      <w:rFonts w:hint="eastAsia" w:ascii="Times New Roman" w:hAnsi="Times New Roman" w:eastAsia="宋体" w:cs="Times New Roman"/>
                      <w:snapToGrid w:val="0"/>
                      <w:color w:val="000000" w:themeColor="text1"/>
                      <w:sz w:val="21"/>
                      <w:szCs w:val="21"/>
                      <w:lang w:eastAsia="zh-CN"/>
                    </w:rPr>
                  </w:pPr>
                  <w:r>
                    <w:rPr>
                      <w:rFonts w:hint="eastAsia" w:ascii="Times New Roman" w:hAnsi="Times New Roman" w:cs="Times New Roman"/>
                      <w:snapToGrid w:val="0"/>
                      <w:color w:val="000000" w:themeColor="text1"/>
                      <w:sz w:val="21"/>
                      <w:szCs w:val="21"/>
                      <w:lang w:val="en-US" w:eastAsia="zh-CN"/>
                    </w:rPr>
                    <w:t>50</w:t>
                  </w:r>
                </w:p>
              </w:tc>
            </w:tr>
            <w:tr w14:paraId="733D36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644" w:type="dxa"/>
                  <w:tcBorders>
                    <w:tl2br w:val="nil"/>
                    <w:tr2bl w:val="nil"/>
                  </w:tcBorders>
                  <w:vAlign w:val="center"/>
                </w:tcPr>
                <w:p w14:paraId="07E4FC06">
                  <w:pPr>
                    <w:topLinePunct/>
                    <w:spacing w:line="320" w:lineRule="exact"/>
                    <w:jc w:val="center"/>
                    <w:rPr>
                      <w:rFonts w:hint="default" w:ascii="Times New Roman" w:hAnsi="Times New Roman" w:eastAsia="宋体" w:cs="Times New Roman"/>
                      <w:snapToGrid w:val="0"/>
                      <w:color w:val="000000" w:themeColor="text1"/>
                      <w:sz w:val="21"/>
                      <w:szCs w:val="21"/>
                    </w:rPr>
                  </w:pPr>
                  <w:r>
                    <w:rPr>
                      <w:rFonts w:hint="default" w:ascii="Times New Roman" w:hAnsi="Times New Roman" w:eastAsia="宋体" w:cs="Times New Roman"/>
                      <w:snapToGrid w:val="0"/>
                      <w:color w:val="000000" w:themeColor="text1"/>
                      <w:sz w:val="21"/>
                      <w:szCs w:val="21"/>
                    </w:rPr>
                    <w:t>2#南边界</w:t>
                  </w:r>
                </w:p>
              </w:tc>
              <w:tc>
                <w:tcPr>
                  <w:tcW w:w="1644" w:type="dxa"/>
                  <w:tcBorders>
                    <w:tl2br w:val="nil"/>
                    <w:tr2bl w:val="nil"/>
                  </w:tcBorders>
                  <w:vAlign w:val="center"/>
                </w:tcPr>
                <w:p w14:paraId="21D351E8">
                  <w:pPr>
                    <w:topLinePunct/>
                    <w:spacing w:line="320" w:lineRule="exact"/>
                    <w:jc w:val="center"/>
                    <w:rPr>
                      <w:rFonts w:hint="eastAsia" w:ascii="Times New Roman" w:hAnsi="Times New Roman" w:eastAsia="宋体" w:cs="Times New Roman"/>
                      <w:snapToGrid w:val="0"/>
                      <w:color w:val="000000" w:themeColor="text1"/>
                      <w:sz w:val="21"/>
                      <w:szCs w:val="21"/>
                      <w:lang w:val="en-US" w:eastAsia="zh-CN"/>
                    </w:rPr>
                  </w:pPr>
                  <w:r>
                    <w:rPr>
                      <w:rFonts w:hint="eastAsia" w:ascii="Times New Roman" w:hAnsi="Times New Roman" w:cs="Times New Roman"/>
                      <w:snapToGrid w:val="0"/>
                      <w:color w:val="000000" w:themeColor="text1"/>
                      <w:sz w:val="21"/>
                      <w:szCs w:val="21"/>
                      <w:lang w:val="en-US" w:eastAsia="zh-CN"/>
                    </w:rPr>
                    <w:t>43.1</w:t>
                  </w:r>
                </w:p>
              </w:tc>
              <w:tc>
                <w:tcPr>
                  <w:tcW w:w="1644" w:type="dxa"/>
                  <w:tcBorders>
                    <w:tl2br w:val="nil"/>
                    <w:tr2bl w:val="nil"/>
                  </w:tcBorders>
                  <w:vAlign w:val="center"/>
                </w:tcPr>
                <w:p w14:paraId="5A21D41B">
                  <w:pPr>
                    <w:topLinePunct/>
                    <w:spacing w:line="320" w:lineRule="exact"/>
                    <w:jc w:val="center"/>
                    <w:rPr>
                      <w:rFonts w:hint="default" w:ascii="Times New Roman" w:hAnsi="Times New Roman" w:eastAsia="宋体" w:cs="Times New Roman"/>
                      <w:snapToGrid w:val="0"/>
                      <w:color w:val="000000" w:themeColor="text1"/>
                      <w:sz w:val="21"/>
                      <w:szCs w:val="21"/>
                    </w:rPr>
                  </w:pPr>
                  <w:r>
                    <w:rPr>
                      <w:rFonts w:hint="eastAsia" w:ascii="Times New Roman" w:hAnsi="Times New Roman" w:cs="Times New Roman"/>
                      <w:snapToGrid w:val="0"/>
                      <w:color w:val="000000" w:themeColor="text1"/>
                      <w:sz w:val="21"/>
                      <w:szCs w:val="21"/>
                      <w:lang w:val="en-US" w:eastAsia="zh-CN"/>
                    </w:rPr>
                    <w:t>60</w:t>
                  </w:r>
                </w:p>
              </w:tc>
              <w:tc>
                <w:tcPr>
                  <w:tcW w:w="1644" w:type="dxa"/>
                  <w:tcBorders>
                    <w:tl2br w:val="nil"/>
                    <w:tr2bl w:val="nil"/>
                  </w:tcBorders>
                  <w:vAlign w:val="center"/>
                </w:tcPr>
                <w:p w14:paraId="23BEE0B8">
                  <w:pPr>
                    <w:topLinePunct/>
                    <w:spacing w:line="320" w:lineRule="exact"/>
                    <w:jc w:val="center"/>
                    <w:rPr>
                      <w:rFonts w:hint="eastAsia" w:ascii="Times New Roman" w:hAnsi="Times New Roman" w:eastAsia="宋体" w:cs="Times New Roman"/>
                      <w:snapToGrid w:val="0"/>
                      <w:color w:val="000000" w:themeColor="text1"/>
                      <w:sz w:val="21"/>
                      <w:szCs w:val="21"/>
                      <w:lang w:val="en-US" w:eastAsia="zh-CN"/>
                    </w:rPr>
                  </w:pPr>
                  <w:r>
                    <w:rPr>
                      <w:rFonts w:hint="eastAsia" w:ascii="Times New Roman" w:hAnsi="Times New Roman" w:cs="Times New Roman"/>
                      <w:snapToGrid w:val="0"/>
                      <w:color w:val="000000" w:themeColor="text1"/>
                      <w:sz w:val="21"/>
                      <w:szCs w:val="21"/>
                      <w:lang w:val="en-US" w:eastAsia="zh-CN"/>
                    </w:rPr>
                    <w:t>41.3</w:t>
                  </w:r>
                </w:p>
              </w:tc>
              <w:tc>
                <w:tcPr>
                  <w:tcW w:w="1644" w:type="dxa"/>
                  <w:tcBorders>
                    <w:tl2br w:val="nil"/>
                    <w:tr2bl w:val="nil"/>
                  </w:tcBorders>
                  <w:vAlign w:val="center"/>
                </w:tcPr>
                <w:p w14:paraId="7888CFE8">
                  <w:pPr>
                    <w:topLinePunct/>
                    <w:spacing w:line="320" w:lineRule="exact"/>
                    <w:jc w:val="center"/>
                    <w:rPr>
                      <w:rFonts w:hint="default" w:ascii="Times New Roman" w:hAnsi="Times New Roman" w:eastAsia="宋体" w:cs="Times New Roman"/>
                      <w:snapToGrid w:val="0"/>
                      <w:color w:val="000000" w:themeColor="text1"/>
                      <w:sz w:val="21"/>
                      <w:szCs w:val="21"/>
                    </w:rPr>
                  </w:pPr>
                  <w:r>
                    <w:rPr>
                      <w:rFonts w:hint="eastAsia" w:ascii="Times New Roman" w:hAnsi="Times New Roman" w:cs="Times New Roman"/>
                      <w:snapToGrid w:val="0"/>
                      <w:color w:val="000000" w:themeColor="text1"/>
                      <w:sz w:val="21"/>
                      <w:szCs w:val="21"/>
                      <w:lang w:val="en-US" w:eastAsia="zh-CN"/>
                    </w:rPr>
                    <w:t>50</w:t>
                  </w:r>
                </w:p>
              </w:tc>
            </w:tr>
            <w:tr w14:paraId="73F508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644" w:type="dxa"/>
                  <w:tcBorders>
                    <w:tl2br w:val="nil"/>
                    <w:tr2bl w:val="nil"/>
                  </w:tcBorders>
                  <w:vAlign w:val="center"/>
                </w:tcPr>
                <w:p w14:paraId="0A93B7BF">
                  <w:pPr>
                    <w:topLinePunct/>
                    <w:spacing w:line="320" w:lineRule="exact"/>
                    <w:jc w:val="center"/>
                    <w:rPr>
                      <w:rFonts w:hint="default" w:ascii="Times New Roman" w:hAnsi="Times New Roman" w:eastAsia="宋体" w:cs="Times New Roman"/>
                      <w:snapToGrid w:val="0"/>
                      <w:color w:val="000000" w:themeColor="text1"/>
                      <w:sz w:val="21"/>
                      <w:szCs w:val="21"/>
                    </w:rPr>
                  </w:pPr>
                  <w:r>
                    <w:rPr>
                      <w:rFonts w:hint="default" w:ascii="Times New Roman" w:hAnsi="Times New Roman" w:eastAsia="宋体" w:cs="Times New Roman"/>
                      <w:snapToGrid w:val="0"/>
                      <w:color w:val="000000" w:themeColor="text1"/>
                      <w:sz w:val="21"/>
                      <w:szCs w:val="21"/>
                    </w:rPr>
                    <w:t>3#西边界</w:t>
                  </w:r>
                </w:p>
              </w:tc>
              <w:tc>
                <w:tcPr>
                  <w:tcW w:w="1644" w:type="dxa"/>
                  <w:tcBorders>
                    <w:tl2br w:val="nil"/>
                    <w:tr2bl w:val="nil"/>
                  </w:tcBorders>
                  <w:vAlign w:val="center"/>
                </w:tcPr>
                <w:p w14:paraId="2FB3BE76">
                  <w:pPr>
                    <w:topLinePunct/>
                    <w:spacing w:line="320" w:lineRule="exact"/>
                    <w:jc w:val="center"/>
                    <w:rPr>
                      <w:rFonts w:hint="eastAsia" w:ascii="Times New Roman" w:hAnsi="Times New Roman" w:eastAsia="宋体" w:cs="Times New Roman"/>
                      <w:snapToGrid w:val="0"/>
                      <w:color w:val="000000" w:themeColor="text1"/>
                      <w:sz w:val="21"/>
                      <w:szCs w:val="21"/>
                      <w:lang w:val="en-US" w:eastAsia="zh-CN"/>
                    </w:rPr>
                  </w:pPr>
                  <w:r>
                    <w:rPr>
                      <w:rFonts w:hint="eastAsia" w:ascii="Times New Roman" w:hAnsi="Times New Roman" w:cs="Times New Roman"/>
                      <w:snapToGrid w:val="0"/>
                      <w:color w:val="000000" w:themeColor="text1"/>
                      <w:sz w:val="21"/>
                      <w:szCs w:val="21"/>
                      <w:lang w:val="en-US" w:eastAsia="zh-CN"/>
                    </w:rPr>
                    <w:t>46.9</w:t>
                  </w:r>
                </w:p>
              </w:tc>
              <w:tc>
                <w:tcPr>
                  <w:tcW w:w="1644" w:type="dxa"/>
                  <w:tcBorders>
                    <w:tl2br w:val="nil"/>
                    <w:tr2bl w:val="nil"/>
                  </w:tcBorders>
                  <w:vAlign w:val="center"/>
                </w:tcPr>
                <w:p w14:paraId="041E376B">
                  <w:pPr>
                    <w:topLinePunct/>
                    <w:spacing w:line="320" w:lineRule="exact"/>
                    <w:jc w:val="center"/>
                    <w:rPr>
                      <w:rFonts w:hint="default" w:ascii="Times New Roman" w:hAnsi="Times New Roman" w:eastAsia="宋体" w:cs="Times New Roman"/>
                      <w:snapToGrid w:val="0"/>
                      <w:color w:val="000000" w:themeColor="text1"/>
                      <w:sz w:val="21"/>
                      <w:szCs w:val="21"/>
                    </w:rPr>
                  </w:pPr>
                  <w:r>
                    <w:rPr>
                      <w:rFonts w:hint="eastAsia" w:ascii="Times New Roman" w:hAnsi="Times New Roman" w:cs="Times New Roman"/>
                      <w:snapToGrid w:val="0"/>
                      <w:color w:val="000000" w:themeColor="text1"/>
                      <w:sz w:val="21"/>
                      <w:szCs w:val="21"/>
                      <w:lang w:val="en-US" w:eastAsia="zh-CN"/>
                    </w:rPr>
                    <w:t>60</w:t>
                  </w:r>
                </w:p>
              </w:tc>
              <w:tc>
                <w:tcPr>
                  <w:tcW w:w="1644" w:type="dxa"/>
                  <w:tcBorders>
                    <w:tl2br w:val="nil"/>
                    <w:tr2bl w:val="nil"/>
                  </w:tcBorders>
                  <w:vAlign w:val="center"/>
                </w:tcPr>
                <w:p w14:paraId="3F5E37FE">
                  <w:pPr>
                    <w:topLinePunct/>
                    <w:spacing w:line="320" w:lineRule="exact"/>
                    <w:jc w:val="center"/>
                    <w:rPr>
                      <w:rFonts w:hint="eastAsia" w:ascii="Times New Roman" w:hAnsi="Times New Roman" w:eastAsia="宋体" w:cs="Times New Roman"/>
                      <w:snapToGrid w:val="0"/>
                      <w:color w:val="000000" w:themeColor="text1"/>
                      <w:sz w:val="21"/>
                      <w:szCs w:val="21"/>
                      <w:lang w:val="en-US" w:eastAsia="zh-CN"/>
                    </w:rPr>
                  </w:pPr>
                  <w:r>
                    <w:rPr>
                      <w:rFonts w:hint="eastAsia" w:ascii="Times New Roman" w:hAnsi="Times New Roman" w:cs="Times New Roman"/>
                      <w:snapToGrid w:val="0"/>
                      <w:color w:val="000000" w:themeColor="text1"/>
                      <w:sz w:val="21"/>
                      <w:szCs w:val="21"/>
                      <w:lang w:val="en-US" w:eastAsia="zh-CN"/>
                    </w:rPr>
                    <w:t>44.5</w:t>
                  </w:r>
                </w:p>
              </w:tc>
              <w:tc>
                <w:tcPr>
                  <w:tcW w:w="1644" w:type="dxa"/>
                  <w:tcBorders>
                    <w:tl2br w:val="nil"/>
                    <w:tr2bl w:val="nil"/>
                  </w:tcBorders>
                  <w:vAlign w:val="center"/>
                </w:tcPr>
                <w:p w14:paraId="7F79B795">
                  <w:pPr>
                    <w:topLinePunct/>
                    <w:spacing w:line="320" w:lineRule="exact"/>
                    <w:jc w:val="center"/>
                    <w:rPr>
                      <w:rFonts w:hint="default" w:ascii="Times New Roman" w:hAnsi="Times New Roman" w:eastAsia="宋体" w:cs="Times New Roman"/>
                      <w:snapToGrid w:val="0"/>
                      <w:color w:val="000000" w:themeColor="text1"/>
                      <w:sz w:val="21"/>
                      <w:szCs w:val="21"/>
                    </w:rPr>
                  </w:pPr>
                  <w:r>
                    <w:rPr>
                      <w:rFonts w:hint="eastAsia" w:ascii="Times New Roman" w:hAnsi="Times New Roman" w:cs="Times New Roman"/>
                      <w:snapToGrid w:val="0"/>
                      <w:color w:val="000000" w:themeColor="text1"/>
                      <w:sz w:val="21"/>
                      <w:szCs w:val="21"/>
                      <w:lang w:val="en-US" w:eastAsia="zh-CN"/>
                    </w:rPr>
                    <w:t>50</w:t>
                  </w:r>
                </w:p>
              </w:tc>
            </w:tr>
            <w:tr w14:paraId="1AF9BC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1644" w:type="dxa"/>
                  <w:tcBorders>
                    <w:tl2br w:val="nil"/>
                    <w:tr2bl w:val="nil"/>
                  </w:tcBorders>
                  <w:vAlign w:val="center"/>
                </w:tcPr>
                <w:p w14:paraId="30F2C66A">
                  <w:pPr>
                    <w:topLinePunct/>
                    <w:spacing w:line="320" w:lineRule="exact"/>
                    <w:jc w:val="center"/>
                    <w:rPr>
                      <w:rFonts w:hint="default" w:ascii="Times New Roman" w:hAnsi="Times New Roman" w:eastAsia="宋体" w:cs="Times New Roman"/>
                      <w:snapToGrid w:val="0"/>
                      <w:color w:val="000000" w:themeColor="text1"/>
                      <w:sz w:val="21"/>
                      <w:szCs w:val="21"/>
                    </w:rPr>
                  </w:pPr>
                  <w:r>
                    <w:rPr>
                      <w:rFonts w:hint="default" w:ascii="Times New Roman" w:hAnsi="Times New Roman" w:eastAsia="宋体" w:cs="Times New Roman"/>
                      <w:snapToGrid w:val="0"/>
                      <w:color w:val="000000" w:themeColor="text1"/>
                      <w:sz w:val="21"/>
                      <w:szCs w:val="21"/>
                    </w:rPr>
                    <w:t>4#北边界</w:t>
                  </w:r>
                </w:p>
              </w:tc>
              <w:tc>
                <w:tcPr>
                  <w:tcW w:w="1644" w:type="dxa"/>
                  <w:tcBorders>
                    <w:tl2br w:val="nil"/>
                    <w:tr2bl w:val="nil"/>
                  </w:tcBorders>
                  <w:vAlign w:val="center"/>
                </w:tcPr>
                <w:p w14:paraId="4AB0B4FF">
                  <w:pPr>
                    <w:topLinePunct/>
                    <w:spacing w:line="320" w:lineRule="exact"/>
                    <w:jc w:val="center"/>
                    <w:rPr>
                      <w:rFonts w:hint="eastAsia" w:ascii="Times New Roman" w:hAnsi="Times New Roman" w:eastAsia="宋体" w:cs="Times New Roman"/>
                      <w:snapToGrid w:val="0"/>
                      <w:color w:val="000000" w:themeColor="text1"/>
                      <w:sz w:val="21"/>
                      <w:szCs w:val="21"/>
                      <w:lang w:val="en-US" w:eastAsia="zh-CN"/>
                    </w:rPr>
                  </w:pPr>
                  <w:r>
                    <w:rPr>
                      <w:rFonts w:hint="eastAsia" w:ascii="Times New Roman" w:hAnsi="Times New Roman" w:cs="Times New Roman"/>
                      <w:snapToGrid w:val="0"/>
                      <w:color w:val="000000" w:themeColor="text1"/>
                      <w:sz w:val="21"/>
                      <w:szCs w:val="21"/>
                      <w:lang w:val="en-US" w:eastAsia="zh-CN"/>
                    </w:rPr>
                    <w:t>50.1</w:t>
                  </w:r>
                </w:p>
              </w:tc>
              <w:tc>
                <w:tcPr>
                  <w:tcW w:w="1644" w:type="dxa"/>
                  <w:tcBorders>
                    <w:tl2br w:val="nil"/>
                    <w:tr2bl w:val="nil"/>
                  </w:tcBorders>
                  <w:vAlign w:val="center"/>
                </w:tcPr>
                <w:p w14:paraId="73155CD0">
                  <w:pPr>
                    <w:topLinePunct/>
                    <w:spacing w:line="320" w:lineRule="exact"/>
                    <w:jc w:val="center"/>
                    <w:rPr>
                      <w:rFonts w:hint="default" w:ascii="Times New Roman" w:hAnsi="Times New Roman" w:eastAsia="宋体" w:cs="Times New Roman"/>
                      <w:snapToGrid w:val="0"/>
                      <w:color w:val="000000" w:themeColor="text1"/>
                      <w:sz w:val="21"/>
                      <w:szCs w:val="21"/>
                    </w:rPr>
                  </w:pPr>
                  <w:r>
                    <w:rPr>
                      <w:rFonts w:hint="eastAsia" w:ascii="Times New Roman" w:hAnsi="Times New Roman" w:cs="Times New Roman"/>
                      <w:snapToGrid w:val="0"/>
                      <w:color w:val="000000" w:themeColor="text1"/>
                      <w:sz w:val="21"/>
                      <w:szCs w:val="21"/>
                      <w:lang w:val="en-US" w:eastAsia="zh-CN"/>
                    </w:rPr>
                    <w:t>60</w:t>
                  </w:r>
                </w:p>
              </w:tc>
              <w:tc>
                <w:tcPr>
                  <w:tcW w:w="1644" w:type="dxa"/>
                  <w:tcBorders>
                    <w:tl2br w:val="nil"/>
                    <w:tr2bl w:val="nil"/>
                  </w:tcBorders>
                  <w:vAlign w:val="center"/>
                </w:tcPr>
                <w:p w14:paraId="2AA33A5C">
                  <w:pPr>
                    <w:topLinePunct/>
                    <w:spacing w:line="320" w:lineRule="exact"/>
                    <w:jc w:val="center"/>
                    <w:rPr>
                      <w:rFonts w:hint="eastAsia" w:ascii="Times New Roman" w:hAnsi="Times New Roman" w:eastAsia="宋体" w:cs="Times New Roman"/>
                      <w:snapToGrid w:val="0"/>
                      <w:color w:val="000000" w:themeColor="text1"/>
                      <w:sz w:val="21"/>
                      <w:szCs w:val="21"/>
                      <w:lang w:val="en-US" w:eastAsia="zh-CN"/>
                    </w:rPr>
                  </w:pPr>
                  <w:r>
                    <w:rPr>
                      <w:rFonts w:hint="eastAsia" w:ascii="Times New Roman" w:hAnsi="Times New Roman" w:cs="Times New Roman"/>
                      <w:snapToGrid w:val="0"/>
                      <w:color w:val="000000" w:themeColor="text1"/>
                      <w:sz w:val="21"/>
                      <w:szCs w:val="21"/>
                      <w:lang w:val="en-US" w:eastAsia="zh-CN"/>
                    </w:rPr>
                    <w:t>47.1</w:t>
                  </w:r>
                </w:p>
              </w:tc>
              <w:tc>
                <w:tcPr>
                  <w:tcW w:w="1644" w:type="dxa"/>
                  <w:tcBorders>
                    <w:tl2br w:val="nil"/>
                    <w:tr2bl w:val="nil"/>
                  </w:tcBorders>
                  <w:vAlign w:val="center"/>
                </w:tcPr>
                <w:p w14:paraId="3AEAD865">
                  <w:pPr>
                    <w:topLinePunct/>
                    <w:spacing w:line="320" w:lineRule="exact"/>
                    <w:jc w:val="center"/>
                    <w:rPr>
                      <w:rFonts w:hint="default" w:ascii="Times New Roman" w:hAnsi="Times New Roman" w:eastAsia="宋体" w:cs="Times New Roman"/>
                      <w:snapToGrid w:val="0"/>
                      <w:color w:val="000000" w:themeColor="text1"/>
                      <w:sz w:val="21"/>
                      <w:szCs w:val="21"/>
                    </w:rPr>
                  </w:pPr>
                  <w:r>
                    <w:rPr>
                      <w:rFonts w:hint="eastAsia" w:ascii="Times New Roman" w:hAnsi="Times New Roman" w:cs="Times New Roman"/>
                      <w:snapToGrid w:val="0"/>
                      <w:color w:val="000000" w:themeColor="text1"/>
                      <w:sz w:val="21"/>
                      <w:szCs w:val="21"/>
                      <w:lang w:val="en-US" w:eastAsia="zh-CN"/>
                    </w:rPr>
                    <w:t>50</w:t>
                  </w:r>
                </w:p>
              </w:tc>
            </w:tr>
          </w:tbl>
          <w:p w14:paraId="55CA164E">
            <w:pPr>
              <w:spacing w:line="360" w:lineRule="auto"/>
              <w:ind w:firstLine="482" w:firstLineChars="200"/>
              <w:rPr>
                <w:rFonts w:ascii="Times New Roman" w:hAnsi="Times New Roman"/>
                <w:b/>
                <w:color w:val="000000" w:themeColor="text1"/>
                <w:sz w:val="24"/>
                <w:szCs w:val="24"/>
              </w:rPr>
            </w:pPr>
            <w:r>
              <w:rPr>
                <w:rFonts w:ascii="Times New Roman" w:hAnsi="Times New Roman"/>
                <w:b/>
                <w:color w:val="000000" w:themeColor="text1"/>
                <w:sz w:val="24"/>
                <w:szCs w:val="24"/>
              </w:rPr>
              <w:t xml:space="preserve">3.4 </w:t>
            </w:r>
            <w:r>
              <w:rPr>
                <w:rFonts w:hint="eastAsia" w:ascii="Times New Roman" w:hAnsi="Times New Roman"/>
                <w:b/>
                <w:color w:val="000000" w:themeColor="text1"/>
                <w:sz w:val="24"/>
                <w:szCs w:val="24"/>
              </w:rPr>
              <w:t>评价结果</w:t>
            </w:r>
          </w:p>
          <w:p w14:paraId="7BC8BCDA">
            <w:pPr>
              <w:topLinePunct/>
              <w:spacing w:line="360" w:lineRule="auto"/>
              <w:ind w:firstLine="480"/>
              <w:rPr>
                <w:color w:val="000000" w:themeColor="text1"/>
              </w:rPr>
            </w:pPr>
            <w:r>
              <w:rPr>
                <w:rFonts w:hint="eastAsia" w:ascii="Times New Roman" w:hAnsi="Times New Roman"/>
                <w:snapToGrid w:val="0"/>
                <w:color w:val="000000" w:themeColor="text1"/>
                <w:sz w:val="24"/>
                <w:szCs w:val="24"/>
              </w:rPr>
              <w:t>从以上的监测结果可以看出，项目区各监测点昼夜间噪声值均达到了《声环境质量标准》（</w:t>
            </w:r>
            <w:r>
              <w:rPr>
                <w:rFonts w:ascii="Times New Roman" w:hAnsi="Times New Roman"/>
                <w:snapToGrid w:val="0"/>
                <w:color w:val="000000" w:themeColor="text1"/>
                <w:sz w:val="24"/>
                <w:szCs w:val="24"/>
              </w:rPr>
              <w:t>GB3096-2008</w:t>
            </w:r>
            <w:r>
              <w:rPr>
                <w:rFonts w:hint="eastAsia" w:ascii="Times New Roman" w:hAnsi="Times New Roman"/>
                <w:snapToGrid w:val="0"/>
                <w:color w:val="000000" w:themeColor="text1"/>
                <w:sz w:val="24"/>
                <w:szCs w:val="24"/>
              </w:rPr>
              <w:t>）中的</w:t>
            </w:r>
            <w:r>
              <w:rPr>
                <w:rFonts w:hint="eastAsia" w:ascii="Times New Roman" w:hAnsi="Times New Roman"/>
                <w:snapToGrid w:val="0"/>
                <w:color w:val="000000" w:themeColor="text1"/>
                <w:sz w:val="24"/>
                <w:szCs w:val="24"/>
                <w:lang w:val="en-US" w:eastAsia="zh-CN"/>
              </w:rPr>
              <w:t>2</w:t>
            </w:r>
            <w:r>
              <w:rPr>
                <w:rFonts w:hint="eastAsia" w:ascii="Times New Roman" w:hAnsi="Times New Roman"/>
                <w:snapToGrid w:val="0"/>
                <w:color w:val="000000" w:themeColor="text1"/>
                <w:sz w:val="24"/>
                <w:szCs w:val="24"/>
              </w:rPr>
              <w:t>类噪声标准的要求，因此评价区域的声环境质量较好</w:t>
            </w:r>
            <w:r>
              <w:rPr>
                <w:rFonts w:hint="eastAsia" w:ascii="Times New Roman" w:hAnsi="Times New Roman"/>
                <w:color w:val="000000" w:themeColor="text1"/>
                <w:sz w:val="24"/>
                <w:szCs w:val="24"/>
              </w:rPr>
              <w:t>。</w:t>
            </w:r>
          </w:p>
          <w:p w14:paraId="14211FCB">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4</w:t>
            </w:r>
            <w:r>
              <w:rPr>
                <w:rFonts w:hint="eastAsia" w:ascii="Times New Roman" w:hAnsi="Times New Roman"/>
                <w:b/>
                <w:bCs/>
                <w:color w:val="000000" w:themeColor="text1"/>
                <w:sz w:val="24"/>
                <w:szCs w:val="24"/>
              </w:rPr>
              <w:t>、生态环境质量现状调查与评价</w:t>
            </w:r>
          </w:p>
          <w:p w14:paraId="4F7DD2AF">
            <w:pPr>
              <w:autoSpaceDE w:val="0"/>
              <w:autoSpaceDN w:val="0"/>
              <w:adjustRightInd w:val="0"/>
              <w:snapToGrid w:val="0"/>
              <w:spacing w:line="360" w:lineRule="auto"/>
              <w:ind w:firstLine="480" w:firstLineChars="200"/>
              <w:rPr>
                <w:rFonts w:hint="eastAsia" w:eastAsia="宋体"/>
                <w:color w:val="000000" w:themeColor="text1"/>
                <w:sz w:val="24"/>
                <w:lang w:val="en-US" w:eastAsia="zh-CN"/>
              </w:rPr>
            </w:pPr>
            <w:r>
              <w:rPr>
                <w:rFonts w:hint="eastAsia"/>
                <w:color w:val="000000" w:themeColor="text1"/>
                <w:sz w:val="24"/>
                <w:lang w:val="en-US" w:eastAsia="zh-CN"/>
              </w:rPr>
              <w:t>本项目区位于</w:t>
            </w:r>
            <w:r>
              <w:rPr>
                <w:rFonts w:hint="default" w:ascii="Times New Roman" w:hAnsi="Times New Roman" w:eastAsia="宋体" w:cs="Times New Roman"/>
                <w:color w:val="000000" w:themeColor="text1"/>
                <w:lang w:eastAsia="zh-CN"/>
              </w:rPr>
              <w:t>昌吉高新</w:t>
            </w:r>
            <w:r>
              <w:rPr>
                <w:rFonts w:hint="eastAsia" w:ascii="Times New Roman" w:hAnsi="Times New Roman" w:cs="Times New Roman"/>
                <w:color w:val="000000" w:themeColor="text1"/>
                <w:lang w:val="en-US" w:eastAsia="zh-CN"/>
              </w:rPr>
              <w:t>技术</w:t>
            </w:r>
            <w:r>
              <w:rPr>
                <w:rFonts w:hint="default" w:ascii="Times New Roman" w:hAnsi="Times New Roman" w:eastAsia="宋体" w:cs="Times New Roman"/>
                <w:color w:val="000000" w:themeColor="text1"/>
                <w:lang w:eastAsia="zh-CN"/>
              </w:rPr>
              <w:t>产业开发区北环东路</w:t>
            </w:r>
            <w:r>
              <w:rPr>
                <w:rFonts w:hint="default" w:ascii="Times New Roman" w:hAnsi="Times New Roman" w:eastAsia="宋体" w:cs="Times New Roman"/>
                <w:color w:val="000000" w:themeColor="text1"/>
                <w:lang w:val="en-US" w:eastAsia="zh-CN"/>
              </w:rPr>
              <w:t>10号</w:t>
            </w:r>
            <w:r>
              <w:rPr>
                <w:rFonts w:hint="eastAsia"/>
                <w:color w:val="000000" w:themeColor="text1"/>
                <w:sz w:val="24"/>
                <w:lang w:val="en-US" w:eastAsia="zh-CN"/>
              </w:rPr>
              <w:t>，无国家及自治区保护动、植物，项目区受到人为的开发和利用，人工种植的绿化带分布于道路两侧和厂区前后，绿化带为常见的乡土植物。项目区野生动物为常见的伴人生小型哺乳类动物，如老鼠等。生态环境由于受到加气站开发利用的影响已演替为人为的生态环境。</w:t>
            </w:r>
          </w:p>
          <w:p w14:paraId="7FA8E5EB">
            <w:pPr>
              <w:spacing w:line="360" w:lineRule="auto"/>
              <w:ind w:firstLine="480" w:firstLineChars="200"/>
              <w:rPr>
                <w:rFonts w:ascii="Times New Roman" w:hAnsi="Times New Roman"/>
                <w:color w:val="000000" w:themeColor="text1"/>
                <w:sz w:val="24"/>
                <w:szCs w:val="24"/>
              </w:rPr>
            </w:pPr>
          </w:p>
          <w:p w14:paraId="7039CCC8">
            <w:pPr>
              <w:spacing w:line="360" w:lineRule="auto"/>
              <w:ind w:firstLine="480" w:firstLineChars="200"/>
              <w:rPr>
                <w:rFonts w:ascii="Times New Roman" w:hAnsi="Times New Roman"/>
                <w:color w:val="000000" w:themeColor="text1"/>
                <w:sz w:val="24"/>
                <w:szCs w:val="24"/>
              </w:rPr>
            </w:pPr>
          </w:p>
          <w:p w14:paraId="4ECE2AD1">
            <w:pPr>
              <w:spacing w:line="360" w:lineRule="auto"/>
              <w:ind w:firstLine="480" w:firstLineChars="200"/>
              <w:rPr>
                <w:rFonts w:ascii="Times New Roman" w:hAnsi="Times New Roman"/>
                <w:color w:val="000000" w:themeColor="text1"/>
                <w:sz w:val="24"/>
                <w:szCs w:val="24"/>
              </w:rPr>
            </w:pPr>
          </w:p>
          <w:p w14:paraId="36013E53">
            <w:pPr>
              <w:spacing w:line="360" w:lineRule="auto"/>
              <w:ind w:firstLine="480" w:firstLineChars="200"/>
              <w:rPr>
                <w:rFonts w:ascii="Times New Roman" w:hAnsi="Times New Roman"/>
                <w:color w:val="000000" w:themeColor="text1"/>
                <w:sz w:val="24"/>
                <w:szCs w:val="24"/>
              </w:rPr>
            </w:pPr>
          </w:p>
          <w:p w14:paraId="068C3442">
            <w:pPr>
              <w:spacing w:line="360" w:lineRule="auto"/>
              <w:ind w:firstLine="480" w:firstLineChars="200"/>
              <w:rPr>
                <w:rFonts w:ascii="Times New Roman" w:hAnsi="Times New Roman"/>
                <w:color w:val="000000" w:themeColor="text1"/>
                <w:sz w:val="24"/>
                <w:szCs w:val="24"/>
              </w:rPr>
            </w:pPr>
          </w:p>
          <w:p w14:paraId="4114EBFD">
            <w:pPr>
              <w:spacing w:line="360" w:lineRule="auto"/>
              <w:ind w:firstLine="480" w:firstLineChars="200"/>
              <w:rPr>
                <w:rFonts w:ascii="Times New Roman" w:hAnsi="Times New Roman"/>
                <w:color w:val="000000" w:themeColor="text1"/>
                <w:sz w:val="24"/>
                <w:szCs w:val="24"/>
              </w:rPr>
            </w:pPr>
          </w:p>
          <w:p w14:paraId="568E28CF">
            <w:pPr>
              <w:spacing w:line="360" w:lineRule="auto"/>
              <w:ind w:firstLine="480" w:firstLineChars="200"/>
              <w:rPr>
                <w:rFonts w:ascii="Times New Roman" w:hAnsi="Times New Roman"/>
                <w:color w:val="000000" w:themeColor="text1"/>
                <w:sz w:val="24"/>
                <w:szCs w:val="24"/>
              </w:rPr>
            </w:pPr>
          </w:p>
          <w:p w14:paraId="40968EA3">
            <w:pPr>
              <w:spacing w:line="360" w:lineRule="auto"/>
              <w:ind w:firstLine="480" w:firstLineChars="200"/>
              <w:rPr>
                <w:rFonts w:ascii="Times New Roman" w:hAnsi="Times New Roman"/>
                <w:color w:val="000000" w:themeColor="text1"/>
                <w:sz w:val="24"/>
                <w:szCs w:val="24"/>
              </w:rPr>
            </w:pPr>
          </w:p>
          <w:p w14:paraId="1235B58F">
            <w:pPr>
              <w:spacing w:line="360" w:lineRule="auto"/>
              <w:ind w:firstLine="480" w:firstLineChars="200"/>
              <w:rPr>
                <w:rFonts w:ascii="Times New Roman" w:hAnsi="Times New Roman"/>
                <w:color w:val="000000" w:themeColor="text1"/>
                <w:sz w:val="24"/>
                <w:szCs w:val="24"/>
              </w:rPr>
            </w:pPr>
          </w:p>
          <w:p w14:paraId="184F92BD">
            <w:pPr>
              <w:rPr>
                <w:b/>
                <w:color w:val="000000" w:themeColor="text1"/>
                <w:sz w:val="28"/>
                <w:szCs w:val="28"/>
              </w:rPr>
            </w:pPr>
            <w:r>
              <w:rPr>
                <w:rFonts w:hint="eastAsia"/>
                <w:b/>
                <w:color w:val="000000" w:themeColor="text1"/>
                <w:sz w:val="28"/>
                <w:szCs w:val="28"/>
              </w:rPr>
              <w:t>主要环境保护目标</w:t>
            </w:r>
          </w:p>
          <w:p w14:paraId="62A96094">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本项目位于</w:t>
            </w:r>
            <w:r>
              <w:rPr>
                <w:rFonts w:hint="default" w:ascii="Times New Roman" w:hAnsi="Times New Roman" w:eastAsia="宋体" w:cs="Times New Roman"/>
                <w:color w:val="000000" w:themeColor="text1"/>
                <w:lang w:eastAsia="zh-CN"/>
              </w:rPr>
              <w:t>昌吉高新</w:t>
            </w:r>
            <w:r>
              <w:rPr>
                <w:rFonts w:hint="eastAsia" w:ascii="Times New Roman" w:hAnsi="Times New Roman" w:cs="Times New Roman"/>
                <w:color w:val="000000" w:themeColor="text1"/>
                <w:lang w:val="en-US" w:eastAsia="zh-CN"/>
              </w:rPr>
              <w:t>技术</w:t>
            </w:r>
            <w:r>
              <w:rPr>
                <w:rFonts w:hint="default" w:ascii="Times New Roman" w:hAnsi="Times New Roman" w:eastAsia="宋体" w:cs="Times New Roman"/>
                <w:color w:val="000000" w:themeColor="text1"/>
                <w:lang w:eastAsia="zh-CN"/>
              </w:rPr>
              <w:t>产业开发区北环东路</w:t>
            </w:r>
            <w:r>
              <w:rPr>
                <w:rFonts w:hint="default" w:ascii="Times New Roman" w:hAnsi="Times New Roman" w:eastAsia="宋体" w:cs="Times New Roman"/>
                <w:color w:val="000000" w:themeColor="text1"/>
                <w:lang w:val="en-US" w:eastAsia="zh-CN"/>
              </w:rPr>
              <w:t>10号</w:t>
            </w:r>
            <w:r>
              <w:rPr>
                <w:rFonts w:hint="default" w:ascii="Times New Roman" w:hAnsi="Times New Roman" w:eastAsia="宋体" w:cs="Times New Roman"/>
                <w:color w:val="000000" w:themeColor="text1"/>
                <w:sz w:val="24"/>
                <w:szCs w:val="24"/>
              </w:rPr>
              <w:t>，项目评价范围内无风景名胜、文物古迹、自然保护区等环境敏感目标分布。</w:t>
            </w:r>
          </w:p>
          <w:p w14:paraId="2B8A4534">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根据本项目的生产工艺，排污特征以及项目区的环境功能区划，确定本项目的环境保护目标为：</w:t>
            </w:r>
          </w:p>
          <w:p w14:paraId="41F8A590">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（1）大气环境：按《环境空气质量标准》（GB3095-2012）中的二级标准保护。</w:t>
            </w:r>
          </w:p>
          <w:p w14:paraId="651FECA0">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（2）地下水：按《地下水质量标准》（GB/T14848-</w:t>
            </w:r>
            <w:r>
              <w:rPr>
                <w:rFonts w:hint="eastAsia" w:ascii="Times New Roman" w:hAnsi="Times New Roman" w:cs="Times New Roman"/>
                <w:color w:val="000000" w:themeColor="text1"/>
                <w:sz w:val="24"/>
                <w:szCs w:val="24"/>
                <w:lang w:val="en-US" w:eastAsia="zh-CN"/>
              </w:rPr>
              <w:t>2017</w:t>
            </w:r>
            <w:r>
              <w:rPr>
                <w:rFonts w:hint="default" w:ascii="Times New Roman" w:hAnsi="Times New Roman" w:eastAsia="宋体" w:cs="Times New Roman"/>
                <w:color w:val="000000" w:themeColor="text1"/>
                <w:sz w:val="24"/>
                <w:szCs w:val="24"/>
              </w:rPr>
              <w:t>）中的III类标准保护。</w:t>
            </w:r>
          </w:p>
          <w:p w14:paraId="229C8804">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w:t>
            </w:r>
            <w:r>
              <w:rPr>
                <w:rFonts w:hint="eastAsia" w:ascii="Times New Roman" w:hAnsi="Times New Roman" w:cs="Times New Roman"/>
                <w:color w:val="000000" w:themeColor="text1"/>
                <w:sz w:val="24"/>
                <w:szCs w:val="24"/>
                <w:lang w:val="en-US" w:eastAsia="zh-CN"/>
              </w:rPr>
              <w:t>3</w:t>
            </w:r>
            <w:r>
              <w:rPr>
                <w:rFonts w:hint="default" w:ascii="Times New Roman" w:hAnsi="Times New Roman" w:eastAsia="宋体" w:cs="Times New Roman"/>
                <w:color w:val="000000" w:themeColor="text1"/>
                <w:sz w:val="24"/>
                <w:szCs w:val="24"/>
              </w:rPr>
              <w:t>）声环境：按《声环境质量标准》（GB3096-2008）中的</w:t>
            </w:r>
            <w:r>
              <w:rPr>
                <w:rFonts w:hint="eastAsia" w:ascii="Times New Roman" w:hAnsi="Times New Roman" w:cs="Times New Roman"/>
                <w:color w:val="000000" w:themeColor="text1"/>
                <w:sz w:val="24"/>
                <w:szCs w:val="24"/>
                <w:lang w:val="en-US" w:eastAsia="zh-CN"/>
              </w:rPr>
              <w:t>2</w:t>
            </w:r>
            <w:r>
              <w:rPr>
                <w:rFonts w:hint="default" w:ascii="Times New Roman" w:hAnsi="Times New Roman" w:eastAsia="宋体" w:cs="Times New Roman"/>
                <w:color w:val="000000" w:themeColor="text1"/>
                <w:sz w:val="24"/>
                <w:szCs w:val="24"/>
              </w:rPr>
              <w:t>类标准保护。</w:t>
            </w:r>
          </w:p>
          <w:p w14:paraId="64CCE48A">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本项目的污染物排放控制目标为：</w:t>
            </w:r>
          </w:p>
          <w:p w14:paraId="45F81BDB">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（1）大气环境：</w:t>
            </w:r>
            <w:r>
              <w:rPr>
                <w:rFonts w:hint="default" w:ascii="Times New Roman" w:hAnsi="Times New Roman" w:eastAsia="宋体" w:cs="Times New Roman"/>
                <w:color w:val="000000" w:themeColor="text1"/>
                <w:sz w:val="24"/>
              </w:rPr>
              <w:t>保障项目运营期间所在区域环境空气质量，不因本项目实施而降低空气质量级别，使该区域环境空气质量仍能达到</w:t>
            </w:r>
            <w:r>
              <w:rPr>
                <w:rFonts w:hint="default" w:ascii="Times New Roman" w:hAnsi="Times New Roman" w:eastAsia="宋体" w:cs="Times New Roman"/>
                <w:color w:val="000000" w:themeColor="text1"/>
                <w:kern w:val="0"/>
                <w:sz w:val="24"/>
                <w:szCs w:val="24"/>
                <w:lang w:val="zh-CN"/>
              </w:rPr>
              <w:t>《环境空气质量标准》（</w:t>
            </w:r>
            <w:r>
              <w:rPr>
                <w:rFonts w:hint="default" w:ascii="Times New Roman" w:hAnsi="Times New Roman" w:eastAsia="宋体" w:cs="Times New Roman"/>
                <w:color w:val="000000" w:themeColor="text1"/>
                <w:kern w:val="0"/>
                <w:sz w:val="24"/>
                <w:szCs w:val="24"/>
              </w:rPr>
              <w:t>3095-2012</w:t>
            </w:r>
            <w:r>
              <w:rPr>
                <w:rFonts w:hint="default" w:ascii="Times New Roman" w:hAnsi="Times New Roman" w:eastAsia="宋体" w:cs="Times New Roman"/>
                <w:color w:val="000000" w:themeColor="text1"/>
                <w:kern w:val="0"/>
                <w:sz w:val="24"/>
                <w:szCs w:val="24"/>
                <w:lang w:val="zh-CN"/>
              </w:rPr>
              <w:t>）二级标准</w:t>
            </w:r>
            <w:r>
              <w:rPr>
                <w:rFonts w:hint="default" w:ascii="Times New Roman" w:hAnsi="Times New Roman" w:eastAsia="宋体" w:cs="Times New Roman"/>
                <w:color w:val="000000" w:themeColor="text1"/>
                <w:sz w:val="24"/>
              </w:rPr>
              <w:t>。</w:t>
            </w:r>
          </w:p>
          <w:p w14:paraId="20CAC7CB">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（2）水环境：保护区域的地下水环境</w:t>
            </w:r>
            <w:r>
              <w:rPr>
                <w:rFonts w:hint="eastAsia" w:ascii="Times New Roman" w:hAnsi="Times New Roman" w:cs="Times New Roman"/>
                <w:color w:val="000000" w:themeColor="text1"/>
                <w:sz w:val="24"/>
                <w:szCs w:val="24"/>
                <w:lang w:eastAsia="zh-CN"/>
              </w:rPr>
              <w:t>，</w:t>
            </w:r>
            <w:r>
              <w:rPr>
                <w:rFonts w:hint="default" w:ascii="Times New Roman" w:hAnsi="Times New Roman" w:eastAsia="宋体" w:cs="Times New Roman"/>
                <w:color w:val="000000" w:themeColor="text1"/>
                <w:sz w:val="24"/>
                <w:szCs w:val="24"/>
              </w:rPr>
              <w:t>防止本项目的实施而</w:t>
            </w:r>
            <w:r>
              <w:rPr>
                <w:rFonts w:hint="default" w:ascii="Times New Roman" w:hAnsi="Times New Roman" w:eastAsia="宋体" w:cs="Times New Roman"/>
                <w:color w:val="000000" w:themeColor="text1"/>
                <w:sz w:val="24"/>
              </w:rPr>
              <w:t>污染项目所在区域水环境。</w:t>
            </w:r>
          </w:p>
          <w:p w14:paraId="68D7AAA2">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（3）声环境：确保本项目厂界噪声达到《工业企业厂界环境噪声排放标准》（GB12348-2008）中</w:t>
            </w:r>
            <w:r>
              <w:rPr>
                <w:rFonts w:hint="eastAsia" w:ascii="Times New Roman" w:hAnsi="Times New Roman" w:cs="Times New Roman"/>
                <w:color w:val="000000" w:themeColor="text1"/>
                <w:sz w:val="24"/>
                <w:szCs w:val="24"/>
                <w:lang w:val="en-US" w:eastAsia="zh-CN"/>
              </w:rPr>
              <w:t>2</w:t>
            </w:r>
            <w:r>
              <w:rPr>
                <w:rFonts w:hint="default" w:ascii="Times New Roman" w:hAnsi="Times New Roman" w:eastAsia="宋体" w:cs="Times New Roman"/>
                <w:color w:val="000000" w:themeColor="text1"/>
                <w:sz w:val="24"/>
                <w:szCs w:val="24"/>
              </w:rPr>
              <w:t>级标准，避免对所在区域声环境造成不利影响。</w:t>
            </w:r>
          </w:p>
          <w:p w14:paraId="39B5A3B9">
            <w:pPr>
              <w:spacing w:line="360" w:lineRule="auto"/>
              <w:ind w:firstLine="480" w:firstLineChars="200"/>
              <w:rPr>
                <w:rFonts w:eastAsiaTheme="minorEastAsia"/>
                <w:b/>
                <w:color w:val="000000" w:themeColor="text1"/>
                <w:sz w:val="32"/>
              </w:rPr>
            </w:pPr>
            <w:r>
              <w:rPr>
                <w:rFonts w:hint="default" w:ascii="Times New Roman" w:hAnsi="Times New Roman" w:eastAsia="宋体" w:cs="Times New Roman"/>
                <w:color w:val="000000" w:themeColor="text1"/>
                <w:sz w:val="24"/>
                <w:szCs w:val="24"/>
              </w:rPr>
              <w:t>（4）</w:t>
            </w:r>
            <w:r>
              <w:rPr>
                <w:rFonts w:hint="default" w:ascii="Times New Roman" w:hAnsi="Times New Roman" w:eastAsia="宋体" w:cs="Times New Roman"/>
                <w:bCs/>
                <w:color w:val="000000" w:themeColor="text1"/>
                <w:sz w:val="24"/>
              </w:rPr>
              <w:t>固体废物：</w:t>
            </w:r>
            <w:r>
              <w:rPr>
                <w:rFonts w:hint="default" w:ascii="Times New Roman" w:hAnsi="Times New Roman" w:eastAsia="宋体" w:cs="Times New Roman"/>
                <w:color w:val="000000" w:themeColor="text1"/>
                <w:sz w:val="24"/>
                <w:szCs w:val="24"/>
              </w:rPr>
              <w:t>妥善处理本项目产生的固废和生活垃圾等固体弃物，一般固废处置满足</w:t>
            </w:r>
            <w:bookmarkStart w:id="9" w:name="OLE_LINK10"/>
            <w:r>
              <w:rPr>
                <w:rFonts w:hint="default" w:ascii="Times New Roman" w:hAnsi="Times New Roman" w:eastAsia="宋体" w:cs="Times New Roman"/>
                <w:color w:val="000000" w:themeColor="text1"/>
                <w:sz w:val="24"/>
                <w:szCs w:val="24"/>
              </w:rPr>
              <w:t>《一般工业固体废物贮存、处置场污染控制标准》（GB18599-2001）</w:t>
            </w:r>
            <w:bookmarkEnd w:id="9"/>
            <w:r>
              <w:rPr>
                <w:rFonts w:hint="eastAsia" w:ascii="Times New Roman" w:hAnsi="Times New Roman" w:cs="Times New Roman"/>
                <w:color w:val="000000" w:themeColor="text1"/>
                <w:sz w:val="24"/>
                <w:szCs w:val="24"/>
                <w:lang w:eastAsia="zh-CN"/>
              </w:rPr>
              <w:t>及其修改单</w:t>
            </w:r>
            <w:r>
              <w:rPr>
                <w:rFonts w:hint="default" w:ascii="Times New Roman" w:hAnsi="Times New Roman" w:eastAsia="宋体" w:cs="Times New Roman"/>
                <w:color w:val="000000" w:themeColor="text1"/>
                <w:sz w:val="24"/>
                <w:szCs w:val="24"/>
              </w:rPr>
              <w:t>，避免对所在区域环境造成影响</w:t>
            </w: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危险废物满足</w:t>
            </w:r>
            <w:r>
              <w:rPr>
                <w:rFonts w:hint="default" w:ascii="Times New Roman" w:hAnsi="Times New Roman" w:cs="Times New Roman"/>
                <w:bCs/>
                <w:color w:val="000000" w:themeColor="text1"/>
                <w:kern w:val="0"/>
                <w:sz w:val="24"/>
                <w:szCs w:val="24"/>
              </w:rPr>
              <w:t>危险废物执行《危险废物贮存污染控制标准》（GB18597-2001）</w:t>
            </w:r>
            <w:r>
              <w:rPr>
                <w:rFonts w:hint="default" w:ascii="Times New Roman" w:hAnsi="Times New Roman" w:cs="Times New Roman"/>
                <w:bCs/>
                <w:color w:val="000000" w:themeColor="text1"/>
                <w:kern w:val="0"/>
                <w:sz w:val="24"/>
                <w:szCs w:val="24"/>
                <w:lang w:eastAsia="zh-CN"/>
              </w:rPr>
              <w:t>及其修改单</w:t>
            </w:r>
            <w:r>
              <w:rPr>
                <w:rFonts w:hint="default" w:ascii="Times New Roman" w:hAnsi="Times New Roman" w:cs="Times New Roman"/>
                <w:bCs/>
                <w:color w:val="000000" w:themeColor="text1"/>
                <w:kern w:val="0"/>
                <w:sz w:val="24"/>
                <w:szCs w:val="24"/>
              </w:rPr>
              <w:t>。</w:t>
            </w:r>
          </w:p>
          <w:p w14:paraId="5F8543D3">
            <w:pPr>
              <w:spacing w:line="360" w:lineRule="auto"/>
              <w:ind w:firstLine="480" w:firstLineChars="200"/>
              <w:rPr>
                <w:rFonts w:ascii="Times New Roman" w:hAnsi="Times New Roman"/>
                <w:color w:val="000000" w:themeColor="text1"/>
                <w:sz w:val="24"/>
                <w:szCs w:val="24"/>
              </w:rPr>
            </w:pPr>
            <w:r>
              <w:rPr>
                <w:rFonts w:ascii="Times New Roman" w:hAnsi="Times New Roman"/>
                <w:color w:val="000000" w:themeColor="text1"/>
                <w:sz w:val="24"/>
                <w:szCs w:val="24"/>
              </w:rPr>
              <w:t>本项目周边主要环境保护目标见表</w:t>
            </w:r>
            <w:r>
              <w:rPr>
                <w:rFonts w:hint="eastAsia" w:ascii="Times New Roman" w:hAnsi="Times New Roman"/>
                <w:color w:val="000000" w:themeColor="text1"/>
                <w:sz w:val="24"/>
                <w:szCs w:val="24"/>
                <w:lang w:val="en-US" w:eastAsia="zh-CN"/>
              </w:rPr>
              <w:t>22</w:t>
            </w:r>
            <w:r>
              <w:rPr>
                <w:rFonts w:ascii="Times New Roman" w:hAnsi="Times New Roman"/>
                <w:color w:val="000000" w:themeColor="text1"/>
                <w:sz w:val="24"/>
                <w:szCs w:val="24"/>
              </w:rPr>
              <w:t>，项目周边环境示意图见</w:t>
            </w:r>
            <w:r>
              <w:rPr>
                <w:rFonts w:hint="eastAsia" w:ascii="Times New Roman" w:hAnsi="Times New Roman"/>
                <w:color w:val="000000" w:themeColor="text1"/>
                <w:sz w:val="24"/>
                <w:szCs w:val="24"/>
              </w:rPr>
              <w:t>附图</w:t>
            </w:r>
            <w:r>
              <w:rPr>
                <w:rFonts w:hint="eastAsia" w:ascii="Times New Roman" w:hAnsi="Times New Roman"/>
                <w:color w:val="000000" w:themeColor="text1"/>
                <w:sz w:val="24"/>
                <w:szCs w:val="24"/>
                <w:lang w:val="en-US" w:eastAsia="zh-CN"/>
              </w:rPr>
              <w:t>2</w:t>
            </w:r>
            <w:r>
              <w:rPr>
                <w:rFonts w:ascii="Times New Roman" w:hAnsi="Times New Roman"/>
                <w:color w:val="000000" w:themeColor="text1"/>
                <w:sz w:val="24"/>
                <w:szCs w:val="24"/>
              </w:rPr>
              <w:t>。</w:t>
            </w:r>
          </w:p>
          <w:p w14:paraId="2CA08365">
            <w:pPr>
              <w:spacing w:line="240" w:lineRule="auto"/>
              <w:ind w:firstLine="422" w:firstLineChars="200"/>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表22                周边主要环境保护目标一览表</w:t>
            </w:r>
          </w:p>
          <w:tbl>
            <w:tblPr>
              <w:tblStyle w:val="19"/>
              <w:tblW w:w="827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945"/>
              <w:gridCol w:w="2250"/>
              <w:gridCol w:w="1077"/>
              <w:gridCol w:w="2044"/>
            </w:tblGrid>
            <w:tr w14:paraId="405450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62" w:type="dxa"/>
                  <w:tcBorders>
                    <w:tl2br w:val="nil"/>
                    <w:tr2bl w:val="nil"/>
                  </w:tcBorders>
                  <w:vAlign w:val="center"/>
                </w:tcPr>
                <w:p w14:paraId="33EA5752">
                  <w:pPr>
                    <w:snapToGrid w:val="0"/>
                    <w:spacing w:line="240" w:lineRule="auto"/>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环境</w:t>
                  </w:r>
                </w:p>
                <w:p w14:paraId="3675CCE8">
                  <w:pPr>
                    <w:snapToGrid w:val="0"/>
                    <w:spacing w:line="240" w:lineRule="auto"/>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要素</w:t>
                  </w:r>
                </w:p>
              </w:tc>
              <w:tc>
                <w:tcPr>
                  <w:tcW w:w="1945" w:type="dxa"/>
                  <w:tcBorders>
                    <w:tl2br w:val="nil"/>
                    <w:tr2bl w:val="nil"/>
                  </w:tcBorders>
                  <w:vAlign w:val="center"/>
                </w:tcPr>
                <w:p w14:paraId="57933390">
                  <w:pPr>
                    <w:snapToGrid w:val="0"/>
                    <w:spacing w:line="240" w:lineRule="auto"/>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保护对象</w:t>
                  </w:r>
                </w:p>
              </w:tc>
              <w:tc>
                <w:tcPr>
                  <w:tcW w:w="2250" w:type="dxa"/>
                  <w:tcBorders>
                    <w:tl2br w:val="nil"/>
                    <w:tr2bl w:val="nil"/>
                  </w:tcBorders>
                  <w:vAlign w:val="center"/>
                </w:tcPr>
                <w:p w14:paraId="39AED020">
                  <w:pPr>
                    <w:tabs>
                      <w:tab w:val="left" w:pos="3240"/>
                    </w:tabs>
                    <w:snapToGrid w:val="0"/>
                    <w:spacing w:line="240" w:lineRule="auto"/>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相对位置及建筑间最小间距</w:t>
                  </w:r>
                </w:p>
              </w:tc>
              <w:tc>
                <w:tcPr>
                  <w:tcW w:w="1077" w:type="dxa"/>
                  <w:tcBorders>
                    <w:tl2br w:val="nil"/>
                    <w:tr2bl w:val="nil"/>
                  </w:tcBorders>
                  <w:vAlign w:val="center"/>
                </w:tcPr>
                <w:p w14:paraId="35F9ABE1">
                  <w:pPr>
                    <w:snapToGrid w:val="0"/>
                    <w:spacing w:line="240" w:lineRule="auto"/>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保护内容</w:t>
                  </w:r>
                </w:p>
              </w:tc>
              <w:tc>
                <w:tcPr>
                  <w:tcW w:w="2044" w:type="dxa"/>
                  <w:tcBorders>
                    <w:tl2br w:val="nil"/>
                    <w:tr2bl w:val="nil"/>
                  </w:tcBorders>
                  <w:vAlign w:val="center"/>
                </w:tcPr>
                <w:p w14:paraId="1C496ECD">
                  <w:pPr>
                    <w:snapToGrid w:val="0"/>
                    <w:spacing w:line="240" w:lineRule="auto"/>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保护目标</w:t>
                  </w:r>
                </w:p>
              </w:tc>
            </w:tr>
            <w:tr w14:paraId="311E84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62" w:type="dxa"/>
                  <w:tcBorders>
                    <w:tl2br w:val="nil"/>
                    <w:tr2bl w:val="nil"/>
                  </w:tcBorders>
                  <w:vAlign w:val="center"/>
                </w:tcPr>
                <w:p w14:paraId="08120B86">
                  <w:pPr>
                    <w:snapToGrid w:val="0"/>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环境</w:t>
                  </w:r>
                </w:p>
                <w:p w14:paraId="5A6BE3CF">
                  <w:pPr>
                    <w:snapToGrid w:val="0"/>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空气</w:t>
                  </w:r>
                </w:p>
              </w:tc>
              <w:tc>
                <w:tcPr>
                  <w:tcW w:w="1945" w:type="dxa"/>
                  <w:vMerge w:val="restart"/>
                  <w:tcBorders>
                    <w:tl2br w:val="nil"/>
                    <w:tr2bl w:val="nil"/>
                  </w:tcBorders>
                  <w:vAlign w:val="center"/>
                </w:tcPr>
                <w:p w14:paraId="5778B7E0">
                  <w:pPr>
                    <w:snapToGrid w:val="0"/>
                    <w:spacing w:line="240" w:lineRule="auto"/>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eastAsia="宋体" w:cs="Times New Roman"/>
                      <w:color w:val="000000" w:themeColor="text1"/>
                      <w:sz w:val="21"/>
                      <w:szCs w:val="21"/>
                      <w:lang w:val="en-US" w:eastAsia="zh-CN"/>
                    </w:rPr>
                    <w:t>榆树沟小康村</w:t>
                  </w:r>
                </w:p>
              </w:tc>
              <w:tc>
                <w:tcPr>
                  <w:tcW w:w="2250" w:type="dxa"/>
                  <w:vMerge w:val="restart"/>
                  <w:tcBorders>
                    <w:tl2br w:val="nil"/>
                    <w:tr2bl w:val="nil"/>
                  </w:tcBorders>
                  <w:vAlign w:val="center"/>
                </w:tcPr>
                <w:p w14:paraId="78917210">
                  <w:pPr>
                    <w:tabs>
                      <w:tab w:val="left" w:pos="3240"/>
                    </w:tabs>
                    <w:snapToGrid w:val="0"/>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西</w:t>
                  </w:r>
                  <w:r>
                    <w:rPr>
                      <w:rFonts w:hint="default" w:ascii="Times New Roman" w:hAnsi="Times New Roman" w:eastAsia="宋体" w:cs="Times New Roman"/>
                      <w:color w:val="000000" w:themeColor="text1"/>
                      <w:sz w:val="21"/>
                      <w:szCs w:val="21"/>
                    </w:rPr>
                    <w:t>侧</w:t>
                  </w:r>
                  <w:r>
                    <w:rPr>
                      <w:rFonts w:hint="eastAsia" w:ascii="Times New Roman" w:hAnsi="Times New Roman" w:cs="Times New Roman"/>
                      <w:color w:val="000000" w:themeColor="text1"/>
                      <w:sz w:val="21"/>
                      <w:szCs w:val="21"/>
                      <w:lang w:val="en-US" w:eastAsia="zh-CN"/>
                    </w:rPr>
                    <w:t>120m</w:t>
                  </w:r>
                </w:p>
              </w:tc>
              <w:tc>
                <w:tcPr>
                  <w:tcW w:w="1077" w:type="dxa"/>
                  <w:vMerge w:val="restart"/>
                  <w:tcBorders>
                    <w:tl2br w:val="nil"/>
                    <w:tr2bl w:val="nil"/>
                  </w:tcBorders>
                  <w:vAlign w:val="center"/>
                </w:tcPr>
                <w:p w14:paraId="500BA39B">
                  <w:pPr>
                    <w:snapToGrid w:val="0"/>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人群</w:t>
                  </w:r>
                </w:p>
                <w:p w14:paraId="040D5F6F">
                  <w:pPr>
                    <w:snapToGrid w:val="0"/>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健康</w:t>
                  </w:r>
                </w:p>
              </w:tc>
              <w:tc>
                <w:tcPr>
                  <w:tcW w:w="2044" w:type="dxa"/>
                  <w:tcBorders>
                    <w:tl2br w:val="nil"/>
                    <w:tr2bl w:val="nil"/>
                  </w:tcBorders>
                  <w:vAlign w:val="center"/>
                </w:tcPr>
                <w:p w14:paraId="1536A71E">
                  <w:pPr>
                    <w:snapToGrid w:val="0"/>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《环境空气质量标准》（GB3095-1996）二级</w:t>
                  </w:r>
                </w:p>
              </w:tc>
            </w:tr>
            <w:tr w14:paraId="6296EE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62" w:type="dxa"/>
                  <w:tcBorders>
                    <w:tl2br w:val="nil"/>
                    <w:tr2bl w:val="nil"/>
                  </w:tcBorders>
                  <w:vAlign w:val="center"/>
                </w:tcPr>
                <w:p w14:paraId="27BB044E">
                  <w:pPr>
                    <w:snapToGrid w:val="0"/>
                    <w:spacing w:line="240" w:lineRule="auto"/>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eastAsia="宋体" w:cs="Times New Roman"/>
                      <w:color w:val="000000" w:themeColor="text1"/>
                      <w:sz w:val="21"/>
                      <w:szCs w:val="21"/>
                      <w:lang w:val="en-US" w:eastAsia="zh-CN"/>
                    </w:rPr>
                    <w:t>声环境</w:t>
                  </w:r>
                </w:p>
              </w:tc>
              <w:tc>
                <w:tcPr>
                  <w:tcW w:w="1945" w:type="dxa"/>
                  <w:vMerge w:val="continue"/>
                  <w:tcBorders>
                    <w:tl2br w:val="nil"/>
                    <w:tr2bl w:val="nil"/>
                  </w:tcBorders>
                  <w:vAlign w:val="center"/>
                </w:tcPr>
                <w:p w14:paraId="518FBC7A">
                  <w:pPr>
                    <w:snapToGrid w:val="0"/>
                    <w:spacing w:line="240" w:lineRule="auto"/>
                    <w:jc w:val="center"/>
                    <w:rPr>
                      <w:rFonts w:hint="eastAsia" w:ascii="Times New Roman" w:hAnsi="Times New Roman" w:cs="Times New Roman"/>
                      <w:color w:val="000000" w:themeColor="text1"/>
                      <w:sz w:val="21"/>
                      <w:szCs w:val="21"/>
                      <w:lang w:val="en-US" w:eastAsia="zh-CN"/>
                    </w:rPr>
                  </w:pPr>
                </w:p>
              </w:tc>
              <w:tc>
                <w:tcPr>
                  <w:tcW w:w="2250" w:type="dxa"/>
                  <w:vMerge w:val="continue"/>
                  <w:tcBorders>
                    <w:tl2br w:val="nil"/>
                    <w:tr2bl w:val="nil"/>
                  </w:tcBorders>
                  <w:vAlign w:val="center"/>
                </w:tcPr>
                <w:p w14:paraId="65823DA4">
                  <w:pPr>
                    <w:tabs>
                      <w:tab w:val="left" w:pos="3240"/>
                    </w:tabs>
                    <w:snapToGrid w:val="0"/>
                    <w:spacing w:line="240" w:lineRule="auto"/>
                    <w:jc w:val="center"/>
                    <w:rPr>
                      <w:rFonts w:hint="eastAsia" w:ascii="Times New Roman" w:hAnsi="Times New Roman" w:cs="Times New Roman"/>
                      <w:color w:val="000000" w:themeColor="text1"/>
                      <w:sz w:val="21"/>
                      <w:szCs w:val="21"/>
                      <w:lang w:val="en-US" w:eastAsia="zh-CN"/>
                    </w:rPr>
                  </w:pPr>
                </w:p>
              </w:tc>
              <w:tc>
                <w:tcPr>
                  <w:tcW w:w="1077" w:type="dxa"/>
                  <w:vMerge w:val="continue"/>
                  <w:tcBorders>
                    <w:tl2br w:val="nil"/>
                    <w:tr2bl w:val="nil"/>
                  </w:tcBorders>
                  <w:vAlign w:val="center"/>
                </w:tcPr>
                <w:p w14:paraId="0E3794E3">
                  <w:pPr>
                    <w:snapToGrid w:val="0"/>
                    <w:spacing w:line="240" w:lineRule="auto"/>
                    <w:jc w:val="center"/>
                    <w:rPr>
                      <w:rFonts w:hint="default" w:ascii="Times New Roman" w:hAnsi="Times New Roman" w:eastAsia="宋体" w:cs="Times New Roman"/>
                      <w:color w:val="000000" w:themeColor="text1"/>
                      <w:sz w:val="21"/>
                      <w:szCs w:val="21"/>
                    </w:rPr>
                  </w:pPr>
                </w:p>
              </w:tc>
              <w:tc>
                <w:tcPr>
                  <w:tcW w:w="2044" w:type="dxa"/>
                  <w:tcBorders>
                    <w:tl2br w:val="nil"/>
                    <w:tr2bl w:val="nil"/>
                  </w:tcBorders>
                  <w:vAlign w:val="center"/>
                </w:tcPr>
                <w:p w14:paraId="4532FF3C">
                  <w:pPr>
                    <w:snapToGrid w:val="0"/>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《声环境质量标准》（GB3096-2008）中的</w:t>
                  </w:r>
                  <w:r>
                    <w:rPr>
                      <w:rFonts w:hint="eastAsia" w:ascii="Times New Roman" w:hAnsi="Times New Roman" w:eastAsia="宋体" w:cs="Times New Roman"/>
                      <w:color w:val="000000" w:themeColor="text1"/>
                      <w:sz w:val="21"/>
                      <w:szCs w:val="21"/>
                      <w:lang w:val="en-US" w:eastAsia="zh-CN"/>
                    </w:rPr>
                    <w:t>2</w:t>
                  </w:r>
                  <w:r>
                    <w:rPr>
                      <w:rFonts w:hint="default" w:ascii="Times New Roman" w:hAnsi="Times New Roman" w:eastAsia="宋体" w:cs="Times New Roman"/>
                      <w:color w:val="000000" w:themeColor="text1"/>
                      <w:sz w:val="21"/>
                      <w:szCs w:val="21"/>
                    </w:rPr>
                    <w:t>类标准</w:t>
                  </w:r>
                </w:p>
              </w:tc>
            </w:tr>
          </w:tbl>
          <w:p w14:paraId="153C07C6">
            <w:pPr>
              <w:rPr>
                <w:color w:val="000000" w:themeColor="text1"/>
              </w:rPr>
            </w:pPr>
          </w:p>
        </w:tc>
      </w:tr>
    </w:tbl>
    <w:p w14:paraId="350E30C1">
      <w:pPr>
        <w:adjustRightInd w:val="0"/>
        <w:snapToGrid w:val="0"/>
        <w:jc w:val="left"/>
        <w:outlineLvl w:val="1"/>
        <w:rPr>
          <w:b/>
          <w:color w:val="000000" w:themeColor="text1"/>
          <w:sz w:val="32"/>
        </w:rPr>
      </w:pPr>
      <w:bookmarkStart w:id="10" w:name="_Toc355609311"/>
      <w:r>
        <w:rPr>
          <w:rFonts w:hint="eastAsia"/>
          <w:b/>
          <w:color w:val="000000" w:themeColor="text1"/>
          <w:sz w:val="32"/>
        </w:rPr>
        <w:t>评价适用标准</w:t>
      </w:r>
      <w:bookmarkEnd w:id="10"/>
    </w:p>
    <w:tbl>
      <w:tblPr>
        <w:tblStyle w:val="19"/>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954"/>
        <w:gridCol w:w="7550"/>
      </w:tblGrid>
      <w:tr w14:paraId="59BCF901">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54" w:type="dxa"/>
            <w:tcBorders>
              <w:top w:val="single" w:color="000000" w:sz="12" w:space="0"/>
            </w:tcBorders>
            <w:vAlign w:val="center"/>
          </w:tcPr>
          <w:p w14:paraId="7C96D31E">
            <w:pPr>
              <w:jc w:val="center"/>
              <w:rPr>
                <w:rFonts w:hint="eastAsia" w:ascii="宋体" w:hAnsi="宋体" w:cs="宋体"/>
                <w:color w:val="000000" w:themeColor="text1"/>
                <w:sz w:val="24"/>
                <w:szCs w:val="24"/>
              </w:rPr>
            </w:pPr>
          </w:p>
          <w:p w14:paraId="07F0FB4C">
            <w:pPr>
              <w:jc w:val="center"/>
              <w:rPr>
                <w:rFonts w:hint="eastAsia" w:ascii="宋体" w:hAnsi="宋体" w:cs="宋体"/>
                <w:color w:val="000000" w:themeColor="text1"/>
                <w:sz w:val="24"/>
                <w:szCs w:val="24"/>
              </w:rPr>
            </w:pPr>
            <w:r>
              <w:rPr>
                <w:rFonts w:hint="eastAsia" w:ascii="宋体" w:hAnsi="宋体" w:cs="宋体"/>
                <w:color w:val="000000" w:themeColor="text1"/>
                <w:sz w:val="24"/>
                <w:szCs w:val="24"/>
              </w:rPr>
              <w:t>环</w:t>
            </w:r>
          </w:p>
          <w:p w14:paraId="1C13C239">
            <w:pPr>
              <w:jc w:val="center"/>
              <w:rPr>
                <w:rFonts w:hint="eastAsia" w:ascii="宋体" w:hAnsi="宋体" w:cs="宋体"/>
                <w:color w:val="000000" w:themeColor="text1"/>
                <w:sz w:val="24"/>
                <w:szCs w:val="24"/>
              </w:rPr>
            </w:pPr>
            <w:r>
              <w:rPr>
                <w:rFonts w:hint="eastAsia" w:ascii="宋体" w:hAnsi="宋体" w:cs="宋体"/>
                <w:color w:val="000000" w:themeColor="text1"/>
                <w:sz w:val="24"/>
                <w:szCs w:val="24"/>
              </w:rPr>
              <w:t>境</w:t>
            </w:r>
          </w:p>
          <w:p w14:paraId="0B02A956">
            <w:pPr>
              <w:jc w:val="center"/>
              <w:rPr>
                <w:rFonts w:hint="eastAsia" w:ascii="宋体" w:hAnsi="宋体" w:cs="宋体"/>
                <w:color w:val="000000" w:themeColor="text1"/>
                <w:sz w:val="24"/>
                <w:szCs w:val="24"/>
              </w:rPr>
            </w:pPr>
            <w:r>
              <w:rPr>
                <w:rFonts w:hint="eastAsia" w:ascii="宋体" w:hAnsi="宋体" w:cs="宋体"/>
                <w:color w:val="000000" w:themeColor="text1"/>
                <w:sz w:val="24"/>
                <w:szCs w:val="24"/>
              </w:rPr>
              <w:t>质</w:t>
            </w:r>
          </w:p>
          <w:p w14:paraId="0BF7A89A">
            <w:pPr>
              <w:jc w:val="center"/>
              <w:rPr>
                <w:rFonts w:hint="eastAsia" w:ascii="宋体" w:hAnsi="宋体" w:cs="宋体"/>
                <w:color w:val="000000" w:themeColor="text1"/>
                <w:sz w:val="24"/>
                <w:szCs w:val="24"/>
              </w:rPr>
            </w:pPr>
            <w:r>
              <w:rPr>
                <w:rFonts w:hint="eastAsia" w:ascii="宋体" w:hAnsi="宋体" w:cs="宋体"/>
                <w:color w:val="000000" w:themeColor="text1"/>
                <w:sz w:val="24"/>
                <w:szCs w:val="24"/>
              </w:rPr>
              <w:t>量</w:t>
            </w:r>
          </w:p>
          <w:p w14:paraId="0EEC6C67">
            <w:pPr>
              <w:jc w:val="center"/>
              <w:rPr>
                <w:rFonts w:hint="eastAsia" w:ascii="宋体" w:hAnsi="宋体" w:cs="宋体"/>
                <w:color w:val="000000" w:themeColor="text1"/>
                <w:sz w:val="24"/>
                <w:szCs w:val="24"/>
              </w:rPr>
            </w:pPr>
            <w:r>
              <w:rPr>
                <w:rFonts w:hint="eastAsia" w:ascii="宋体" w:hAnsi="宋体" w:cs="宋体"/>
                <w:color w:val="000000" w:themeColor="text1"/>
                <w:sz w:val="24"/>
                <w:szCs w:val="24"/>
              </w:rPr>
              <w:t>标</w:t>
            </w:r>
          </w:p>
          <w:p w14:paraId="427BD542">
            <w:pPr>
              <w:jc w:val="center"/>
              <w:rPr>
                <w:rFonts w:hint="eastAsia" w:ascii="宋体" w:hAnsi="宋体" w:cs="宋体"/>
                <w:color w:val="000000" w:themeColor="text1"/>
                <w:sz w:val="24"/>
                <w:szCs w:val="24"/>
              </w:rPr>
            </w:pPr>
            <w:r>
              <w:rPr>
                <w:rFonts w:hint="eastAsia" w:ascii="宋体" w:hAnsi="宋体" w:cs="宋体"/>
                <w:color w:val="000000" w:themeColor="text1"/>
                <w:sz w:val="24"/>
                <w:szCs w:val="24"/>
              </w:rPr>
              <w:t>准</w:t>
            </w:r>
          </w:p>
          <w:p w14:paraId="2D41A4DF">
            <w:pPr>
              <w:jc w:val="center"/>
              <w:rPr>
                <w:rFonts w:hint="eastAsia" w:ascii="宋体" w:hAnsi="宋体" w:cs="宋体"/>
                <w:color w:val="000000" w:themeColor="text1"/>
                <w:sz w:val="24"/>
                <w:szCs w:val="24"/>
              </w:rPr>
            </w:pPr>
          </w:p>
        </w:tc>
        <w:tc>
          <w:tcPr>
            <w:tcW w:w="7550" w:type="dxa"/>
            <w:tcBorders>
              <w:top w:val="single" w:color="000000" w:sz="12" w:space="0"/>
            </w:tcBorders>
            <w:vAlign w:val="center"/>
          </w:tcPr>
          <w:p w14:paraId="6BC8C9D8">
            <w:pPr>
              <w:numPr>
                <w:ilvl w:val="0"/>
                <w:numId w:val="0"/>
              </w:numPr>
              <w:spacing w:line="360" w:lineRule="auto"/>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lang w:val="en-US" w:eastAsia="zh-CN"/>
              </w:rPr>
              <w:t>1、大气环境质量标准</w:t>
            </w:r>
          </w:p>
          <w:p w14:paraId="2B2B0EA4">
            <w:pPr>
              <w:keepNext w:val="0"/>
              <w:keepLines w:val="0"/>
              <w:pageBreakBefore w:val="0"/>
              <w:widowControl w:val="0"/>
              <w:tabs>
                <w:tab w:val="center" w:pos="4671"/>
                <w:tab w:val="left" w:pos="6870"/>
              </w:tabs>
              <w:kinsoku/>
              <w:wordWrap/>
              <w:overflowPunct/>
              <w:topLinePunct w:val="0"/>
              <w:autoSpaceDE/>
              <w:autoSpaceDN/>
              <w:bidi w:val="0"/>
              <w:adjustRightInd/>
              <w:snapToGrid w:val="0"/>
              <w:spacing w:line="360" w:lineRule="auto"/>
              <w:ind w:left="0" w:leftChars="0" w:right="0" w:rightChars="0" w:firstLine="480" w:firstLineChars="200"/>
              <w:jc w:val="left"/>
              <w:textAlignment w:val="auto"/>
              <w:outlineLvl w:val="9"/>
              <w:rPr>
                <w:rFonts w:hint="default" w:ascii="Times New Roman" w:hAnsi="Times New Roman" w:cs="Times New Roman"/>
                <w:color w:val="000000" w:themeColor="text1"/>
              </w:rPr>
            </w:pPr>
            <w:r>
              <w:rPr>
                <w:rFonts w:hint="default" w:ascii="Times New Roman" w:hAnsi="Times New Roman" w:eastAsia="宋体" w:cs="Times New Roman"/>
                <w:color w:val="000000" w:themeColor="text1"/>
                <w:sz w:val="24"/>
                <w:szCs w:val="24"/>
                <w:lang w:val="en-US" w:eastAsia="zh-CN"/>
              </w:rPr>
              <w:t>建设项目区域执行</w:t>
            </w:r>
            <w:r>
              <w:rPr>
                <w:rFonts w:hint="default" w:ascii="Times New Roman" w:hAnsi="Times New Roman" w:eastAsia="宋体" w:cs="Times New Roman"/>
                <w:color w:val="000000" w:themeColor="text1"/>
                <w:sz w:val="24"/>
                <w:szCs w:val="24"/>
              </w:rPr>
              <w:t>《环境空气质量标准》（GB3095-2012）中的二级标准；</w:t>
            </w:r>
          </w:p>
          <w:p w14:paraId="76A5495E">
            <w:pPr>
              <w:spacing w:line="240" w:lineRule="auto"/>
              <w:ind w:firstLine="422" w:firstLineChars="200"/>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表23               各项污染物浓度标准             单位：ug/m</w:t>
            </w:r>
            <w:r>
              <w:rPr>
                <w:rFonts w:hint="eastAsia" w:ascii="黑体" w:hAnsi="黑体" w:eastAsia="黑体" w:cs="黑体"/>
                <w:b/>
                <w:bCs/>
                <w:color w:val="000000" w:themeColor="text1"/>
                <w:sz w:val="21"/>
                <w:szCs w:val="21"/>
                <w:vertAlign w:val="superscript"/>
                <w:lang w:val="en-US" w:eastAsia="zh-CN"/>
              </w:rPr>
              <w:t>3</w:t>
            </w:r>
          </w:p>
          <w:tbl>
            <w:tblPr>
              <w:tblStyle w:val="19"/>
              <w:tblW w:w="7370" w:type="dxa"/>
              <w:tblInd w:w="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42"/>
              <w:gridCol w:w="1842"/>
              <w:gridCol w:w="1843"/>
              <w:gridCol w:w="1843"/>
            </w:tblGrid>
            <w:tr w14:paraId="7E24D1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842" w:type="dxa"/>
                  <w:tcBorders>
                    <w:top w:val="single" w:color="auto" w:sz="12" w:space="0"/>
                    <w:bottom w:val="single" w:color="auto" w:sz="12" w:space="0"/>
                    <w:right w:val="single" w:color="auto" w:sz="4" w:space="0"/>
                  </w:tcBorders>
                  <w:vAlign w:val="center"/>
                </w:tcPr>
                <w:p w14:paraId="29BFED64">
                  <w:pPr>
                    <w:spacing w:line="240" w:lineRule="auto"/>
                    <w:jc w:val="center"/>
                    <w:rPr>
                      <w:b/>
                      <w:bCs/>
                      <w:color w:val="000000" w:themeColor="text1"/>
                      <w:sz w:val="21"/>
                      <w:szCs w:val="21"/>
                    </w:rPr>
                  </w:pPr>
                  <w:r>
                    <w:rPr>
                      <w:rFonts w:hint="eastAsia"/>
                      <w:b/>
                      <w:bCs/>
                      <w:color w:val="000000" w:themeColor="text1"/>
                      <w:sz w:val="21"/>
                      <w:szCs w:val="21"/>
                    </w:rPr>
                    <w:t>污染物名称</w:t>
                  </w:r>
                </w:p>
              </w:tc>
              <w:tc>
                <w:tcPr>
                  <w:tcW w:w="1842" w:type="dxa"/>
                  <w:tcBorders>
                    <w:top w:val="single" w:color="auto" w:sz="12" w:space="0"/>
                    <w:left w:val="single" w:color="auto" w:sz="4" w:space="0"/>
                    <w:bottom w:val="single" w:color="auto" w:sz="12" w:space="0"/>
                    <w:right w:val="single" w:color="auto" w:sz="4" w:space="0"/>
                  </w:tcBorders>
                  <w:vAlign w:val="center"/>
                </w:tcPr>
                <w:p w14:paraId="0D957B81">
                  <w:pPr>
                    <w:spacing w:line="240" w:lineRule="auto"/>
                    <w:jc w:val="center"/>
                    <w:rPr>
                      <w:b/>
                      <w:bCs/>
                      <w:color w:val="000000" w:themeColor="text1"/>
                      <w:sz w:val="21"/>
                      <w:szCs w:val="21"/>
                    </w:rPr>
                  </w:pPr>
                  <w:r>
                    <w:rPr>
                      <w:rFonts w:hint="eastAsia"/>
                      <w:b/>
                      <w:bCs/>
                      <w:color w:val="000000" w:themeColor="text1"/>
                      <w:sz w:val="21"/>
                      <w:szCs w:val="21"/>
                    </w:rPr>
                    <w:t>取值时间</w:t>
                  </w:r>
                </w:p>
              </w:tc>
              <w:tc>
                <w:tcPr>
                  <w:tcW w:w="1843" w:type="dxa"/>
                  <w:tcBorders>
                    <w:top w:val="single" w:color="auto" w:sz="12" w:space="0"/>
                    <w:left w:val="single" w:color="auto" w:sz="4" w:space="0"/>
                    <w:bottom w:val="single" w:color="auto" w:sz="12" w:space="0"/>
                    <w:right w:val="single" w:color="auto" w:sz="4" w:space="0"/>
                  </w:tcBorders>
                  <w:vAlign w:val="center"/>
                </w:tcPr>
                <w:p w14:paraId="4713CB82">
                  <w:pPr>
                    <w:spacing w:line="240" w:lineRule="auto"/>
                    <w:jc w:val="center"/>
                    <w:rPr>
                      <w:b/>
                      <w:bCs/>
                      <w:color w:val="000000" w:themeColor="text1"/>
                      <w:sz w:val="21"/>
                      <w:szCs w:val="21"/>
                    </w:rPr>
                  </w:pPr>
                  <w:r>
                    <w:rPr>
                      <w:rFonts w:hint="eastAsia"/>
                      <w:b/>
                      <w:bCs/>
                      <w:color w:val="000000" w:themeColor="text1"/>
                      <w:sz w:val="21"/>
                      <w:szCs w:val="21"/>
                    </w:rPr>
                    <w:t>浓度限值</w:t>
                  </w:r>
                </w:p>
              </w:tc>
              <w:tc>
                <w:tcPr>
                  <w:tcW w:w="1843" w:type="dxa"/>
                  <w:tcBorders>
                    <w:top w:val="single" w:color="auto" w:sz="12" w:space="0"/>
                    <w:left w:val="single" w:color="auto" w:sz="4" w:space="0"/>
                    <w:bottom w:val="single" w:color="auto" w:sz="12" w:space="0"/>
                  </w:tcBorders>
                  <w:vAlign w:val="center"/>
                </w:tcPr>
                <w:p w14:paraId="2998DFF8">
                  <w:pPr>
                    <w:spacing w:line="240" w:lineRule="auto"/>
                    <w:jc w:val="center"/>
                    <w:rPr>
                      <w:b/>
                      <w:bCs/>
                      <w:color w:val="000000" w:themeColor="text1"/>
                      <w:sz w:val="21"/>
                      <w:szCs w:val="21"/>
                    </w:rPr>
                  </w:pPr>
                  <w:r>
                    <w:rPr>
                      <w:rFonts w:hint="eastAsia"/>
                      <w:b/>
                      <w:bCs/>
                      <w:color w:val="000000" w:themeColor="text1"/>
                      <w:sz w:val="21"/>
                      <w:szCs w:val="21"/>
                    </w:rPr>
                    <w:t>标准来源</w:t>
                  </w:r>
                </w:p>
              </w:tc>
            </w:tr>
            <w:tr w14:paraId="2497F2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1842" w:type="dxa"/>
                  <w:vMerge w:val="restart"/>
                  <w:tcBorders>
                    <w:top w:val="single" w:color="auto" w:sz="12" w:space="0"/>
                    <w:bottom w:val="single" w:color="auto" w:sz="4" w:space="0"/>
                    <w:right w:val="single" w:color="auto" w:sz="4" w:space="0"/>
                  </w:tcBorders>
                  <w:vAlign w:val="center"/>
                </w:tcPr>
                <w:p w14:paraId="37159D9B">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SO</w:t>
                  </w:r>
                  <w:r>
                    <w:rPr>
                      <w:rFonts w:hint="default" w:ascii="Times New Roman" w:hAnsi="Times New Roman" w:cs="Times New Roman"/>
                      <w:color w:val="000000" w:themeColor="text1"/>
                      <w:sz w:val="21"/>
                      <w:szCs w:val="21"/>
                      <w:vertAlign w:val="subscript"/>
                    </w:rPr>
                    <w:t>2</w:t>
                  </w:r>
                </w:p>
              </w:tc>
              <w:tc>
                <w:tcPr>
                  <w:tcW w:w="1842" w:type="dxa"/>
                  <w:tcBorders>
                    <w:top w:val="single" w:color="auto" w:sz="12" w:space="0"/>
                    <w:left w:val="single" w:color="auto" w:sz="4" w:space="0"/>
                    <w:bottom w:val="single" w:color="auto" w:sz="4" w:space="0"/>
                    <w:right w:val="single" w:color="auto" w:sz="4" w:space="0"/>
                  </w:tcBorders>
                  <w:vAlign w:val="center"/>
                </w:tcPr>
                <w:p w14:paraId="66E92887">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年平均</w:t>
                  </w:r>
                </w:p>
              </w:tc>
              <w:tc>
                <w:tcPr>
                  <w:tcW w:w="1843" w:type="dxa"/>
                  <w:tcBorders>
                    <w:top w:val="single" w:color="auto" w:sz="12" w:space="0"/>
                    <w:left w:val="single" w:color="auto" w:sz="4" w:space="0"/>
                    <w:bottom w:val="single" w:color="auto" w:sz="4" w:space="0"/>
                    <w:right w:val="single" w:color="auto" w:sz="4" w:space="0"/>
                  </w:tcBorders>
                  <w:vAlign w:val="center"/>
                </w:tcPr>
                <w:p w14:paraId="077227A7">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60</w:t>
                  </w:r>
                </w:p>
              </w:tc>
              <w:tc>
                <w:tcPr>
                  <w:tcW w:w="1843" w:type="dxa"/>
                  <w:vMerge w:val="restart"/>
                  <w:tcBorders>
                    <w:top w:val="single" w:color="auto" w:sz="12" w:space="0"/>
                    <w:left w:val="single" w:color="auto" w:sz="4" w:space="0"/>
                    <w:bottom w:val="single" w:color="auto" w:sz="4" w:space="0"/>
                  </w:tcBorders>
                  <w:vAlign w:val="center"/>
                </w:tcPr>
                <w:p w14:paraId="510A0376">
                  <w:pPr>
                    <w:spacing w:line="240" w:lineRule="auto"/>
                    <w:jc w:val="center"/>
                    <w:rPr>
                      <w:color w:val="000000" w:themeColor="text1"/>
                      <w:sz w:val="21"/>
                      <w:szCs w:val="21"/>
                    </w:rPr>
                  </w:pPr>
                  <w:r>
                    <w:rPr>
                      <w:rFonts w:hint="eastAsia" w:ascii="Times New Roman" w:hAnsi="Times New Roman" w:cs="Times New Roman"/>
                      <w:color w:val="000000" w:themeColor="text1"/>
                      <w:sz w:val="21"/>
                      <w:szCs w:val="21"/>
                    </w:rPr>
                    <w:t>《环境空气质量标准》</w:t>
                  </w:r>
                  <w:r>
                    <w:rPr>
                      <w:rFonts w:hint="default" w:ascii="Times New Roman" w:hAnsi="Times New Roman" w:cs="Times New Roman"/>
                      <w:color w:val="000000" w:themeColor="text1"/>
                      <w:sz w:val="21"/>
                      <w:szCs w:val="21"/>
                    </w:rPr>
                    <w:t>(GB3095-2012)</w:t>
                  </w:r>
                  <w:r>
                    <w:rPr>
                      <w:rFonts w:hint="eastAsia" w:ascii="Times New Roman" w:hAnsi="Times New Roman" w:cs="Times New Roman"/>
                      <w:color w:val="000000" w:themeColor="text1"/>
                      <w:sz w:val="21"/>
                      <w:szCs w:val="21"/>
                    </w:rPr>
                    <w:t>中二级标准</w:t>
                  </w:r>
                </w:p>
              </w:tc>
            </w:tr>
            <w:tr w14:paraId="5734CC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1842" w:type="dxa"/>
                  <w:vMerge w:val="continue"/>
                  <w:tcBorders>
                    <w:top w:val="single" w:color="auto" w:sz="4" w:space="0"/>
                    <w:bottom w:val="single" w:color="auto" w:sz="4" w:space="0"/>
                    <w:right w:val="single" w:color="auto" w:sz="4" w:space="0"/>
                  </w:tcBorders>
                  <w:vAlign w:val="center"/>
                </w:tcPr>
                <w:p w14:paraId="7B95DFD8">
                  <w:pPr>
                    <w:spacing w:line="240" w:lineRule="auto"/>
                    <w:jc w:val="center"/>
                    <w:rPr>
                      <w:rFonts w:hint="default" w:ascii="Times New Roman" w:hAnsi="Times New Roman" w:cs="Times New Roman"/>
                      <w:color w:val="000000" w:themeColor="text1"/>
                      <w:sz w:val="21"/>
                      <w:szCs w:val="21"/>
                    </w:rPr>
                  </w:pPr>
                </w:p>
              </w:tc>
              <w:tc>
                <w:tcPr>
                  <w:tcW w:w="1842" w:type="dxa"/>
                  <w:tcBorders>
                    <w:top w:val="single" w:color="auto" w:sz="4" w:space="0"/>
                    <w:left w:val="single" w:color="auto" w:sz="4" w:space="0"/>
                    <w:bottom w:val="single" w:color="auto" w:sz="4" w:space="0"/>
                    <w:right w:val="single" w:color="auto" w:sz="4" w:space="0"/>
                  </w:tcBorders>
                  <w:vAlign w:val="center"/>
                </w:tcPr>
                <w:p w14:paraId="3B047D9B">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24小时平均</w:t>
                  </w:r>
                </w:p>
              </w:tc>
              <w:tc>
                <w:tcPr>
                  <w:tcW w:w="1843" w:type="dxa"/>
                  <w:tcBorders>
                    <w:top w:val="single" w:color="auto" w:sz="4" w:space="0"/>
                    <w:left w:val="single" w:color="auto" w:sz="4" w:space="0"/>
                    <w:bottom w:val="single" w:color="auto" w:sz="4" w:space="0"/>
                    <w:right w:val="single" w:color="auto" w:sz="4" w:space="0"/>
                  </w:tcBorders>
                  <w:vAlign w:val="center"/>
                </w:tcPr>
                <w:p w14:paraId="23C758E0">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150</w:t>
                  </w:r>
                </w:p>
              </w:tc>
              <w:tc>
                <w:tcPr>
                  <w:tcW w:w="1843" w:type="dxa"/>
                  <w:vMerge w:val="continue"/>
                  <w:tcBorders>
                    <w:top w:val="single" w:color="auto" w:sz="4" w:space="0"/>
                    <w:left w:val="single" w:color="auto" w:sz="4" w:space="0"/>
                    <w:bottom w:val="single" w:color="auto" w:sz="4" w:space="0"/>
                  </w:tcBorders>
                  <w:vAlign w:val="center"/>
                </w:tcPr>
                <w:p w14:paraId="769360CD">
                  <w:pPr>
                    <w:spacing w:line="240" w:lineRule="auto"/>
                    <w:jc w:val="center"/>
                    <w:rPr>
                      <w:color w:val="000000" w:themeColor="text1"/>
                      <w:sz w:val="21"/>
                      <w:szCs w:val="21"/>
                    </w:rPr>
                  </w:pPr>
                </w:p>
              </w:tc>
            </w:tr>
            <w:tr w14:paraId="62731A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1842" w:type="dxa"/>
                  <w:vMerge w:val="continue"/>
                  <w:tcBorders>
                    <w:top w:val="single" w:color="auto" w:sz="4" w:space="0"/>
                    <w:bottom w:val="single" w:color="auto" w:sz="4" w:space="0"/>
                    <w:right w:val="single" w:color="auto" w:sz="4" w:space="0"/>
                  </w:tcBorders>
                  <w:vAlign w:val="center"/>
                </w:tcPr>
                <w:p w14:paraId="38EA0DB1">
                  <w:pPr>
                    <w:spacing w:line="240" w:lineRule="auto"/>
                    <w:jc w:val="center"/>
                    <w:rPr>
                      <w:rFonts w:hint="default" w:ascii="Times New Roman" w:hAnsi="Times New Roman" w:cs="Times New Roman"/>
                      <w:color w:val="000000" w:themeColor="text1"/>
                      <w:sz w:val="21"/>
                      <w:szCs w:val="21"/>
                    </w:rPr>
                  </w:pPr>
                </w:p>
              </w:tc>
              <w:tc>
                <w:tcPr>
                  <w:tcW w:w="1842" w:type="dxa"/>
                  <w:tcBorders>
                    <w:top w:val="single" w:color="auto" w:sz="4" w:space="0"/>
                    <w:left w:val="single" w:color="auto" w:sz="4" w:space="0"/>
                    <w:bottom w:val="single" w:color="auto" w:sz="4" w:space="0"/>
                    <w:right w:val="single" w:color="auto" w:sz="4" w:space="0"/>
                  </w:tcBorders>
                  <w:vAlign w:val="center"/>
                </w:tcPr>
                <w:p w14:paraId="52ED5956">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1小时平均</w:t>
                  </w:r>
                </w:p>
              </w:tc>
              <w:tc>
                <w:tcPr>
                  <w:tcW w:w="1843" w:type="dxa"/>
                  <w:tcBorders>
                    <w:top w:val="single" w:color="auto" w:sz="4" w:space="0"/>
                    <w:left w:val="single" w:color="auto" w:sz="4" w:space="0"/>
                    <w:bottom w:val="single" w:color="auto" w:sz="4" w:space="0"/>
                    <w:right w:val="single" w:color="auto" w:sz="4" w:space="0"/>
                  </w:tcBorders>
                  <w:vAlign w:val="center"/>
                </w:tcPr>
                <w:p w14:paraId="767242B6">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500</w:t>
                  </w:r>
                </w:p>
              </w:tc>
              <w:tc>
                <w:tcPr>
                  <w:tcW w:w="1843" w:type="dxa"/>
                  <w:vMerge w:val="continue"/>
                  <w:tcBorders>
                    <w:top w:val="single" w:color="auto" w:sz="4" w:space="0"/>
                    <w:left w:val="single" w:color="auto" w:sz="4" w:space="0"/>
                    <w:bottom w:val="single" w:color="auto" w:sz="4" w:space="0"/>
                  </w:tcBorders>
                  <w:vAlign w:val="center"/>
                </w:tcPr>
                <w:p w14:paraId="66A4D47D">
                  <w:pPr>
                    <w:spacing w:line="240" w:lineRule="auto"/>
                    <w:jc w:val="center"/>
                    <w:rPr>
                      <w:color w:val="000000" w:themeColor="text1"/>
                      <w:sz w:val="21"/>
                      <w:szCs w:val="21"/>
                    </w:rPr>
                  </w:pPr>
                </w:p>
              </w:tc>
            </w:tr>
            <w:tr w14:paraId="47C131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1842" w:type="dxa"/>
                  <w:vMerge w:val="restart"/>
                  <w:tcBorders>
                    <w:top w:val="single" w:color="auto" w:sz="4" w:space="0"/>
                    <w:bottom w:val="single" w:color="auto" w:sz="4" w:space="0"/>
                    <w:right w:val="single" w:color="auto" w:sz="4" w:space="0"/>
                  </w:tcBorders>
                  <w:vAlign w:val="center"/>
                </w:tcPr>
                <w:p w14:paraId="5EFE0D66">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NO</w:t>
                  </w:r>
                  <w:r>
                    <w:rPr>
                      <w:rFonts w:hint="default" w:ascii="Times New Roman" w:hAnsi="Times New Roman" w:cs="Times New Roman"/>
                      <w:color w:val="000000" w:themeColor="text1"/>
                      <w:sz w:val="21"/>
                      <w:szCs w:val="21"/>
                      <w:vertAlign w:val="subscript"/>
                    </w:rPr>
                    <w:t>2</w:t>
                  </w:r>
                </w:p>
              </w:tc>
              <w:tc>
                <w:tcPr>
                  <w:tcW w:w="1842" w:type="dxa"/>
                  <w:tcBorders>
                    <w:top w:val="single" w:color="auto" w:sz="4" w:space="0"/>
                    <w:left w:val="single" w:color="auto" w:sz="4" w:space="0"/>
                    <w:bottom w:val="single" w:color="auto" w:sz="4" w:space="0"/>
                    <w:right w:val="single" w:color="auto" w:sz="4" w:space="0"/>
                  </w:tcBorders>
                  <w:vAlign w:val="center"/>
                </w:tcPr>
                <w:p w14:paraId="414EE353">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年平均</w:t>
                  </w:r>
                </w:p>
              </w:tc>
              <w:tc>
                <w:tcPr>
                  <w:tcW w:w="1843" w:type="dxa"/>
                  <w:tcBorders>
                    <w:top w:val="single" w:color="auto" w:sz="4" w:space="0"/>
                    <w:left w:val="single" w:color="auto" w:sz="4" w:space="0"/>
                    <w:bottom w:val="single" w:color="auto" w:sz="4" w:space="0"/>
                    <w:right w:val="single" w:color="auto" w:sz="4" w:space="0"/>
                  </w:tcBorders>
                  <w:vAlign w:val="center"/>
                </w:tcPr>
                <w:p w14:paraId="613321A4">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40</w:t>
                  </w:r>
                </w:p>
              </w:tc>
              <w:tc>
                <w:tcPr>
                  <w:tcW w:w="1843" w:type="dxa"/>
                  <w:vMerge w:val="continue"/>
                  <w:tcBorders>
                    <w:top w:val="single" w:color="auto" w:sz="4" w:space="0"/>
                    <w:left w:val="single" w:color="auto" w:sz="4" w:space="0"/>
                    <w:bottom w:val="single" w:color="auto" w:sz="4" w:space="0"/>
                  </w:tcBorders>
                  <w:vAlign w:val="center"/>
                </w:tcPr>
                <w:p w14:paraId="7AEB2BC4">
                  <w:pPr>
                    <w:spacing w:line="240" w:lineRule="auto"/>
                    <w:jc w:val="center"/>
                    <w:rPr>
                      <w:color w:val="000000" w:themeColor="text1"/>
                      <w:sz w:val="21"/>
                      <w:szCs w:val="21"/>
                    </w:rPr>
                  </w:pPr>
                </w:p>
              </w:tc>
            </w:tr>
            <w:tr w14:paraId="5CD83B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1842" w:type="dxa"/>
                  <w:vMerge w:val="continue"/>
                  <w:tcBorders>
                    <w:top w:val="single" w:color="auto" w:sz="4" w:space="0"/>
                    <w:bottom w:val="single" w:color="auto" w:sz="4" w:space="0"/>
                    <w:right w:val="single" w:color="auto" w:sz="4" w:space="0"/>
                  </w:tcBorders>
                  <w:vAlign w:val="center"/>
                </w:tcPr>
                <w:p w14:paraId="24A24301">
                  <w:pPr>
                    <w:spacing w:line="240" w:lineRule="auto"/>
                    <w:jc w:val="center"/>
                    <w:rPr>
                      <w:rFonts w:hint="default" w:ascii="Times New Roman" w:hAnsi="Times New Roman" w:cs="Times New Roman"/>
                      <w:color w:val="000000" w:themeColor="text1"/>
                      <w:sz w:val="21"/>
                      <w:szCs w:val="21"/>
                    </w:rPr>
                  </w:pPr>
                </w:p>
              </w:tc>
              <w:tc>
                <w:tcPr>
                  <w:tcW w:w="1842" w:type="dxa"/>
                  <w:tcBorders>
                    <w:top w:val="single" w:color="auto" w:sz="4" w:space="0"/>
                    <w:left w:val="single" w:color="auto" w:sz="4" w:space="0"/>
                    <w:bottom w:val="single" w:color="auto" w:sz="4" w:space="0"/>
                    <w:right w:val="single" w:color="auto" w:sz="4" w:space="0"/>
                  </w:tcBorders>
                  <w:vAlign w:val="center"/>
                </w:tcPr>
                <w:p w14:paraId="6D37CC0E">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24小时平均</w:t>
                  </w:r>
                </w:p>
              </w:tc>
              <w:tc>
                <w:tcPr>
                  <w:tcW w:w="1843" w:type="dxa"/>
                  <w:tcBorders>
                    <w:top w:val="single" w:color="auto" w:sz="4" w:space="0"/>
                    <w:left w:val="single" w:color="auto" w:sz="4" w:space="0"/>
                    <w:bottom w:val="single" w:color="auto" w:sz="4" w:space="0"/>
                    <w:right w:val="single" w:color="auto" w:sz="4" w:space="0"/>
                  </w:tcBorders>
                  <w:vAlign w:val="center"/>
                </w:tcPr>
                <w:p w14:paraId="2FBFDBD1">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80</w:t>
                  </w:r>
                </w:p>
              </w:tc>
              <w:tc>
                <w:tcPr>
                  <w:tcW w:w="1843" w:type="dxa"/>
                  <w:vMerge w:val="continue"/>
                  <w:tcBorders>
                    <w:top w:val="single" w:color="auto" w:sz="4" w:space="0"/>
                    <w:left w:val="single" w:color="auto" w:sz="4" w:space="0"/>
                    <w:bottom w:val="single" w:color="auto" w:sz="4" w:space="0"/>
                  </w:tcBorders>
                  <w:vAlign w:val="center"/>
                </w:tcPr>
                <w:p w14:paraId="4BBD8F1A">
                  <w:pPr>
                    <w:spacing w:line="240" w:lineRule="auto"/>
                    <w:jc w:val="center"/>
                    <w:rPr>
                      <w:color w:val="000000" w:themeColor="text1"/>
                      <w:sz w:val="21"/>
                      <w:szCs w:val="21"/>
                    </w:rPr>
                  </w:pPr>
                </w:p>
              </w:tc>
            </w:tr>
            <w:tr w14:paraId="56E856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1842" w:type="dxa"/>
                  <w:vMerge w:val="continue"/>
                  <w:tcBorders>
                    <w:top w:val="single" w:color="auto" w:sz="4" w:space="0"/>
                    <w:bottom w:val="single" w:color="auto" w:sz="4" w:space="0"/>
                    <w:right w:val="single" w:color="auto" w:sz="4" w:space="0"/>
                  </w:tcBorders>
                  <w:vAlign w:val="center"/>
                </w:tcPr>
                <w:p w14:paraId="1BD136CE">
                  <w:pPr>
                    <w:spacing w:line="240" w:lineRule="auto"/>
                    <w:jc w:val="center"/>
                    <w:rPr>
                      <w:rFonts w:hint="default" w:ascii="Times New Roman" w:hAnsi="Times New Roman" w:cs="Times New Roman"/>
                      <w:color w:val="000000" w:themeColor="text1"/>
                      <w:sz w:val="21"/>
                      <w:szCs w:val="21"/>
                    </w:rPr>
                  </w:pPr>
                </w:p>
              </w:tc>
              <w:tc>
                <w:tcPr>
                  <w:tcW w:w="1842" w:type="dxa"/>
                  <w:tcBorders>
                    <w:top w:val="single" w:color="auto" w:sz="4" w:space="0"/>
                    <w:left w:val="single" w:color="auto" w:sz="4" w:space="0"/>
                    <w:bottom w:val="single" w:color="auto" w:sz="4" w:space="0"/>
                    <w:right w:val="single" w:color="auto" w:sz="4" w:space="0"/>
                  </w:tcBorders>
                  <w:vAlign w:val="center"/>
                </w:tcPr>
                <w:p w14:paraId="43EBF9EC">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1小时平均</w:t>
                  </w:r>
                </w:p>
              </w:tc>
              <w:tc>
                <w:tcPr>
                  <w:tcW w:w="1843" w:type="dxa"/>
                  <w:tcBorders>
                    <w:top w:val="single" w:color="auto" w:sz="4" w:space="0"/>
                    <w:left w:val="single" w:color="auto" w:sz="4" w:space="0"/>
                    <w:bottom w:val="single" w:color="auto" w:sz="4" w:space="0"/>
                    <w:right w:val="single" w:color="auto" w:sz="4" w:space="0"/>
                  </w:tcBorders>
                  <w:vAlign w:val="center"/>
                </w:tcPr>
                <w:p w14:paraId="43A05476">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200</w:t>
                  </w:r>
                </w:p>
              </w:tc>
              <w:tc>
                <w:tcPr>
                  <w:tcW w:w="1843" w:type="dxa"/>
                  <w:vMerge w:val="continue"/>
                  <w:tcBorders>
                    <w:top w:val="single" w:color="auto" w:sz="4" w:space="0"/>
                    <w:left w:val="single" w:color="auto" w:sz="4" w:space="0"/>
                    <w:bottom w:val="single" w:color="auto" w:sz="4" w:space="0"/>
                  </w:tcBorders>
                  <w:vAlign w:val="center"/>
                </w:tcPr>
                <w:p w14:paraId="6D93DE3E">
                  <w:pPr>
                    <w:spacing w:line="240" w:lineRule="auto"/>
                    <w:jc w:val="center"/>
                    <w:rPr>
                      <w:color w:val="000000" w:themeColor="text1"/>
                      <w:sz w:val="21"/>
                      <w:szCs w:val="21"/>
                    </w:rPr>
                  </w:pPr>
                </w:p>
              </w:tc>
            </w:tr>
            <w:tr w14:paraId="4B83A8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1842" w:type="dxa"/>
                  <w:vMerge w:val="restart"/>
                  <w:tcBorders>
                    <w:top w:val="single" w:color="auto" w:sz="4" w:space="0"/>
                    <w:bottom w:val="single" w:color="auto" w:sz="4" w:space="0"/>
                    <w:right w:val="single" w:color="auto" w:sz="4" w:space="0"/>
                  </w:tcBorders>
                  <w:vAlign w:val="center"/>
                </w:tcPr>
                <w:p w14:paraId="34C7BA61">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PM</w:t>
                  </w:r>
                  <w:r>
                    <w:rPr>
                      <w:rFonts w:hint="default" w:ascii="Times New Roman" w:hAnsi="Times New Roman" w:cs="Times New Roman"/>
                      <w:color w:val="000000" w:themeColor="text1"/>
                      <w:sz w:val="21"/>
                      <w:szCs w:val="21"/>
                      <w:vertAlign w:val="subscript"/>
                    </w:rPr>
                    <w:t>10</w:t>
                  </w:r>
                </w:p>
              </w:tc>
              <w:tc>
                <w:tcPr>
                  <w:tcW w:w="1842" w:type="dxa"/>
                  <w:tcBorders>
                    <w:top w:val="single" w:color="auto" w:sz="4" w:space="0"/>
                    <w:left w:val="single" w:color="auto" w:sz="4" w:space="0"/>
                    <w:bottom w:val="single" w:color="auto" w:sz="4" w:space="0"/>
                    <w:right w:val="single" w:color="auto" w:sz="4" w:space="0"/>
                  </w:tcBorders>
                  <w:vAlign w:val="center"/>
                </w:tcPr>
                <w:p w14:paraId="778A3572">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年平均</w:t>
                  </w:r>
                </w:p>
              </w:tc>
              <w:tc>
                <w:tcPr>
                  <w:tcW w:w="1843" w:type="dxa"/>
                  <w:tcBorders>
                    <w:top w:val="single" w:color="auto" w:sz="4" w:space="0"/>
                    <w:left w:val="single" w:color="auto" w:sz="4" w:space="0"/>
                    <w:bottom w:val="single" w:color="auto" w:sz="4" w:space="0"/>
                    <w:right w:val="single" w:color="auto" w:sz="4" w:space="0"/>
                  </w:tcBorders>
                  <w:vAlign w:val="center"/>
                </w:tcPr>
                <w:p w14:paraId="392321DC">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70</w:t>
                  </w:r>
                </w:p>
              </w:tc>
              <w:tc>
                <w:tcPr>
                  <w:tcW w:w="1843" w:type="dxa"/>
                  <w:vMerge w:val="continue"/>
                  <w:tcBorders>
                    <w:top w:val="single" w:color="auto" w:sz="4" w:space="0"/>
                    <w:left w:val="single" w:color="auto" w:sz="4" w:space="0"/>
                    <w:bottom w:val="single" w:color="auto" w:sz="4" w:space="0"/>
                  </w:tcBorders>
                  <w:vAlign w:val="center"/>
                </w:tcPr>
                <w:p w14:paraId="3BCEBE26">
                  <w:pPr>
                    <w:spacing w:line="240" w:lineRule="auto"/>
                    <w:jc w:val="center"/>
                    <w:rPr>
                      <w:color w:val="000000" w:themeColor="text1"/>
                      <w:sz w:val="21"/>
                      <w:szCs w:val="21"/>
                    </w:rPr>
                  </w:pPr>
                </w:p>
              </w:tc>
            </w:tr>
            <w:tr w14:paraId="7BCC9A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1842" w:type="dxa"/>
                  <w:vMerge w:val="continue"/>
                  <w:tcBorders>
                    <w:top w:val="single" w:color="auto" w:sz="4" w:space="0"/>
                    <w:bottom w:val="single" w:color="auto" w:sz="12" w:space="0"/>
                    <w:right w:val="single" w:color="auto" w:sz="4" w:space="0"/>
                  </w:tcBorders>
                  <w:vAlign w:val="center"/>
                </w:tcPr>
                <w:p w14:paraId="4E4440A0">
                  <w:pPr>
                    <w:spacing w:line="240" w:lineRule="auto"/>
                    <w:jc w:val="center"/>
                    <w:rPr>
                      <w:rFonts w:hint="default" w:ascii="Times New Roman" w:hAnsi="Times New Roman" w:cs="Times New Roman"/>
                      <w:color w:val="000000" w:themeColor="text1"/>
                      <w:sz w:val="21"/>
                      <w:szCs w:val="21"/>
                    </w:rPr>
                  </w:pPr>
                </w:p>
              </w:tc>
              <w:tc>
                <w:tcPr>
                  <w:tcW w:w="1842" w:type="dxa"/>
                  <w:tcBorders>
                    <w:top w:val="single" w:color="auto" w:sz="4" w:space="0"/>
                    <w:left w:val="single" w:color="auto" w:sz="4" w:space="0"/>
                    <w:bottom w:val="single" w:color="auto" w:sz="12" w:space="0"/>
                    <w:right w:val="single" w:color="auto" w:sz="4" w:space="0"/>
                  </w:tcBorders>
                  <w:vAlign w:val="center"/>
                </w:tcPr>
                <w:p w14:paraId="0E9E182A">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24小时平均</w:t>
                  </w:r>
                </w:p>
              </w:tc>
              <w:tc>
                <w:tcPr>
                  <w:tcW w:w="1843" w:type="dxa"/>
                  <w:tcBorders>
                    <w:top w:val="single" w:color="auto" w:sz="4" w:space="0"/>
                    <w:left w:val="single" w:color="auto" w:sz="4" w:space="0"/>
                    <w:bottom w:val="single" w:color="auto" w:sz="12" w:space="0"/>
                    <w:right w:val="single" w:color="auto" w:sz="4" w:space="0"/>
                  </w:tcBorders>
                  <w:vAlign w:val="center"/>
                </w:tcPr>
                <w:p w14:paraId="222DE639">
                  <w:pPr>
                    <w:spacing w:line="240" w:lineRule="auto"/>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150</w:t>
                  </w:r>
                </w:p>
              </w:tc>
              <w:tc>
                <w:tcPr>
                  <w:tcW w:w="1843" w:type="dxa"/>
                  <w:vMerge w:val="continue"/>
                  <w:tcBorders>
                    <w:top w:val="single" w:color="auto" w:sz="4" w:space="0"/>
                    <w:left w:val="single" w:color="auto" w:sz="4" w:space="0"/>
                    <w:bottom w:val="single" w:color="auto" w:sz="12" w:space="0"/>
                  </w:tcBorders>
                  <w:vAlign w:val="center"/>
                </w:tcPr>
                <w:p w14:paraId="3D6AF0B5">
                  <w:pPr>
                    <w:spacing w:line="240" w:lineRule="auto"/>
                    <w:jc w:val="center"/>
                    <w:rPr>
                      <w:color w:val="000000" w:themeColor="text1"/>
                      <w:sz w:val="21"/>
                      <w:szCs w:val="21"/>
                    </w:rPr>
                  </w:pPr>
                </w:p>
              </w:tc>
            </w:tr>
          </w:tbl>
          <w:p w14:paraId="6BA631A4">
            <w:pPr>
              <w:keepNext w:val="0"/>
              <w:keepLines w:val="0"/>
              <w:pageBreakBefore w:val="0"/>
              <w:widowControl w:val="0"/>
              <w:tabs>
                <w:tab w:val="center" w:pos="4671"/>
                <w:tab w:val="left" w:pos="6870"/>
              </w:tabs>
              <w:kinsoku/>
              <w:wordWrap/>
              <w:overflowPunct/>
              <w:topLinePunct w:val="0"/>
              <w:autoSpaceDE/>
              <w:autoSpaceDN/>
              <w:bidi w:val="0"/>
              <w:adjustRightInd/>
              <w:snapToGrid w:val="0"/>
              <w:spacing w:line="360" w:lineRule="auto"/>
              <w:ind w:right="0" w:rightChars="0"/>
              <w:jc w:val="left"/>
              <w:textAlignment w:val="auto"/>
              <w:outlineLvl w:val="9"/>
              <w:rPr>
                <w:rFonts w:hint="default" w:ascii="Times New Roman" w:hAnsi="Times New Roman" w:eastAsia="宋体" w:cs="Times New Roman"/>
                <w:color w:val="000000" w:themeColor="text1"/>
                <w:sz w:val="24"/>
                <w:szCs w:val="24"/>
                <w:lang w:val="en-US" w:eastAsia="zh-CN"/>
              </w:rPr>
            </w:pPr>
            <w:r>
              <w:rPr>
                <w:rFonts w:hint="default" w:ascii="Times New Roman" w:hAnsi="Times New Roman" w:cs="Times New Roman"/>
                <w:color w:val="000000" w:themeColor="text1"/>
                <w:sz w:val="24"/>
                <w:szCs w:val="24"/>
                <w:lang w:val="en-US" w:eastAsia="zh-CN"/>
              </w:rPr>
              <w:t>2、</w:t>
            </w:r>
            <w:r>
              <w:rPr>
                <w:rFonts w:hint="default" w:ascii="Times New Roman" w:hAnsi="Times New Roman" w:eastAsia="宋体" w:cs="Times New Roman"/>
                <w:color w:val="000000" w:themeColor="text1"/>
                <w:sz w:val="24"/>
                <w:szCs w:val="24"/>
                <w:lang w:val="en-US" w:eastAsia="zh-CN"/>
              </w:rPr>
              <w:t>地下水环境质量标准</w:t>
            </w:r>
          </w:p>
          <w:p w14:paraId="3F30723E">
            <w:pPr>
              <w:keepNext w:val="0"/>
              <w:keepLines w:val="0"/>
              <w:pageBreakBefore w:val="0"/>
              <w:widowControl w:val="0"/>
              <w:tabs>
                <w:tab w:val="center" w:pos="4671"/>
                <w:tab w:val="left" w:pos="6870"/>
              </w:tabs>
              <w:kinsoku/>
              <w:wordWrap/>
              <w:overflowPunct/>
              <w:topLinePunct w:val="0"/>
              <w:autoSpaceDE/>
              <w:autoSpaceDN/>
              <w:bidi w:val="0"/>
              <w:adjustRightInd/>
              <w:snapToGrid w:val="0"/>
              <w:spacing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lang w:val="en-US" w:eastAsia="zh-CN"/>
              </w:rPr>
            </w:pPr>
            <w:r>
              <w:rPr>
                <w:rFonts w:hint="default" w:ascii="Times New Roman" w:hAnsi="Times New Roman" w:eastAsia="宋体" w:cs="Times New Roman"/>
                <w:color w:val="000000" w:themeColor="text1"/>
                <w:sz w:val="24"/>
                <w:szCs w:val="24"/>
                <w:lang w:val="en-US" w:eastAsia="zh-CN"/>
              </w:rPr>
              <w:t>建设项目区域地下水执行《地下水质量标准》（GB/T14848-</w:t>
            </w:r>
            <w:r>
              <w:rPr>
                <w:rFonts w:hint="eastAsia" w:ascii="Times New Roman" w:hAnsi="Times New Roman" w:cs="Times New Roman"/>
                <w:color w:val="000000" w:themeColor="text1"/>
                <w:sz w:val="24"/>
                <w:szCs w:val="24"/>
                <w:lang w:val="en-US" w:eastAsia="zh-CN"/>
              </w:rPr>
              <w:t>2017</w:t>
            </w:r>
            <w:r>
              <w:rPr>
                <w:rFonts w:hint="default" w:ascii="Times New Roman" w:hAnsi="Times New Roman" w:eastAsia="宋体" w:cs="Times New Roman"/>
                <w:color w:val="000000" w:themeColor="text1"/>
                <w:sz w:val="24"/>
                <w:szCs w:val="24"/>
                <w:lang w:val="en-US" w:eastAsia="zh-CN"/>
              </w:rPr>
              <w:t>）Ⅲ类标准；</w:t>
            </w:r>
          </w:p>
          <w:p w14:paraId="2476340C">
            <w:pPr>
              <w:spacing w:line="240" w:lineRule="auto"/>
              <w:ind w:firstLine="422" w:firstLineChars="200"/>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表24            各项污染浓度标准           单位：mg/L，pH值除外</w:t>
            </w:r>
          </w:p>
          <w:tbl>
            <w:tblPr>
              <w:tblStyle w:val="19"/>
              <w:tblW w:w="7334"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740"/>
              <w:gridCol w:w="2010"/>
              <w:gridCol w:w="2737"/>
            </w:tblGrid>
            <w:tr w14:paraId="774D98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7" w:type="dxa"/>
                  <w:tcBorders>
                    <w:top w:val="single" w:color="auto" w:sz="12" w:space="0"/>
                    <w:bottom w:val="single" w:color="auto" w:sz="12" w:space="0"/>
                    <w:right w:val="single" w:color="auto" w:sz="4" w:space="0"/>
                  </w:tcBorders>
                  <w:vAlign w:val="center"/>
                </w:tcPr>
                <w:p w14:paraId="6FA4C3FB">
                  <w:pPr>
                    <w:spacing w:line="240" w:lineRule="auto"/>
                    <w:jc w:val="center"/>
                    <w:rPr>
                      <w:b/>
                      <w:bCs/>
                      <w:color w:val="000000" w:themeColor="text1"/>
                      <w:sz w:val="21"/>
                      <w:szCs w:val="21"/>
                    </w:rPr>
                  </w:pPr>
                  <w:r>
                    <w:rPr>
                      <w:rFonts w:hint="eastAsia"/>
                      <w:b/>
                      <w:bCs/>
                      <w:color w:val="000000" w:themeColor="text1"/>
                      <w:sz w:val="21"/>
                      <w:szCs w:val="21"/>
                    </w:rPr>
                    <w:t>序号</w:t>
                  </w:r>
                </w:p>
              </w:tc>
              <w:tc>
                <w:tcPr>
                  <w:tcW w:w="1740" w:type="dxa"/>
                  <w:tcBorders>
                    <w:top w:val="single" w:color="auto" w:sz="12" w:space="0"/>
                    <w:left w:val="single" w:color="auto" w:sz="4" w:space="0"/>
                    <w:bottom w:val="single" w:color="auto" w:sz="12" w:space="0"/>
                    <w:right w:val="single" w:color="auto" w:sz="4" w:space="0"/>
                  </w:tcBorders>
                  <w:vAlign w:val="center"/>
                </w:tcPr>
                <w:p w14:paraId="66EDA058">
                  <w:pPr>
                    <w:spacing w:line="240" w:lineRule="auto"/>
                    <w:jc w:val="center"/>
                    <w:rPr>
                      <w:b/>
                      <w:bCs/>
                      <w:color w:val="000000" w:themeColor="text1"/>
                      <w:sz w:val="21"/>
                      <w:szCs w:val="21"/>
                    </w:rPr>
                  </w:pPr>
                  <w:r>
                    <w:rPr>
                      <w:rFonts w:hint="eastAsia"/>
                      <w:b/>
                      <w:bCs/>
                      <w:color w:val="000000" w:themeColor="text1"/>
                      <w:sz w:val="21"/>
                      <w:szCs w:val="21"/>
                    </w:rPr>
                    <w:t>污染物名称</w:t>
                  </w:r>
                </w:p>
              </w:tc>
              <w:tc>
                <w:tcPr>
                  <w:tcW w:w="2010" w:type="dxa"/>
                  <w:tcBorders>
                    <w:top w:val="single" w:color="auto" w:sz="12" w:space="0"/>
                    <w:left w:val="single" w:color="auto" w:sz="4" w:space="0"/>
                    <w:bottom w:val="single" w:color="auto" w:sz="12" w:space="0"/>
                    <w:right w:val="single" w:color="auto" w:sz="4" w:space="0"/>
                  </w:tcBorders>
                  <w:vAlign w:val="center"/>
                </w:tcPr>
                <w:p w14:paraId="356F7BC4">
                  <w:pPr>
                    <w:spacing w:line="240" w:lineRule="auto"/>
                    <w:jc w:val="center"/>
                    <w:rPr>
                      <w:b/>
                      <w:bCs/>
                      <w:color w:val="000000" w:themeColor="text1"/>
                      <w:sz w:val="21"/>
                      <w:szCs w:val="21"/>
                    </w:rPr>
                  </w:pPr>
                  <w:r>
                    <w:rPr>
                      <w:rFonts w:hint="eastAsia"/>
                      <w:b/>
                      <w:bCs/>
                      <w:color w:val="000000" w:themeColor="text1"/>
                      <w:sz w:val="21"/>
                      <w:szCs w:val="21"/>
                    </w:rPr>
                    <w:t>标准限值</w:t>
                  </w:r>
                </w:p>
              </w:tc>
              <w:tc>
                <w:tcPr>
                  <w:tcW w:w="2737" w:type="dxa"/>
                  <w:tcBorders>
                    <w:top w:val="single" w:color="auto" w:sz="12" w:space="0"/>
                    <w:left w:val="single" w:color="auto" w:sz="4" w:space="0"/>
                    <w:bottom w:val="single" w:color="auto" w:sz="12" w:space="0"/>
                  </w:tcBorders>
                  <w:vAlign w:val="center"/>
                </w:tcPr>
                <w:p w14:paraId="6D926931">
                  <w:pPr>
                    <w:spacing w:line="240" w:lineRule="auto"/>
                    <w:jc w:val="center"/>
                    <w:rPr>
                      <w:b/>
                      <w:bCs/>
                      <w:color w:val="000000" w:themeColor="text1"/>
                      <w:sz w:val="21"/>
                      <w:szCs w:val="21"/>
                    </w:rPr>
                  </w:pPr>
                  <w:r>
                    <w:rPr>
                      <w:rFonts w:hint="eastAsia"/>
                      <w:b/>
                      <w:bCs/>
                      <w:color w:val="000000" w:themeColor="text1"/>
                      <w:sz w:val="21"/>
                      <w:szCs w:val="21"/>
                    </w:rPr>
                    <w:t>标准来源</w:t>
                  </w:r>
                </w:p>
              </w:tc>
            </w:tr>
            <w:tr w14:paraId="4AE2DB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7" w:type="dxa"/>
                  <w:tcBorders>
                    <w:top w:val="single" w:color="auto" w:sz="12" w:space="0"/>
                    <w:bottom w:val="single" w:color="auto" w:sz="4" w:space="0"/>
                    <w:right w:val="single" w:color="auto" w:sz="4" w:space="0"/>
                  </w:tcBorders>
                  <w:vAlign w:val="center"/>
                </w:tcPr>
                <w:p w14:paraId="60BB2A45">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1</w:t>
                  </w:r>
                </w:p>
              </w:tc>
              <w:tc>
                <w:tcPr>
                  <w:tcW w:w="1740" w:type="dxa"/>
                  <w:tcBorders>
                    <w:top w:val="single" w:color="auto" w:sz="12" w:space="0"/>
                    <w:left w:val="single" w:color="auto" w:sz="4" w:space="0"/>
                    <w:bottom w:val="single" w:color="auto" w:sz="4" w:space="0"/>
                    <w:right w:val="single" w:color="auto" w:sz="4" w:space="0"/>
                  </w:tcBorders>
                  <w:shd w:val="clear" w:color="auto" w:fill="auto"/>
                  <w:vAlign w:val="center"/>
                </w:tcPr>
                <w:p w14:paraId="2A1C2336">
                  <w:pPr>
                    <w:jc w:val="center"/>
                    <w:rPr>
                      <w:rFonts w:hint="eastAsia" w:ascii="Times New Roman" w:hAnsi="Times New Roman" w:cs="Times New Roman"/>
                      <w:color w:val="000000" w:themeColor="text1"/>
                      <w:sz w:val="21"/>
                      <w:szCs w:val="21"/>
                    </w:rPr>
                  </w:pPr>
                  <w:r>
                    <w:rPr>
                      <w:rFonts w:hint="default" w:ascii="Times New Roman" w:hAnsi="Times New Roman" w:eastAsia="宋体" w:cs="Times New Roman"/>
                      <w:color w:val="000000" w:themeColor="text1"/>
                      <w:sz w:val="21"/>
                      <w:szCs w:val="21"/>
                    </w:rPr>
                    <w:t>pH值</w:t>
                  </w:r>
                </w:p>
              </w:tc>
              <w:tc>
                <w:tcPr>
                  <w:tcW w:w="2010" w:type="dxa"/>
                  <w:tcBorders>
                    <w:top w:val="single" w:color="auto" w:sz="12" w:space="0"/>
                    <w:left w:val="single" w:color="auto" w:sz="4" w:space="0"/>
                    <w:bottom w:val="single" w:color="auto" w:sz="4" w:space="0"/>
                    <w:right w:val="single" w:color="auto" w:sz="4" w:space="0"/>
                  </w:tcBorders>
                  <w:vAlign w:val="center"/>
                </w:tcPr>
                <w:p w14:paraId="3F87E2B3">
                  <w:pPr>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6.5-8.5</w:t>
                  </w:r>
                </w:p>
              </w:tc>
              <w:tc>
                <w:tcPr>
                  <w:tcW w:w="2737" w:type="dxa"/>
                  <w:vMerge w:val="restart"/>
                  <w:tcBorders>
                    <w:top w:val="single" w:color="auto" w:sz="12" w:space="0"/>
                    <w:left w:val="single" w:color="auto" w:sz="4" w:space="0"/>
                  </w:tcBorders>
                  <w:vAlign w:val="center"/>
                </w:tcPr>
                <w:p w14:paraId="4FBA35E3">
                  <w:pPr>
                    <w:spacing w:line="240" w:lineRule="auto"/>
                    <w:jc w:val="center"/>
                    <w:rPr>
                      <w:rFonts w:hint="eastAsia"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lang w:val="en-US" w:eastAsia="zh-CN"/>
                    </w:rPr>
                    <w:t>《地下水质量标准》（GB/T14848-</w:t>
                  </w:r>
                  <w:r>
                    <w:rPr>
                      <w:rFonts w:hint="eastAsia" w:ascii="Times New Roman" w:hAnsi="Times New Roman" w:cs="Times New Roman"/>
                      <w:color w:val="000000" w:themeColor="text1"/>
                      <w:sz w:val="21"/>
                      <w:szCs w:val="21"/>
                      <w:lang w:val="en-US" w:eastAsia="zh-CN"/>
                    </w:rPr>
                    <w:t>2017</w:t>
                  </w:r>
                  <w:r>
                    <w:rPr>
                      <w:rFonts w:hint="default" w:ascii="Times New Roman" w:hAnsi="Times New Roman" w:cs="Times New Roman"/>
                      <w:color w:val="000000" w:themeColor="text1"/>
                      <w:sz w:val="21"/>
                      <w:szCs w:val="21"/>
                      <w:lang w:val="en-US" w:eastAsia="zh-CN"/>
                    </w:rPr>
                    <w:t>）Ⅲ类标准</w:t>
                  </w:r>
                </w:p>
              </w:tc>
            </w:tr>
            <w:tr w14:paraId="4E0ED6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14:paraId="7748FCD6">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2</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14:paraId="7726D36F">
                  <w:pPr>
                    <w:jc w:val="center"/>
                    <w:rPr>
                      <w:rFonts w:hint="eastAsia"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lang w:val="en-US" w:eastAsia="zh-CN"/>
                    </w:rPr>
                    <w:t>总硬度</w:t>
                  </w:r>
                </w:p>
              </w:tc>
              <w:tc>
                <w:tcPr>
                  <w:tcW w:w="2010" w:type="dxa"/>
                  <w:tcBorders>
                    <w:top w:val="single" w:color="auto" w:sz="4" w:space="0"/>
                    <w:left w:val="single" w:color="auto" w:sz="4" w:space="0"/>
                    <w:bottom w:val="single" w:color="auto" w:sz="4" w:space="0"/>
                    <w:right w:val="single" w:color="auto" w:sz="4" w:space="0"/>
                  </w:tcBorders>
                  <w:vAlign w:val="center"/>
                </w:tcPr>
                <w:p w14:paraId="4802A9F1">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≤450</w:t>
                  </w:r>
                </w:p>
              </w:tc>
              <w:tc>
                <w:tcPr>
                  <w:tcW w:w="2737" w:type="dxa"/>
                  <w:vMerge w:val="continue"/>
                  <w:tcBorders>
                    <w:left w:val="single" w:color="auto" w:sz="4" w:space="0"/>
                  </w:tcBorders>
                  <w:vAlign w:val="center"/>
                </w:tcPr>
                <w:p w14:paraId="5520065D">
                  <w:pPr>
                    <w:spacing w:line="240" w:lineRule="auto"/>
                    <w:jc w:val="center"/>
                    <w:rPr>
                      <w:rFonts w:hint="eastAsia"/>
                      <w:color w:val="000000" w:themeColor="text1"/>
                      <w:sz w:val="21"/>
                      <w:szCs w:val="21"/>
                    </w:rPr>
                  </w:pPr>
                </w:p>
              </w:tc>
            </w:tr>
            <w:tr w14:paraId="355EBB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14:paraId="542CD16E">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3</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14:paraId="34819351">
                  <w:pPr>
                    <w:jc w:val="center"/>
                    <w:rPr>
                      <w:rFonts w:hint="eastAsia"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lang w:val="en-US" w:eastAsia="zh-CN"/>
                    </w:rPr>
                    <w:t>六价铬</w:t>
                  </w:r>
                </w:p>
              </w:tc>
              <w:tc>
                <w:tcPr>
                  <w:tcW w:w="2010" w:type="dxa"/>
                  <w:tcBorders>
                    <w:top w:val="single" w:color="auto" w:sz="4" w:space="0"/>
                    <w:left w:val="single" w:color="auto" w:sz="4" w:space="0"/>
                    <w:bottom w:val="single" w:color="auto" w:sz="4" w:space="0"/>
                    <w:right w:val="single" w:color="auto" w:sz="4" w:space="0"/>
                  </w:tcBorders>
                  <w:vAlign w:val="center"/>
                </w:tcPr>
                <w:p w14:paraId="27EC99BD">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≤0.05</w:t>
                  </w:r>
                </w:p>
              </w:tc>
              <w:tc>
                <w:tcPr>
                  <w:tcW w:w="2737" w:type="dxa"/>
                  <w:vMerge w:val="continue"/>
                  <w:tcBorders>
                    <w:left w:val="single" w:color="auto" w:sz="4" w:space="0"/>
                  </w:tcBorders>
                  <w:vAlign w:val="center"/>
                </w:tcPr>
                <w:p w14:paraId="5FF67F03">
                  <w:pPr>
                    <w:spacing w:line="240" w:lineRule="auto"/>
                    <w:jc w:val="center"/>
                    <w:rPr>
                      <w:rFonts w:hint="eastAsia"/>
                      <w:color w:val="000000" w:themeColor="text1"/>
                      <w:sz w:val="21"/>
                      <w:szCs w:val="21"/>
                    </w:rPr>
                  </w:pPr>
                </w:p>
              </w:tc>
            </w:tr>
            <w:tr w14:paraId="60EC20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14:paraId="3ACFEDF1">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4</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14:paraId="4AA50BA9">
                  <w:pPr>
                    <w:jc w:val="center"/>
                    <w:rPr>
                      <w:rFonts w:hint="eastAsia"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lang w:val="en-US" w:eastAsia="zh-CN"/>
                    </w:rPr>
                    <w:t>氨氮</w:t>
                  </w:r>
                </w:p>
              </w:tc>
              <w:tc>
                <w:tcPr>
                  <w:tcW w:w="2010" w:type="dxa"/>
                  <w:tcBorders>
                    <w:top w:val="single" w:color="auto" w:sz="4" w:space="0"/>
                    <w:left w:val="single" w:color="auto" w:sz="4" w:space="0"/>
                    <w:bottom w:val="single" w:color="auto" w:sz="4" w:space="0"/>
                    <w:right w:val="single" w:color="auto" w:sz="4" w:space="0"/>
                  </w:tcBorders>
                  <w:vAlign w:val="center"/>
                </w:tcPr>
                <w:p w14:paraId="18407257">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≤0.50</w:t>
                  </w:r>
                </w:p>
              </w:tc>
              <w:tc>
                <w:tcPr>
                  <w:tcW w:w="2737" w:type="dxa"/>
                  <w:vMerge w:val="continue"/>
                  <w:tcBorders>
                    <w:left w:val="single" w:color="auto" w:sz="4" w:space="0"/>
                  </w:tcBorders>
                  <w:vAlign w:val="center"/>
                </w:tcPr>
                <w:p w14:paraId="20D944AA">
                  <w:pPr>
                    <w:spacing w:line="240" w:lineRule="auto"/>
                    <w:jc w:val="center"/>
                    <w:rPr>
                      <w:rFonts w:hint="eastAsia"/>
                      <w:color w:val="000000" w:themeColor="text1"/>
                      <w:sz w:val="21"/>
                      <w:szCs w:val="21"/>
                    </w:rPr>
                  </w:pPr>
                </w:p>
              </w:tc>
            </w:tr>
            <w:tr w14:paraId="6A709F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14:paraId="7B91FDBA">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5</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14:paraId="5CC33CFE">
                  <w:pPr>
                    <w:jc w:val="center"/>
                    <w:rPr>
                      <w:rFonts w:hint="eastAsia"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lang w:val="en-US" w:eastAsia="zh-CN"/>
                    </w:rPr>
                    <w:t>挥发酚</w:t>
                  </w:r>
                </w:p>
              </w:tc>
              <w:tc>
                <w:tcPr>
                  <w:tcW w:w="2010" w:type="dxa"/>
                  <w:tcBorders>
                    <w:top w:val="single" w:color="auto" w:sz="4" w:space="0"/>
                    <w:left w:val="single" w:color="auto" w:sz="4" w:space="0"/>
                    <w:bottom w:val="single" w:color="auto" w:sz="4" w:space="0"/>
                    <w:right w:val="single" w:color="auto" w:sz="4" w:space="0"/>
                  </w:tcBorders>
                  <w:vAlign w:val="center"/>
                </w:tcPr>
                <w:p w14:paraId="263ACC26">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≤0.002</w:t>
                  </w:r>
                </w:p>
              </w:tc>
              <w:tc>
                <w:tcPr>
                  <w:tcW w:w="2737" w:type="dxa"/>
                  <w:vMerge w:val="continue"/>
                  <w:tcBorders>
                    <w:left w:val="single" w:color="auto" w:sz="4" w:space="0"/>
                  </w:tcBorders>
                  <w:vAlign w:val="center"/>
                </w:tcPr>
                <w:p w14:paraId="54D1D373">
                  <w:pPr>
                    <w:spacing w:line="240" w:lineRule="auto"/>
                    <w:jc w:val="center"/>
                    <w:rPr>
                      <w:rFonts w:hint="eastAsia"/>
                      <w:color w:val="000000" w:themeColor="text1"/>
                      <w:sz w:val="21"/>
                      <w:szCs w:val="21"/>
                    </w:rPr>
                  </w:pPr>
                </w:p>
              </w:tc>
            </w:tr>
            <w:tr w14:paraId="3500BD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14:paraId="515AF744">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6</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14:paraId="249CEF52">
                  <w:pPr>
                    <w:jc w:val="center"/>
                    <w:rPr>
                      <w:rFonts w:hint="eastAsia"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lang w:val="en-US" w:eastAsia="zh-CN"/>
                    </w:rPr>
                    <w:t>耗氧量（COD</w:t>
                  </w:r>
                  <w:r>
                    <w:rPr>
                      <w:rFonts w:hint="eastAsia" w:ascii="Times New Roman" w:hAnsi="Times New Roman" w:cs="Times New Roman"/>
                      <w:color w:val="000000" w:themeColor="text1"/>
                      <w:sz w:val="21"/>
                      <w:szCs w:val="21"/>
                      <w:vertAlign w:val="subscript"/>
                      <w:lang w:val="en-US" w:eastAsia="zh-CN"/>
                    </w:rPr>
                    <w:t>Mn</w:t>
                  </w:r>
                  <w:r>
                    <w:rPr>
                      <w:rFonts w:hint="eastAsia" w:ascii="Times New Roman" w:hAnsi="Times New Roman" w:cs="Times New Roman"/>
                      <w:color w:val="000000" w:themeColor="text1"/>
                      <w:sz w:val="21"/>
                      <w:szCs w:val="21"/>
                      <w:lang w:val="en-US" w:eastAsia="zh-CN"/>
                    </w:rPr>
                    <w:t>法，以O</w:t>
                  </w:r>
                  <w:r>
                    <w:rPr>
                      <w:rFonts w:hint="eastAsia" w:ascii="Times New Roman" w:hAnsi="Times New Roman" w:cs="Times New Roman"/>
                      <w:color w:val="000000" w:themeColor="text1"/>
                      <w:sz w:val="21"/>
                      <w:szCs w:val="21"/>
                      <w:vertAlign w:val="subscript"/>
                      <w:lang w:val="en-US" w:eastAsia="zh-CN"/>
                    </w:rPr>
                    <w:t>2</w:t>
                  </w:r>
                  <w:r>
                    <w:rPr>
                      <w:rFonts w:hint="eastAsia" w:ascii="Times New Roman" w:hAnsi="Times New Roman" w:cs="Times New Roman"/>
                      <w:color w:val="000000" w:themeColor="text1"/>
                      <w:sz w:val="21"/>
                      <w:szCs w:val="21"/>
                      <w:lang w:val="en-US" w:eastAsia="zh-CN"/>
                    </w:rPr>
                    <w:t>计）</w:t>
                  </w:r>
                </w:p>
              </w:tc>
              <w:tc>
                <w:tcPr>
                  <w:tcW w:w="2010" w:type="dxa"/>
                  <w:tcBorders>
                    <w:top w:val="single" w:color="auto" w:sz="4" w:space="0"/>
                    <w:left w:val="single" w:color="auto" w:sz="4" w:space="0"/>
                    <w:bottom w:val="single" w:color="auto" w:sz="4" w:space="0"/>
                    <w:right w:val="single" w:color="auto" w:sz="4" w:space="0"/>
                  </w:tcBorders>
                  <w:vAlign w:val="center"/>
                </w:tcPr>
                <w:p w14:paraId="573ED0BB">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≤3.0</w:t>
                  </w:r>
                </w:p>
              </w:tc>
              <w:tc>
                <w:tcPr>
                  <w:tcW w:w="2737" w:type="dxa"/>
                  <w:vMerge w:val="continue"/>
                  <w:tcBorders>
                    <w:left w:val="single" w:color="auto" w:sz="4" w:space="0"/>
                  </w:tcBorders>
                  <w:vAlign w:val="center"/>
                </w:tcPr>
                <w:p w14:paraId="711D11A2">
                  <w:pPr>
                    <w:spacing w:line="240" w:lineRule="auto"/>
                    <w:jc w:val="center"/>
                    <w:rPr>
                      <w:rFonts w:hint="eastAsia"/>
                      <w:color w:val="000000" w:themeColor="text1"/>
                      <w:sz w:val="21"/>
                      <w:szCs w:val="21"/>
                    </w:rPr>
                  </w:pPr>
                </w:p>
              </w:tc>
            </w:tr>
            <w:tr w14:paraId="275F2A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14:paraId="7819B089">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7</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14:paraId="5FBBE24C">
                  <w:pPr>
                    <w:jc w:val="center"/>
                    <w:rPr>
                      <w:rFonts w:hint="eastAsia"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lang w:val="en-US" w:eastAsia="zh-CN"/>
                    </w:rPr>
                    <w:t>氟化物</w:t>
                  </w:r>
                </w:p>
              </w:tc>
              <w:tc>
                <w:tcPr>
                  <w:tcW w:w="2010" w:type="dxa"/>
                  <w:tcBorders>
                    <w:top w:val="single" w:color="auto" w:sz="4" w:space="0"/>
                    <w:left w:val="single" w:color="auto" w:sz="4" w:space="0"/>
                    <w:bottom w:val="single" w:color="auto" w:sz="4" w:space="0"/>
                    <w:right w:val="single" w:color="auto" w:sz="4" w:space="0"/>
                  </w:tcBorders>
                  <w:vAlign w:val="center"/>
                </w:tcPr>
                <w:p w14:paraId="6F22E3D5">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≤1.0</w:t>
                  </w:r>
                </w:p>
              </w:tc>
              <w:tc>
                <w:tcPr>
                  <w:tcW w:w="2737" w:type="dxa"/>
                  <w:vMerge w:val="continue"/>
                  <w:tcBorders>
                    <w:left w:val="single" w:color="auto" w:sz="4" w:space="0"/>
                  </w:tcBorders>
                  <w:vAlign w:val="center"/>
                </w:tcPr>
                <w:p w14:paraId="61E8202F">
                  <w:pPr>
                    <w:spacing w:line="240" w:lineRule="auto"/>
                    <w:jc w:val="center"/>
                    <w:rPr>
                      <w:rFonts w:hint="eastAsia"/>
                      <w:color w:val="000000" w:themeColor="text1"/>
                      <w:sz w:val="21"/>
                      <w:szCs w:val="21"/>
                    </w:rPr>
                  </w:pPr>
                </w:p>
              </w:tc>
            </w:tr>
            <w:tr w14:paraId="135787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14:paraId="314170AD">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8</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14:paraId="6611E749">
                  <w:pPr>
                    <w:jc w:val="center"/>
                    <w:rPr>
                      <w:rFonts w:hint="eastAsia"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lang w:val="en-US" w:eastAsia="zh-CN"/>
                    </w:rPr>
                    <w:t>硝酸盐氮</w:t>
                  </w:r>
                </w:p>
              </w:tc>
              <w:tc>
                <w:tcPr>
                  <w:tcW w:w="2010" w:type="dxa"/>
                  <w:tcBorders>
                    <w:top w:val="single" w:color="auto" w:sz="4" w:space="0"/>
                    <w:left w:val="single" w:color="auto" w:sz="4" w:space="0"/>
                    <w:bottom w:val="single" w:color="auto" w:sz="4" w:space="0"/>
                    <w:right w:val="single" w:color="auto" w:sz="4" w:space="0"/>
                  </w:tcBorders>
                  <w:vAlign w:val="center"/>
                </w:tcPr>
                <w:p w14:paraId="11EDCBEB">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≤20.0</w:t>
                  </w:r>
                </w:p>
              </w:tc>
              <w:tc>
                <w:tcPr>
                  <w:tcW w:w="2737" w:type="dxa"/>
                  <w:vMerge w:val="continue"/>
                  <w:tcBorders>
                    <w:left w:val="single" w:color="auto" w:sz="4" w:space="0"/>
                  </w:tcBorders>
                  <w:vAlign w:val="center"/>
                </w:tcPr>
                <w:p w14:paraId="4B6FE5BB">
                  <w:pPr>
                    <w:spacing w:line="240" w:lineRule="auto"/>
                    <w:jc w:val="center"/>
                    <w:rPr>
                      <w:rFonts w:hint="eastAsia"/>
                      <w:color w:val="000000" w:themeColor="text1"/>
                      <w:sz w:val="21"/>
                      <w:szCs w:val="21"/>
                    </w:rPr>
                  </w:pPr>
                </w:p>
              </w:tc>
            </w:tr>
            <w:tr w14:paraId="587A67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14:paraId="6660E8E1">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9</w:t>
                  </w:r>
                </w:p>
              </w:tc>
              <w:tc>
                <w:tcPr>
                  <w:tcW w:w="1740" w:type="dxa"/>
                  <w:tcBorders>
                    <w:top w:val="single" w:color="auto" w:sz="4" w:space="0"/>
                    <w:left w:val="single" w:color="auto" w:sz="4" w:space="0"/>
                    <w:bottom w:val="single" w:color="auto" w:sz="4" w:space="0"/>
                    <w:right w:val="single" w:color="auto" w:sz="4" w:space="0"/>
                  </w:tcBorders>
                  <w:vAlign w:val="center"/>
                </w:tcPr>
                <w:p w14:paraId="1440479E">
                  <w:pPr>
                    <w:jc w:val="center"/>
                    <w:rPr>
                      <w:rFonts w:hint="eastAsia" w:ascii="Times New Roman" w:hAnsi="Times New Roman" w:cs="Times New Roman"/>
                      <w:color w:val="000000" w:themeColor="text1"/>
                      <w:sz w:val="21"/>
                      <w:szCs w:val="21"/>
                    </w:rPr>
                  </w:pPr>
                  <w:r>
                    <w:rPr>
                      <w:rFonts w:hint="default" w:ascii="Times New Roman" w:hAnsi="Times New Roman" w:eastAsia="宋体" w:cs="Times New Roman"/>
                      <w:color w:val="000000" w:themeColor="text1"/>
                      <w:sz w:val="21"/>
                      <w:szCs w:val="21"/>
                      <w:lang w:eastAsia="zh-CN"/>
                    </w:rPr>
                    <w:t>亚硝酸盐氮</w:t>
                  </w:r>
                </w:p>
              </w:tc>
              <w:tc>
                <w:tcPr>
                  <w:tcW w:w="2010" w:type="dxa"/>
                  <w:tcBorders>
                    <w:top w:val="single" w:color="auto" w:sz="4" w:space="0"/>
                    <w:left w:val="single" w:color="auto" w:sz="4" w:space="0"/>
                    <w:bottom w:val="single" w:color="auto" w:sz="4" w:space="0"/>
                    <w:right w:val="single" w:color="auto" w:sz="4" w:space="0"/>
                  </w:tcBorders>
                  <w:vAlign w:val="center"/>
                </w:tcPr>
                <w:p w14:paraId="3B393C59">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≤1.0</w:t>
                  </w:r>
                </w:p>
              </w:tc>
              <w:tc>
                <w:tcPr>
                  <w:tcW w:w="2737" w:type="dxa"/>
                  <w:vMerge w:val="continue"/>
                  <w:tcBorders>
                    <w:left w:val="single" w:color="auto" w:sz="4" w:space="0"/>
                  </w:tcBorders>
                  <w:vAlign w:val="center"/>
                </w:tcPr>
                <w:p w14:paraId="33CE6DA6">
                  <w:pPr>
                    <w:spacing w:line="240" w:lineRule="auto"/>
                    <w:jc w:val="center"/>
                    <w:rPr>
                      <w:rFonts w:hint="eastAsia"/>
                      <w:color w:val="000000" w:themeColor="text1"/>
                      <w:sz w:val="21"/>
                      <w:szCs w:val="21"/>
                    </w:rPr>
                  </w:pPr>
                </w:p>
              </w:tc>
            </w:tr>
            <w:tr w14:paraId="58B385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7" w:type="dxa"/>
                  <w:tcBorders>
                    <w:top w:val="single" w:color="auto" w:sz="4" w:space="0"/>
                    <w:bottom w:val="single" w:color="auto" w:sz="4" w:space="0"/>
                    <w:right w:val="single" w:color="auto" w:sz="4" w:space="0"/>
                  </w:tcBorders>
                  <w:vAlign w:val="center"/>
                </w:tcPr>
                <w:p w14:paraId="29E0D178">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10</w:t>
                  </w:r>
                </w:p>
              </w:tc>
              <w:tc>
                <w:tcPr>
                  <w:tcW w:w="1740" w:type="dxa"/>
                  <w:tcBorders>
                    <w:top w:val="single" w:color="auto" w:sz="4" w:space="0"/>
                    <w:left w:val="single" w:color="auto" w:sz="4" w:space="0"/>
                    <w:bottom w:val="single" w:color="auto" w:sz="4" w:space="0"/>
                    <w:right w:val="single" w:color="auto" w:sz="4" w:space="0"/>
                  </w:tcBorders>
                  <w:vAlign w:val="center"/>
                </w:tcPr>
                <w:p w14:paraId="062C4C79">
                  <w:pPr>
                    <w:jc w:val="center"/>
                    <w:rPr>
                      <w:rFonts w:hint="default"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lang w:val="en-US" w:eastAsia="zh-CN"/>
                    </w:rPr>
                    <w:t>氯化物</w:t>
                  </w:r>
                </w:p>
              </w:tc>
              <w:tc>
                <w:tcPr>
                  <w:tcW w:w="2010" w:type="dxa"/>
                  <w:tcBorders>
                    <w:top w:val="single" w:color="auto" w:sz="4" w:space="0"/>
                    <w:left w:val="single" w:color="auto" w:sz="4" w:space="0"/>
                    <w:bottom w:val="single" w:color="auto" w:sz="4" w:space="0"/>
                    <w:right w:val="single" w:color="auto" w:sz="4" w:space="0"/>
                  </w:tcBorders>
                  <w:vAlign w:val="center"/>
                </w:tcPr>
                <w:p w14:paraId="7428B0A2">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≤250</w:t>
                  </w:r>
                </w:p>
              </w:tc>
              <w:tc>
                <w:tcPr>
                  <w:tcW w:w="2737" w:type="dxa"/>
                  <w:vMerge w:val="continue"/>
                  <w:tcBorders>
                    <w:left w:val="single" w:color="auto" w:sz="4" w:space="0"/>
                  </w:tcBorders>
                  <w:vAlign w:val="center"/>
                </w:tcPr>
                <w:p w14:paraId="003B2CF2">
                  <w:pPr>
                    <w:spacing w:line="240" w:lineRule="auto"/>
                    <w:jc w:val="center"/>
                    <w:rPr>
                      <w:rFonts w:hint="eastAsia"/>
                      <w:color w:val="000000" w:themeColor="text1"/>
                      <w:sz w:val="21"/>
                      <w:szCs w:val="21"/>
                    </w:rPr>
                  </w:pPr>
                </w:p>
              </w:tc>
            </w:tr>
            <w:tr w14:paraId="47551A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47" w:type="dxa"/>
                  <w:tcBorders>
                    <w:top w:val="single" w:color="auto" w:sz="4" w:space="0"/>
                    <w:bottom w:val="single" w:color="auto" w:sz="12" w:space="0"/>
                    <w:right w:val="single" w:color="auto" w:sz="4" w:space="0"/>
                  </w:tcBorders>
                  <w:vAlign w:val="center"/>
                </w:tcPr>
                <w:p w14:paraId="4021CEB5">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11</w:t>
                  </w:r>
                </w:p>
              </w:tc>
              <w:tc>
                <w:tcPr>
                  <w:tcW w:w="1740" w:type="dxa"/>
                  <w:tcBorders>
                    <w:top w:val="single" w:color="auto" w:sz="4" w:space="0"/>
                    <w:left w:val="single" w:color="auto" w:sz="4" w:space="0"/>
                    <w:bottom w:val="single" w:color="auto" w:sz="12" w:space="0"/>
                    <w:right w:val="single" w:color="auto" w:sz="4" w:space="0"/>
                  </w:tcBorders>
                  <w:vAlign w:val="center"/>
                </w:tcPr>
                <w:p w14:paraId="3F7A97EA">
                  <w:pPr>
                    <w:jc w:val="center"/>
                    <w:rPr>
                      <w:rFonts w:hint="default"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lang w:val="en-US" w:eastAsia="zh-CN"/>
                    </w:rPr>
                    <w:t>铅</w:t>
                  </w:r>
                </w:p>
              </w:tc>
              <w:tc>
                <w:tcPr>
                  <w:tcW w:w="2010" w:type="dxa"/>
                  <w:tcBorders>
                    <w:top w:val="single" w:color="auto" w:sz="4" w:space="0"/>
                    <w:left w:val="single" w:color="auto" w:sz="4" w:space="0"/>
                    <w:bottom w:val="single" w:color="auto" w:sz="12" w:space="0"/>
                    <w:right w:val="single" w:color="auto" w:sz="4" w:space="0"/>
                  </w:tcBorders>
                  <w:vAlign w:val="center"/>
                </w:tcPr>
                <w:p w14:paraId="783AC142">
                  <w:pPr>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≤0.01</w:t>
                  </w:r>
                </w:p>
              </w:tc>
              <w:tc>
                <w:tcPr>
                  <w:tcW w:w="2737" w:type="dxa"/>
                  <w:vMerge w:val="continue"/>
                  <w:tcBorders>
                    <w:left w:val="single" w:color="auto" w:sz="4" w:space="0"/>
                  </w:tcBorders>
                  <w:vAlign w:val="center"/>
                </w:tcPr>
                <w:p w14:paraId="004A0D48">
                  <w:pPr>
                    <w:spacing w:line="240" w:lineRule="auto"/>
                    <w:jc w:val="center"/>
                    <w:rPr>
                      <w:rFonts w:hint="eastAsia"/>
                      <w:color w:val="000000" w:themeColor="text1"/>
                      <w:sz w:val="21"/>
                      <w:szCs w:val="21"/>
                    </w:rPr>
                  </w:pPr>
                </w:p>
              </w:tc>
            </w:tr>
          </w:tbl>
          <w:p w14:paraId="73E1B4D3">
            <w:pPr>
              <w:keepNext w:val="0"/>
              <w:keepLines w:val="0"/>
              <w:pageBreakBefore w:val="0"/>
              <w:widowControl w:val="0"/>
              <w:tabs>
                <w:tab w:val="center" w:pos="4671"/>
                <w:tab w:val="left" w:pos="6870"/>
              </w:tabs>
              <w:kinsoku/>
              <w:wordWrap/>
              <w:overflowPunct/>
              <w:topLinePunct w:val="0"/>
              <w:autoSpaceDE/>
              <w:autoSpaceDN/>
              <w:bidi w:val="0"/>
              <w:adjustRightInd/>
              <w:snapToGrid w:val="0"/>
              <w:spacing w:line="360" w:lineRule="auto"/>
              <w:ind w:right="0" w:rightChars="0"/>
              <w:jc w:val="left"/>
              <w:textAlignment w:val="auto"/>
              <w:outlineLvl w:val="9"/>
              <w:rPr>
                <w:rFonts w:hint="default" w:ascii="Times New Roman" w:hAnsi="Times New Roman" w:eastAsia="宋体" w:cs="Times New Roman"/>
                <w:color w:val="000000" w:themeColor="text1"/>
                <w:sz w:val="24"/>
                <w:szCs w:val="24"/>
                <w:lang w:val="en-US" w:eastAsia="zh-CN"/>
              </w:rPr>
            </w:pPr>
            <w:r>
              <w:rPr>
                <w:rFonts w:hint="default" w:ascii="Times New Roman" w:hAnsi="Times New Roman" w:eastAsia="宋体" w:cs="Times New Roman"/>
                <w:color w:val="000000" w:themeColor="text1"/>
                <w:sz w:val="24"/>
                <w:szCs w:val="24"/>
                <w:lang w:val="en-US" w:eastAsia="zh-CN"/>
              </w:rPr>
              <w:t>3、声环境质量标准</w:t>
            </w:r>
          </w:p>
          <w:p w14:paraId="5C768C69">
            <w:pPr>
              <w:keepNext w:val="0"/>
              <w:keepLines w:val="0"/>
              <w:pageBreakBefore w:val="0"/>
              <w:widowControl w:val="0"/>
              <w:tabs>
                <w:tab w:val="center" w:pos="4671"/>
                <w:tab w:val="left" w:pos="6870"/>
              </w:tabs>
              <w:kinsoku/>
              <w:wordWrap/>
              <w:overflowPunct/>
              <w:topLinePunct w:val="0"/>
              <w:autoSpaceDE/>
              <w:autoSpaceDN/>
              <w:bidi w:val="0"/>
              <w:adjustRightInd/>
              <w:snapToGrid w:val="0"/>
              <w:spacing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lang w:val="en-US" w:eastAsia="zh-CN"/>
              </w:rPr>
            </w:pPr>
            <w:r>
              <w:rPr>
                <w:rFonts w:hint="default" w:ascii="Times New Roman" w:hAnsi="Times New Roman" w:eastAsia="宋体" w:cs="Times New Roman"/>
                <w:color w:val="000000" w:themeColor="text1"/>
                <w:sz w:val="24"/>
                <w:szCs w:val="24"/>
                <w:lang w:val="en-US" w:eastAsia="zh-CN"/>
              </w:rPr>
              <w:t>建设项目区域声环境执行《声环境质量标准》（GB3096-2008）中</w:t>
            </w:r>
            <w:r>
              <w:rPr>
                <w:rFonts w:hint="eastAsia" w:ascii="Times New Roman" w:hAnsi="Times New Roman" w:cs="Times New Roman"/>
                <w:color w:val="000000" w:themeColor="text1"/>
                <w:sz w:val="24"/>
                <w:szCs w:val="24"/>
                <w:lang w:val="en-US" w:eastAsia="zh-CN"/>
              </w:rPr>
              <w:t>2</w:t>
            </w:r>
            <w:r>
              <w:rPr>
                <w:rFonts w:hint="default" w:ascii="Times New Roman" w:hAnsi="Times New Roman" w:eastAsia="宋体" w:cs="Times New Roman"/>
                <w:color w:val="000000" w:themeColor="text1"/>
                <w:sz w:val="24"/>
                <w:szCs w:val="24"/>
                <w:lang w:val="en-US" w:eastAsia="zh-CN"/>
              </w:rPr>
              <w:t>类区标准。</w:t>
            </w:r>
          </w:p>
          <w:p w14:paraId="3EECF8BA">
            <w:pPr>
              <w:spacing w:line="240" w:lineRule="auto"/>
              <w:ind w:firstLine="422" w:firstLineChars="200"/>
              <w:rPr>
                <w:rFonts w:hint="eastAsia"/>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表25                  环境噪声标准                  单位：dB（A）</w:t>
            </w:r>
          </w:p>
          <w:tbl>
            <w:tblPr>
              <w:tblStyle w:val="20"/>
              <w:tblW w:w="7334"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44"/>
              <w:gridCol w:w="2445"/>
              <w:gridCol w:w="2445"/>
            </w:tblGrid>
            <w:tr w14:paraId="141407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12" w:space="0"/>
                    <w:bottom w:val="single" w:color="auto" w:sz="12" w:space="0"/>
                  </w:tcBorders>
                  <w:vAlign w:val="center"/>
                </w:tcPr>
                <w:p w14:paraId="6A336967">
                  <w:pPr>
                    <w:spacing w:line="240" w:lineRule="auto"/>
                    <w:jc w:val="center"/>
                    <w:rPr>
                      <w:rFonts w:hint="eastAsia" w:ascii="Times New Roman" w:hAnsi="Times New Roman" w:eastAsia="宋体"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类别</w:t>
                  </w:r>
                </w:p>
              </w:tc>
              <w:tc>
                <w:tcPr>
                  <w:tcW w:w="2445" w:type="dxa"/>
                  <w:tcBorders>
                    <w:top w:val="single" w:color="auto" w:sz="12" w:space="0"/>
                    <w:bottom w:val="single" w:color="auto" w:sz="12" w:space="0"/>
                  </w:tcBorders>
                  <w:vAlign w:val="center"/>
                </w:tcPr>
                <w:p w14:paraId="40D8A6FD">
                  <w:pPr>
                    <w:spacing w:line="240" w:lineRule="auto"/>
                    <w:jc w:val="center"/>
                    <w:rPr>
                      <w:rFonts w:hint="eastAsia" w:ascii="Times New Roman" w:hAnsi="Times New Roman" w:eastAsia="宋体"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昼间</w:t>
                  </w:r>
                </w:p>
              </w:tc>
              <w:tc>
                <w:tcPr>
                  <w:tcW w:w="2445" w:type="dxa"/>
                  <w:tcBorders>
                    <w:top w:val="single" w:color="auto" w:sz="12" w:space="0"/>
                    <w:bottom w:val="single" w:color="auto" w:sz="12" w:space="0"/>
                  </w:tcBorders>
                  <w:vAlign w:val="center"/>
                </w:tcPr>
                <w:p w14:paraId="0EE07079">
                  <w:pPr>
                    <w:spacing w:line="240" w:lineRule="auto"/>
                    <w:jc w:val="center"/>
                    <w:rPr>
                      <w:rFonts w:hint="eastAsia" w:ascii="Times New Roman" w:hAnsi="Times New Roman" w:eastAsia="宋体"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夜间</w:t>
                  </w:r>
                </w:p>
              </w:tc>
            </w:tr>
            <w:tr w14:paraId="2925D1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44" w:type="dxa"/>
                  <w:tcBorders>
                    <w:top w:val="single" w:color="auto" w:sz="12" w:space="0"/>
                    <w:bottom w:val="single" w:color="auto" w:sz="12" w:space="0"/>
                  </w:tcBorders>
                  <w:vAlign w:val="center"/>
                </w:tcPr>
                <w:p w14:paraId="34754E9F">
                  <w:pPr>
                    <w:spacing w:line="240" w:lineRule="auto"/>
                    <w:jc w:val="center"/>
                    <w:rPr>
                      <w:rFonts w:hint="eastAsia"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2</w:t>
                  </w:r>
                </w:p>
              </w:tc>
              <w:tc>
                <w:tcPr>
                  <w:tcW w:w="2445" w:type="dxa"/>
                  <w:tcBorders>
                    <w:top w:val="single" w:color="auto" w:sz="12" w:space="0"/>
                    <w:bottom w:val="single" w:color="auto" w:sz="12" w:space="0"/>
                  </w:tcBorders>
                  <w:vAlign w:val="center"/>
                </w:tcPr>
                <w:p w14:paraId="6AD8B825">
                  <w:pPr>
                    <w:spacing w:line="240" w:lineRule="auto"/>
                    <w:jc w:val="center"/>
                    <w:rPr>
                      <w:rFonts w:hint="eastAsia"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60</w:t>
                  </w:r>
                </w:p>
              </w:tc>
              <w:tc>
                <w:tcPr>
                  <w:tcW w:w="2445" w:type="dxa"/>
                  <w:tcBorders>
                    <w:top w:val="single" w:color="auto" w:sz="12" w:space="0"/>
                    <w:bottom w:val="single" w:color="auto" w:sz="12" w:space="0"/>
                  </w:tcBorders>
                  <w:vAlign w:val="center"/>
                </w:tcPr>
                <w:p w14:paraId="62E97487">
                  <w:pPr>
                    <w:spacing w:line="240" w:lineRule="auto"/>
                    <w:jc w:val="center"/>
                    <w:rPr>
                      <w:rFonts w:hint="eastAsia"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50</w:t>
                  </w:r>
                </w:p>
              </w:tc>
            </w:tr>
          </w:tbl>
          <w:p w14:paraId="123B1E83">
            <w:pPr>
              <w:spacing w:line="240" w:lineRule="auto"/>
              <w:rPr>
                <w:rFonts w:hint="eastAsia" w:ascii="Times New Roman" w:hAnsi="Times New Roman" w:eastAsia="宋体" w:cs="Times New Roman"/>
                <w:color w:val="000000" w:themeColor="text1"/>
                <w:sz w:val="18"/>
                <w:szCs w:val="18"/>
                <w:lang w:val="en-US" w:eastAsia="zh-CN"/>
              </w:rPr>
            </w:pPr>
          </w:p>
        </w:tc>
      </w:tr>
      <w:tr w14:paraId="3CCFB97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54" w:type="dxa"/>
            <w:vAlign w:val="center"/>
          </w:tcPr>
          <w:p w14:paraId="68B8A87C">
            <w:pPr>
              <w:jc w:val="center"/>
              <w:rPr>
                <w:rFonts w:hint="default" w:ascii="Times New Roman" w:hAnsi="Times New Roman" w:cs="Times New Roman"/>
                <w:color w:val="000000" w:themeColor="text1"/>
                <w:sz w:val="24"/>
                <w:szCs w:val="24"/>
              </w:rPr>
            </w:pPr>
          </w:p>
          <w:p w14:paraId="794E5FFB">
            <w:pPr>
              <w:jc w:val="center"/>
              <w:rPr>
                <w:rFonts w:hint="default" w:ascii="Times New Roman" w:hAnsi="Times New Roman" w:cs="Times New Roman"/>
                <w:color w:val="000000" w:themeColor="text1"/>
                <w:sz w:val="24"/>
                <w:szCs w:val="24"/>
              </w:rPr>
            </w:pPr>
          </w:p>
          <w:p w14:paraId="45476B1F">
            <w:pPr>
              <w:jc w:val="center"/>
              <w:rPr>
                <w:rFonts w:hint="default" w:ascii="Times New Roman" w:hAnsi="Times New Roman" w:cs="Times New Roman"/>
                <w:color w:val="000000" w:themeColor="text1"/>
                <w:sz w:val="24"/>
                <w:szCs w:val="24"/>
              </w:rPr>
            </w:pPr>
          </w:p>
          <w:p w14:paraId="5990A323">
            <w:pPr>
              <w:jc w:val="center"/>
              <w:rPr>
                <w:rFonts w:hint="default" w:ascii="Times New Roman" w:hAnsi="Times New Roman" w:cs="Times New Roman"/>
                <w:color w:val="000000" w:themeColor="text1"/>
                <w:sz w:val="24"/>
                <w:szCs w:val="24"/>
              </w:rPr>
            </w:pPr>
          </w:p>
          <w:p w14:paraId="3DC7B306">
            <w:pPr>
              <w:jc w:val="cente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污</w:t>
            </w:r>
          </w:p>
          <w:p w14:paraId="2A5F523E">
            <w:pPr>
              <w:jc w:val="cente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染</w:t>
            </w:r>
          </w:p>
          <w:p w14:paraId="01ADF1D2">
            <w:pPr>
              <w:jc w:val="cente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物</w:t>
            </w:r>
          </w:p>
          <w:p w14:paraId="075F2EEF">
            <w:pPr>
              <w:jc w:val="cente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排</w:t>
            </w:r>
          </w:p>
          <w:p w14:paraId="49C62BFD">
            <w:pPr>
              <w:jc w:val="cente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放</w:t>
            </w:r>
          </w:p>
          <w:p w14:paraId="5FF37EFF">
            <w:pPr>
              <w:jc w:val="cente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标</w:t>
            </w:r>
          </w:p>
          <w:p w14:paraId="2F709FD5">
            <w:pPr>
              <w:jc w:val="center"/>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准</w:t>
            </w:r>
          </w:p>
          <w:p w14:paraId="5CE38482">
            <w:pPr>
              <w:jc w:val="center"/>
              <w:rPr>
                <w:rFonts w:hint="default" w:ascii="Times New Roman" w:hAnsi="Times New Roman" w:cs="Times New Roman"/>
                <w:color w:val="000000" w:themeColor="text1"/>
                <w:sz w:val="24"/>
                <w:szCs w:val="24"/>
              </w:rPr>
            </w:pPr>
          </w:p>
          <w:p w14:paraId="38E83DFF">
            <w:pPr>
              <w:jc w:val="center"/>
              <w:rPr>
                <w:rFonts w:hint="default" w:ascii="Times New Roman" w:hAnsi="Times New Roman" w:cs="Times New Roman"/>
                <w:color w:val="000000" w:themeColor="text1"/>
                <w:sz w:val="24"/>
                <w:szCs w:val="24"/>
              </w:rPr>
            </w:pPr>
          </w:p>
          <w:p w14:paraId="7008BA95">
            <w:pPr>
              <w:jc w:val="center"/>
              <w:rPr>
                <w:rFonts w:hint="default" w:ascii="Times New Roman" w:hAnsi="Times New Roman" w:cs="Times New Roman"/>
                <w:color w:val="000000" w:themeColor="text1"/>
                <w:sz w:val="24"/>
                <w:szCs w:val="24"/>
              </w:rPr>
            </w:pPr>
          </w:p>
          <w:p w14:paraId="0441CFC5">
            <w:pPr>
              <w:jc w:val="center"/>
              <w:rPr>
                <w:rFonts w:hint="default" w:ascii="Times New Roman" w:hAnsi="Times New Roman" w:cs="Times New Roman"/>
                <w:color w:val="000000" w:themeColor="text1"/>
                <w:sz w:val="24"/>
                <w:szCs w:val="24"/>
              </w:rPr>
            </w:pPr>
          </w:p>
        </w:tc>
        <w:tc>
          <w:tcPr>
            <w:tcW w:w="7550" w:type="dxa"/>
            <w:vAlign w:val="center"/>
          </w:tcPr>
          <w:p w14:paraId="1D4B7867">
            <w:pPr>
              <w:spacing w:line="360" w:lineRule="auto"/>
              <w:rPr>
                <w:rFonts w:hint="default" w:ascii="Times New Roman" w:hAnsi="Times New Roman" w:cs="Times New Roman"/>
                <w:color w:val="000000" w:themeColor="text1"/>
                <w:sz w:val="24"/>
                <w:szCs w:val="24"/>
                <w:lang w:val="en-US" w:eastAsia="zh-CN"/>
              </w:rPr>
            </w:pPr>
          </w:p>
          <w:p w14:paraId="7FCB5598">
            <w:pPr>
              <w:spacing w:line="360" w:lineRule="auto"/>
              <w:rPr>
                <w:rFonts w:hint="default" w:ascii="Times New Roman" w:hAnsi="Times New Roman" w:cs="Times New Roman"/>
                <w:color w:val="000000" w:themeColor="text1"/>
                <w:sz w:val="24"/>
                <w:szCs w:val="24"/>
                <w:lang w:val="en-US" w:eastAsia="zh-CN"/>
              </w:rPr>
            </w:pPr>
          </w:p>
          <w:p w14:paraId="6B6B43E9">
            <w:pPr>
              <w:spacing w:line="360" w:lineRule="auto"/>
              <w:rPr>
                <w:rFonts w:hint="default" w:ascii="Times New Roman" w:hAnsi="Times New Roman" w:cs="Times New Roman"/>
                <w:color w:val="000000" w:themeColor="text1"/>
                <w:sz w:val="24"/>
                <w:szCs w:val="24"/>
                <w:lang w:val="en-US" w:eastAsia="zh-CN"/>
              </w:rPr>
            </w:pPr>
          </w:p>
          <w:p w14:paraId="7CB3242F">
            <w:pPr>
              <w:spacing w:line="360" w:lineRule="auto"/>
              <w:rPr>
                <w:rFonts w:hint="default" w:ascii="Times New Roman" w:hAnsi="Times New Roman" w:cs="Times New Roman"/>
                <w:color w:val="000000" w:themeColor="text1"/>
                <w:sz w:val="24"/>
                <w:szCs w:val="24"/>
                <w:lang w:val="en-US" w:eastAsia="zh-CN"/>
              </w:rPr>
            </w:pPr>
          </w:p>
          <w:p w14:paraId="0D2344E3">
            <w:pPr>
              <w:spacing w:line="360" w:lineRule="auto"/>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lang w:val="en-US" w:eastAsia="zh-CN"/>
              </w:rPr>
              <w:t>1、</w:t>
            </w:r>
            <w:r>
              <w:rPr>
                <w:rFonts w:hint="default" w:ascii="Times New Roman" w:hAnsi="Times New Roman" w:cs="Times New Roman"/>
                <w:color w:val="000000" w:themeColor="text1"/>
                <w:sz w:val="24"/>
                <w:szCs w:val="24"/>
              </w:rPr>
              <w:t>《大气污染物排放标准》（GB16297-1996）中的无组织排放监控浓度限值非甲烷总烃不超过4mg/m</w:t>
            </w:r>
            <w:r>
              <w:rPr>
                <w:rFonts w:hint="default" w:ascii="Times New Roman" w:hAnsi="Times New Roman" w:cs="Times New Roman"/>
                <w:color w:val="000000" w:themeColor="text1"/>
                <w:sz w:val="24"/>
                <w:szCs w:val="24"/>
                <w:vertAlign w:val="superscript"/>
              </w:rPr>
              <w:t>3</w:t>
            </w:r>
            <w:r>
              <w:rPr>
                <w:rFonts w:hint="default" w:ascii="Times New Roman" w:hAnsi="Times New Roman" w:cs="Times New Roman"/>
                <w:color w:val="000000" w:themeColor="text1"/>
                <w:sz w:val="24"/>
                <w:szCs w:val="24"/>
              </w:rPr>
              <w:t>的要求；《加油站大气污染物排放标准》（GB20952-2007）中油气处理装置油气排放浓度≤25g/m</w:t>
            </w:r>
            <w:r>
              <w:rPr>
                <w:rFonts w:hint="default" w:ascii="Times New Roman" w:hAnsi="Times New Roman" w:cs="Times New Roman"/>
                <w:color w:val="000000" w:themeColor="text1"/>
                <w:sz w:val="24"/>
                <w:szCs w:val="24"/>
                <w:vertAlign w:val="superscript"/>
              </w:rPr>
              <w:t>3</w:t>
            </w:r>
            <w:r>
              <w:rPr>
                <w:rFonts w:hint="default" w:ascii="Times New Roman" w:hAnsi="Times New Roman" w:cs="Times New Roman"/>
                <w:color w:val="000000" w:themeColor="text1"/>
                <w:sz w:val="24"/>
                <w:szCs w:val="24"/>
              </w:rPr>
              <w:t>；</w:t>
            </w:r>
          </w:p>
          <w:p w14:paraId="278D0017">
            <w:pPr>
              <w:spacing w:line="360" w:lineRule="auto"/>
              <w:rPr>
                <w:rFonts w:hint="eastAsia" w:ascii="Times New Roman" w:hAnsi="Times New Roman"/>
                <w:bCs/>
                <w:color w:val="000000" w:themeColor="text1"/>
                <w:kern w:val="0"/>
                <w:sz w:val="24"/>
                <w:szCs w:val="24"/>
                <w:lang w:val="en-US" w:eastAsia="zh-CN"/>
              </w:rPr>
            </w:pPr>
            <w:r>
              <w:rPr>
                <w:rFonts w:hint="default" w:ascii="Times New Roman" w:hAnsi="Times New Roman" w:cs="Times New Roman"/>
                <w:color w:val="000000" w:themeColor="text1"/>
                <w:sz w:val="24"/>
                <w:szCs w:val="24"/>
                <w:lang w:val="en-US" w:eastAsia="zh-CN"/>
              </w:rPr>
              <w:t>2、</w:t>
            </w:r>
            <w:r>
              <w:rPr>
                <w:rFonts w:hint="eastAsia" w:ascii="Times New Roman" w:hAnsi="Times New Roman"/>
                <w:bCs/>
                <w:color w:val="000000" w:themeColor="text1"/>
                <w:kern w:val="0"/>
                <w:sz w:val="24"/>
                <w:szCs w:val="24"/>
                <w:lang w:val="en-US" w:eastAsia="zh-CN"/>
              </w:rPr>
              <w:t>生活污水排放执行</w:t>
            </w:r>
            <w:bookmarkStart w:id="11" w:name="OLE_LINK7"/>
            <w:r>
              <w:rPr>
                <w:rFonts w:hint="eastAsia" w:ascii="Times New Roman" w:hAnsi="Times New Roman"/>
                <w:bCs/>
                <w:color w:val="000000" w:themeColor="text1"/>
                <w:kern w:val="0"/>
                <w:sz w:val="24"/>
                <w:szCs w:val="24"/>
                <w:lang w:val="en-US" w:eastAsia="zh-CN"/>
              </w:rPr>
              <w:t>《污水综合排放标准》（GB8978-1996）三级标准</w:t>
            </w:r>
            <w:bookmarkEnd w:id="11"/>
            <w:r>
              <w:rPr>
                <w:rFonts w:hint="eastAsia" w:ascii="Times New Roman" w:hAnsi="Times New Roman"/>
                <w:bCs/>
                <w:color w:val="000000" w:themeColor="text1"/>
                <w:kern w:val="0"/>
                <w:sz w:val="24"/>
                <w:szCs w:val="24"/>
                <w:lang w:val="en-US" w:eastAsia="zh-CN"/>
              </w:rPr>
              <w:t>限值要求。</w:t>
            </w:r>
          </w:p>
          <w:p w14:paraId="34272457">
            <w:pPr>
              <w:spacing w:line="360" w:lineRule="auto"/>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lang w:val="en-US" w:eastAsia="zh-CN"/>
              </w:rPr>
              <w:t>3、</w:t>
            </w:r>
            <w:r>
              <w:rPr>
                <w:rFonts w:hint="default" w:ascii="Times New Roman" w:hAnsi="Times New Roman" w:cs="Times New Roman"/>
                <w:color w:val="000000" w:themeColor="text1"/>
                <w:sz w:val="24"/>
                <w:szCs w:val="24"/>
              </w:rPr>
              <w:t>《工业企业厂界环境噪声排放标准》（GB12348-2008）中的</w:t>
            </w:r>
            <w:r>
              <w:rPr>
                <w:rFonts w:hint="eastAsia" w:ascii="Times New Roman" w:hAnsi="Times New Roman" w:cs="Times New Roman"/>
                <w:color w:val="000000" w:themeColor="text1"/>
                <w:sz w:val="24"/>
                <w:szCs w:val="24"/>
                <w:lang w:val="en-US" w:eastAsia="zh-CN"/>
              </w:rPr>
              <w:t>2</w:t>
            </w:r>
            <w:r>
              <w:rPr>
                <w:rFonts w:hint="default" w:ascii="Times New Roman" w:hAnsi="Times New Roman" w:cs="Times New Roman"/>
                <w:color w:val="000000" w:themeColor="text1"/>
                <w:sz w:val="24"/>
                <w:szCs w:val="24"/>
              </w:rPr>
              <w:t>类标准；</w:t>
            </w:r>
          </w:p>
          <w:p w14:paraId="1EDACAAC">
            <w:pPr>
              <w:spacing w:line="240" w:lineRule="auto"/>
              <w:ind w:firstLine="422" w:firstLineChars="200"/>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26</w:t>
            </w:r>
            <w:r>
              <w:rPr>
                <w:rFonts w:hint="eastAsia"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 xml:space="preserve">          工业企业厂界环境噪声排放限值       单位：dB（A）</w:t>
            </w:r>
          </w:p>
          <w:tbl>
            <w:tblPr>
              <w:tblStyle w:val="20"/>
              <w:tblW w:w="7334" w:type="dxa"/>
              <w:tblInd w:w="6"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155"/>
              <w:gridCol w:w="2089"/>
              <w:gridCol w:w="2090"/>
            </w:tblGrid>
            <w:tr w14:paraId="3B0A6E94">
              <w:tblPrEx>
                <w:tblCellMar>
                  <w:top w:w="0" w:type="dxa"/>
                  <w:left w:w="108" w:type="dxa"/>
                  <w:bottom w:w="0" w:type="dxa"/>
                  <w:right w:w="108" w:type="dxa"/>
                </w:tblCellMar>
              </w:tblPrEx>
              <w:trPr>
                <w:trHeight w:val="23" w:hRule="atLeast"/>
              </w:trPr>
              <w:tc>
                <w:tcPr>
                  <w:tcW w:w="3155" w:type="dxa"/>
                  <w:vMerge w:val="restart"/>
                  <w:tcBorders>
                    <w:top w:val="single" w:color="auto" w:sz="12" w:space="0"/>
                  </w:tcBorders>
                  <w:vAlign w:val="center"/>
                </w:tcPr>
                <w:p w14:paraId="4643B36F">
                  <w:pPr>
                    <w:pStyle w:val="43"/>
                    <w:spacing w:line="240" w:lineRule="auto"/>
                    <w:jc w:val="center"/>
                    <w:rPr>
                      <w:rFonts w:hint="eastAsia"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厂界外声环境功能区类别</w:t>
                  </w:r>
                </w:p>
              </w:tc>
              <w:tc>
                <w:tcPr>
                  <w:tcW w:w="4179" w:type="dxa"/>
                  <w:gridSpan w:val="2"/>
                  <w:tcBorders>
                    <w:top w:val="single" w:color="auto" w:sz="12" w:space="0"/>
                  </w:tcBorders>
                  <w:vAlign w:val="center"/>
                </w:tcPr>
                <w:p w14:paraId="4EB0140E">
                  <w:pPr>
                    <w:pStyle w:val="43"/>
                    <w:spacing w:line="240" w:lineRule="auto"/>
                    <w:jc w:val="center"/>
                    <w:rPr>
                      <w:rFonts w:hint="eastAsia"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时段</w:t>
                  </w:r>
                </w:p>
              </w:tc>
            </w:tr>
            <w:tr w14:paraId="4D3987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55" w:type="dxa"/>
                  <w:vMerge w:val="continue"/>
                  <w:tcBorders>
                    <w:bottom w:val="single" w:color="auto" w:sz="12" w:space="0"/>
                  </w:tcBorders>
                  <w:vAlign w:val="center"/>
                </w:tcPr>
                <w:p w14:paraId="1E18B374">
                  <w:pPr>
                    <w:pStyle w:val="43"/>
                    <w:spacing w:line="240" w:lineRule="auto"/>
                    <w:jc w:val="center"/>
                    <w:rPr>
                      <w:rFonts w:hint="default" w:ascii="Times New Roman" w:hAnsi="Times New Roman" w:cs="Times New Roman"/>
                      <w:b/>
                      <w:bCs/>
                      <w:color w:val="000000" w:themeColor="text1"/>
                      <w:kern w:val="0"/>
                      <w:sz w:val="21"/>
                      <w:szCs w:val="21"/>
                      <w:vertAlign w:val="baseline"/>
                    </w:rPr>
                  </w:pPr>
                </w:p>
              </w:tc>
              <w:tc>
                <w:tcPr>
                  <w:tcW w:w="2089" w:type="dxa"/>
                  <w:tcBorders>
                    <w:bottom w:val="single" w:color="auto" w:sz="12" w:space="0"/>
                  </w:tcBorders>
                  <w:vAlign w:val="center"/>
                </w:tcPr>
                <w:p w14:paraId="68936E64">
                  <w:pPr>
                    <w:pStyle w:val="43"/>
                    <w:spacing w:line="240" w:lineRule="auto"/>
                    <w:jc w:val="center"/>
                    <w:rPr>
                      <w:rFonts w:hint="eastAsia"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昼间</w:t>
                  </w:r>
                </w:p>
              </w:tc>
              <w:tc>
                <w:tcPr>
                  <w:tcW w:w="2090" w:type="dxa"/>
                  <w:tcBorders>
                    <w:bottom w:val="single" w:color="auto" w:sz="12" w:space="0"/>
                  </w:tcBorders>
                  <w:vAlign w:val="center"/>
                </w:tcPr>
                <w:p w14:paraId="52A4F055">
                  <w:pPr>
                    <w:pStyle w:val="43"/>
                    <w:spacing w:line="240" w:lineRule="auto"/>
                    <w:jc w:val="center"/>
                    <w:rPr>
                      <w:rFonts w:hint="eastAsia"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夜间</w:t>
                  </w:r>
                </w:p>
              </w:tc>
            </w:tr>
            <w:tr w14:paraId="792F48A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55" w:type="dxa"/>
                  <w:tcBorders>
                    <w:top w:val="single" w:color="auto" w:sz="12" w:space="0"/>
                    <w:bottom w:val="single" w:color="auto" w:sz="12" w:space="0"/>
                  </w:tcBorders>
                  <w:vAlign w:val="center"/>
                </w:tcPr>
                <w:p w14:paraId="2C5B30A4">
                  <w:pPr>
                    <w:pStyle w:val="43"/>
                    <w:spacing w:line="240" w:lineRule="auto"/>
                    <w:jc w:val="center"/>
                    <w:rPr>
                      <w:rFonts w:hint="eastAsia"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2</w:t>
                  </w:r>
                </w:p>
              </w:tc>
              <w:tc>
                <w:tcPr>
                  <w:tcW w:w="2089" w:type="dxa"/>
                  <w:tcBorders>
                    <w:top w:val="single" w:color="auto" w:sz="12" w:space="0"/>
                    <w:bottom w:val="single" w:color="auto" w:sz="12" w:space="0"/>
                  </w:tcBorders>
                  <w:vAlign w:val="center"/>
                </w:tcPr>
                <w:p w14:paraId="7906778B">
                  <w:pPr>
                    <w:pStyle w:val="43"/>
                    <w:spacing w:line="240" w:lineRule="auto"/>
                    <w:jc w:val="center"/>
                    <w:rPr>
                      <w:rFonts w:hint="eastAsia"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60</w:t>
                  </w:r>
                </w:p>
              </w:tc>
              <w:tc>
                <w:tcPr>
                  <w:tcW w:w="2090" w:type="dxa"/>
                  <w:tcBorders>
                    <w:top w:val="single" w:color="auto" w:sz="12" w:space="0"/>
                    <w:bottom w:val="single" w:color="auto" w:sz="12" w:space="0"/>
                  </w:tcBorders>
                  <w:vAlign w:val="center"/>
                </w:tcPr>
                <w:p w14:paraId="69DF2F47">
                  <w:pPr>
                    <w:pStyle w:val="43"/>
                    <w:spacing w:line="240" w:lineRule="auto"/>
                    <w:jc w:val="center"/>
                    <w:rPr>
                      <w:rFonts w:hint="eastAsia"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50</w:t>
                  </w:r>
                </w:p>
              </w:tc>
            </w:tr>
          </w:tbl>
          <w:p w14:paraId="26707A01">
            <w:pPr>
              <w:spacing w:line="360" w:lineRule="auto"/>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4</w:t>
            </w:r>
            <w:r>
              <w:rPr>
                <w:rFonts w:hint="default" w:ascii="Times New Roman" w:hAnsi="Times New Roman" w:cs="Times New Roman"/>
                <w:color w:val="000000" w:themeColor="text1"/>
                <w:sz w:val="24"/>
                <w:szCs w:val="24"/>
              </w:rPr>
              <w:t>《建筑施工场界环境噪声排放标准》（GB12523-2011）；</w:t>
            </w:r>
          </w:p>
          <w:p w14:paraId="02ED1267">
            <w:pPr>
              <w:spacing w:line="240" w:lineRule="auto"/>
              <w:ind w:firstLine="422" w:firstLineChars="200"/>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27</w:t>
            </w:r>
            <w:r>
              <w:rPr>
                <w:rFonts w:hint="eastAsia"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 xml:space="preserve">          建筑施工场界噪声排放限值       单位：dB（A）</w:t>
            </w:r>
          </w:p>
          <w:tbl>
            <w:tblPr>
              <w:tblStyle w:val="20"/>
              <w:tblW w:w="7334" w:type="dxa"/>
              <w:tblInd w:w="6"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667"/>
              <w:gridCol w:w="3667"/>
            </w:tblGrid>
            <w:tr w14:paraId="50BC67B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667" w:type="dxa"/>
                  <w:tcBorders>
                    <w:top w:val="single" w:color="auto" w:sz="12" w:space="0"/>
                  </w:tcBorders>
                  <w:vAlign w:val="center"/>
                </w:tcPr>
                <w:p w14:paraId="37CD18DB">
                  <w:pPr>
                    <w:pStyle w:val="43"/>
                    <w:spacing w:line="240" w:lineRule="auto"/>
                    <w:jc w:val="center"/>
                    <w:rPr>
                      <w:rFonts w:hint="eastAsia"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昼间</w:t>
                  </w:r>
                </w:p>
              </w:tc>
              <w:tc>
                <w:tcPr>
                  <w:tcW w:w="3667" w:type="dxa"/>
                  <w:tcBorders>
                    <w:top w:val="single" w:color="auto" w:sz="12" w:space="0"/>
                    <w:bottom w:val="single" w:color="auto" w:sz="12" w:space="0"/>
                  </w:tcBorders>
                  <w:vAlign w:val="center"/>
                </w:tcPr>
                <w:p w14:paraId="3D099A6F">
                  <w:pPr>
                    <w:pStyle w:val="43"/>
                    <w:spacing w:line="240" w:lineRule="auto"/>
                    <w:jc w:val="center"/>
                    <w:rPr>
                      <w:rFonts w:hint="eastAsia"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夜间</w:t>
                  </w:r>
                </w:p>
              </w:tc>
            </w:tr>
            <w:tr w14:paraId="64986A5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667" w:type="dxa"/>
                  <w:tcBorders>
                    <w:top w:val="single" w:color="auto" w:sz="12" w:space="0"/>
                    <w:bottom w:val="single" w:color="auto" w:sz="12" w:space="0"/>
                  </w:tcBorders>
                  <w:vAlign w:val="center"/>
                </w:tcPr>
                <w:p w14:paraId="5E3F2BD5">
                  <w:pPr>
                    <w:pStyle w:val="43"/>
                    <w:spacing w:line="240" w:lineRule="auto"/>
                    <w:jc w:val="center"/>
                    <w:rPr>
                      <w:rFonts w:hint="eastAsia"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70</w:t>
                  </w:r>
                </w:p>
              </w:tc>
              <w:tc>
                <w:tcPr>
                  <w:tcW w:w="3667" w:type="dxa"/>
                  <w:tcBorders>
                    <w:top w:val="single" w:color="auto" w:sz="12" w:space="0"/>
                    <w:bottom w:val="single" w:color="auto" w:sz="12" w:space="0"/>
                  </w:tcBorders>
                  <w:vAlign w:val="center"/>
                </w:tcPr>
                <w:p w14:paraId="669CC5E8">
                  <w:pPr>
                    <w:pStyle w:val="43"/>
                    <w:spacing w:line="240" w:lineRule="auto"/>
                    <w:jc w:val="center"/>
                    <w:rPr>
                      <w:rFonts w:hint="eastAsia"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55</w:t>
                  </w:r>
                </w:p>
              </w:tc>
            </w:tr>
          </w:tbl>
          <w:p w14:paraId="4465B1C6">
            <w:pPr>
              <w:spacing w:line="360" w:lineRule="auto"/>
              <w:jc w:val="left"/>
              <w:rPr>
                <w:rFonts w:hint="default" w:ascii="Times New Roman" w:hAnsi="Times New Roman" w:cs="Times New Roman"/>
                <w:bCs/>
                <w:color w:val="000000" w:themeColor="text1"/>
                <w:kern w:val="0"/>
                <w:sz w:val="24"/>
                <w:szCs w:val="24"/>
              </w:rPr>
            </w:pPr>
            <w:r>
              <w:rPr>
                <w:rFonts w:hint="eastAsia" w:ascii="Times New Roman" w:hAnsi="Times New Roman" w:cs="Times New Roman"/>
                <w:bCs/>
                <w:color w:val="000000" w:themeColor="text1"/>
                <w:kern w:val="0"/>
                <w:sz w:val="24"/>
                <w:szCs w:val="24"/>
                <w:lang w:val="en-US" w:eastAsia="zh-CN"/>
              </w:rPr>
              <w:t>5</w:t>
            </w:r>
            <w:r>
              <w:rPr>
                <w:rFonts w:hint="default" w:ascii="Times New Roman" w:hAnsi="Times New Roman" w:cs="Times New Roman"/>
                <w:bCs/>
                <w:color w:val="000000" w:themeColor="text1"/>
                <w:kern w:val="0"/>
                <w:sz w:val="24"/>
                <w:szCs w:val="24"/>
                <w:lang w:val="en-US" w:eastAsia="zh-CN"/>
              </w:rPr>
              <w:t>、</w:t>
            </w:r>
            <w:r>
              <w:rPr>
                <w:rFonts w:hint="default" w:ascii="Times New Roman" w:hAnsi="Times New Roman" w:cs="Times New Roman"/>
                <w:bCs/>
                <w:color w:val="000000" w:themeColor="text1"/>
                <w:kern w:val="0"/>
                <w:sz w:val="24"/>
                <w:szCs w:val="24"/>
              </w:rPr>
              <w:t>固废排放执行标准</w:t>
            </w:r>
          </w:p>
          <w:p w14:paraId="343886A9">
            <w:pPr>
              <w:numPr>
                <w:ilvl w:val="0"/>
                <w:numId w:val="3"/>
              </w:numPr>
              <w:spacing w:line="360" w:lineRule="auto"/>
              <w:ind w:firstLine="480" w:firstLineChars="200"/>
              <w:jc w:val="left"/>
              <w:rPr>
                <w:rFonts w:hint="default" w:ascii="Times New Roman" w:hAnsi="Times New Roman" w:cs="Times New Roman"/>
                <w:bCs/>
                <w:color w:val="000000" w:themeColor="text1"/>
                <w:kern w:val="0"/>
                <w:sz w:val="24"/>
                <w:szCs w:val="24"/>
              </w:rPr>
            </w:pPr>
            <w:r>
              <w:rPr>
                <w:rFonts w:hint="default" w:ascii="Times New Roman" w:hAnsi="Times New Roman" w:cs="Times New Roman"/>
                <w:bCs/>
                <w:color w:val="000000" w:themeColor="text1"/>
                <w:kern w:val="0"/>
                <w:sz w:val="24"/>
                <w:szCs w:val="24"/>
              </w:rPr>
              <w:t>一般工业固废执行《一般工业固体废物贮存、处置场污染控制标准》（GB18599-2001）</w:t>
            </w:r>
            <w:r>
              <w:rPr>
                <w:rFonts w:hint="default" w:ascii="Times New Roman" w:hAnsi="Times New Roman" w:cs="Times New Roman"/>
                <w:bCs/>
                <w:color w:val="000000" w:themeColor="text1"/>
                <w:kern w:val="0"/>
                <w:sz w:val="24"/>
                <w:szCs w:val="24"/>
                <w:lang w:eastAsia="zh-CN"/>
              </w:rPr>
              <w:t>及其修改单</w:t>
            </w:r>
            <w:r>
              <w:rPr>
                <w:rFonts w:hint="default" w:ascii="Times New Roman" w:hAnsi="Times New Roman" w:cs="Times New Roman"/>
                <w:bCs/>
                <w:color w:val="000000" w:themeColor="text1"/>
                <w:kern w:val="0"/>
                <w:sz w:val="24"/>
                <w:szCs w:val="24"/>
              </w:rPr>
              <w:t>。</w:t>
            </w:r>
          </w:p>
          <w:p w14:paraId="47C17CF4">
            <w:pPr>
              <w:numPr>
                <w:ilvl w:val="0"/>
                <w:numId w:val="3"/>
              </w:numPr>
              <w:spacing w:line="360" w:lineRule="auto"/>
              <w:ind w:firstLine="480" w:firstLineChars="200"/>
              <w:jc w:val="left"/>
              <w:rPr>
                <w:rFonts w:hint="default" w:ascii="Times New Roman" w:hAnsi="Times New Roman" w:cs="Times New Roman"/>
                <w:bCs/>
                <w:color w:val="000000" w:themeColor="text1"/>
                <w:kern w:val="0"/>
                <w:sz w:val="24"/>
                <w:szCs w:val="24"/>
                <w:lang w:val="en-US" w:eastAsia="zh-CN"/>
              </w:rPr>
            </w:pPr>
            <w:r>
              <w:rPr>
                <w:rFonts w:hint="default" w:ascii="Times New Roman" w:hAnsi="Times New Roman" w:cs="Times New Roman"/>
                <w:bCs/>
                <w:color w:val="000000" w:themeColor="text1"/>
                <w:kern w:val="0"/>
                <w:sz w:val="24"/>
                <w:szCs w:val="24"/>
              </w:rPr>
              <w:t>危险废物执行《危险废物贮存污染控制标准》（GB18597-2001）</w:t>
            </w:r>
            <w:r>
              <w:rPr>
                <w:rFonts w:hint="default" w:ascii="Times New Roman" w:hAnsi="Times New Roman" w:cs="Times New Roman"/>
                <w:bCs/>
                <w:color w:val="000000" w:themeColor="text1"/>
                <w:kern w:val="0"/>
                <w:sz w:val="24"/>
                <w:szCs w:val="24"/>
                <w:lang w:eastAsia="zh-CN"/>
              </w:rPr>
              <w:t>及其修改单</w:t>
            </w:r>
            <w:r>
              <w:rPr>
                <w:rFonts w:hint="default" w:ascii="Times New Roman" w:hAnsi="Times New Roman" w:cs="Times New Roman"/>
                <w:bCs/>
                <w:color w:val="000000" w:themeColor="text1"/>
                <w:kern w:val="0"/>
                <w:sz w:val="24"/>
                <w:szCs w:val="24"/>
              </w:rPr>
              <w:t>。</w:t>
            </w:r>
          </w:p>
          <w:p w14:paraId="057A413E">
            <w:pPr>
              <w:numPr>
                <w:ilvl w:val="0"/>
                <w:numId w:val="0"/>
              </w:numPr>
              <w:spacing w:line="360" w:lineRule="auto"/>
              <w:jc w:val="left"/>
              <w:rPr>
                <w:rFonts w:hint="eastAsia" w:ascii="Times New Roman" w:hAnsi="Times New Roman" w:eastAsia="宋体" w:cs="Times New Roman"/>
                <w:bCs/>
                <w:color w:val="000000" w:themeColor="text1"/>
                <w:kern w:val="0"/>
                <w:sz w:val="24"/>
                <w:szCs w:val="24"/>
                <w:lang w:val="en-US" w:eastAsia="zh-CN"/>
              </w:rPr>
            </w:pPr>
            <w:r>
              <w:rPr>
                <w:rFonts w:hint="eastAsia" w:ascii="Times New Roman" w:hAnsi="Times New Roman" w:cs="Times New Roman"/>
                <w:bCs/>
                <w:color w:val="000000" w:themeColor="text1"/>
                <w:kern w:val="0"/>
                <w:sz w:val="24"/>
                <w:szCs w:val="24"/>
                <w:lang w:val="en-US" w:eastAsia="zh-CN"/>
              </w:rPr>
              <w:t>6、生活垃圾处置依据《中华人民共和国固体废物污染环境防治法》（2016年11月7日修正版）</w:t>
            </w:r>
          </w:p>
          <w:p w14:paraId="633DA2CB">
            <w:pPr>
              <w:numPr>
                <w:ilvl w:val="0"/>
                <w:numId w:val="0"/>
              </w:numPr>
              <w:spacing w:line="360" w:lineRule="auto"/>
              <w:jc w:val="left"/>
              <w:rPr>
                <w:rFonts w:hint="default" w:ascii="Times New Roman" w:hAnsi="Times New Roman" w:cs="Times New Roman"/>
                <w:bCs/>
                <w:color w:val="000000" w:themeColor="text1"/>
                <w:kern w:val="0"/>
                <w:sz w:val="24"/>
                <w:szCs w:val="24"/>
                <w:lang w:val="en-US" w:eastAsia="zh-CN"/>
              </w:rPr>
            </w:pPr>
          </w:p>
          <w:p w14:paraId="211E2ECD">
            <w:pPr>
              <w:numPr>
                <w:ilvl w:val="0"/>
                <w:numId w:val="0"/>
              </w:numPr>
              <w:spacing w:line="360" w:lineRule="auto"/>
              <w:jc w:val="left"/>
              <w:rPr>
                <w:rFonts w:hint="default" w:ascii="Times New Roman" w:hAnsi="Times New Roman" w:cs="Times New Roman"/>
                <w:bCs/>
                <w:color w:val="000000" w:themeColor="text1"/>
                <w:kern w:val="0"/>
                <w:sz w:val="24"/>
                <w:szCs w:val="24"/>
                <w:lang w:val="en-US" w:eastAsia="zh-CN"/>
              </w:rPr>
            </w:pPr>
          </w:p>
          <w:p w14:paraId="5CA0C07C">
            <w:pPr>
              <w:numPr>
                <w:ilvl w:val="0"/>
                <w:numId w:val="0"/>
              </w:numPr>
              <w:spacing w:line="360" w:lineRule="auto"/>
              <w:jc w:val="left"/>
              <w:rPr>
                <w:rFonts w:hint="default" w:ascii="Times New Roman" w:hAnsi="Times New Roman" w:cs="Times New Roman"/>
                <w:bCs/>
                <w:color w:val="000000" w:themeColor="text1"/>
                <w:kern w:val="0"/>
                <w:sz w:val="24"/>
                <w:szCs w:val="24"/>
                <w:lang w:val="en-US" w:eastAsia="zh-CN"/>
              </w:rPr>
            </w:pPr>
          </w:p>
          <w:p w14:paraId="50894408">
            <w:pPr>
              <w:numPr>
                <w:ilvl w:val="0"/>
                <w:numId w:val="0"/>
              </w:numPr>
              <w:spacing w:line="360" w:lineRule="auto"/>
              <w:jc w:val="left"/>
              <w:rPr>
                <w:rFonts w:hint="default" w:ascii="Times New Roman" w:hAnsi="Times New Roman" w:cs="Times New Roman"/>
                <w:bCs/>
                <w:color w:val="000000" w:themeColor="text1"/>
                <w:kern w:val="0"/>
                <w:sz w:val="24"/>
                <w:szCs w:val="24"/>
                <w:lang w:val="en-US" w:eastAsia="zh-CN"/>
              </w:rPr>
            </w:pPr>
          </w:p>
          <w:p w14:paraId="06181CF5">
            <w:pPr>
              <w:numPr>
                <w:ilvl w:val="0"/>
                <w:numId w:val="0"/>
              </w:numPr>
              <w:spacing w:line="360" w:lineRule="auto"/>
              <w:jc w:val="left"/>
              <w:rPr>
                <w:rFonts w:hint="default" w:ascii="Times New Roman" w:hAnsi="Times New Roman" w:cs="Times New Roman"/>
                <w:bCs/>
                <w:color w:val="000000" w:themeColor="text1"/>
                <w:kern w:val="0"/>
                <w:sz w:val="24"/>
                <w:szCs w:val="24"/>
                <w:lang w:val="en-US" w:eastAsia="zh-CN"/>
              </w:rPr>
            </w:pPr>
          </w:p>
        </w:tc>
      </w:tr>
      <w:tr w14:paraId="344A985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cantSplit/>
          <w:trHeight w:val="0" w:hRule="atLeast"/>
        </w:trPr>
        <w:tc>
          <w:tcPr>
            <w:tcW w:w="954" w:type="dxa"/>
            <w:tcBorders>
              <w:bottom w:val="single" w:color="000000" w:sz="12" w:space="0"/>
            </w:tcBorders>
            <w:vAlign w:val="center"/>
          </w:tcPr>
          <w:p w14:paraId="1ACE0EAD">
            <w:pPr>
              <w:jc w:val="center"/>
              <w:rPr>
                <w:rFonts w:ascii="宋体" w:cs="宋体"/>
                <w:color w:val="000000" w:themeColor="text1"/>
                <w:sz w:val="24"/>
                <w:szCs w:val="24"/>
              </w:rPr>
            </w:pPr>
          </w:p>
          <w:p w14:paraId="5166E0AF">
            <w:pPr>
              <w:jc w:val="center"/>
              <w:rPr>
                <w:rFonts w:ascii="宋体" w:cs="宋体"/>
                <w:color w:val="000000" w:themeColor="text1"/>
                <w:sz w:val="24"/>
                <w:szCs w:val="24"/>
              </w:rPr>
            </w:pPr>
          </w:p>
          <w:p w14:paraId="2C4AB260">
            <w:pPr>
              <w:jc w:val="center"/>
              <w:rPr>
                <w:rFonts w:ascii="宋体" w:cs="宋体"/>
                <w:color w:val="000000" w:themeColor="text1"/>
                <w:sz w:val="24"/>
                <w:szCs w:val="24"/>
              </w:rPr>
            </w:pPr>
          </w:p>
          <w:p w14:paraId="4471E288">
            <w:pPr>
              <w:jc w:val="center"/>
              <w:rPr>
                <w:rFonts w:ascii="宋体" w:cs="宋体"/>
                <w:color w:val="000000" w:themeColor="text1"/>
                <w:sz w:val="24"/>
                <w:szCs w:val="24"/>
              </w:rPr>
            </w:pPr>
          </w:p>
          <w:p w14:paraId="05464F0E">
            <w:pPr>
              <w:jc w:val="center"/>
              <w:rPr>
                <w:rFonts w:ascii="宋体" w:cs="宋体"/>
                <w:color w:val="000000" w:themeColor="text1"/>
                <w:sz w:val="24"/>
                <w:szCs w:val="24"/>
              </w:rPr>
            </w:pPr>
          </w:p>
          <w:p w14:paraId="14328FC9">
            <w:pPr>
              <w:jc w:val="center"/>
              <w:rPr>
                <w:rFonts w:ascii="宋体" w:cs="宋体"/>
                <w:color w:val="000000" w:themeColor="text1"/>
                <w:sz w:val="24"/>
                <w:szCs w:val="24"/>
              </w:rPr>
            </w:pPr>
          </w:p>
          <w:p w14:paraId="52A35A2B">
            <w:pPr>
              <w:jc w:val="center"/>
              <w:rPr>
                <w:rFonts w:ascii="宋体" w:cs="宋体"/>
                <w:color w:val="000000" w:themeColor="text1"/>
                <w:sz w:val="24"/>
                <w:szCs w:val="24"/>
              </w:rPr>
            </w:pPr>
          </w:p>
          <w:p w14:paraId="0A2DA437">
            <w:pPr>
              <w:jc w:val="center"/>
              <w:rPr>
                <w:rFonts w:ascii="宋体" w:cs="宋体"/>
                <w:color w:val="000000" w:themeColor="text1"/>
                <w:sz w:val="24"/>
                <w:szCs w:val="24"/>
              </w:rPr>
            </w:pPr>
          </w:p>
          <w:p w14:paraId="45117C82">
            <w:pPr>
              <w:jc w:val="center"/>
              <w:rPr>
                <w:rFonts w:ascii="宋体" w:cs="宋体"/>
                <w:color w:val="000000" w:themeColor="text1"/>
                <w:sz w:val="24"/>
                <w:szCs w:val="24"/>
              </w:rPr>
            </w:pPr>
          </w:p>
          <w:p w14:paraId="19462678">
            <w:pPr>
              <w:jc w:val="center"/>
              <w:rPr>
                <w:rFonts w:ascii="宋体" w:cs="宋体"/>
                <w:color w:val="000000" w:themeColor="text1"/>
                <w:sz w:val="24"/>
                <w:szCs w:val="24"/>
              </w:rPr>
            </w:pPr>
          </w:p>
          <w:p w14:paraId="0B891BF0">
            <w:pPr>
              <w:jc w:val="center"/>
              <w:rPr>
                <w:rFonts w:ascii="宋体" w:cs="宋体"/>
                <w:color w:val="000000" w:themeColor="text1"/>
                <w:sz w:val="24"/>
                <w:szCs w:val="24"/>
              </w:rPr>
            </w:pPr>
          </w:p>
          <w:p w14:paraId="02144441">
            <w:pPr>
              <w:jc w:val="center"/>
              <w:rPr>
                <w:rFonts w:ascii="宋体" w:cs="宋体"/>
                <w:color w:val="000000" w:themeColor="text1"/>
                <w:sz w:val="24"/>
                <w:szCs w:val="24"/>
              </w:rPr>
            </w:pPr>
          </w:p>
          <w:p w14:paraId="16FC3E8D">
            <w:pPr>
              <w:jc w:val="center"/>
              <w:rPr>
                <w:rFonts w:ascii="宋体" w:cs="宋体"/>
                <w:color w:val="000000" w:themeColor="text1"/>
                <w:sz w:val="24"/>
                <w:szCs w:val="24"/>
              </w:rPr>
            </w:pPr>
          </w:p>
          <w:p w14:paraId="50FA7AF9">
            <w:pPr>
              <w:jc w:val="center"/>
              <w:rPr>
                <w:rFonts w:ascii="宋体" w:cs="宋体"/>
                <w:color w:val="000000" w:themeColor="text1"/>
                <w:sz w:val="24"/>
                <w:szCs w:val="24"/>
              </w:rPr>
            </w:pPr>
          </w:p>
          <w:p w14:paraId="01109F9F">
            <w:pPr>
              <w:jc w:val="center"/>
              <w:rPr>
                <w:rFonts w:ascii="宋体" w:cs="宋体"/>
                <w:color w:val="000000" w:themeColor="text1"/>
                <w:sz w:val="24"/>
                <w:szCs w:val="24"/>
              </w:rPr>
            </w:pPr>
          </w:p>
          <w:p w14:paraId="7F0C7200">
            <w:pPr>
              <w:jc w:val="center"/>
              <w:rPr>
                <w:rFonts w:ascii="宋体" w:cs="宋体"/>
                <w:color w:val="000000" w:themeColor="text1"/>
                <w:sz w:val="24"/>
                <w:szCs w:val="24"/>
              </w:rPr>
            </w:pPr>
          </w:p>
          <w:p w14:paraId="12538246">
            <w:pPr>
              <w:jc w:val="center"/>
              <w:rPr>
                <w:rFonts w:ascii="宋体" w:cs="宋体"/>
                <w:color w:val="000000" w:themeColor="text1"/>
                <w:sz w:val="24"/>
                <w:szCs w:val="24"/>
              </w:rPr>
            </w:pPr>
          </w:p>
          <w:p w14:paraId="405B2CDF">
            <w:pPr>
              <w:jc w:val="center"/>
              <w:rPr>
                <w:rFonts w:ascii="宋体" w:cs="宋体"/>
                <w:color w:val="000000" w:themeColor="text1"/>
                <w:sz w:val="24"/>
                <w:szCs w:val="24"/>
              </w:rPr>
            </w:pPr>
          </w:p>
          <w:p w14:paraId="0AEDCBE1">
            <w:pPr>
              <w:jc w:val="center"/>
              <w:rPr>
                <w:rFonts w:ascii="宋体" w:cs="宋体"/>
                <w:color w:val="000000" w:themeColor="text1"/>
                <w:sz w:val="24"/>
                <w:szCs w:val="24"/>
              </w:rPr>
            </w:pPr>
          </w:p>
          <w:p w14:paraId="3152127A">
            <w:pPr>
              <w:jc w:val="center"/>
              <w:rPr>
                <w:rFonts w:ascii="宋体" w:cs="宋体"/>
                <w:color w:val="000000" w:themeColor="text1"/>
                <w:sz w:val="24"/>
                <w:szCs w:val="24"/>
              </w:rPr>
            </w:pPr>
          </w:p>
          <w:p w14:paraId="595BE858">
            <w:pPr>
              <w:jc w:val="center"/>
              <w:rPr>
                <w:rFonts w:ascii="宋体" w:cs="宋体"/>
                <w:color w:val="000000" w:themeColor="text1"/>
                <w:sz w:val="24"/>
                <w:szCs w:val="24"/>
              </w:rPr>
            </w:pPr>
            <w:r>
              <w:rPr>
                <w:rFonts w:hint="eastAsia" w:ascii="宋体" w:hAnsi="宋体" w:cs="宋体"/>
                <w:color w:val="000000" w:themeColor="text1"/>
                <w:sz w:val="24"/>
                <w:szCs w:val="24"/>
              </w:rPr>
              <w:t>总</w:t>
            </w:r>
          </w:p>
          <w:p w14:paraId="5FDEDBDD">
            <w:pPr>
              <w:jc w:val="center"/>
              <w:rPr>
                <w:rFonts w:ascii="宋体" w:cs="宋体"/>
                <w:color w:val="000000" w:themeColor="text1"/>
                <w:sz w:val="24"/>
                <w:szCs w:val="24"/>
              </w:rPr>
            </w:pPr>
            <w:r>
              <w:rPr>
                <w:rFonts w:hint="eastAsia" w:ascii="宋体" w:hAnsi="宋体" w:cs="宋体"/>
                <w:color w:val="000000" w:themeColor="text1"/>
                <w:sz w:val="24"/>
                <w:szCs w:val="24"/>
              </w:rPr>
              <w:t>量</w:t>
            </w:r>
          </w:p>
          <w:p w14:paraId="7309DC3D">
            <w:pPr>
              <w:jc w:val="center"/>
              <w:rPr>
                <w:rFonts w:ascii="宋体" w:cs="宋体"/>
                <w:color w:val="000000" w:themeColor="text1"/>
                <w:sz w:val="24"/>
                <w:szCs w:val="24"/>
              </w:rPr>
            </w:pPr>
            <w:r>
              <w:rPr>
                <w:rFonts w:hint="eastAsia" w:ascii="宋体" w:hAnsi="宋体" w:cs="宋体"/>
                <w:color w:val="000000" w:themeColor="text1"/>
                <w:sz w:val="24"/>
                <w:szCs w:val="24"/>
              </w:rPr>
              <w:t>控</w:t>
            </w:r>
          </w:p>
          <w:p w14:paraId="5DB2234A">
            <w:pPr>
              <w:jc w:val="center"/>
              <w:rPr>
                <w:rFonts w:ascii="宋体" w:cs="宋体"/>
                <w:color w:val="000000" w:themeColor="text1"/>
                <w:sz w:val="24"/>
                <w:szCs w:val="24"/>
              </w:rPr>
            </w:pPr>
            <w:r>
              <w:rPr>
                <w:rFonts w:hint="eastAsia" w:ascii="宋体" w:hAnsi="宋体" w:cs="宋体"/>
                <w:color w:val="000000" w:themeColor="text1"/>
                <w:sz w:val="24"/>
                <w:szCs w:val="24"/>
              </w:rPr>
              <w:t>制</w:t>
            </w:r>
          </w:p>
          <w:p w14:paraId="4276977E">
            <w:pPr>
              <w:jc w:val="center"/>
              <w:rPr>
                <w:rFonts w:ascii="宋体" w:cs="宋体"/>
                <w:color w:val="000000" w:themeColor="text1"/>
                <w:sz w:val="24"/>
                <w:szCs w:val="24"/>
              </w:rPr>
            </w:pPr>
            <w:r>
              <w:rPr>
                <w:rFonts w:hint="eastAsia" w:ascii="宋体" w:hAnsi="宋体" w:cs="宋体"/>
                <w:color w:val="000000" w:themeColor="text1"/>
                <w:sz w:val="24"/>
                <w:szCs w:val="24"/>
              </w:rPr>
              <w:t>指</w:t>
            </w:r>
          </w:p>
          <w:p w14:paraId="3252758D">
            <w:pPr>
              <w:jc w:val="center"/>
              <w:rPr>
                <w:rFonts w:ascii="宋体" w:cs="宋体"/>
                <w:color w:val="000000" w:themeColor="text1"/>
                <w:sz w:val="24"/>
                <w:szCs w:val="24"/>
              </w:rPr>
            </w:pPr>
            <w:r>
              <w:rPr>
                <w:rFonts w:hint="eastAsia" w:ascii="宋体" w:hAnsi="宋体" w:cs="宋体"/>
                <w:color w:val="000000" w:themeColor="text1"/>
                <w:sz w:val="24"/>
                <w:szCs w:val="24"/>
              </w:rPr>
              <w:t>标</w:t>
            </w:r>
          </w:p>
          <w:p w14:paraId="1ACE9CB5">
            <w:pPr>
              <w:jc w:val="center"/>
              <w:rPr>
                <w:rFonts w:ascii="宋体" w:cs="宋体"/>
                <w:color w:val="000000" w:themeColor="text1"/>
                <w:sz w:val="24"/>
                <w:szCs w:val="24"/>
              </w:rPr>
            </w:pPr>
          </w:p>
          <w:p w14:paraId="3CDC9B24">
            <w:pPr>
              <w:jc w:val="center"/>
              <w:rPr>
                <w:rFonts w:ascii="宋体" w:cs="宋体"/>
                <w:color w:val="000000" w:themeColor="text1"/>
                <w:sz w:val="24"/>
                <w:szCs w:val="24"/>
              </w:rPr>
            </w:pPr>
          </w:p>
          <w:p w14:paraId="7567F22B">
            <w:pPr>
              <w:jc w:val="center"/>
              <w:rPr>
                <w:rFonts w:ascii="宋体" w:cs="宋体"/>
                <w:color w:val="000000" w:themeColor="text1"/>
                <w:sz w:val="24"/>
                <w:szCs w:val="24"/>
              </w:rPr>
            </w:pPr>
          </w:p>
          <w:p w14:paraId="03310891">
            <w:pPr>
              <w:jc w:val="center"/>
              <w:rPr>
                <w:rFonts w:ascii="宋体" w:cs="宋体"/>
                <w:color w:val="000000" w:themeColor="text1"/>
                <w:sz w:val="24"/>
                <w:szCs w:val="24"/>
              </w:rPr>
            </w:pPr>
          </w:p>
          <w:p w14:paraId="2E99A5B1">
            <w:pPr>
              <w:jc w:val="center"/>
              <w:rPr>
                <w:rFonts w:ascii="宋体" w:cs="宋体"/>
                <w:color w:val="000000" w:themeColor="text1"/>
                <w:sz w:val="24"/>
                <w:szCs w:val="24"/>
              </w:rPr>
            </w:pPr>
          </w:p>
          <w:p w14:paraId="2698D25E">
            <w:pPr>
              <w:jc w:val="center"/>
              <w:rPr>
                <w:rFonts w:ascii="宋体" w:cs="宋体"/>
                <w:color w:val="000000" w:themeColor="text1"/>
                <w:sz w:val="24"/>
                <w:szCs w:val="24"/>
              </w:rPr>
            </w:pPr>
          </w:p>
          <w:p w14:paraId="377D89F0">
            <w:pPr>
              <w:jc w:val="center"/>
              <w:rPr>
                <w:rFonts w:ascii="宋体" w:cs="宋体"/>
                <w:color w:val="000000" w:themeColor="text1"/>
                <w:sz w:val="24"/>
                <w:szCs w:val="24"/>
              </w:rPr>
            </w:pPr>
          </w:p>
          <w:p w14:paraId="64F9CCF0">
            <w:pPr>
              <w:jc w:val="center"/>
              <w:rPr>
                <w:rFonts w:ascii="宋体" w:cs="宋体"/>
                <w:color w:val="000000" w:themeColor="text1"/>
                <w:sz w:val="24"/>
                <w:szCs w:val="24"/>
              </w:rPr>
            </w:pPr>
          </w:p>
          <w:p w14:paraId="142CE7B2">
            <w:pPr>
              <w:jc w:val="center"/>
              <w:rPr>
                <w:rFonts w:ascii="宋体" w:cs="宋体"/>
                <w:color w:val="000000" w:themeColor="text1"/>
                <w:sz w:val="24"/>
                <w:szCs w:val="24"/>
              </w:rPr>
            </w:pPr>
          </w:p>
          <w:p w14:paraId="2C386BAB">
            <w:pPr>
              <w:jc w:val="center"/>
              <w:rPr>
                <w:rFonts w:ascii="宋体" w:cs="宋体"/>
                <w:color w:val="000000" w:themeColor="text1"/>
                <w:sz w:val="24"/>
                <w:szCs w:val="24"/>
              </w:rPr>
            </w:pPr>
          </w:p>
          <w:p w14:paraId="166847D5">
            <w:pPr>
              <w:jc w:val="center"/>
              <w:rPr>
                <w:rFonts w:ascii="宋体" w:cs="宋体"/>
                <w:color w:val="000000" w:themeColor="text1"/>
                <w:sz w:val="24"/>
                <w:szCs w:val="24"/>
              </w:rPr>
            </w:pPr>
          </w:p>
          <w:p w14:paraId="6189D9C1">
            <w:pPr>
              <w:jc w:val="center"/>
              <w:rPr>
                <w:rFonts w:ascii="宋体" w:cs="宋体"/>
                <w:color w:val="000000" w:themeColor="text1"/>
                <w:sz w:val="24"/>
                <w:szCs w:val="24"/>
              </w:rPr>
            </w:pPr>
          </w:p>
          <w:p w14:paraId="23BC3614">
            <w:pPr>
              <w:jc w:val="center"/>
              <w:rPr>
                <w:rFonts w:ascii="宋体" w:cs="宋体"/>
                <w:color w:val="000000" w:themeColor="text1"/>
                <w:sz w:val="24"/>
                <w:szCs w:val="24"/>
              </w:rPr>
            </w:pPr>
          </w:p>
          <w:p w14:paraId="558C0A0E">
            <w:pPr>
              <w:jc w:val="center"/>
              <w:rPr>
                <w:rFonts w:ascii="宋体" w:cs="宋体"/>
                <w:color w:val="000000" w:themeColor="text1"/>
                <w:sz w:val="24"/>
                <w:szCs w:val="24"/>
              </w:rPr>
            </w:pPr>
          </w:p>
          <w:p w14:paraId="02DE0CEC">
            <w:pPr>
              <w:jc w:val="center"/>
              <w:rPr>
                <w:rFonts w:ascii="宋体" w:cs="宋体"/>
                <w:color w:val="000000" w:themeColor="text1"/>
                <w:sz w:val="24"/>
                <w:szCs w:val="24"/>
              </w:rPr>
            </w:pPr>
          </w:p>
          <w:p w14:paraId="38A2B449">
            <w:pPr>
              <w:jc w:val="center"/>
              <w:rPr>
                <w:rFonts w:ascii="宋体" w:cs="宋体"/>
                <w:color w:val="000000" w:themeColor="text1"/>
                <w:sz w:val="24"/>
                <w:szCs w:val="24"/>
              </w:rPr>
            </w:pPr>
          </w:p>
          <w:p w14:paraId="72DF2F5A">
            <w:pPr>
              <w:jc w:val="center"/>
              <w:rPr>
                <w:rFonts w:ascii="宋体" w:cs="宋体"/>
                <w:color w:val="000000" w:themeColor="text1"/>
                <w:sz w:val="24"/>
                <w:szCs w:val="24"/>
              </w:rPr>
            </w:pPr>
          </w:p>
          <w:p w14:paraId="6644A818">
            <w:pPr>
              <w:jc w:val="center"/>
              <w:rPr>
                <w:rFonts w:ascii="宋体" w:cs="宋体"/>
                <w:color w:val="000000" w:themeColor="text1"/>
                <w:sz w:val="24"/>
                <w:szCs w:val="24"/>
              </w:rPr>
            </w:pPr>
          </w:p>
        </w:tc>
        <w:tc>
          <w:tcPr>
            <w:tcW w:w="7550" w:type="dxa"/>
            <w:tcBorders>
              <w:bottom w:val="single" w:color="000000" w:sz="12" w:space="0"/>
            </w:tcBorders>
            <w:vAlign w:val="center"/>
          </w:tcPr>
          <w:p w14:paraId="0041643F">
            <w:pPr>
              <w:spacing w:line="360" w:lineRule="auto"/>
              <w:ind w:firstLine="480" w:firstLineChars="200"/>
              <w:jc w:val="left"/>
              <w:rPr>
                <w:rFonts w:hint="default" w:ascii="Times New Roman" w:hAnsi="Times New Roman" w:cs="Times New Roman"/>
                <w:color w:val="000000" w:themeColor="text1"/>
              </w:rPr>
            </w:pPr>
            <w:r>
              <w:rPr>
                <w:rFonts w:hint="default" w:ascii="Times New Roman" w:hAnsi="Times New Roman" w:cs="Times New Roman"/>
                <w:color w:val="000000" w:themeColor="text1"/>
              </w:rPr>
              <w:t>根据该项目的排污状况及环保行政主管部门对总量控制提出的要求，提出总量控制指标如下，仅供环保行政主管部门参考。</w:t>
            </w:r>
          </w:p>
          <w:p w14:paraId="4B099B1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default" w:ascii="Times New Roman" w:hAnsi="Times New Roman" w:cs="Times New Roman"/>
                <w:color w:val="000000" w:themeColor="text1"/>
              </w:rPr>
            </w:pPr>
            <w:r>
              <w:rPr>
                <w:rFonts w:hint="default" w:ascii="Times New Roman" w:hAnsi="Times New Roman" w:cs="Times New Roman"/>
                <w:color w:val="000000" w:themeColor="text1"/>
              </w:rPr>
              <w:t>（1）废水</w:t>
            </w:r>
          </w:p>
          <w:p w14:paraId="5E2782AA">
            <w:pPr>
              <w:spacing w:line="360" w:lineRule="auto"/>
              <w:ind w:firstLine="480" w:firstLineChars="200"/>
              <w:jc w:val="left"/>
              <w:rPr>
                <w:rFonts w:hint="default" w:ascii="Times New Roman" w:hAnsi="Times New Roman" w:cs="Times New Roman"/>
                <w:color w:val="000000" w:themeColor="text1"/>
              </w:rPr>
            </w:pPr>
            <w:r>
              <w:rPr>
                <w:rFonts w:hint="default" w:ascii="Times New Roman" w:hAnsi="Times New Roman" w:cs="Times New Roman"/>
                <w:color w:val="000000" w:themeColor="text1"/>
              </w:rPr>
              <w:t>本项目废水主要为职工生活废水，生活废水</w:t>
            </w:r>
            <w:r>
              <w:rPr>
                <w:rFonts w:hint="default" w:ascii="Times New Roman" w:hAnsi="Times New Roman" w:cs="Times New Roman"/>
                <w:color w:val="000000" w:themeColor="text1"/>
                <w:lang w:eastAsia="zh-CN"/>
              </w:rPr>
              <w:t>排入污水管网汇集</w:t>
            </w:r>
            <w:r>
              <w:rPr>
                <w:rFonts w:hint="default" w:ascii="Times New Roman" w:hAnsi="Times New Roman" w:cs="Times New Roman"/>
                <w:color w:val="000000" w:themeColor="text1"/>
                <w:lang w:val="en-US" w:eastAsia="zh-CN"/>
              </w:rPr>
              <w:t>园区污水处理厂进行后续处理</w:t>
            </w:r>
            <w:r>
              <w:rPr>
                <w:rFonts w:hint="default" w:ascii="Times New Roman" w:hAnsi="Times New Roman" w:cs="Times New Roman"/>
                <w:color w:val="000000" w:themeColor="text1"/>
                <w:lang w:eastAsia="zh-CN"/>
              </w:rPr>
              <w:t>。废水总量控制指标由下游污水处理厂统一设置，</w:t>
            </w:r>
            <w:r>
              <w:rPr>
                <w:rFonts w:hint="default" w:ascii="Times New Roman" w:hAnsi="Times New Roman" w:cs="Times New Roman"/>
                <w:color w:val="000000" w:themeColor="text1"/>
                <w:lang w:val="en-US" w:eastAsia="zh-CN"/>
              </w:rPr>
              <w:t>为避免</w:t>
            </w:r>
            <w:r>
              <w:rPr>
                <w:rFonts w:hint="default" w:ascii="Times New Roman" w:hAnsi="Times New Roman" w:cs="Times New Roman"/>
                <w:color w:val="000000" w:themeColor="text1"/>
                <w:lang w:eastAsia="zh-CN"/>
              </w:rPr>
              <w:t>重复计算，本项目不设置废水总量控制指标</w:t>
            </w:r>
            <w:r>
              <w:rPr>
                <w:rFonts w:hint="default" w:ascii="Times New Roman" w:hAnsi="Times New Roman" w:cs="Times New Roman"/>
                <w:color w:val="000000" w:themeColor="text1"/>
              </w:rPr>
              <w:t>。</w:t>
            </w:r>
          </w:p>
          <w:p w14:paraId="4CC343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default" w:ascii="Times New Roman" w:hAnsi="Times New Roman" w:cs="Times New Roman"/>
                <w:color w:val="000000" w:themeColor="text1"/>
              </w:rPr>
            </w:pPr>
            <w:r>
              <w:rPr>
                <w:rFonts w:hint="default" w:ascii="Times New Roman" w:hAnsi="Times New Roman" w:cs="Times New Roman"/>
                <w:color w:val="000000" w:themeColor="text1"/>
                <w:lang w:eastAsia="zh-CN"/>
              </w:rPr>
              <w:t>（</w:t>
            </w:r>
            <w:r>
              <w:rPr>
                <w:rFonts w:hint="default" w:ascii="Times New Roman" w:hAnsi="Times New Roman" w:cs="Times New Roman"/>
                <w:color w:val="000000" w:themeColor="text1"/>
                <w:lang w:val="en-US" w:eastAsia="zh-CN"/>
              </w:rPr>
              <w:t>2</w:t>
            </w:r>
            <w:r>
              <w:rPr>
                <w:rFonts w:hint="default" w:ascii="Times New Roman" w:hAnsi="Times New Roman" w:cs="Times New Roman"/>
                <w:color w:val="000000" w:themeColor="text1"/>
                <w:lang w:eastAsia="zh-CN"/>
              </w:rPr>
              <w:t>）</w:t>
            </w:r>
            <w:r>
              <w:rPr>
                <w:rFonts w:hint="default" w:ascii="Times New Roman" w:hAnsi="Times New Roman" w:cs="Times New Roman"/>
                <w:color w:val="000000" w:themeColor="text1"/>
              </w:rPr>
              <w:t>废气</w:t>
            </w:r>
          </w:p>
          <w:p w14:paraId="2864C077">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color w:val="000000" w:themeColor="text1"/>
              </w:rPr>
            </w:pPr>
            <w:r>
              <w:rPr>
                <w:rFonts w:hint="default" w:ascii="Times New Roman" w:hAnsi="Times New Roman" w:cs="Times New Roman"/>
                <w:color w:val="000000" w:themeColor="text1"/>
              </w:rPr>
              <w:t>根据国家规定的总量控制污染物种类，结合本项目的排污特点、所在区域的环境质量现状等因素综合考虑，</w:t>
            </w:r>
            <w:r>
              <w:rPr>
                <w:rFonts w:hint="default" w:ascii="Times New Roman" w:hAnsi="Times New Roman" w:cs="Times New Roman"/>
                <w:color w:val="000000" w:themeColor="text1"/>
                <w:lang w:val="en-US" w:eastAsia="zh-CN"/>
              </w:rPr>
              <w:t>建议本项目不</w:t>
            </w:r>
            <w:r>
              <w:rPr>
                <w:rFonts w:hint="default" w:ascii="Times New Roman" w:hAnsi="Times New Roman" w:cs="Times New Roman"/>
                <w:color w:val="000000" w:themeColor="text1"/>
                <w:lang w:eastAsia="zh-CN"/>
              </w:rPr>
              <w:t>设置废气总量控制指标。</w:t>
            </w:r>
          </w:p>
        </w:tc>
      </w:tr>
    </w:tbl>
    <w:p w14:paraId="7F1301EB">
      <w:pPr>
        <w:adjustRightInd w:val="0"/>
        <w:snapToGrid w:val="0"/>
        <w:jc w:val="left"/>
        <w:outlineLvl w:val="1"/>
        <w:rPr>
          <w:b/>
          <w:color w:val="000000" w:themeColor="text1"/>
          <w:sz w:val="32"/>
        </w:rPr>
      </w:pPr>
      <w:bookmarkStart w:id="12" w:name="_Toc355609312"/>
      <w:r>
        <w:rPr>
          <w:rFonts w:hint="eastAsia"/>
          <w:b/>
          <w:color w:val="000000" w:themeColor="text1"/>
          <w:sz w:val="32"/>
        </w:rPr>
        <w:t>建设项目工程分析</w:t>
      </w:r>
      <w:bookmarkEnd w:id="12"/>
    </w:p>
    <w:tbl>
      <w:tblPr>
        <w:tblStyle w:val="19"/>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14:paraId="2F4856A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504" w:type="dxa"/>
            <w:tcBorders>
              <w:top w:val="single" w:color="000000" w:sz="12" w:space="0"/>
              <w:bottom w:val="single" w:color="000000" w:sz="12" w:space="0"/>
            </w:tcBorders>
          </w:tcPr>
          <w:p w14:paraId="502F5A35">
            <w:pPr>
              <w:adjustRightInd w:val="0"/>
              <w:snapToGrid w:val="0"/>
              <w:spacing w:beforeLines="50" w:line="360" w:lineRule="auto"/>
              <w:rPr>
                <w:b/>
                <w:color w:val="000000" w:themeColor="text1"/>
                <w:sz w:val="28"/>
              </w:rPr>
            </w:pPr>
            <w:r>
              <w:rPr>
                <w:rFonts w:hint="eastAsia"/>
                <w:b/>
                <w:color w:val="000000" w:themeColor="text1"/>
                <w:sz w:val="28"/>
              </w:rPr>
              <w:t>工艺流程简述（图示）：</w:t>
            </w:r>
          </w:p>
          <w:p w14:paraId="619BEA1F">
            <w:pPr>
              <w:numPr>
                <w:ilvl w:val="0"/>
                <w:numId w:val="4"/>
              </w:num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rPr>
              <w:t>施工期工艺流程及产污环节</w:t>
            </w:r>
          </w:p>
          <w:p w14:paraId="2A4EF28C">
            <w:pPr>
              <w:adjustRightInd w:val="0"/>
              <w:snapToGrid w:val="0"/>
              <w:spacing w:line="360" w:lineRule="auto"/>
              <w:rPr>
                <w:color w:val="000000" w:themeColor="text1"/>
              </w:rPr>
            </w:pPr>
            <w:r>
              <w:rPr>
                <w:color w:val="000000" w:themeColor="text1"/>
              </w:rPr>
              <w:pict>
                <v:shape id="_x0000_i1026" o:spt="75" type="#_x0000_t75" style="height:568.15pt;width:414.05pt;" fillcolor="#000000" filled="t" o:preferrelative="t" stroked="t" coordsize="21600,21600">
                  <v:path/>
                  <v:fill on="t" focussize="0,0"/>
                  <v:stroke color="#000000"/>
                  <v:imagedata r:id="rId8" o:title=""/>
                  <o:lock v:ext="edit" aspectratio="t"/>
                  <w10:wrap type="none"/>
                  <w10:anchorlock/>
                </v:shape>
              </w:pict>
            </w:r>
          </w:p>
          <w:p w14:paraId="3A813A3F">
            <w:pPr>
              <w:spacing w:line="360" w:lineRule="auto"/>
              <w:jc w:val="center"/>
              <w:rPr>
                <w:rFonts w:hint="default" w:ascii="Times New Roman" w:hAnsi="Times New Roman" w:eastAsia="宋体" w:cs="Times New Roman"/>
                <w:b/>
                <w:bCs/>
                <w:color w:val="000000" w:themeColor="text1"/>
                <w:sz w:val="24"/>
                <w:szCs w:val="24"/>
                <w:lang w:eastAsia="zh-CN"/>
              </w:rPr>
            </w:pPr>
            <w:r>
              <w:rPr>
                <w:rFonts w:hint="default" w:ascii="Times New Roman" w:hAnsi="Times New Roman" w:cs="Times New Roman"/>
                <w:b/>
                <w:bCs/>
                <w:color w:val="000000" w:themeColor="text1"/>
                <w:sz w:val="24"/>
                <w:szCs w:val="24"/>
                <w:lang w:eastAsia="zh-CN"/>
              </w:rPr>
              <w:t>图</w:t>
            </w:r>
            <w:r>
              <w:rPr>
                <w:rFonts w:hint="default" w:ascii="Times New Roman" w:hAnsi="Times New Roman" w:cs="Times New Roman"/>
                <w:b/>
                <w:bCs/>
                <w:color w:val="000000" w:themeColor="text1"/>
                <w:sz w:val="24"/>
                <w:szCs w:val="24"/>
                <w:lang w:val="en-US" w:eastAsia="zh-CN"/>
              </w:rPr>
              <w:t>1 施工期工艺流程及产污环节图</w:t>
            </w:r>
          </w:p>
          <w:p w14:paraId="78205FD2">
            <w:pPr>
              <w:numPr>
                <w:ilvl w:val="0"/>
                <w:numId w:val="4"/>
              </w:num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rPr>
              <w:t>生产工艺流程及产污环节：</w:t>
            </w:r>
          </w:p>
          <w:p w14:paraId="5F11EB9E">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1、卸油工艺</w:t>
            </w:r>
          </w:p>
          <w:p w14:paraId="245DB250">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lang w:val="en-US" w:eastAsia="zh-CN"/>
              </w:rPr>
            </w:pPr>
            <w:r>
              <w:rPr>
                <w:rFonts w:hint="eastAsia" w:ascii="宋体" w:hAnsi="宋体" w:eastAsia="宋体" w:cs="宋体"/>
                <w:color w:val="000000" w:themeColor="text1"/>
                <w:sz w:val="24"/>
                <w:szCs w:val="24"/>
              </w:rPr>
              <w:t>本项目采用常规的自吸式工艺流程。装载有成品油的汽车槽车通过软管和导管，将成品油卸入加油站地埋式贮油罐内，油罐车卸油采用密闭卸油工艺（配套建设油气回收系统），通过专用胶管与密闭卸油管道连接，进行自流卸油。</w:t>
            </w:r>
          </w:p>
          <w:p w14:paraId="759F0B44">
            <w:pPr>
              <w:spacing w:line="360" w:lineRule="auto"/>
              <w:jc w:val="center"/>
              <w:rPr>
                <w:rFonts w:hint="default" w:ascii="Times New Roman" w:hAnsi="Times New Roman" w:eastAsia="宋体" w:cs="Times New Roman"/>
                <w:b/>
                <w:bCs/>
                <w:color w:val="000000" w:themeColor="text1"/>
                <w:sz w:val="24"/>
                <w:szCs w:val="24"/>
                <w:lang w:val="en-US" w:eastAsia="zh-CN"/>
              </w:rPr>
            </w:pPr>
            <w:r>
              <w:rPr>
                <w:color w:val="000000" w:themeColor="text1"/>
              </w:rPr>
              <w:pict>
                <v:shape id="_x0000_i1027" o:spt="75" type="#_x0000_t75" style="height:77.1pt;width:414.05pt;" filled="f"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bCs/>
                <w:color w:val="000000" w:themeColor="text1"/>
                <w:sz w:val="24"/>
                <w:szCs w:val="24"/>
                <w:lang w:eastAsia="zh-CN"/>
              </w:rPr>
              <w:t>图</w:t>
            </w:r>
            <w:r>
              <w:rPr>
                <w:rFonts w:hint="default" w:ascii="Times New Roman" w:hAnsi="Times New Roman" w:eastAsia="宋体" w:cs="Times New Roman"/>
                <w:b/>
                <w:bCs/>
                <w:color w:val="000000" w:themeColor="text1"/>
                <w:sz w:val="24"/>
                <w:szCs w:val="24"/>
                <w:lang w:val="en-US" w:eastAsia="zh-CN"/>
              </w:rPr>
              <w:t>2 卸油工艺流程图</w:t>
            </w:r>
          </w:p>
          <w:p w14:paraId="7052B256">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lang w:val="en-US" w:eastAsia="zh-CN"/>
              </w:rPr>
              <w:t>2、</w:t>
            </w:r>
            <w:r>
              <w:rPr>
                <w:rFonts w:hint="default" w:ascii="Times New Roman" w:hAnsi="Times New Roman" w:cs="Times New Roman"/>
                <w:color w:val="000000" w:themeColor="text1"/>
                <w:sz w:val="24"/>
                <w:szCs w:val="24"/>
              </w:rPr>
              <w:t>加油工艺</w:t>
            </w:r>
          </w:p>
          <w:p w14:paraId="5283D2C5">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000000" w:themeColor="text1"/>
                <w:sz w:val="24"/>
                <w:szCs w:val="24"/>
                <w:lang w:eastAsia="zh-CN"/>
              </w:rPr>
            </w:pPr>
            <w:r>
              <w:rPr>
                <w:rFonts w:hint="default" w:ascii="Times New Roman" w:hAnsi="Times New Roman" w:cs="Times New Roman"/>
                <w:color w:val="000000" w:themeColor="text1"/>
                <w:sz w:val="24"/>
                <w:szCs w:val="24"/>
              </w:rPr>
              <w:t>加油机本身自带的泵将油品由储油罐吸到加油机内，加油机发油采用自吸式油枪的配套加油工艺，埋地油罐内的油品由加油机自吸泵通过管道输送至加油机向汽车加油。</w:t>
            </w:r>
          </w:p>
          <w:p w14:paraId="5CF910A0">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eastAsia="宋体" w:cs="宋体"/>
                <w:color w:val="000000" w:themeColor="text1"/>
                <w:sz w:val="24"/>
                <w:szCs w:val="24"/>
              </w:rPr>
            </w:pPr>
            <w:r>
              <w:rPr>
                <w:color w:val="000000" w:themeColor="text1"/>
              </w:rPr>
              <w:object>
                <v:shape id="_x0000_i1028" o:spt="75" type="#_x0000_t75" style="height:178pt;width:415.3pt;" o:ole="t" filled="f" o:preferrelative="t" stroked="f" coordsize="21600,21600">
                  <v:path/>
                  <v:fill on="f" focussize="0,0"/>
                  <v:stroke on="f"/>
                  <v:imagedata r:id="rId11" o:title=""/>
                  <o:lock v:ext="edit" aspectratio="t"/>
                  <w10:wrap type="none"/>
                  <w10:anchorlock/>
                </v:shape>
                <o:OLEObject Type="Embed" ProgID="Visio.Drawing.11" ShapeID="_x0000_i1028" DrawAspect="Content" ObjectID="_1468075726" r:id="rId10">
                  <o:LockedField>false</o:LockedField>
                </o:OLEObject>
              </w:object>
            </w:r>
            <w:r>
              <w:rPr>
                <w:rFonts w:hint="eastAsia" w:ascii="Times New Roman" w:hAnsi="Times New Roman" w:eastAsia="宋体" w:cs="Times New Roman"/>
                <w:b/>
                <w:bCs/>
                <w:color w:val="000000" w:themeColor="text1"/>
                <w:kern w:val="2"/>
                <w:sz w:val="24"/>
                <w:szCs w:val="24"/>
                <w:lang w:val="en-US" w:eastAsia="zh-CN" w:bidi="ar-SA"/>
              </w:rPr>
              <w:t>图3 加油工艺流程及产污环节图</w:t>
            </w:r>
          </w:p>
          <w:p w14:paraId="4454D578">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lang w:val="en-US" w:eastAsia="zh-CN"/>
              </w:rPr>
              <w:t>3、</w:t>
            </w:r>
            <w:r>
              <w:rPr>
                <w:rFonts w:hint="default" w:ascii="Times New Roman" w:hAnsi="Times New Roman" w:cs="Times New Roman"/>
                <w:color w:val="000000" w:themeColor="text1"/>
                <w:sz w:val="24"/>
                <w:szCs w:val="24"/>
              </w:rPr>
              <w:t>油气回收系统简介</w:t>
            </w:r>
          </w:p>
          <w:p w14:paraId="1E0B456E">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加油站油气回收系统的作用是将加油站在卸油、储油和加油过程中产生的油气，通过密闭收集、储存和送入油罐汽车的罐内，运送到储油库集中回收变成汽油。因此加油站的油气回收系统主要分为以下五个部分：卸油油气回收系统、加油油气回收系统、油气排放处理装置、在线监测系统、汽油密闭储存。油气回收系统工艺图见图</w:t>
            </w:r>
            <w:r>
              <w:rPr>
                <w:rFonts w:hint="eastAsia" w:ascii="Times New Roman" w:hAnsi="Times New Roman" w:cs="Times New Roman"/>
                <w:color w:val="000000" w:themeColor="text1"/>
                <w:sz w:val="24"/>
                <w:szCs w:val="24"/>
                <w:lang w:val="en-US" w:eastAsia="zh-CN"/>
              </w:rPr>
              <w:t>4</w:t>
            </w:r>
            <w:r>
              <w:rPr>
                <w:rFonts w:hint="default" w:ascii="Times New Roman" w:hAnsi="Times New Roman" w:cs="Times New Roman"/>
                <w:color w:val="000000" w:themeColor="text1"/>
                <w:sz w:val="24"/>
                <w:szCs w:val="24"/>
              </w:rPr>
              <w:t>。</w:t>
            </w:r>
          </w:p>
          <w:p w14:paraId="6607B567">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sz w:val="24"/>
                <w:szCs w:val="24"/>
              </w:rPr>
            </w:pPr>
          </w:p>
          <w:p w14:paraId="32E6953F">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color w:val="000000" w:themeColor="text1"/>
                <w:sz w:val="24"/>
                <w:szCs w:val="24"/>
              </w:rPr>
            </w:pPr>
            <w:r>
              <w:rPr>
                <w:color w:val="000000" w:themeColor="text1"/>
                <w:sz w:val="28"/>
                <w:szCs w:val="28"/>
              </w:rPr>
              <w:pict>
                <v:shape id="_x0000_i1029" o:spt="75" type="#_x0000_t75" style="height:244.45pt;width:415.2pt;" filled="f" stroked="f" coordsize="21600,21600">
                  <v:path/>
                  <v:fill on="f" focussize="0,0"/>
                  <v:stroke on="f"/>
                  <v:imagedata r:id="rId12" o:title="1"/>
                  <o:lock v:ext="edit" aspectratio="t"/>
                  <w10:wrap type="none"/>
                  <w10:anchorlock/>
                </v:shape>
              </w:pict>
            </w:r>
          </w:p>
          <w:p w14:paraId="0E79B04E">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center"/>
              <w:textAlignment w:val="auto"/>
              <w:outlineLvl w:val="9"/>
              <w:rPr>
                <w:rFonts w:hint="eastAsia" w:ascii="宋体" w:hAnsi="宋体" w:eastAsia="宋体" w:cs="宋体"/>
                <w:b/>
                <w:bCs/>
                <w:color w:val="000000" w:themeColor="text1"/>
                <w:sz w:val="24"/>
                <w:szCs w:val="24"/>
                <w:lang w:eastAsia="zh-CN"/>
              </w:rPr>
            </w:pPr>
            <w:r>
              <w:rPr>
                <w:rFonts w:hint="eastAsia" w:ascii="宋体" w:hAnsi="宋体" w:cs="宋体"/>
                <w:b/>
                <w:bCs/>
                <w:color w:val="000000" w:themeColor="text1"/>
                <w:sz w:val="24"/>
                <w:szCs w:val="24"/>
                <w:lang w:eastAsia="zh-CN"/>
              </w:rPr>
              <w:t>图</w:t>
            </w:r>
            <w:r>
              <w:rPr>
                <w:rFonts w:hint="eastAsia" w:ascii="宋体" w:hAnsi="宋体" w:cs="宋体"/>
                <w:b/>
                <w:bCs/>
                <w:color w:val="000000" w:themeColor="text1"/>
                <w:sz w:val="24"/>
                <w:szCs w:val="24"/>
                <w:lang w:val="en-US" w:eastAsia="zh-CN"/>
              </w:rPr>
              <w:t>4 油气回收工艺流程图</w:t>
            </w:r>
          </w:p>
          <w:p w14:paraId="1133523F">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sz w:val="24"/>
                <w:szCs w:val="24"/>
                <w:lang w:val="en-US" w:eastAsia="zh-CN"/>
              </w:rPr>
            </w:pPr>
            <w:r>
              <w:rPr>
                <w:rFonts w:hint="default" w:ascii="Times New Roman" w:hAnsi="Times New Roman" w:cs="Times New Roman"/>
                <w:color w:val="000000" w:themeColor="text1"/>
                <w:sz w:val="24"/>
                <w:szCs w:val="24"/>
                <w:lang w:val="en-US" w:eastAsia="zh-CN"/>
              </w:rPr>
              <w:t>4、加气工艺</w:t>
            </w:r>
          </w:p>
          <w:p w14:paraId="2E85AC3D">
            <w:pPr>
              <w:spacing w:line="360" w:lineRule="auto"/>
              <w:ind w:firstLine="560"/>
              <w:rPr>
                <w:color w:val="000000" w:themeColor="text1"/>
              </w:rPr>
            </w:pPr>
            <w:r>
              <w:rPr>
                <w:rFonts w:hint="default" w:ascii="Times New Roman" w:hAnsi="Times New Roman" w:eastAsia="宋体" w:cs="Times New Roman"/>
                <w:color w:val="000000" w:themeColor="text1"/>
              </w:rPr>
              <w:t>加气工艺技术采用国内普遍采用的成熟工艺，工艺系统主要包括卸液、储存、加液和加气工艺。卸液用卸车增压器给车载气瓶增压卸至LNG储罐，加气分为LNG加液和CNG加气，LNG加液时由LNG柱塞泵将储罐内的LNG送至LNG加液机，通过计量后加入汽车车载气瓶。LNG加气工艺流程</w:t>
            </w:r>
            <w:r>
              <w:rPr>
                <w:rFonts w:hint="eastAsia" w:ascii="Times New Roman" w:hAnsi="Times New Roman" w:cs="Times New Roman"/>
                <w:color w:val="000000" w:themeColor="text1"/>
                <w:lang w:val="en-US" w:eastAsia="zh-CN"/>
              </w:rPr>
              <w:t>及产污环节图见图5。</w:t>
            </w:r>
          </w:p>
          <w:p w14:paraId="5FE33786">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color w:val="000000" w:themeColor="text1"/>
                <w:lang w:val="en-US" w:eastAsia="zh-CN"/>
              </w:rPr>
            </w:pPr>
            <w:r>
              <w:rPr>
                <w:color w:val="000000" w:themeColor="text1"/>
              </w:rPr>
              <w:pict>
                <v:shape id="_x0000_i1030" o:spt="75" type="#_x0000_t75" style="height:241.8pt;width:414.3pt;" filled="f" o:preferrelative="t" stroked="f" coordsize="21600,21600">
                  <v:path/>
                  <v:fill on="f" focussize="0,0"/>
                  <v:stroke on="f"/>
                  <v:imagedata r:id="rId13" o:title=""/>
                  <o:lock v:ext="edit" aspectratio="t"/>
                  <w10:wrap type="none"/>
                  <w10:anchorlock/>
                </v:shape>
              </w:pict>
            </w:r>
          </w:p>
          <w:p w14:paraId="6FB1ECFD">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center"/>
              <w:textAlignment w:val="auto"/>
              <w:outlineLvl w:val="9"/>
              <w:rPr>
                <w:rFonts w:hint="default" w:ascii="Times New Roman" w:hAnsi="Times New Roman" w:cs="Times New Roman"/>
                <w:b/>
                <w:bCs/>
                <w:color w:val="000000" w:themeColor="text1"/>
                <w:sz w:val="24"/>
                <w:szCs w:val="24"/>
                <w:lang w:val="en-US" w:eastAsia="zh-CN"/>
              </w:rPr>
            </w:pPr>
            <w:r>
              <w:rPr>
                <w:rFonts w:hint="default" w:ascii="Times New Roman" w:hAnsi="Times New Roman" w:cs="Times New Roman"/>
                <w:b/>
                <w:bCs/>
                <w:color w:val="000000" w:themeColor="text1"/>
                <w:sz w:val="24"/>
                <w:szCs w:val="24"/>
                <w:lang w:val="en-US" w:eastAsia="zh-CN"/>
              </w:rPr>
              <w:t>图5 LNG加气工艺流程及产污环节图</w:t>
            </w:r>
          </w:p>
          <w:p w14:paraId="03AAE40B">
            <w:pPr>
              <w:ind w:firstLine="56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L-CNG安全放散</w:t>
            </w:r>
          </w:p>
          <w:p w14:paraId="51B3A708">
            <w:pPr>
              <w:spacing w:line="560" w:lineRule="exact"/>
              <w:ind w:firstLine="560"/>
              <w:rPr>
                <w:rFonts w:hint="default" w:ascii="Times New Roman" w:hAnsi="Times New Roman" w:eastAsia="宋体" w:cs="Times New Roman"/>
                <w:color w:val="000000" w:themeColor="text1"/>
                <w:kern w:val="2"/>
                <w:sz w:val="24"/>
                <w:szCs w:val="24"/>
                <w:lang w:val="en-US" w:eastAsia="zh-CN" w:bidi="ar-SA"/>
              </w:rPr>
            </w:pPr>
            <w:r>
              <w:rPr>
                <w:rFonts w:hint="default" w:ascii="Times New Roman" w:hAnsi="Times New Roman" w:eastAsia="宋体" w:cs="Times New Roman"/>
                <w:color w:val="000000" w:themeColor="text1"/>
                <w:kern w:val="2"/>
                <w:sz w:val="24"/>
                <w:szCs w:val="24"/>
                <w:lang w:val="en-US" w:eastAsia="zh-CN" w:bidi="ar-SA"/>
              </w:rPr>
              <w:t>低压放散：</w:t>
            </w:r>
          </w:p>
          <w:p w14:paraId="7D23F223">
            <w:pPr>
              <w:spacing w:line="560" w:lineRule="exact"/>
              <w:ind w:firstLine="560"/>
              <w:rPr>
                <w:rFonts w:hint="default" w:ascii="Times New Roman" w:hAnsi="Times New Roman" w:eastAsia="宋体" w:cs="Times New Roman"/>
                <w:color w:val="000000" w:themeColor="text1"/>
                <w:kern w:val="2"/>
                <w:sz w:val="24"/>
                <w:szCs w:val="24"/>
                <w:lang w:val="en-US" w:eastAsia="zh-CN" w:bidi="ar-SA"/>
              </w:rPr>
            </w:pPr>
            <w:r>
              <w:rPr>
                <w:rFonts w:hint="default" w:ascii="Times New Roman" w:hAnsi="Times New Roman" w:eastAsia="宋体" w:cs="Times New Roman"/>
                <w:color w:val="000000" w:themeColor="text1"/>
                <w:kern w:val="2"/>
                <w:sz w:val="24"/>
                <w:szCs w:val="24"/>
                <w:lang w:val="en-US" w:eastAsia="zh-CN" w:bidi="ar-SA"/>
              </w:rPr>
              <w:t>（1）LNG储罐在运行过程中超压，通过储罐自带的安全阀放散，经气化器气化后（LNG加注撬集成含汽化器），到低压放散管放散。</w:t>
            </w:r>
          </w:p>
          <w:p w14:paraId="22D6A8E3">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kern w:val="2"/>
                <w:sz w:val="24"/>
                <w:szCs w:val="24"/>
                <w:lang w:val="en-US" w:eastAsia="zh-CN" w:bidi="ar-SA"/>
              </w:rPr>
              <w:t>（2）LNG低压管道上设置的安全阀，起跳后经气化器气化（LNG加注撬集成含汽化器），到低压放散管放散。</w:t>
            </w:r>
          </w:p>
          <w:p w14:paraId="0578C3C9">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72EF0503">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68D8E1E7">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2CF61641">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476E88C4">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5E123226">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067F2235">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29DECE04">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24892CD5">
            <w:pPr>
              <w:pStyle w:val="15"/>
              <w:rPr>
                <w:rFonts w:hint="eastAsia" w:ascii="宋体" w:hAnsi="宋体" w:eastAsia="宋体" w:cs="宋体"/>
                <w:color w:val="000000" w:themeColor="text1"/>
                <w:sz w:val="24"/>
                <w:szCs w:val="24"/>
              </w:rPr>
            </w:pPr>
          </w:p>
          <w:p w14:paraId="35D73024">
            <w:pPr>
              <w:pStyle w:val="15"/>
              <w:rPr>
                <w:rFonts w:hint="eastAsia" w:ascii="宋体" w:hAnsi="宋体" w:eastAsia="宋体" w:cs="宋体"/>
                <w:color w:val="000000" w:themeColor="text1"/>
                <w:sz w:val="24"/>
                <w:szCs w:val="24"/>
              </w:rPr>
            </w:pPr>
          </w:p>
          <w:p w14:paraId="3688B5DA">
            <w:pPr>
              <w:pStyle w:val="15"/>
              <w:rPr>
                <w:rFonts w:hint="eastAsia" w:ascii="宋体" w:hAnsi="宋体" w:eastAsia="宋体" w:cs="宋体"/>
                <w:color w:val="000000" w:themeColor="text1"/>
                <w:sz w:val="24"/>
                <w:szCs w:val="24"/>
              </w:rPr>
            </w:pPr>
          </w:p>
          <w:p w14:paraId="4610ED1C">
            <w:pPr>
              <w:pStyle w:val="15"/>
              <w:rPr>
                <w:rFonts w:hint="eastAsia" w:ascii="宋体" w:hAnsi="宋体" w:eastAsia="宋体" w:cs="宋体"/>
                <w:color w:val="000000" w:themeColor="text1"/>
                <w:sz w:val="24"/>
                <w:szCs w:val="24"/>
              </w:rPr>
            </w:pPr>
          </w:p>
          <w:p w14:paraId="0DA3F22F">
            <w:pPr>
              <w:pStyle w:val="15"/>
              <w:rPr>
                <w:rFonts w:hint="eastAsia" w:ascii="宋体" w:hAnsi="宋体" w:eastAsia="宋体" w:cs="宋体"/>
                <w:color w:val="000000" w:themeColor="text1"/>
                <w:sz w:val="24"/>
                <w:szCs w:val="24"/>
              </w:rPr>
            </w:pPr>
          </w:p>
          <w:p w14:paraId="22B8153D">
            <w:pPr>
              <w:pStyle w:val="15"/>
              <w:rPr>
                <w:rFonts w:hint="eastAsia" w:ascii="宋体" w:hAnsi="宋体" w:eastAsia="宋体" w:cs="宋体"/>
                <w:color w:val="000000" w:themeColor="text1"/>
                <w:sz w:val="24"/>
                <w:szCs w:val="24"/>
              </w:rPr>
            </w:pPr>
          </w:p>
          <w:p w14:paraId="6D0853CF">
            <w:pPr>
              <w:pStyle w:val="15"/>
              <w:rPr>
                <w:rFonts w:hint="eastAsia" w:ascii="宋体" w:hAnsi="宋体" w:eastAsia="宋体" w:cs="宋体"/>
                <w:color w:val="000000" w:themeColor="text1"/>
                <w:sz w:val="24"/>
                <w:szCs w:val="24"/>
              </w:rPr>
            </w:pPr>
          </w:p>
          <w:p w14:paraId="0DEDB9D4">
            <w:pPr>
              <w:pStyle w:val="15"/>
              <w:rPr>
                <w:rFonts w:hint="eastAsia" w:ascii="宋体" w:hAnsi="宋体" w:eastAsia="宋体" w:cs="宋体"/>
                <w:color w:val="000000" w:themeColor="text1"/>
                <w:sz w:val="24"/>
                <w:szCs w:val="24"/>
              </w:rPr>
            </w:pPr>
          </w:p>
          <w:p w14:paraId="13FB8B0A">
            <w:pPr>
              <w:pStyle w:val="15"/>
              <w:rPr>
                <w:rFonts w:hint="eastAsia" w:ascii="宋体" w:hAnsi="宋体" w:eastAsia="宋体" w:cs="宋体"/>
                <w:color w:val="000000" w:themeColor="text1"/>
                <w:sz w:val="24"/>
                <w:szCs w:val="24"/>
              </w:rPr>
            </w:pPr>
          </w:p>
          <w:p w14:paraId="252ABDEB">
            <w:pPr>
              <w:pStyle w:val="15"/>
              <w:rPr>
                <w:rFonts w:hint="eastAsia" w:ascii="宋体" w:hAnsi="宋体" w:eastAsia="宋体" w:cs="宋体"/>
                <w:color w:val="000000" w:themeColor="text1"/>
                <w:sz w:val="24"/>
                <w:szCs w:val="24"/>
              </w:rPr>
            </w:pPr>
          </w:p>
          <w:p w14:paraId="093FFB87">
            <w:pPr>
              <w:pStyle w:val="15"/>
              <w:rPr>
                <w:rFonts w:hint="eastAsia" w:ascii="宋体" w:hAnsi="宋体" w:eastAsia="宋体" w:cs="宋体"/>
                <w:color w:val="000000" w:themeColor="text1"/>
                <w:sz w:val="24"/>
                <w:szCs w:val="24"/>
              </w:rPr>
            </w:pPr>
          </w:p>
          <w:p w14:paraId="569DAC41">
            <w:pPr>
              <w:pStyle w:val="15"/>
              <w:rPr>
                <w:rFonts w:hint="eastAsia" w:ascii="宋体" w:hAnsi="宋体" w:eastAsia="宋体" w:cs="宋体"/>
                <w:color w:val="000000" w:themeColor="text1"/>
                <w:sz w:val="24"/>
                <w:szCs w:val="24"/>
              </w:rPr>
            </w:pPr>
          </w:p>
          <w:p w14:paraId="6BE4408A">
            <w:pPr>
              <w:pStyle w:val="15"/>
              <w:rPr>
                <w:rFonts w:hint="eastAsia" w:ascii="宋体" w:hAnsi="宋体" w:eastAsia="宋体" w:cs="宋体"/>
                <w:color w:val="000000" w:themeColor="text1"/>
                <w:sz w:val="24"/>
                <w:szCs w:val="24"/>
              </w:rPr>
            </w:pPr>
          </w:p>
          <w:p w14:paraId="686EAAB5">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052F444C">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2C800CF6">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230552E4">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2D39CDA1">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02707D0D">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000000" w:themeColor="text1"/>
                <w:sz w:val="24"/>
                <w:szCs w:val="24"/>
              </w:rPr>
            </w:pPr>
          </w:p>
          <w:p w14:paraId="128D36BF">
            <w:pPr>
              <w:rPr>
                <w:rFonts w:ascii="宋体" w:cs="宋体"/>
                <w:b/>
                <w:bCs/>
                <w:color w:val="000000" w:themeColor="text1"/>
                <w:sz w:val="28"/>
                <w:szCs w:val="28"/>
              </w:rPr>
            </w:pPr>
            <w:r>
              <w:rPr>
                <w:rFonts w:hint="eastAsia" w:ascii="宋体" w:hAnsi="宋体" w:cs="宋体"/>
                <w:b/>
                <w:bCs/>
                <w:color w:val="000000" w:themeColor="text1"/>
                <w:sz w:val="28"/>
                <w:szCs w:val="28"/>
              </w:rPr>
              <w:t>主要污染工序</w:t>
            </w:r>
          </w:p>
          <w:p w14:paraId="01CA9A90">
            <w:pPr>
              <w:rPr>
                <w:rFonts w:hint="eastAsia" w:ascii="Times New Roman" w:hAnsi="Times New Roman"/>
                <w:b/>
                <w:bCs/>
                <w:color w:val="000000" w:themeColor="text1"/>
                <w:sz w:val="24"/>
                <w:szCs w:val="24"/>
                <w:lang w:val="en-US" w:eastAsia="zh-CN"/>
              </w:rPr>
            </w:pPr>
            <w:r>
              <w:rPr>
                <w:rFonts w:hint="eastAsia" w:ascii="Times New Roman" w:hAnsi="Times New Roman"/>
                <w:b/>
                <w:bCs/>
                <w:color w:val="000000" w:themeColor="text1"/>
                <w:sz w:val="24"/>
                <w:szCs w:val="24"/>
                <w:lang w:val="en-US" w:eastAsia="zh-CN"/>
              </w:rPr>
              <w:t>1、施工期污染分析</w:t>
            </w:r>
          </w:p>
          <w:p w14:paraId="329D4345">
            <w:pPr>
              <w:adjustRightInd w:val="0"/>
              <w:snapToGrid w:val="0"/>
              <w:spacing w:line="360" w:lineRule="auto"/>
              <w:ind w:firstLine="512" w:firstLineChars="200"/>
              <w:rPr>
                <w:rFonts w:hint="eastAsia" w:ascii="Times New Roman" w:hAnsi="Times New Roman"/>
                <w:bCs/>
                <w:color w:val="000000" w:themeColor="text1"/>
                <w:spacing w:val="8"/>
                <w:kern w:val="24"/>
                <w:sz w:val="24"/>
                <w:highlight w:val="none"/>
                <w:lang w:val="en-US" w:eastAsia="zh-CN"/>
              </w:rPr>
            </w:pPr>
            <w:r>
              <w:rPr>
                <w:rFonts w:hint="eastAsia" w:ascii="Times New Roman" w:hAnsi="Times New Roman"/>
                <w:bCs/>
                <w:color w:val="000000" w:themeColor="text1"/>
                <w:spacing w:val="8"/>
                <w:kern w:val="24"/>
                <w:sz w:val="24"/>
                <w:highlight w:val="none"/>
                <w:lang w:val="en-US" w:eastAsia="zh-CN"/>
              </w:rPr>
              <w:t>（1）地基工程：即开挖地基工序时，挖掘机，装载机，运输车辆等施工设备产生的噪声，以及作业中产生的扬尘、汽车尾气和挖基坑的弃土等。</w:t>
            </w:r>
          </w:p>
          <w:p w14:paraId="4CAC5283">
            <w:pPr>
              <w:adjustRightInd w:val="0"/>
              <w:snapToGrid w:val="0"/>
              <w:spacing w:line="360" w:lineRule="auto"/>
              <w:ind w:firstLine="512" w:firstLineChars="200"/>
              <w:rPr>
                <w:rFonts w:hint="eastAsia" w:ascii="Times New Roman" w:hAnsi="Times New Roman"/>
                <w:bCs/>
                <w:color w:val="000000" w:themeColor="text1"/>
                <w:spacing w:val="8"/>
                <w:kern w:val="24"/>
                <w:sz w:val="24"/>
                <w:highlight w:val="none"/>
                <w:lang w:val="en-US" w:eastAsia="zh-CN"/>
              </w:rPr>
            </w:pPr>
            <w:r>
              <w:rPr>
                <w:rFonts w:hint="eastAsia" w:ascii="Times New Roman" w:hAnsi="Times New Roman"/>
                <w:bCs/>
                <w:color w:val="000000" w:themeColor="text1"/>
                <w:spacing w:val="8"/>
                <w:kern w:val="24"/>
                <w:sz w:val="24"/>
                <w:highlight w:val="none"/>
                <w:lang w:val="en-US" w:eastAsia="zh-CN"/>
              </w:rPr>
              <w:t>（2）建筑工程阶段：即砌基础和主体施工振动棒和运输车辆等施工设备产生的噪声，以及临时料堆场等产生的扬尘。</w:t>
            </w:r>
          </w:p>
          <w:p w14:paraId="2A9BF18E">
            <w:pPr>
              <w:adjustRightInd w:val="0"/>
              <w:snapToGrid w:val="0"/>
              <w:spacing w:line="360" w:lineRule="auto"/>
              <w:ind w:firstLine="512" w:firstLineChars="200"/>
              <w:rPr>
                <w:rFonts w:hint="eastAsia" w:ascii="Times New Roman" w:hAnsi="Times New Roman"/>
                <w:bCs/>
                <w:color w:val="000000" w:themeColor="text1"/>
                <w:spacing w:val="8"/>
                <w:kern w:val="24"/>
                <w:sz w:val="24"/>
                <w:highlight w:val="none"/>
                <w:lang w:val="en-US" w:eastAsia="zh-CN"/>
              </w:rPr>
            </w:pPr>
            <w:r>
              <w:rPr>
                <w:rFonts w:hint="eastAsia" w:ascii="Times New Roman" w:hAnsi="Times New Roman"/>
                <w:bCs/>
                <w:color w:val="000000" w:themeColor="text1"/>
                <w:spacing w:val="8"/>
                <w:kern w:val="24"/>
                <w:sz w:val="24"/>
                <w:highlight w:val="none"/>
                <w:lang w:val="en-US" w:eastAsia="zh-CN"/>
              </w:rPr>
              <w:t>（3）安装工程阶段：即公用工程施工时，挖掘装载机、运输车辆等施工设备产生的噪声和施工废料。</w:t>
            </w:r>
          </w:p>
          <w:p w14:paraId="3AE5347F">
            <w:pPr>
              <w:adjustRightInd w:val="0"/>
              <w:snapToGrid w:val="0"/>
              <w:spacing w:line="360" w:lineRule="auto"/>
              <w:ind w:firstLine="512" w:firstLineChars="200"/>
              <w:rPr>
                <w:rFonts w:hint="eastAsia" w:ascii="Times New Roman" w:hAnsi="Times New Roman"/>
                <w:bCs/>
                <w:color w:val="000000" w:themeColor="text1"/>
                <w:spacing w:val="8"/>
                <w:kern w:val="24"/>
                <w:sz w:val="24"/>
                <w:highlight w:val="none"/>
                <w:lang w:val="en-US" w:eastAsia="zh-CN"/>
              </w:rPr>
            </w:pPr>
            <w:r>
              <w:rPr>
                <w:rFonts w:hint="eastAsia" w:ascii="Times New Roman" w:hAnsi="Times New Roman"/>
                <w:bCs/>
                <w:color w:val="000000" w:themeColor="text1"/>
                <w:spacing w:val="8"/>
                <w:kern w:val="24"/>
                <w:sz w:val="24"/>
                <w:highlight w:val="none"/>
                <w:lang w:val="en-US" w:eastAsia="zh-CN"/>
              </w:rPr>
              <w:t>（4）装修及配套工程阶段：即内外罩面和配套工序时电锯等施工设备产生的噪声和施工废料。</w:t>
            </w:r>
          </w:p>
          <w:p w14:paraId="703E849D">
            <w:pPr>
              <w:adjustRightInd w:val="0"/>
              <w:snapToGrid w:val="0"/>
              <w:spacing w:line="360" w:lineRule="auto"/>
              <w:ind w:firstLine="512" w:firstLineChars="200"/>
              <w:rPr>
                <w:rFonts w:hint="eastAsia" w:ascii="Times New Roman" w:hAnsi="Times New Roman"/>
                <w:bCs/>
                <w:color w:val="000000" w:themeColor="text1"/>
                <w:spacing w:val="8"/>
                <w:kern w:val="24"/>
                <w:sz w:val="24"/>
                <w:highlight w:val="none"/>
                <w:lang w:val="en-US" w:eastAsia="zh-CN"/>
              </w:rPr>
            </w:pPr>
            <w:r>
              <w:rPr>
                <w:rFonts w:hint="eastAsia" w:ascii="Times New Roman" w:hAnsi="Times New Roman"/>
                <w:bCs/>
                <w:color w:val="000000" w:themeColor="text1"/>
                <w:spacing w:val="8"/>
                <w:kern w:val="24"/>
                <w:sz w:val="24"/>
                <w:highlight w:val="none"/>
                <w:lang w:val="en-US" w:eastAsia="zh-CN"/>
              </w:rPr>
              <w:t>此外，在整个项目施工阶段还会产生一定量的施工废水、建筑垃圾以及施工人员产生的生活废水、生活垃圾。</w:t>
            </w:r>
          </w:p>
          <w:p w14:paraId="3D90B7F8">
            <w:pPr>
              <w:rPr>
                <w:rFonts w:hint="eastAsia"/>
                <w:color w:val="000000" w:themeColor="text1"/>
                <w:lang w:val="en-US" w:eastAsia="zh-CN"/>
              </w:rPr>
            </w:pPr>
          </w:p>
          <w:p w14:paraId="1FFF24F5">
            <w:pPr>
              <w:rPr>
                <w:rFonts w:hint="eastAsia"/>
                <w:color w:val="000000" w:themeColor="text1"/>
                <w:lang w:val="en-US" w:eastAsia="zh-CN"/>
              </w:rPr>
            </w:pPr>
          </w:p>
          <w:p w14:paraId="7D4D9036">
            <w:pPr>
              <w:rPr>
                <w:rFonts w:hint="eastAsia"/>
                <w:color w:val="000000" w:themeColor="text1"/>
                <w:lang w:val="en-US" w:eastAsia="zh-CN"/>
              </w:rPr>
            </w:pPr>
          </w:p>
          <w:p w14:paraId="3B73FDE8">
            <w:pPr>
              <w:rPr>
                <w:rFonts w:hint="eastAsia"/>
                <w:color w:val="000000" w:themeColor="text1"/>
                <w:lang w:val="en-US" w:eastAsia="zh-CN"/>
              </w:rPr>
            </w:pPr>
          </w:p>
          <w:p w14:paraId="719EF13D">
            <w:pPr>
              <w:rPr>
                <w:rFonts w:hint="eastAsia"/>
                <w:color w:val="000000" w:themeColor="text1"/>
                <w:lang w:val="en-US" w:eastAsia="zh-CN"/>
              </w:rPr>
            </w:pPr>
          </w:p>
          <w:p w14:paraId="44F5A149">
            <w:pPr>
              <w:rPr>
                <w:rFonts w:hint="eastAsia"/>
                <w:color w:val="000000" w:themeColor="text1"/>
                <w:lang w:val="en-US" w:eastAsia="zh-CN"/>
              </w:rPr>
            </w:pPr>
          </w:p>
          <w:p w14:paraId="3F442BF2">
            <w:pPr>
              <w:rPr>
                <w:rFonts w:hint="eastAsia"/>
                <w:color w:val="000000" w:themeColor="text1"/>
                <w:lang w:val="en-US" w:eastAsia="zh-CN"/>
              </w:rPr>
            </w:pPr>
          </w:p>
          <w:p w14:paraId="5C88A4B7">
            <w:pPr>
              <w:rPr>
                <w:rFonts w:hint="eastAsia"/>
                <w:color w:val="000000" w:themeColor="text1"/>
                <w:lang w:val="en-US" w:eastAsia="zh-CN"/>
              </w:rPr>
            </w:pPr>
          </w:p>
          <w:p w14:paraId="6EBF589D">
            <w:pPr>
              <w:rPr>
                <w:rFonts w:hint="eastAsia"/>
                <w:color w:val="000000" w:themeColor="text1"/>
                <w:lang w:val="en-US" w:eastAsia="zh-CN"/>
              </w:rPr>
            </w:pPr>
          </w:p>
          <w:p w14:paraId="73BED6D4">
            <w:pPr>
              <w:rPr>
                <w:rFonts w:hint="eastAsia"/>
                <w:color w:val="000000" w:themeColor="text1"/>
                <w:lang w:val="en-US" w:eastAsia="zh-CN"/>
              </w:rPr>
            </w:pPr>
          </w:p>
          <w:p w14:paraId="0C207076">
            <w:pPr>
              <w:rPr>
                <w:rFonts w:hint="eastAsia"/>
                <w:color w:val="000000" w:themeColor="text1"/>
                <w:lang w:val="en-US" w:eastAsia="zh-CN"/>
              </w:rPr>
            </w:pPr>
          </w:p>
          <w:p w14:paraId="2EC724C7">
            <w:pPr>
              <w:rPr>
                <w:rFonts w:hint="eastAsia"/>
                <w:color w:val="000000" w:themeColor="text1"/>
                <w:lang w:val="en-US" w:eastAsia="zh-CN"/>
              </w:rPr>
            </w:pPr>
          </w:p>
          <w:p w14:paraId="45B4C9A1">
            <w:pPr>
              <w:rPr>
                <w:rFonts w:hint="eastAsia"/>
                <w:color w:val="000000" w:themeColor="text1"/>
                <w:lang w:val="en-US" w:eastAsia="zh-CN"/>
              </w:rPr>
            </w:pPr>
          </w:p>
          <w:p w14:paraId="4415CD72">
            <w:pPr>
              <w:rPr>
                <w:rFonts w:hint="eastAsia"/>
                <w:color w:val="000000" w:themeColor="text1"/>
                <w:lang w:val="en-US" w:eastAsia="zh-CN"/>
              </w:rPr>
            </w:pPr>
          </w:p>
          <w:p w14:paraId="5E8EAAE2">
            <w:pPr>
              <w:rPr>
                <w:rFonts w:hint="eastAsia"/>
                <w:color w:val="000000" w:themeColor="text1"/>
                <w:lang w:val="en-US" w:eastAsia="zh-CN"/>
              </w:rPr>
            </w:pPr>
          </w:p>
          <w:p w14:paraId="4997CDA3">
            <w:pPr>
              <w:rPr>
                <w:rFonts w:hint="eastAsia"/>
                <w:color w:val="000000" w:themeColor="text1"/>
                <w:lang w:val="en-US" w:eastAsia="zh-CN"/>
              </w:rPr>
            </w:pPr>
          </w:p>
          <w:p w14:paraId="56D3BBD3">
            <w:pPr>
              <w:rPr>
                <w:rFonts w:hint="eastAsia"/>
                <w:color w:val="000000" w:themeColor="text1"/>
                <w:lang w:val="en-US" w:eastAsia="zh-CN"/>
              </w:rPr>
            </w:pPr>
          </w:p>
          <w:p w14:paraId="561FB353">
            <w:pPr>
              <w:rPr>
                <w:rFonts w:hint="eastAsia"/>
                <w:color w:val="000000" w:themeColor="text1"/>
                <w:lang w:val="en-US" w:eastAsia="zh-CN"/>
              </w:rPr>
            </w:pPr>
          </w:p>
          <w:p w14:paraId="154BD5CD">
            <w:pPr>
              <w:rPr>
                <w:rFonts w:hint="eastAsia"/>
                <w:color w:val="000000" w:themeColor="text1"/>
                <w:lang w:val="en-US" w:eastAsia="zh-CN"/>
              </w:rPr>
            </w:pPr>
          </w:p>
          <w:p w14:paraId="452B2F2D">
            <w:pPr>
              <w:rPr>
                <w:rFonts w:hint="eastAsia"/>
                <w:color w:val="000000" w:themeColor="text1"/>
                <w:lang w:val="en-US" w:eastAsia="zh-CN"/>
              </w:rPr>
            </w:pPr>
          </w:p>
          <w:p w14:paraId="0A9CCA03">
            <w:pPr>
              <w:rPr>
                <w:rFonts w:hint="eastAsia"/>
                <w:color w:val="000000" w:themeColor="text1"/>
                <w:lang w:val="en-US" w:eastAsia="zh-CN"/>
              </w:rPr>
            </w:pPr>
          </w:p>
          <w:p w14:paraId="1431C2F2">
            <w:pPr>
              <w:rPr>
                <w:rFonts w:hint="eastAsia"/>
                <w:color w:val="000000" w:themeColor="text1"/>
                <w:lang w:val="en-US" w:eastAsia="zh-CN"/>
              </w:rPr>
            </w:pPr>
          </w:p>
          <w:p w14:paraId="5ACDF7DA">
            <w:pPr>
              <w:rPr>
                <w:rFonts w:hint="eastAsia"/>
                <w:color w:val="000000" w:themeColor="text1"/>
                <w:lang w:val="en-US" w:eastAsia="zh-CN"/>
              </w:rPr>
            </w:pPr>
          </w:p>
          <w:p w14:paraId="56518F65">
            <w:pPr>
              <w:rPr>
                <w:rFonts w:hint="eastAsia"/>
                <w:color w:val="000000" w:themeColor="text1"/>
                <w:lang w:val="en-US" w:eastAsia="zh-CN"/>
              </w:rPr>
            </w:pPr>
          </w:p>
          <w:p w14:paraId="1A39A500">
            <w:pPr>
              <w:rPr>
                <w:rFonts w:hint="eastAsia"/>
                <w:color w:val="000000" w:themeColor="text1"/>
                <w:lang w:val="en-US" w:eastAsia="zh-CN"/>
              </w:rPr>
            </w:pPr>
          </w:p>
          <w:p w14:paraId="482A733C">
            <w:pPr>
              <w:rPr>
                <w:rFonts w:hint="eastAsia"/>
                <w:color w:val="000000" w:themeColor="text1"/>
                <w:lang w:val="en-US" w:eastAsia="zh-CN"/>
              </w:rPr>
            </w:pPr>
          </w:p>
          <w:p w14:paraId="1D96C58B">
            <w:pPr>
              <w:spacing w:line="360" w:lineRule="auto"/>
              <w:rPr>
                <w:rFonts w:hint="eastAsia" w:ascii="Times New Roman" w:hAnsi="Times New Roman"/>
                <w:b/>
                <w:bCs/>
                <w:color w:val="000000" w:themeColor="text1"/>
                <w:sz w:val="24"/>
                <w:szCs w:val="24"/>
                <w:lang w:val="en-US" w:eastAsia="zh-CN"/>
              </w:rPr>
            </w:pPr>
            <w:r>
              <w:rPr>
                <w:rFonts w:hint="eastAsia" w:ascii="Times New Roman" w:hAnsi="Times New Roman"/>
                <w:b/>
                <w:bCs/>
                <w:color w:val="000000" w:themeColor="text1"/>
                <w:sz w:val="24"/>
                <w:szCs w:val="24"/>
                <w:lang w:val="en-US" w:eastAsia="zh-CN"/>
              </w:rPr>
              <w:t>2、运营期污染分析</w:t>
            </w:r>
          </w:p>
          <w:p w14:paraId="519B97A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1、水环境污染</w:t>
            </w:r>
          </w:p>
          <w:p w14:paraId="2C35883A">
            <w:pPr>
              <w:spacing w:line="360" w:lineRule="auto"/>
              <w:ind w:firstLine="480" w:firstLineChars="200"/>
              <w:rPr>
                <w:rFonts w:ascii="Times New Roman" w:hAnsi="Times New Roman"/>
                <w:color w:val="000000" w:themeColor="text1"/>
                <w:szCs w:val="24"/>
              </w:rPr>
            </w:pPr>
            <w:r>
              <w:rPr>
                <w:rFonts w:hint="eastAsia" w:ascii="Times New Roman" w:hAnsi="Times New Roman"/>
                <w:color w:val="000000" w:themeColor="text1"/>
                <w:szCs w:val="24"/>
              </w:rPr>
              <w:t>项目建成后，新增职工人数为16人，职工生活设施依托厂区现有的职工生活设施，按每人每天用水量</w:t>
            </w:r>
            <w:r>
              <w:rPr>
                <w:rFonts w:hint="eastAsia" w:ascii="Times New Roman" w:hAnsi="Times New Roman"/>
                <w:color w:val="000000" w:themeColor="text1"/>
                <w:szCs w:val="24"/>
                <w:lang w:val="en-US" w:eastAsia="zh-CN"/>
              </w:rPr>
              <w:t>50</w:t>
            </w:r>
            <w:r>
              <w:rPr>
                <w:rFonts w:ascii="Times New Roman" w:hAnsi="Times New Roman"/>
                <w:color w:val="000000" w:themeColor="text1"/>
                <w:szCs w:val="24"/>
              </w:rPr>
              <w:t>L</w:t>
            </w:r>
            <w:r>
              <w:rPr>
                <w:rFonts w:hint="eastAsia" w:ascii="Times New Roman" w:hAnsi="Times New Roman"/>
                <w:color w:val="000000" w:themeColor="text1"/>
                <w:szCs w:val="24"/>
              </w:rPr>
              <w:t>计，新增生活用水的总用水量为</w:t>
            </w:r>
            <w:r>
              <w:rPr>
                <w:rFonts w:hint="eastAsia" w:ascii="Times New Roman" w:hAnsi="Times New Roman"/>
                <w:color w:val="000000" w:themeColor="text1"/>
                <w:szCs w:val="24"/>
                <w:lang w:val="en-US" w:eastAsia="zh-CN"/>
              </w:rPr>
              <w:t>0.8</w:t>
            </w:r>
            <w:r>
              <w:rPr>
                <w:rFonts w:ascii="Times New Roman" w:hAnsi="Times New Roman"/>
                <w:color w:val="000000" w:themeColor="text1"/>
                <w:szCs w:val="24"/>
              </w:rPr>
              <w:t>m</w:t>
            </w:r>
            <w:r>
              <w:rPr>
                <w:rFonts w:ascii="Times New Roman" w:hAnsi="Times New Roman"/>
                <w:color w:val="000000" w:themeColor="text1"/>
                <w:szCs w:val="24"/>
                <w:vertAlign w:val="superscript"/>
              </w:rPr>
              <w:t>3</w:t>
            </w:r>
            <w:r>
              <w:rPr>
                <w:rFonts w:ascii="Times New Roman" w:hAnsi="Times New Roman"/>
                <w:color w:val="000000" w:themeColor="text1"/>
                <w:szCs w:val="24"/>
              </w:rPr>
              <w:t>/d</w:t>
            </w:r>
            <w:r>
              <w:rPr>
                <w:rFonts w:hint="eastAsia" w:ascii="Times New Roman" w:hAnsi="Times New Roman"/>
                <w:color w:val="000000" w:themeColor="text1"/>
                <w:szCs w:val="24"/>
              </w:rPr>
              <w:t>，即</w:t>
            </w:r>
            <w:r>
              <w:rPr>
                <w:rFonts w:hint="eastAsia" w:ascii="Times New Roman" w:hAnsi="Times New Roman"/>
                <w:color w:val="000000" w:themeColor="text1"/>
                <w:szCs w:val="24"/>
                <w:lang w:val="en-US" w:eastAsia="zh-CN"/>
              </w:rPr>
              <w:t>292</w:t>
            </w:r>
            <w:r>
              <w:rPr>
                <w:rFonts w:ascii="Times New Roman" w:hAnsi="Times New Roman"/>
                <w:color w:val="000000" w:themeColor="text1"/>
                <w:szCs w:val="24"/>
              </w:rPr>
              <w:t>m</w:t>
            </w:r>
            <w:r>
              <w:rPr>
                <w:rFonts w:ascii="Times New Roman" w:hAnsi="Times New Roman"/>
                <w:color w:val="000000" w:themeColor="text1"/>
                <w:szCs w:val="24"/>
                <w:vertAlign w:val="superscript"/>
              </w:rPr>
              <w:t>3</w:t>
            </w:r>
            <w:r>
              <w:rPr>
                <w:rFonts w:ascii="Times New Roman" w:hAnsi="Times New Roman"/>
                <w:color w:val="000000" w:themeColor="text1"/>
                <w:szCs w:val="24"/>
              </w:rPr>
              <w:t>/a</w:t>
            </w:r>
            <w:r>
              <w:rPr>
                <w:rFonts w:hint="eastAsia" w:ascii="Times New Roman" w:hAnsi="Times New Roman"/>
                <w:color w:val="000000" w:themeColor="text1"/>
                <w:szCs w:val="24"/>
              </w:rPr>
              <w:t>。生活污水的产生量按用水量的</w:t>
            </w:r>
            <w:r>
              <w:rPr>
                <w:rFonts w:ascii="Times New Roman" w:hAnsi="Times New Roman"/>
                <w:color w:val="000000" w:themeColor="text1"/>
                <w:szCs w:val="24"/>
              </w:rPr>
              <w:t>80%</w:t>
            </w:r>
            <w:r>
              <w:rPr>
                <w:rFonts w:hint="eastAsia" w:ascii="Times New Roman" w:hAnsi="Times New Roman"/>
                <w:color w:val="000000" w:themeColor="text1"/>
                <w:szCs w:val="24"/>
              </w:rPr>
              <w:t>计，则新增生活污水产生量为</w:t>
            </w:r>
            <w:r>
              <w:rPr>
                <w:rFonts w:hint="eastAsia" w:ascii="Times New Roman" w:hAnsi="Times New Roman"/>
                <w:color w:val="000000" w:themeColor="text1"/>
                <w:szCs w:val="24"/>
                <w:lang w:val="en-US" w:eastAsia="zh-CN"/>
              </w:rPr>
              <w:t>233.6</w:t>
            </w:r>
            <w:r>
              <w:rPr>
                <w:rFonts w:ascii="Times New Roman" w:hAnsi="Times New Roman"/>
                <w:color w:val="000000" w:themeColor="text1"/>
                <w:szCs w:val="24"/>
              </w:rPr>
              <w:t>m</w:t>
            </w:r>
            <w:r>
              <w:rPr>
                <w:rFonts w:ascii="Times New Roman" w:hAnsi="Times New Roman"/>
                <w:color w:val="000000" w:themeColor="text1"/>
                <w:szCs w:val="24"/>
                <w:vertAlign w:val="superscript"/>
              </w:rPr>
              <w:t>3</w:t>
            </w:r>
            <w:r>
              <w:rPr>
                <w:rFonts w:ascii="Times New Roman" w:hAnsi="Times New Roman"/>
                <w:color w:val="000000" w:themeColor="text1"/>
                <w:szCs w:val="24"/>
              </w:rPr>
              <w:t>/a</w:t>
            </w:r>
            <w:r>
              <w:rPr>
                <w:rFonts w:hint="eastAsia" w:ascii="Times New Roman" w:hAnsi="Times New Roman"/>
                <w:color w:val="000000" w:themeColor="text1"/>
                <w:szCs w:val="24"/>
              </w:rPr>
              <w:t>。（本项目全年工作365天）。</w:t>
            </w:r>
            <w:r>
              <w:rPr>
                <w:rFonts w:hint="eastAsia" w:hAnsiTheme="minorEastAsia" w:eastAsiaTheme="minorEastAsia"/>
                <w:color w:val="000000" w:themeColor="text1"/>
              </w:rPr>
              <w:t>生活污水</w:t>
            </w:r>
            <w:r>
              <w:rPr>
                <w:rFonts w:hint="eastAsia" w:hAnsiTheme="minorEastAsia" w:eastAsiaTheme="minorEastAsia"/>
                <w:color w:val="000000" w:themeColor="text1"/>
                <w:lang w:val="en-US" w:eastAsia="zh-CN"/>
              </w:rPr>
              <w:t>排放情况见下表。</w:t>
            </w:r>
          </w:p>
          <w:p w14:paraId="56C863B0">
            <w:pPr>
              <w:spacing w:line="360" w:lineRule="auto"/>
              <w:ind w:firstLine="422" w:firstLineChars="200"/>
              <w:rPr>
                <w:rFonts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ascii="黑体" w:hAnsi="黑体" w:eastAsia="黑体" w:cs="黑体"/>
                <w:b/>
                <w:bCs/>
                <w:color w:val="000000" w:themeColor="text1"/>
                <w:sz w:val="21"/>
                <w:szCs w:val="21"/>
              </w:rPr>
              <w:t>2</w:t>
            </w:r>
            <w:r>
              <w:rPr>
                <w:rFonts w:hint="eastAsia" w:ascii="黑体" w:hAnsi="黑体" w:eastAsia="黑体" w:cs="黑体"/>
                <w:b/>
                <w:bCs/>
                <w:color w:val="000000" w:themeColor="text1"/>
                <w:sz w:val="21"/>
                <w:szCs w:val="21"/>
                <w:lang w:val="en-US" w:eastAsia="zh-CN"/>
              </w:rPr>
              <w:t>8</w:t>
            </w:r>
            <w:r>
              <w:rPr>
                <w:rFonts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rPr>
              <w:t>建设项目生活污水水质情况</w:t>
            </w:r>
          </w:p>
          <w:tbl>
            <w:tblPr>
              <w:tblStyle w:val="19"/>
              <w:tblW w:w="828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86"/>
              <w:gridCol w:w="960"/>
              <w:gridCol w:w="975"/>
              <w:gridCol w:w="930"/>
              <w:gridCol w:w="798"/>
              <w:gridCol w:w="1039"/>
            </w:tblGrid>
            <w:tr w14:paraId="471C8A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586" w:type="dxa"/>
                  <w:tcBorders>
                    <w:top w:val="single" w:color="auto" w:sz="12" w:space="0"/>
                    <w:bottom w:val="single" w:color="auto" w:sz="12" w:space="0"/>
                    <w:right w:val="single" w:color="auto" w:sz="4" w:space="0"/>
                  </w:tcBorders>
                  <w:vAlign w:val="center"/>
                </w:tcPr>
                <w:p w14:paraId="3A8FE036">
                  <w:pPr>
                    <w:jc w:val="center"/>
                    <w:rPr>
                      <w:rFonts w:ascii="Times New Roman" w:hAnsi="Times New Roman"/>
                      <w:b/>
                      <w:bCs/>
                      <w:color w:val="000000" w:themeColor="text1"/>
                      <w:sz w:val="21"/>
                      <w:szCs w:val="21"/>
                    </w:rPr>
                  </w:pPr>
                  <w:r>
                    <w:rPr>
                      <w:rFonts w:hint="eastAsia" w:ascii="Times New Roman" w:hAnsi="Times New Roman"/>
                      <w:b/>
                      <w:bCs/>
                      <w:color w:val="000000" w:themeColor="text1"/>
                      <w:sz w:val="21"/>
                      <w:szCs w:val="21"/>
                    </w:rPr>
                    <w:t>项目</w:t>
                  </w:r>
                </w:p>
              </w:tc>
              <w:tc>
                <w:tcPr>
                  <w:tcW w:w="960" w:type="dxa"/>
                  <w:tcBorders>
                    <w:top w:val="single" w:color="auto" w:sz="12" w:space="0"/>
                    <w:left w:val="single" w:color="auto" w:sz="4" w:space="0"/>
                    <w:bottom w:val="single" w:color="auto" w:sz="12" w:space="0"/>
                    <w:right w:val="single" w:color="auto" w:sz="4" w:space="0"/>
                  </w:tcBorders>
                  <w:vAlign w:val="center"/>
                </w:tcPr>
                <w:p w14:paraId="5FA7D1C2">
                  <w:pPr>
                    <w:jc w:val="center"/>
                    <w:rPr>
                      <w:rFonts w:ascii="Times New Roman" w:hAnsi="Times New Roman"/>
                      <w:b/>
                      <w:bCs/>
                      <w:color w:val="000000" w:themeColor="text1"/>
                      <w:sz w:val="21"/>
                      <w:szCs w:val="21"/>
                    </w:rPr>
                  </w:pPr>
                  <w:r>
                    <w:rPr>
                      <w:rFonts w:hint="eastAsia" w:ascii="Times New Roman" w:hAnsi="Times New Roman"/>
                      <w:b/>
                      <w:bCs/>
                      <w:color w:val="000000" w:themeColor="text1"/>
                      <w:sz w:val="21"/>
                      <w:szCs w:val="21"/>
                    </w:rPr>
                    <w:t>废水量</w:t>
                  </w:r>
                </w:p>
              </w:tc>
              <w:tc>
                <w:tcPr>
                  <w:tcW w:w="975" w:type="dxa"/>
                  <w:tcBorders>
                    <w:top w:val="single" w:color="auto" w:sz="12" w:space="0"/>
                    <w:left w:val="single" w:color="auto" w:sz="4" w:space="0"/>
                    <w:bottom w:val="single" w:color="auto" w:sz="12" w:space="0"/>
                    <w:right w:val="single" w:color="auto" w:sz="4" w:space="0"/>
                  </w:tcBorders>
                  <w:vAlign w:val="center"/>
                </w:tcPr>
                <w:p w14:paraId="4B473F73">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COD</w:t>
                  </w:r>
                </w:p>
              </w:tc>
              <w:tc>
                <w:tcPr>
                  <w:tcW w:w="930" w:type="dxa"/>
                  <w:tcBorders>
                    <w:top w:val="single" w:color="auto" w:sz="12" w:space="0"/>
                    <w:left w:val="single" w:color="auto" w:sz="4" w:space="0"/>
                    <w:bottom w:val="single" w:color="auto" w:sz="12" w:space="0"/>
                    <w:right w:val="single" w:color="auto" w:sz="4" w:space="0"/>
                  </w:tcBorders>
                  <w:vAlign w:val="center"/>
                </w:tcPr>
                <w:p w14:paraId="4C544D06">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BOD</w:t>
                  </w:r>
                  <w:r>
                    <w:rPr>
                      <w:rFonts w:ascii="Times New Roman" w:hAnsi="Times New Roman"/>
                      <w:b/>
                      <w:bCs/>
                      <w:color w:val="000000" w:themeColor="text1"/>
                      <w:sz w:val="21"/>
                      <w:szCs w:val="21"/>
                      <w:vertAlign w:val="subscript"/>
                    </w:rPr>
                    <w:t>5</w:t>
                  </w:r>
                </w:p>
              </w:tc>
              <w:tc>
                <w:tcPr>
                  <w:tcW w:w="798" w:type="dxa"/>
                  <w:tcBorders>
                    <w:top w:val="single" w:color="auto" w:sz="12" w:space="0"/>
                    <w:left w:val="single" w:color="auto" w:sz="4" w:space="0"/>
                    <w:bottom w:val="single" w:color="auto" w:sz="12" w:space="0"/>
                    <w:right w:val="single" w:color="auto" w:sz="4" w:space="0"/>
                  </w:tcBorders>
                  <w:vAlign w:val="center"/>
                </w:tcPr>
                <w:p w14:paraId="5E618284">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SS</w:t>
                  </w:r>
                </w:p>
              </w:tc>
              <w:tc>
                <w:tcPr>
                  <w:tcW w:w="1039" w:type="dxa"/>
                  <w:tcBorders>
                    <w:top w:val="single" w:color="auto" w:sz="12" w:space="0"/>
                    <w:left w:val="single" w:color="auto" w:sz="4" w:space="0"/>
                    <w:bottom w:val="single" w:color="auto" w:sz="12" w:space="0"/>
                  </w:tcBorders>
                  <w:vAlign w:val="center"/>
                </w:tcPr>
                <w:p w14:paraId="57DCF368">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NH</w:t>
                  </w:r>
                  <w:r>
                    <w:rPr>
                      <w:rFonts w:ascii="Times New Roman" w:hAnsi="Times New Roman"/>
                      <w:b/>
                      <w:bCs/>
                      <w:color w:val="000000" w:themeColor="text1"/>
                      <w:sz w:val="21"/>
                      <w:szCs w:val="21"/>
                      <w:vertAlign w:val="subscript"/>
                    </w:rPr>
                    <w:t>3</w:t>
                  </w:r>
                  <w:r>
                    <w:rPr>
                      <w:rFonts w:ascii="Times New Roman" w:hAnsi="Times New Roman"/>
                      <w:b/>
                      <w:bCs/>
                      <w:color w:val="000000" w:themeColor="text1"/>
                      <w:sz w:val="21"/>
                      <w:szCs w:val="21"/>
                    </w:rPr>
                    <w:t>-H</w:t>
                  </w:r>
                </w:p>
              </w:tc>
            </w:tr>
            <w:tr w14:paraId="4EE846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88" w:type="dxa"/>
                  <w:gridSpan w:val="6"/>
                  <w:tcBorders>
                    <w:top w:val="single" w:color="auto" w:sz="12" w:space="0"/>
                    <w:bottom w:val="single" w:color="auto" w:sz="4" w:space="0"/>
                  </w:tcBorders>
                  <w:vAlign w:val="center"/>
                </w:tcPr>
                <w:p w14:paraId="2361267C">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生活污水</w:t>
                  </w:r>
                </w:p>
              </w:tc>
            </w:tr>
            <w:tr w14:paraId="19033A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586" w:type="dxa"/>
                  <w:tcBorders>
                    <w:top w:val="single" w:color="auto" w:sz="4" w:space="0"/>
                    <w:bottom w:val="single" w:color="auto" w:sz="4" w:space="0"/>
                    <w:right w:val="single" w:color="auto" w:sz="4" w:space="0"/>
                  </w:tcBorders>
                  <w:vAlign w:val="center"/>
                </w:tcPr>
                <w:p w14:paraId="4F8A63EE">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生活污水产生浓度（</w:t>
                  </w:r>
                  <w:r>
                    <w:rPr>
                      <w:rFonts w:ascii="Times New Roman" w:hAnsi="Times New Roman"/>
                      <w:color w:val="000000" w:themeColor="text1"/>
                      <w:sz w:val="21"/>
                      <w:szCs w:val="21"/>
                    </w:rPr>
                    <w:t>mg/L</w:t>
                  </w:r>
                  <w:r>
                    <w:rPr>
                      <w:rFonts w:hint="eastAsia" w:ascii="Times New Roman" w:hAnsi="Times New Roman"/>
                      <w:color w:val="000000" w:themeColor="text1"/>
                      <w:sz w:val="21"/>
                      <w:szCs w:val="21"/>
                    </w:rPr>
                    <w:t>）</w:t>
                  </w:r>
                </w:p>
              </w:tc>
              <w:tc>
                <w:tcPr>
                  <w:tcW w:w="960" w:type="dxa"/>
                  <w:tcBorders>
                    <w:top w:val="single" w:color="auto" w:sz="4" w:space="0"/>
                    <w:left w:val="single" w:color="auto" w:sz="4" w:space="0"/>
                    <w:bottom w:val="single" w:color="auto" w:sz="4" w:space="0"/>
                    <w:right w:val="single" w:color="auto" w:sz="4" w:space="0"/>
                  </w:tcBorders>
                  <w:vAlign w:val="center"/>
                </w:tcPr>
                <w:p w14:paraId="4B128113">
                  <w:pPr>
                    <w:jc w:val="center"/>
                    <w:rPr>
                      <w:rFonts w:ascii="Times New Roman" w:hAnsi="Times New Roman"/>
                      <w:color w:val="000000" w:themeColor="text1"/>
                      <w:sz w:val="21"/>
                      <w:szCs w:val="21"/>
                    </w:rPr>
                  </w:pPr>
                  <w:r>
                    <w:rPr>
                      <w:rFonts w:ascii="Times New Roman" w:hAnsi="Times New Roman"/>
                      <w:color w:val="000000" w:themeColor="text1"/>
                      <w:sz w:val="21"/>
                      <w:szCs w:val="21"/>
                    </w:rPr>
                    <w:t>/</w:t>
                  </w:r>
                </w:p>
              </w:tc>
              <w:tc>
                <w:tcPr>
                  <w:tcW w:w="975" w:type="dxa"/>
                  <w:tcBorders>
                    <w:top w:val="single" w:color="auto" w:sz="4" w:space="0"/>
                    <w:left w:val="single" w:color="auto" w:sz="4" w:space="0"/>
                    <w:bottom w:val="single" w:color="auto" w:sz="4" w:space="0"/>
                    <w:right w:val="single" w:color="auto" w:sz="4" w:space="0"/>
                  </w:tcBorders>
                  <w:vAlign w:val="center"/>
                </w:tcPr>
                <w:p w14:paraId="3CC9E74F">
                  <w:pPr>
                    <w:jc w:val="center"/>
                    <w:rPr>
                      <w:rFonts w:ascii="Times New Roman" w:hAnsi="Times New Roman"/>
                      <w:color w:val="000000" w:themeColor="text1"/>
                      <w:sz w:val="21"/>
                      <w:szCs w:val="21"/>
                    </w:rPr>
                  </w:pPr>
                  <w:r>
                    <w:rPr>
                      <w:rFonts w:ascii="Times New Roman" w:hAnsi="Times New Roman"/>
                      <w:color w:val="000000" w:themeColor="text1"/>
                      <w:sz w:val="21"/>
                      <w:szCs w:val="21"/>
                    </w:rPr>
                    <w:t>350</w:t>
                  </w:r>
                </w:p>
              </w:tc>
              <w:tc>
                <w:tcPr>
                  <w:tcW w:w="930" w:type="dxa"/>
                  <w:tcBorders>
                    <w:top w:val="single" w:color="auto" w:sz="4" w:space="0"/>
                    <w:left w:val="single" w:color="auto" w:sz="4" w:space="0"/>
                    <w:bottom w:val="single" w:color="auto" w:sz="4" w:space="0"/>
                    <w:right w:val="single" w:color="auto" w:sz="4" w:space="0"/>
                  </w:tcBorders>
                  <w:vAlign w:val="center"/>
                </w:tcPr>
                <w:p w14:paraId="7B3C83C6">
                  <w:pPr>
                    <w:jc w:val="center"/>
                    <w:rPr>
                      <w:rFonts w:ascii="Times New Roman" w:hAnsi="Times New Roman"/>
                      <w:color w:val="000000" w:themeColor="text1"/>
                      <w:sz w:val="21"/>
                      <w:szCs w:val="21"/>
                    </w:rPr>
                  </w:pPr>
                  <w:r>
                    <w:rPr>
                      <w:rFonts w:ascii="Times New Roman" w:hAnsi="Times New Roman"/>
                      <w:color w:val="000000" w:themeColor="text1"/>
                      <w:sz w:val="21"/>
                      <w:szCs w:val="21"/>
                    </w:rPr>
                    <w:t>180</w:t>
                  </w:r>
                </w:p>
              </w:tc>
              <w:tc>
                <w:tcPr>
                  <w:tcW w:w="798" w:type="dxa"/>
                  <w:tcBorders>
                    <w:top w:val="single" w:color="auto" w:sz="4" w:space="0"/>
                    <w:left w:val="single" w:color="auto" w:sz="4" w:space="0"/>
                    <w:bottom w:val="single" w:color="auto" w:sz="4" w:space="0"/>
                    <w:right w:val="single" w:color="auto" w:sz="4" w:space="0"/>
                  </w:tcBorders>
                  <w:vAlign w:val="center"/>
                </w:tcPr>
                <w:p w14:paraId="6C9ADBE4">
                  <w:pPr>
                    <w:jc w:val="center"/>
                    <w:rPr>
                      <w:rFonts w:ascii="Times New Roman" w:hAnsi="Times New Roman"/>
                      <w:color w:val="000000" w:themeColor="text1"/>
                      <w:sz w:val="21"/>
                      <w:szCs w:val="21"/>
                    </w:rPr>
                  </w:pPr>
                  <w:r>
                    <w:rPr>
                      <w:rFonts w:ascii="Times New Roman" w:hAnsi="Times New Roman"/>
                      <w:color w:val="000000" w:themeColor="text1"/>
                      <w:sz w:val="21"/>
                      <w:szCs w:val="21"/>
                    </w:rPr>
                    <w:t>200</w:t>
                  </w:r>
                </w:p>
              </w:tc>
              <w:tc>
                <w:tcPr>
                  <w:tcW w:w="1039" w:type="dxa"/>
                  <w:tcBorders>
                    <w:top w:val="single" w:color="auto" w:sz="4" w:space="0"/>
                    <w:left w:val="single" w:color="auto" w:sz="4" w:space="0"/>
                    <w:bottom w:val="single" w:color="auto" w:sz="4" w:space="0"/>
                  </w:tcBorders>
                  <w:vAlign w:val="center"/>
                </w:tcPr>
                <w:p w14:paraId="3DA4FE9A">
                  <w:pPr>
                    <w:jc w:val="center"/>
                    <w:rPr>
                      <w:rFonts w:ascii="Times New Roman" w:hAnsi="Times New Roman"/>
                      <w:color w:val="000000" w:themeColor="text1"/>
                      <w:sz w:val="21"/>
                      <w:szCs w:val="21"/>
                    </w:rPr>
                  </w:pPr>
                  <w:r>
                    <w:rPr>
                      <w:rFonts w:ascii="Times New Roman" w:hAnsi="Times New Roman"/>
                      <w:color w:val="000000" w:themeColor="text1"/>
                      <w:sz w:val="21"/>
                      <w:szCs w:val="21"/>
                    </w:rPr>
                    <w:t>30</w:t>
                  </w:r>
                </w:p>
              </w:tc>
            </w:tr>
            <w:tr w14:paraId="1AAF0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586" w:type="dxa"/>
                  <w:tcBorders>
                    <w:top w:val="single" w:color="auto" w:sz="4" w:space="0"/>
                    <w:bottom w:val="single" w:color="auto" w:sz="12" w:space="0"/>
                    <w:right w:val="single" w:color="auto" w:sz="4" w:space="0"/>
                  </w:tcBorders>
                  <w:vAlign w:val="center"/>
                </w:tcPr>
                <w:p w14:paraId="4ED05294">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产生量（</w:t>
                  </w:r>
                  <w:r>
                    <w:rPr>
                      <w:rFonts w:ascii="Times New Roman" w:hAnsi="Times New Roman"/>
                      <w:color w:val="000000" w:themeColor="text1"/>
                      <w:sz w:val="21"/>
                      <w:szCs w:val="21"/>
                    </w:rPr>
                    <w:t>t/a</w:t>
                  </w:r>
                  <w:r>
                    <w:rPr>
                      <w:rFonts w:hint="eastAsia" w:ascii="Times New Roman" w:hAnsi="Times New Roman"/>
                      <w:color w:val="000000" w:themeColor="text1"/>
                      <w:sz w:val="21"/>
                      <w:szCs w:val="21"/>
                    </w:rPr>
                    <w:t>）</w:t>
                  </w:r>
                </w:p>
              </w:tc>
              <w:tc>
                <w:tcPr>
                  <w:tcW w:w="960" w:type="dxa"/>
                  <w:tcBorders>
                    <w:top w:val="single" w:color="auto" w:sz="4" w:space="0"/>
                    <w:left w:val="single" w:color="auto" w:sz="4" w:space="0"/>
                    <w:bottom w:val="single" w:color="auto" w:sz="12" w:space="0"/>
                    <w:right w:val="single" w:color="auto" w:sz="4" w:space="0"/>
                  </w:tcBorders>
                  <w:vAlign w:val="center"/>
                </w:tcPr>
                <w:p w14:paraId="1167192B">
                  <w:pPr>
                    <w:jc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sz w:val="21"/>
                      <w:szCs w:val="21"/>
                      <w:lang w:val="en-US" w:eastAsia="zh-CN"/>
                    </w:rPr>
                    <w:t>233.6</w:t>
                  </w:r>
                </w:p>
              </w:tc>
              <w:tc>
                <w:tcPr>
                  <w:tcW w:w="975" w:type="dxa"/>
                  <w:tcBorders>
                    <w:top w:val="single" w:color="auto" w:sz="4" w:space="0"/>
                    <w:left w:val="single" w:color="auto" w:sz="4" w:space="0"/>
                    <w:bottom w:val="single" w:color="auto" w:sz="12" w:space="0"/>
                    <w:right w:val="single" w:color="auto" w:sz="4" w:space="0"/>
                  </w:tcBorders>
                  <w:vAlign w:val="center"/>
                </w:tcPr>
                <w:p w14:paraId="4EBAB621">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0.</w:t>
                  </w:r>
                  <w:r>
                    <w:rPr>
                      <w:rFonts w:hint="eastAsia" w:ascii="Times New Roman" w:hAnsi="Times New Roman"/>
                      <w:color w:val="000000" w:themeColor="text1"/>
                      <w:sz w:val="21"/>
                      <w:szCs w:val="21"/>
                      <w:lang w:val="en-US" w:eastAsia="zh-CN"/>
                    </w:rPr>
                    <w:t>082</w:t>
                  </w:r>
                </w:p>
              </w:tc>
              <w:tc>
                <w:tcPr>
                  <w:tcW w:w="930" w:type="dxa"/>
                  <w:tcBorders>
                    <w:top w:val="single" w:color="auto" w:sz="4" w:space="0"/>
                    <w:left w:val="single" w:color="auto" w:sz="4" w:space="0"/>
                    <w:bottom w:val="single" w:color="auto" w:sz="12" w:space="0"/>
                    <w:right w:val="single" w:color="auto" w:sz="4" w:space="0"/>
                  </w:tcBorders>
                  <w:vAlign w:val="center"/>
                </w:tcPr>
                <w:p w14:paraId="40602F07">
                  <w:pPr>
                    <w:jc w:val="center"/>
                    <w:rPr>
                      <w:rFonts w:ascii="Times New Roman" w:hAnsi="Times New Roman"/>
                      <w:color w:val="000000" w:themeColor="text1"/>
                      <w:sz w:val="21"/>
                      <w:szCs w:val="21"/>
                    </w:rPr>
                  </w:pPr>
                  <w:r>
                    <w:rPr>
                      <w:rFonts w:ascii="Times New Roman" w:hAnsi="Times New Roman"/>
                      <w:color w:val="000000" w:themeColor="text1"/>
                      <w:sz w:val="21"/>
                      <w:szCs w:val="21"/>
                    </w:rPr>
                    <w:t>0.</w:t>
                  </w:r>
                  <w:r>
                    <w:rPr>
                      <w:rFonts w:hint="eastAsia" w:ascii="Times New Roman" w:hAnsi="Times New Roman"/>
                      <w:color w:val="000000" w:themeColor="text1"/>
                      <w:sz w:val="21"/>
                      <w:szCs w:val="21"/>
                    </w:rPr>
                    <w:t>0</w:t>
                  </w:r>
                  <w:r>
                    <w:rPr>
                      <w:rFonts w:hint="eastAsia" w:ascii="Times New Roman" w:hAnsi="Times New Roman"/>
                      <w:color w:val="000000" w:themeColor="text1"/>
                      <w:sz w:val="21"/>
                      <w:szCs w:val="21"/>
                      <w:lang w:val="en-US" w:eastAsia="zh-CN"/>
                    </w:rPr>
                    <w:t>42</w:t>
                  </w:r>
                </w:p>
              </w:tc>
              <w:tc>
                <w:tcPr>
                  <w:tcW w:w="798" w:type="dxa"/>
                  <w:tcBorders>
                    <w:top w:val="single" w:color="auto" w:sz="4" w:space="0"/>
                    <w:left w:val="single" w:color="auto" w:sz="4" w:space="0"/>
                    <w:bottom w:val="single" w:color="auto" w:sz="12" w:space="0"/>
                    <w:right w:val="single" w:color="auto" w:sz="4" w:space="0"/>
                  </w:tcBorders>
                  <w:vAlign w:val="center"/>
                </w:tcPr>
                <w:p w14:paraId="4E3B4789">
                  <w:pPr>
                    <w:jc w:val="center"/>
                    <w:rPr>
                      <w:rFonts w:ascii="Times New Roman" w:hAnsi="Times New Roman"/>
                      <w:color w:val="000000" w:themeColor="text1"/>
                      <w:sz w:val="21"/>
                      <w:szCs w:val="21"/>
                    </w:rPr>
                  </w:pPr>
                  <w:r>
                    <w:rPr>
                      <w:rFonts w:ascii="Times New Roman" w:hAnsi="Times New Roman"/>
                      <w:color w:val="000000" w:themeColor="text1"/>
                      <w:sz w:val="21"/>
                      <w:szCs w:val="21"/>
                    </w:rPr>
                    <w:t>0.</w:t>
                  </w:r>
                  <w:r>
                    <w:rPr>
                      <w:rFonts w:hint="eastAsia" w:ascii="Times New Roman" w:hAnsi="Times New Roman"/>
                      <w:color w:val="000000" w:themeColor="text1"/>
                      <w:sz w:val="21"/>
                      <w:szCs w:val="21"/>
                    </w:rPr>
                    <w:t>0</w:t>
                  </w:r>
                  <w:r>
                    <w:rPr>
                      <w:rFonts w:hint="eastAsia" w:ascii="Times New Roman" w:hAnsi="Times New Roman"/>
                      <w:color w:val="000000" w:themeColor="text1"/>
                      <w:sz w:val="21"/>
                      <w:szCs w:val="21"/>
                      <w:lang w:val="en-US" w:eastAsia="zh-CN"/>
                    </w:rPr>
                    <w:t>47</w:t>
                  </w:r>
                </w:p>
              </w:tc>
              <w:tc>
                <w:tcPr>
                  <w:tcW w:w="1039" w:type="dxa"/>
                  <w:tcBorders>
                    <w:top w:val="single" w:color="auto" w:sz="4" w:space="0"/>
                    <w:left w:val="single" w:color="auto" w:sz="4" w:space="0"/>
                    <w:bottom w:val="single" w:color="auto" w:sz="12" w:space="0"/>
                  </w:tcBorders>
                  <w:vAlign w:val="center"/>
                </w:tcPr>
                <w:p w14:paraId="7C73675D">
                  <w:pPr>
                    <w:jc w:val="center"/>
                    <w:rPr>
                      <w:rFonts w:ascii="Times New Roman" w:hAnsi="Times New Roman"/>
                      <w:color w:val="000000" w:themeColor="text1"/>
                      <w:sz w:val="21"/>
                      <w:szCs w:val="21"/>
                    </w:rPr>
                  </w:pPr>
                  <w:r>
                    <w:rPr>
                      <w:rFonts w:ascii="Times New Roman" w:hAnsi="Times New Roman"/>
                      <w:color w:val="000000" w:themeColor="text1"/>
                      <w:sz w:val="21"/>
                      <w:szCs w:val="21"/>
                    </w:rPr>
                    <w:t>0.</w:t>
                  </w:r>
                  <w:r>
                    <w:rPr>
                      <w:rFonts w:hint="eastAsia" w:ascii="Times New Roman" w:hAnsi="Times New Roman"/>
                      <w:color w:val="000000" w:themeColor="text1"/>
                      <w:sz w:val="21"/>
                      <w:szCs w:val="21"/>
                    </w:rPr>
                    <w:t>0</w:t>
                  </w:r>
                  <w:r>
                    <w:rPr>
                      <w:rFonts w:hint="eastAsia" w:ascii="Times New Roman" w:hAnsi="Times New Roman"/>
                      <w:color w:val="000000" w:themeColor="text1"/>
                      <w:sz w:val="21"/>
                      <w:szCs w:val="21"/>
                      <w:lang w:val="en-US" w:eastAsia="zh-CN"/>
                    </w:rPr>
                    <w:t>07</w:t>
                  </w:r>
                </w:p>
              </w:tc>
            </w:tr>
          </w:tbl>
          <w:p w14:paraId="2E2DC78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2、大气环境污染</w:t>
            </w:r>
          </w:p>
          <w:p w14:paraId="2B2283DB">
            <w:pPr>
              <w:spacing w:line="360" w:lineRule="auto"/>
              <w:ind w:firstLine="480" w:firstLineChars="200"/>
              <w:rPr>
                <w:rFonts w:ascii="Times New Roman" w:hAnsi="Times New Roman"/>
                <w:color w:val="000000" w:themeColor="text1"/>
                <w:szCs w:val="24"/>
              </w:rPr>
            </w:pPr>
            <w:r>
              <w:rPr>
                <w:rFonts w:ascii="Times New Roman" w:hAnsi="Times New Roman"/>
                <w:color w:val="000000" w:themeColor="text1"/>
                <w:szCs w:val="24"/>
              </w:rPr>
              <w:t>本项目加油站产生的废气主要来源于油品损耗挥发形成的油气</w:t>
            </w:r>
            <w:r>
              <w:rPr>
                <w:rFonts w:hint="eastAsia" w:ascii="Times New Roman" w:hAnsi="Times New Roman"/>
                <w:color w:val="000000" w:themeColor="text1"/>
                <w:szCs w:val="24"/>
              </w:rPr>
              <w:t>，</w:t>
            </w:r>
            <w:r>
              <w:rPr>
                <w:rFonts w:ascii="Times New Roman" w:hAnsi="Times New Roman"/>
                <w:color w:val="000000" w:themeColor="text1"/>
                <w:szCs w:val="24"/>
              </w:rPr>
              <w:t>其主要成分以</w:t>
            </w:r>
            <w:r>
              <w:rPr>
                <w:rFonts w:hint="eastAsia" w:ascii="Times New Roman" w:hAnsi="Times New Roman"/>
                <w:color w:val="000000" w:themeColor="text1"/>
                <w:szCs w:val="24"/>
              </w:rPr>
              <w:t>非甲烷总烃</w:t>
            </w:r>
            <w:r>
              <w:rPr>
                <w:rFonts w:ascii="Times New Roman" w:hAnsi="Times New Roman"/>
                <w:color w:val="000000" w:themeColor="text1"/>
                <w:szCs w:val="24"/>
              </w:rPr>
              <w:t>计</w:t>
            </w:r>
            <w:r>
              <w:rPr>
                <w:rFonts w:hint="eastAsia" w:ascii="Times New Roman" w:hAnsi="Times New Roman"/>
                <w:color w:val="000000" w:themeColor="text1"/>
                <w:szCs w:val="24"/>
              </w:rPr>
              <w:t>。天然气加气过程产生的无组织排放天然气</w:t>
            </w:r>
            <w:r>
              <w:rPr>
                <w:rFonts w:ascii="Times New Roman" w:hAnsi="Times New Roman"/>
                <w:color w:val="000000" w:themeColor="text1"/>
                <w:szCs w:val="24"/>
              </w:rPr>
              <w:t>，正常营运时，油品损耗主要有卸油灌注损失、储油损失、加油作业损失等。</w:t>
            </w:r>
          </w:p>
          <w:p w14:paraId="1D31A78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sz w:val="24"/>
                <w:szCs w:val="24"/>
              </w:rPr>
            </w:pPr>
            <w:r>
              <w:rPr>
                <w:rFonts w:ascii="Times New Roman" w:hAnsi="Times New Roman"/>
                <w:color w:val="000000" w:themeColor="text1"/>
                <w:szCs w:val="24"/>
              </w:rPr>
              <w:t>根据《散装液态石油产品损耗标准》，项目所在区域属于 C 类地区，卸油过程中汽、柴油损耗率分别为0.13%、0.05%；储油过程中卧式罐的贮存损耗忽略不计，汽油、柴油损零售耗分别0.29%、0.08%。项目设置有一、二次油气回收系统，其油气回收效率可达到90%以上，按照年销售汽油</w:t>
            </w:r>
            <w:r>
              <w:rPr>
                <w:rFonts w:hint="eastAsia" w:ascii="Times New Roman" w:hAnsi="Times New Roman"/>
                <w:color w:val="000000" w:themeColor="text1"/>
                <w:szCs w:val="24"/>
              </w:rPr>
              <w:t>2000吨</w:t>
            </w:r>
            <w:r>
              <w:rPr>
                <w:rFonts w:ascii="Times New Roman" w:hAnsi="Times New Roman"/>
                <w:color w:val="000000" w:themeColor="text1"/>
                <w:szCs w:val="24"/>
              </w:rPr>
              <w:t>，柴油</w:t>
            </w:r>
            <w:r>
              <w:rPr>
                <w:rFonts w:hint="eastAsia" w:ascii="Times New Roman" w:hAnsi="Times New Roman"/>
                <w:color w:val="000000" w:themeColor="text1"/>
                <w:szCs w:val="24"/>
              </w:rPr>
              <w:t>2000</w:t>
            </w:r>
            <w:r>
              <w:rPr>
                <w:rFonts w:ascii="Times New Roman" w:hAnsi="Times New Roman"/>
                <w:color w:val="000000" w:themeColor="text1"/>
                <w:szCs w:val="24"/>
              </w:rPr>
              <w:t>吨，</w:t>
            </w:r>
            <w:r>
              <w:rPr>
                <w:rFonts w:hint="eastAsia" w:ascii="Times New Roman" w:hAnsi="Times New Roman"/>
                <w:color w:val="000000" w:themeColor="text1"/>
                <w:szCs w:val="24"/>
              </w:rPr>
              <w:t>天然气无组织排放以销售总量的十万分之一计，则</w:t>
            </w:r>
            <w:r>
              <w:rPr>
                <w:rFonts w:ascii="Times New Roman" w:hAnsi="Times New Roman"/>
                <w:color w:val="000000" w:themeColor="text1"/>
                <w:szCs w:val="24"/>
              </w:rPr>
              <w:t>项目</w:t>
            </w:r>
            <w:r>
              <w:rPr>
                <w:rFonts w:hint="eastAsia" w:ascii="Times New Roman" w:hAnsi="Times New Roman"/>
                <w:color w:val="000000" w:themeColor="text1"/>
                <w:szCs w:val="24"/>
              </w:rPr>
              <w:t>废气</w:t>
            </w:r>
            <w:r>
              <w:rPr>
                <w:rFonts w:ascii="Times New Roman" w:hAnsi="Times New Roman"/>
                <w:color w:val="000000" w:themeColor="text1"/>
                <w:szCs w:val="24"/>
              </w:rPr>
              <w:t>产排量见</w:t>
            </w:r>
            <w:r>
              <w:rPr>
                <w:rFonts w:hint="eastAsia" w:ascii="Times New Roman" w:hAnsi="Times New Roman"/>
                <w:color w:val="000000" w:themeColor="text1"/>
                <w:szCs w:val="24"/>
              </w:rPr>
              <w:t>下表</w:t>
            </w:r>
            <w:r>
              <w:rPr>
                <w:rFonts w:ascii="Times New Roman" w:hAnsi="Times New Roman"/>
                <w:color w:val="000000" w:themeColor="text1"/>
                <w:szCs w:val="24"/>
              </w:rPr>
              <w:t>。</w:t>
            </w:r>
          </w:p>
          <w:p w14:paraId="1F0AEE49">
            <w:pPr>
              <w:ind w:firstLine="422" w:firstLineChars="200"/>
              <w:rPr>
                <w:rFonts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表2</w:t>
            </w:r>
            <w:r>
              <w:rPr>
                <w:rFonts w:hint="eastAsia" w:ascii="黑体" w:hAnsi="黑体" w:eastAsia="黑体" w:cs="黑体"/>
                <w:b/>
                <w:bCs/>
                <w:color w:val="000000" w:themeColor="text1"/>
                <w:sz w:val="21"/>
                <w:szCs w:val="21"/>
                <w:lang w:val="en-US" w:eastAsia="zh-CN"/>
              </w:rPr>
              <w:t>9</w:t>
            </w:r>
            <w:r>
              <w:rPr>
                <w:rFonts w:hint="eastAsia"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废气</w:t>
            </w:r>
            <w:r>
              <w:rPr>
                <w:rFonts w:hint="eastAsia" w:ascii="黑体" w:hAnsi="黑体" w:eastAsia="黑体" w:cs="黑体"/>
                <w:b/>
                <w:bCs/>
                <w:color w:val="000000" w:themeColor="text1"/>
                <w:sz w:val="21"/>
                <w:szCs w:val="21"/>
              </w:rPr>
              <w:t>产生量及排放量</w:t>
            </w:r>
          </w:p>
          <w:tbl>
            <w:tblPr>
              <w:tblStyle w:val="20"/>
              <w:tblW w:w="8220"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23"/>
              <w:gridCol w:w="1402"/>
              <w:gridCol w:w="1898"/>
              <w:gridCol w:w="1898"/>
              <w:gridCol w:w="1899"/>
            </w:tblGrid>
            <w:tr w14:paraId="635752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525" w:type="dxa"/>
                  <w:gridSpan w:val="2"/>
                  <w:tcBorders>
                    <w:bottom w:val="single" w:color="auto" w:sz="12" w:space="0"/>
                  </w:tcBorders>
                  <w:vAlign w:val="center"/>
                </w:tcPr>
                <w:p w14:paraId="0190859F">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污染源名称</w:t>
                  </w:r>
                </w:p>
              </w:tc>
              <w:tc>
                <w:tcPr>
                  <w:tcW w:w="1898" w:type="dxa"/>
                  <w:tcBorders>
                    <w:bottom w:val="single" w:color="auto" w:sz="12" w:space="0"/>
                  </w:tcBorders>
                  <w:vAlign w:val="center"/>
                </w:tcPr>
                <w:p w14:paraId="0A9C5C2F">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损耗率%</w:t>
                  </w:r>
                </w:p>
              </w:tc>
              <w:tc>
                <w:tcPr>
                  <w:tcW w:w="1898" w:type="dxa"/>
                  <w:tcBorders>
                    <w:bottom w:val="single" w:color="auto" w:sz="12" w:space="0"/>
                  </w:tcBorders>
                  <w:vAlign w:val="center"/>
                </w:tcPr>
                <w:p w14:paraId="0FEAA843">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产生量</w:t>
                  </w:r>
                </w:p>
              </w:tc>
              <w:tc>
                <w:tcPr>
                  <w:tcW w:w="1899" w:type="dxa"/>
                  <w:tcBorders>
                    <w:bottom w:val="single" w:color="auto" w:sz="12" w:space="0"/>
                  </w:tcBorders>
                  <w:vAlign w:val="center"/>
                </w:tcPr>
                <w:p w14:paraId="1E058A7B">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排放量</w:t>
                  </w:r>
                </w:p>
              </w:tc>
            </w:tr>
            <w:tr w14:paraId="14D0FEB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23" w:type="dxa"/>
                  <w:vMerge w:val="restart"/>
                  <w:tcBorders>
                    <w:top w:val="single" w:color="auto" w:sz="12" w:space="0"/>
                  </w:tcBorders>
                  <w:vAlign w:val="center"/>
                </w:tcPr>
                <w:p w14:paraId="004CA119">
                  <w:pPr>
                    <w:jc w:val="center"/>
                    <w:rPr>
                      <w:rFonts w:ascii="Times New Roman" w:hAnsi="Times New Roman"/>
                      <w:color w:val="000000" w:themeColor="text1"/>
                      <w:sz w:val="21"/>
                      <w:szCs w:val="21"/>
                    </w:rPr>
                  </w:pPr>
                  <w:r>
                    <w:rPr>
                      <w:rFonts w:ascii="Times New Roman" w:hAnsi="Times New Roman"/>
                      <w:color w:val="000000" w:themeColor="text1"/>
                      <w:sz w:val="21"/>
                      <w:szCs w:val="21"/>
                    </w:rPr>
                    <w:t>卸油过程</w:t>
                  </w:r>
                </w:p>
              </w:tc>
              <w:tc>
                <w:tcPr>
                  <w:tcW w:w="1402" w:type="dxa"/>
                  <w:tcBorders>
                    <w:top w:val="single" w:color="auto" w:sz="12" w:space="0"/>
                  </w:tcBorders>
                  <w:vAlign w:val="center"/>
                </w:tcPr>
                <w:p w14:paraId="77243EF6">
                  <w:pPr>
                    <w:jc w:val="center"/>
                    <w:rPr>
                      <w:rFonts w:ascii="Times New Roman" w:hAnsi="Times New Roman"/>
                      <w:color w:val="000000" w:themeColor="text1"/>
                      <w:sz w:val="21"/>
                      <w:szCs w:val="21"/>
                    </w:rPr>
                  </w:pPr>
                  <w:r>
                    <w:rPr>
                      <w:rFonts w:ascii="Times New Roman" w:hAnsi="Times New Roman"/>
                      <w:color w:val="000000" w:themeColor="text1"/>
                      <w:sz w:val="21"/>
                      <w:szCs w:val="21"/>
                    </w:rPr>
                    <w:t>汽油</w:t>
                  </w:r>
                </w:p>
              </w:tc>
              <w:tc>
                <w:tcPr>
                  <w:tcW w:w="1898" w:type="dxa"/>
                  <w:tcBorders>
                    <w:top w:val="single" w:color="auto" w:sz="12" w:space="0"/>
                  </w:tcBorders>
                  <w:vAlign w:val="center"/>
                </w:tcPr>
                <w:p w14:paraId="658D7404">
                  <w:pPr>
                    <w:jc w:val="center"/>
                    <w:rPr>
                      <w:rFonts w:ascii="Times New Roman" w:hAnsi="Times New Roman"/>
                      <w:color w:val="000000" w:themeColor="text1"/>
                      <w:sz w:val="21"/>
                      <w:szCs w:val="21"/>
                    </w:rPr>
                  </w:pPr>
                  <w:r>
                    <w:rPr>
                      <w:rFonts w:ascii="Times New Roman" w:hAnsi="Times New Roman"/>
                      <w:color w:val="000000" w:themeColor="text1"/>
                      <w:sz w:val="21"/>
                      <w:szCs w:val="21"/>
                    </w:rPr>
                    <w:t>0.13</w:t>
                  </w:r>
                </w:p>
              </w:tc>
              <w:tc>
                <w:tcPr>
                  <w:tcW w:w="1898" w:type="dxa"/>
                  <w:tcBorders>
                    <w:top w:val="single" w:color="auto" w:sz="12" w:space="0"/>
                  </w:tcBorders>
                  <w:vAlign w:val="center"/>
                </w:tcPr>
                <w:p w14:paraId="79A7518D">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2.6</w:t>
                  </w:r>
                  <w:r>
                    <w:rPr>
                      <w:rFonts w:ascii="Times New Roman" w:hAnsi="Times New Roman"/>
                      <w:color w:val="000000" w:themeColor="text1"/>
                      <w:sz w:val="21"/>
                      <w:szCs w:val="21"/>
                    </w:rPr>
                    <w:t>（t/a）</w:t>
                  </w:r>
                </w:p>
              </w:tc>
              <w:tc>
                <w:tcPr>
                  <w:tcW w:w="1899" w:type="dxa"/>
                  <w:tcBorders>
                    <w:top w:val="single" w:color="auto" w:sz="12" w:space="0"/>
                  </w:tcBorders>
                  <w:vAlign w:val="center"/>
                </w:tcPr>
                <w:p w14:paraId="1E10F459">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0.26</w:t>
                  </w:r>
                  <w:r>
                    <w:rPr>
                      <w:rFonts w:ascii="Times New Roman" w:hAnsi="Times New Roman"/>
                      <w:color w:val="000000" w:themeColor="text1"/>
                      <w:sz w:val="21"/>
                      <w:szCs w:val="21"/>
                    </w:rPr>
                    <w:t>（t/a）</w:t>
                  </w:r>
                </w:p>
              </w:tc>
            </w:tr>
            <w:tr w14:paraId="6951071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23" w:type="dxa"/>
                  <w:vMerge w:val="continue"/>
                  <w:vAlign w:val="center"/>
                </w:tcPr>
                <w:p w14:paraId="21111EC8">
                  <w:pPr>
                    <w:jc w:val="center"/>
                    <w:rPr>
                      <w:rFonts w:ascii="Times New Roman" w:hAnsi="Times New Roman"/>
                      <w:color w:val="000000" w:themeColor="text1"/>
                      <w:sz w:val="21"/>
                      <w:szCs w:val="21"/>
                    </w:rPr>
                  </w:pPr>
                </w:p>
              </w:tc>
              <w:tc>
                <w:tcPr>
                  <w:tcW w:w="1402" w:type="dxa"/>
                  <w:vAlign w:val="center"/>
                </w:tcPr>
                <w:p w14:paraId="2501FB5E">
                  <w:pPr>
                    <w:jc w:val="center"/>
                    <w:rPr>
                      <w:rFonts w:ascii="Times New Roman" w:hAnsi="Times New Roman"/>
                      <w:color w:val="000000" w:themeColor="text1"/>
                      <w:sz w:val="21"/>
                      <w:szCs w:val="21"/>
                    </w:rPr>
                  </w:pPr>
                  <w:r>
                    <w:rPr>
                      <w:rFonts w:ascii="Times New Roman" w:hAnsi="Times New Roman"/>
                      <w:color w:val="000000" w:themeColor="text1"/>
                      <w:sz w:val="21"/>
                      <w:szCs w:val="21"/>
                    </w:rPr>
                    <w:t>柴油</w:t>
                  </w:r>
                </w:p>
              </w:tc>
              <w:tc>
                <w:tcPr>
                  <w:tcW w:w="1898" w:type="dxa"/>
                  <w:vAlign w:val="center"/>
                </w:tcPr>
                <w:p w14:paraId="62FE6D47">
                  <w:pPr>
                    <w:jc w:val="center"/>
                    <w:rPr>
                      <w:rFonts w:ascii="Times New Roman" w:hAnsi="Times New Roman"/>
                      <w:color w:val="000000" w:themeColor="text1"/>
                      <w:sz w:val="21"/>
                      <w:szCs w:val="21"/>
                    </w:rPr>
                  </w:pPr>
                  <w:r>
                    <w:rPr>
                      <w:rFonts w:ascii="Times New Roman" w:hAnsi="Times New Roman"/>
                      <w:color w:val="000000" w:themeColor="text1"/>
                      <w:sz w:val="21"/>
                      <w:szCs w:val="21"/>
                    </w:rPr>
                    <w:t>0.05</w:t>
                  </w:r>
                </w:p>
              </w:tc>
              <w:tc>
                <w:tcPr>
                  <w:tcW w:w="1898" w:type="dxa"/>
                  <w:vAlign w:val="center"/>
                </w:tcPr>
                <w:p w14:paraId="27E6CEB4">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1</w:t>
                  </w:r>
                  <w:r>
                    <w:rPr>
                      <w:rFonts w:ascii="Times New Roman" w:hAnsi="Times New Roman"/>
                      <w:color w:val="000000" w:themeColor="text1"/>
                      <w:sz w:val="21"/>
                      <w:szCs w:val="21"/>
                    </w:rPr>
                    <w:t>（t/a）</w:t>
                  </w:r>
                </w:p>
              </w:tc>
              <w:tc>
                <w:tcPr>
                  <w:tcW w:w="1899" w:type="dxa"/>
                  <w:vAlign w:val="center"/>
                </w:tcPr>
                <w:p w14:paraId="364479AB">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0.1</w:t>
                  </w:r>
                  <w:r>
                    <w:rPr>
                      <w:rFonts w:ascii="Times New Roman" w:hAnsi="Times New Roman"/>
                      <w:color w:val="000000" w:themeColor="text1"/>
                      <w:sz w:val="21"/>
                      <w:szCs w:val="21"/>
                    </w:rPr>
                    <w:t>（t/a）</w:t>
                  </w:r>
                </w:p>
              </w:tc>
            </w:tr>
            <w:tr w14:paraId="6BAC7A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23" w:type="dxa"/>
                  <w:vMerge w:val="restart"/>
                  <w:vAlign w:val="center"/>
                </w:tcPr>
                <w:p w14:paraId="4BABC5EC">
                  <w:pPr>
                    <w:jc w:val="center"/>
                    <w:rPr>
                      <w:rFonts w:ascii="Times New Roman" w:hAnsi="Times New Roman"/>
                      <w:color w:val="000000" w:themeColor="text1"/>
                      <w:sz w:val="21"/>
                      <w:szCs w:val="21"/>
                    </w:rPr>
                  </w:pPr>
                  <w:r>
                    <w:rPr>
                      <w:rFonts w:ascii="Times New Roman" w:hAnsi="Times New Roman"/>
                      <w:color w:val="000000" w:themeColor="text1"/>
                      <w:sz w:val="21"/>
                      <w:szCs w:val="21"/>
                    </w:rPr>
                    <w:t>零售过程</w:t>
                  </w:r>
                </w:p>
              </w:tc>
              <w:tc>
                <w:tcPr>
                  <w:tcW w:w="1402" w:type="dxa"/>
                  <w:vAlign w:val="center"/>
                </w:tcPr>
                <w:p w14:paraId="18F6FEDF">
                  <w:pPr>
                    <w:jc w:val="center"/>
                    <w:rPr>
                      <w:rFonts w:ascii="Times New Roman" w:hAnsi="Times New Roman"/>
                      <w:color w:val="000000" w:themeColor="text1"/>
                      <w:sz w:val="21"/>
                      <w:szCs w:val="21"/>
                    </w:rPr>
                  </w:pPr>
                  <w:r>
                    <w:rPr>
                      <w:rFonts w:ascii="Times New Roman" w:hAnsi="Times New Roman"/>
                      <w:color w:val="000000" w:themeColor="text1"/>
                      <w:sz w:val="21"/>
                      <w:szCs w:val="21"/>
                    </w:rPr>
                    <w:t>汽油</w:t>
                  </w:r>
                </w:p>
              </w:tc>
              <w:tc>
                <w:tcPr>
                  <w:tcW w:w="1898" w:type="dxa"/>
                  <w:vAlign w:val="center"/>
                </w:tcPr>
                <w:p w14:paraId="3C8045F4">
                  <w:pPr>
                    <w:jc w:val="center"/>
                    <w:rPr>
                      <w:rFonts w:ascii="Times New Roman" w:hAnsi="Times New Roman"/>
                      <w:color w:val="000000" w:themeColor="text1"/>
                      <w:sz w:val="21"/>
                      <w:szCs w:val="21"/>
                    </w:rPr>
                  </w:pPr>
                  <w:r>
                    <w:rPr>
                      <w:rFonts w:ascii="Times New Roman" w:hAnsi="Times New Roman"/>
                      <w:color w:val="000000" w:themeColor="text1"/>
                      <w:sz w:val="21"/>
                      <w:szCs w:val="21"/>
                    </w:rPr>
                    <w:t>0.29</w:t>
                  </w:r>
                </w:p>
              </w:tc>
              <w:tc>
                <w:tcPr>
                  <w:tcW w:w="1898" w:type="dxa"/>
                  <w:vAlign w:val="center"/>
                </w:tcPr>
                <w:p w14:paraId="53937682">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5.8</w:t>
                  </w:r>
                  <w:r>
                    <w:rPr>
                      <w:rFonts w:ascii="Times New Roman" w:hAnsi="Times New Roman"/>
                      <w:color w:val="000000" w:themeColor="text1"/>
                      <w:sz w:val="21"/>
                      <w:szCs w:val="21"/>
                    </w:rPr>
                    <w:t>（t/a）</w:t>
                  </w:r>
                </w:p>
              </w:tc>
              <w:tc>
                <w:tcPr>
                  <w:tcW w:w="1899" w:type="dxa"/>
                  <w:vAlign w:val="center"/>
                </w:tcPr>
                <w:p w14:paraId="4A83B7A8">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0.58</w:t>
                  </w:r>
                  <w:r>
                    <w:rPr>
                      <w:rFonts w:ascii="Times New Roman" w:hAnsi="Times New Roman"/>
                      <w:color w:val="000000" w:themeColor="text1"/>
                      <w:sz w:val="21"/>
                      <w:szCs w:val="21"/>
                    </w:rPr>
                    <w:t>（t/a）</w:t>
                  </w:r>
                </w:p>
              </w:tc>
            </w:tr>
            <w:tr w14:paraId="773DB3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23" w:type="dxa"/>
                  <w:vMerge w:val="continue"/>
                  <w:vAlign w:val="center"/>
                </w:tcPr>
                <w:p w14:paraId="1B419527">
                  <w:pPr>
                    <w:jc w:val="center"/>
                    <w:rPr>
                      <w:rFonts w:ascii="Times New Roman" w:hAnsi="Times New Roman"/>
                      <w:color w:val="000000" w:themeColor="text1"/>
                      <w:sz w:val="21"/>
                      <w:szCs w:val="21"/>
                    </w:rPr>
                  </w:pPr>
                </w:p>
              </w:tc>
              <w:tc>
                <w:tcPr>
                  <w:tcW w:w="1402" w:type="dxa"/>
                  <w:vAlign w:val="center"/>
                </w:tcPr>
                <w:p w14:paraId="5D242EAA">
                  <w:pPr>
                    <w:jc w:val="center"/>
                    <w:rPr>
                      <w:rFonts w:ascii="Times New Roman" w:hAnsi="Times New Roman"/>
                      <w:color w:val="000000" w:themeColor="text1"/>
                      <w:sz w:val="21"/>
                      <w:szCs w:val="21"/>
                    </w:rPr>
                  </w:pPr>
                  <w:r>
                    <w:rPr>
                      <w:rFonts w:ascii="Times New Roman" w:hAnsi="Times New Roman"/>
                      <w:color w:val="000000" w:themeColor="text1"/>
                      <w:sz w:val="21"/>
                      <w:szCs w:val="21"/>
                    </w:rPr>
                    <w:t>柴油</w:t>
                  </w:r>
                </w:p>
              </w:tc>
              <w:tc>
                <w:tcPr>
                  <w:tcW w:w="1898" w:type="dxa"/>
                  <w:vAlign w:val="center"/>
                </w:tcPr>
                <w:p w14:paraId="70BEEF71">
                  <w:pPr>
                    <w:jc w:val="center"/>
                    <w:rPr>
                      <w:rFonts w:ascii="Times New Roman" w:hAnsi="Times New Roman"/>
                      <w:color w:val="000000" w:themeColor="text1"/>
                      <w:sz w:val="21"/>
                      <w:szCs w:val="21"/>
                    </w:rPr>
                  </w:pPr>
                  <w:r>
                    <w:rPr>
                      <w:rFonts w:ascii="Times New Roman" w:hAnsi="Times New Roman"/>
                      <w:color w:val="000000" w:themeColor="text1"/>
                      <w:sz w:val="21"/>
                      <w:szCs w:val="21"/>
                    </w:rPr>
                    <w:t>0.08</w:t>
                  </w:r>
                </w:p>
              </w:tc>
              <w:tc>
                <w:tcPr>
                  <w:tcW w:w="1898" w:type="dxa"/>
                  <w:vAlign w:val="center"/>
                </w:tcPr>
                <w:p w14:paraId="4A12F6ED">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1.6</w:t>
                  </w:r>
                  <w:r>
                    <w:rPr>
                      <w:rFonts w:ascii="Times New Roman" w:hAnsi="Times New Roman"/>
                      <w:color w:val="000000" w:themeColor="text1"/>
                      <w:sz w:val="21"/>
                      <w:szCs w:val="21"/>
                    </w:rPr>
                    <w:t>（t/a）</w:t>
                  </w:r>
                </w:p>
              </w:tc>
              <w:tc>
                <w:tcPr>
                  <w:tcW w:w="1899" w:type="dxa"/>
                  <w:vAlign w:val="center"/>
                </w:tcPr>
                <w:p w14:paraId="5C4FB366">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0.16</w:t>
                  </w:r>
                  <w:r>
                    <w:rPr>
                      <w:rFonts w:ascii="Times New Roman" w:hAnsi="Times New Roman"/>
                      <w:color w:val="000000" w:themeColor="text1"/>
                      <w:sz w:val="21"/>
                      <w:szCs w:val="21"/>
                    </w:rPr>
                    <w:t>（t/a）</w:t>
                  </w:r>
                </w:p>
              </w:tc>
            </w:tr>
            <w:tr w14:paraId="6A0510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23" w:type="dxa"/>
                  <w:vAlign w:val="center"/>
                </w:tcPr>
                <w:p w14:paraId="524CB089">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加气过程</w:t>
                  </w:r>
                </w:p>
              </w:tc>
              <w:tc>
                <w:tcPr>
                  <w:tcW w:w="1402" w:type="dxa"/>
                  <w:vAlign w:val="center"/>
                </w:tcPr>
                <w:p w14:paraId="322DE5D5">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天然气</w:t>
                  </w:r>
                </w:p>
              </w:tc>
              <w:tc>
                <w:tcPr>
                  <w:tcW w:w="1898" w:type="dxa"/>
                  <w:vAlign w:val="center"/>
                </w:tcPr>
                <w:p w14:paraId="7B2113BD">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0.001</w:t>
                  </w:r>
                </w:p>
              </w:tc>
              <w:tc>
                <w:tcPr>
                  <w:tcW w:w="1898" w:type="dxa"/>
                  <w:vAlign w:val="center"/>
                </w:tcPr>
                <w:p w14:paraId="6219110C">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0.066</w:t>
                  </w:r>
                  <w:r>
                    <w:rPr>
                      <w:rFonts w:ascii="Times New Roman" w:hAnsi="Times New Roman"/>
                      <w:color w:val="000000" w:themeColor="text1"/>
                      <w:sz w:val="21"/>
                      <w:szCs w:val="21"/>
                    </w:rPr>
                    <w:t>（t/a）</w:t>
                  </w:r>
                </w:p>
              </w:tc>
              <w:tc>
                <w:tcPr>
                  <w:tcW w:w="1899" w:type="dxa"/>
                  <w:vAlign w:val="center"/>
                </w:tcPr>
                <w:p w14:paraId="199E7AB4">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0.066</w:t>
                  </w:r>
                  <w:r>
                    <w:rPr>
                      <w:rFonts w:ascii="Times New Roman" w:hAnsi="Times New Roman"/>
                      <w:color w:val="000000" w:themeColor="text1"/>
                      <w:sz w:val="21"/>
                      <w:szCs w:val="21"/>
                    </w:rPr>
                    <w:t>（t/a</w:t>
                  </w:r>
                  <w:r>
                    <w:rPr>
                      <w:rFonts w:hint="eastAsia" w:ascii="Times New Roman" w:hAnsi="Times New Roman"/>
                      <w:color w:val="000000" w:themeColor="text1"/>
                      <w:sz w:val="21"/>
                      <w:szCs w:val="21"/>
                    </w:rPr>
                    <w:t>）</w:t>
                  </w:r>
                </w:p>
              </w:tc>
            </w:tr>
            <w:tr w14:paraId="6D4E5A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423" w:type="dxa"/>
                  <w:gridSpan w:val="3"/>
                  <w:vAlign w:val="center"/>
                </w:tcPr>
                <w:p w14:paraId="370AEE7E">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合计</w:t>
                  </w:r>
                  <w:r>
                    <w:rPr>
                      <w:rFonts w:hint="eastAsia" w:ascii="Times New Roman" w:hAnsi="Times New Roman"/>
                      <w:color w:val="000000" w:themeColor="text1"/>
                      <w:sz w:val="21"/>
                      <w:szCs w:val="21"/>
                      <w:lang w:eastAsia="zh-CN"/>
                    </w:rPr>
                    <w:t>（</w:t>
                  </w:r>
                  <w:r>
                    <w:rPr>
                      <w:rFonts w:hint="eastAsia" w:ascii="Times New Roman" w:hAnsi="Times New Roman"/>
                      <w:color w:val="000000" w:themeColor="text1"/>
                      <w:sz w:val="21"/>
                      <w:szCs w:val="21"/>
                      <w:lang w:val="en-US" w:eastAsia="zh-CN"/>
                    </w:rPr>
                    <w:t>非甲烷总烃</w:t>
                  </w:r>
                  <w:r>
                    <w:rPr>
                      <w:rFonts w:hint="eastAsia" w:ascii="Times New Roman" w:hAnsi="Times New Roman"/>
                      <w:color w:val="000000" w:themeColor="text1"/>
                      <w:sz w:val="21"/>
                      <w:szCs w:val="21"/>
                      <w:lang w:eastAsia="zh-CN"/>
                    </w:rPr>
                    <w:t>）</w:t>
                  </w:r>
                </w:p>
              </w:tc>
              <w:tc>
                <w:tcPr>
                  <w:tcW w:w="1898" w:type="dxa"/>
                  <w:vAlign w:val="center"/>
                </w:tcPr>
                <w:p w14:paraId="1D8C76D2">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11.066</w:t>
                  </w:r>
                  <w:r>
                    <w:rPr>
                      <w:rFonts w:ascii="Times New Roman" w:hAnsi="Times New Roman"/>
                      <w:color w:val="000000" w:themeColor="text1"/>
                      <w:sz w:val="21"/>
                      <w:szCs w:val="21"/>
                    </w:rPr>
                    <w:t>（t/a</w:t>
                  </w:r>
                  <w:r>
                    <w:rPr>
                      <w:rFonts w:hint="eastAsia" w:ascii="Times New Roman" w:hAnsi="Times New Roman"/>
                      <w:color w:val="000000" w:themeColor="text1"/>
                      <w:sz w:val="21"/>
                      <w:szCs w:val="21"/>
                    </w:rPr>
                    <w:t>）</w:t>
                  </w:r>
                </w:p>
              </w:tc>
              <w:tc>
                <w:tcPr>
                  <w:tcW w:w="1899" w:type="dxa"/>
                  <w:vAlign w:val="center"/>
                </w:tcPr>
                <w:p w14:paraId="6306F643">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1.1</w:t>
                  </w:r>
                  <w:r>
                    <w:rPr>
                      <w:rFonts w:ascii="Times New Roman" w:hAnsi="Times New Roman"/>
                      <w:color w:val="000000" w:themeColor="text1"/>
                      <w:sz w:val="21"/>
                      <w:szCs w:val="21"/>
                    </w:rPr>
                    <w:t>（t/a</w:t>
                  </w:r>
                  <w:r>
                    <w:rPr>
                      <w:rFonts w:hint="eastAsia" w:ascii="Times New Roman" w:hAnsi="Times New Roman"/>
                      <w:color w:val="000000" w:themeColor="text1"/>
                      <w:sz w:val="21"/>
                      <w:szCs w:val="21"/>
                    </w:rPr>
                    <w:t>）</w:t>
                  </w:r>
                </w:p>
              </w:tc>
            </w:tr>
          </w:tbl>
          <w:p w14:paraId="2C814F9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3、声环境污染</w:t>
            </w:r>
          </w:p>
          <w:p w14:paraId="550D7011">
            <w:pPr>
              <w:pStyle w:val="14"/>
              <w:widowControl/>
              <w:spacing w:after="0" w:line="360" w:lineRule="auto"/>
              <w:ind w:left="0" w:leftChars="0" w:firstLine="480" w:firstLineChars="200"/>
              <w:rPr>
                <w:rFonts w:hint="eastAsia" w:ascii="Times New Roman" w:hAnsi="Times New Roman" w:cs="Times New Roman"/>
                <w:color w:val="000000" w:themeColor="text1"/>
                <w:sz w:val="24"/>
                <w:szCs w:val="24"/>
                <w:lang w:val="en-US" w:eastAsia="zh-CN"/>
              </w:rPr>
            </w:pPr>
            <w:r>
              <w:rPr>
                <w:rFonts w:ascii="Times New Roman" w:hAnsi="Times New Roman"/>
                <w:color w:val="000000" w:themeColor="text1"/>
                <w:sz w:val="24"/>
                <w:szCs w:val="24"/>
              </w:rPr>
              <w:t>本项目建成后主要噪声源主要为加油机工作时的机械噪声，类比噪声值约为</w:t>
            </w:r>
            <w:r>
              <w:rPr>
                <w:rFonts w:hint="eastAsia" w:ascii="Times New Roman" w:hAnsi="Times New Roman"/>
                <w:color w:val="000000" w:themeColor="text1"/>
                <w:sz w:val="24"/>
                <w:szCs w:val="24"/>
                <w:lang w:val="en-US" w:eastAsia="zh-CN"/>
              </w:rPr>
              <w:t>65</w:t>
            </w:r>
            <w:r>
              <w:rPr>
                <w:rFonts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70</w:t>
            </w:r>
            <w:r>
              <w:rPr>
                <w:rFonts w:ascii="Times New Roman" w:hAnsi="Times New Roman"/>
                <w:color w:val="000000" w:themeColor="text1"/>
                <w:sz w:val="24"/>
                <w:szCs w:val="24"/>
              </w:rPr>
              <w:t>dB（A），在项目的运营过程中，为防止噪声对周围环境产生影响，需要采取一定的噪声控制措施。</w:t>
            </w:r>
          </w:p>
          <w:p w14:paraId="780E3D7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4、固体废物</w:t>
            </w:r>
          </w:p>
          <w:p w14:paraId="5F78F53E">
            <w:pPr>
              <w:spacing w:line="360" w:lineRule="auto"/>
              <w:ind w:firstLine="480" w:firstLineChars="200"/>
              <w:textAlignment w:val="baseline"/>
              <w:rPr>
                <w:rFonts w:ascii="Times New Roman" w:hAnsi="Times New Roman"/>
                <w:color w:val="000000" w:themeColor="text1"/>
                <w:szCs w:val="24"/>
              </w:rPr>
            </w:pPr>
            <w:r>
              <w:rPr>
                <w:rFonts w:ascii="Times New Roman" w:hAnsi="Times New Roman"/>
                <w:color w:val="000000" w:themeColor="text1"/>
                <w:szCs w:val="24"/>
              </w:rPr>
              <w:t>项目改扩建后产生的固废主要为员工生活垃圾</w:t>
            </w:r>
            <w:r>
              <w:rPr>
                <w:rFonts w:hint="eastAsia" w:ascii="Times New Roman" w:hAnsi="Times New Roman"/>
                <w:color w:val="000000" w:themeColor="text1"/>
                <w:szCs w:val="24"/>
              </w:rPr>
              <w:t>，</w:t>
            </w:r>
            <w:r>
              <w:rPr>
                <w:rFonts w:ascii="Times New Roman" w:hAnsi="Times New Roman"/>
                <w:color w:val="000000" w:themeColor="text1"/>
                <w:szCs w:val="24"/>
              </w:rPr>
              <w:t>储油罐经过一定时间（3~5年）的使用后检修过程中产生的极少量检修废渣、槽罐残液</w:t>
            </w:r>
            <w:r>
              <w:rPr>
                <w:rFonts w:hint="eastAsia" w:ascii="Times New Roman" w:hAnsi="Times New Roman"/>
                <w:color w:val="000000" w:themeColor="text1"/>
                <w:szCs w:val="24"/>
              </w:rPr>
              <w:t>以及加气过程产生的含油废水</w:t>
            </w:r>
            <w:r>
              <w:rPr>
                <w:rFonts w:ascii="Times New Roman" w:hAnsi="Times New Roman"/>
                <w:color w:val="000000" w:themeColor="text1"/>
                <w:szCs w:val="24"/>
              </w:rPr>
              <w:t>。</w:t>
            </w:r>
          </w:p>
          <w:p w14:paraId="11ED69A3">
            <w:pPr>
              <w:spacing w:line="360" w:lineRule="auto"/>
              <w:ind w:firstLine="480" w:firstLineChars="200"/>
              <w:textAlignment w:val="baseline"/>
              <w:rPr>
                <w:rFonts w:ascii="Times New Roman" w:hAnsi="Times New Roman"/>
                <w:color w:val="000000" w:themeColor="text1"/>
                <w:szCs w:val="24"/>
              </w:rPr>
            </w:pPr>
            <w:r>
              <w:rPr>
                <w:rFonts w:ascii="Times New Roman" w:hAnsi="Times New Roman"/>
                <w:color w:val="000000" w:themeColor="text1"/>
                <w:szCs w:val="24"/>
              </w:rPr>
              <w:t>本项目运营后</w:t>
            </w:r>
            <w:r>
              <w:rPr>
                <w:rFonts w:hint="eastAsia" w:ascii="Times New Roman" w:hAnsi="Times New Roman"/>
                <w:color w:val="000000" w:themeColor="text1"/>
                <w:szCs w:val="24"/>
              </w:rPr>
              <w:t>新增</w:t>
            </w:r>
            <w:r>
              <w:rPr>
                <w:rFonts w:ascii="Times New Roman" w:hAnsi="Times New Roman"/>
                <w:color w:val="000000" w:themeColor="text1"/>
                <w:szCs w:val="24"/>
              </w:rPr>
              <w:t>劳动定员</w:t>
            </w:r>
            <w:r>
              <w:rPr>
                <w:rFonts w:hint="eastAsia" w:ascii="Times New Roman" w:hAnsi="Times New Roman"/>
                <w:color w:val="000000" w:themeColor="text1"/>
                <w:szCs w:val="24"/>
              </w:rPr>
              <w:t>16</w:t>
            </w:r>
            <w:r>
              <w:rPr>
                <w:rFonts w:ascii="Times New Roman" w:hAnsi="Times New Roman"/>
                <w:color w:val="000000" w:themeColor="text1"/>
                <w:szCs w:val="24"/>
              </w:rPr>
              <w:t>人，生活垃圾按0.5kg/人·天计，即</w:t>
            </w:r>
            <w:r>
              <w:rPr>
                <w:rFonts w:hint="eastAsia" w:ascii="Times New Roman" w:hAnsi="Times New Roman"/>
                <w:color w:val="000000" w:themeColor="text1"/>
                <w:szCs w:val="24"/>
              </w:rPr>
              <w:t>8</w:t>
            </w:r>
            <w:r>
              <w:rPr>
                <w:rFonts w:ascii="Times New Roman" w:hAnsi="Times New Roman"/>
                <w:color w:val="000000" w:themeColor="text1"/>
                <w:szCs w:val="24"/>
              </w:rPr>
              <w:t>kg/天，</w:t>
            </w:r>
            <w:r>
              <w:rPr>
                <w:rFonts w:hint="eastAsia" w:ascii="Times New Roman" w:hAnsi="Times New Roman"/>
                <w:color w:val="000000" w:themeColor="text1"/>
                <w:szCs w:val="24"/>
              </w:rPr>
              <w:t>2.92</w:t>
            </w:r>
            <w:r>
              <w:rPr>
                <w:rFonts w:ascii="Times New Roman" w:hAnsi="Times New Roman"/>
                <w:color w:val="000000" w:themeColor="text1"/>
                <w:szCs w:val="24"/>
              </w:rPr>
              <w:t>t/a，生活垃圾依托站区现有垃圾收集设施，交由园区环卫处理，不会对周围环境产生影响。</w:t>
            </w:r>
          </w:p>
          <w:p w14:paraId="47B4E4D5">
            <w:pPr>
              <w:spacing w:line="360" w:lineRule="auto"/>
              <w:ind w:firstLine="480" w:firstLineChars="200"/>
              <w:textAlignment w:val="baseline"/>
              <w:rPr>
                <w:rFonts w:ascii="Times New Roman" w:hAnsi="Times New Roman"/>
                <w:color w:val="000000" w:themeColor="text1"/>
                <w:szCs w:val="24"/>
              </w:rPr>
            </w:pPr>
            <w:r>
              <w:rPr>
                <w:rFonts w:ascii="Times New Roman" w:hAnsi="Times New Roman"/>
                <w:color w:val="000000" w:themeColor="text1"/>
                <w:szCs w:val="24"/>
              </w:rPr>
              <w:t>储油罐经过一定时间（3~5年）的使用后清洗、检修产生的油泥、油渣以及检修过程中产生的极少量检修废渣、槽罐残液等属于危废，产生量约为0.1t/a</w:t>
            </w:r>
            <w:r>
              <w:rPr>
                <w:rFonts w:hint="eastAsia" w:ascii="Times New Roman" w:hAnsi="Times New Roman"/>
                <w:color w:val="000000" w:themeColor="text1"/>
                <w:szCs w:val="24"/>
                <w:lang w:eastAsia="zh-CN"/>
              </w:rPr>
              <w:t>。</w:t>
            </w:r>
          </w:p>
          <w:p w14:paraId="6229278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s="Times New Roman"/>
                <w:color w:val="000000" w:themeColor="text1"/>
                <w:sz w:val="24"/>
                <w:szCs w:val="24"/>
                <w:lang w:val="en-US" w:eastAsia="zh-CN"/>
              </w:rPr>
            </w:pPr>
            <w:r>
              <w:rPr>
                <w:rFonts w:ascii="Times New Roman" w:hAnsi="Times New Roman"/>
                <w:color w:val="000000" w:themeColor="text1"/>
                <w:szCs w:val="24"/>
              </w:rPr>
              <w:t>含油废水主要来自天然气脱水过程，废水中含油量很高，成乌黑色油状，浓度严重超标，为危险废物，排放量约为2t/a</w:t>
            </w:r>
            <w:r>
              <w:rPr>
                <w:rFonts w:hint="eastAsia" w:ascii="Times New Roman" w:hAnsi="Times New Roman"/>
                <w:color w:val="000000" w:themeColor="text1"/>
                <w:szCs w:val="24"/>
              </w:rPr>
              <w:t>。</w:t>
            </w:r>
          </w:p>
          <w:p w14:paraId="2810397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5、环境风险</w:t>
            </w:r>
          </w:p>
          <w:p w14:paraId="0FDDAC9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新增危险物质：汽油、柴油</w:t>
            </w: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天然气储罐</w:t>
            </w:r>
            <w:r>
              <w:rPr>
                <w:rFonts w:hint="default" w:ascii="Times New Roman" w:hAnsi="Times New Roman" w:cs="Times New Roman"/>
                <w:color w:val="000000" w:themeColor="text1"/>
                <w:sz w:val="24"/>
                <w:szCs w:val="24"/>
              </w:rPr>
              <w:t>，会有一定的泄露、爆炸及火灾风险。</w:t>
            </w:r>
          </w:p>
          <w:p w14:paraId="62C062A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综上所述，</w:t>
            </w:r>
            <w:r>
              <w:rPr>
                <w:rFonts w:hint="default" w:ascii="Times New Roman" w:hAnsi="Times New Roman" w:cs="Times New Roman"/>
                <w:color w:val="000000" w:themeColor="text1"/>
                <w:sz w:val="24"/>
                <w:szCs w:val="24"/>
              </w:rPr>
              <w:t>项目运营期主要污染工序及污染因子分析如下表。</w:t>
            </w:r>
          </w:p>
          <w:p w14:paraId="424A8FC9">
            <w:pPr>
              <w:overflowPunct w:val="0"/>
              <w:ind w:firstLine="422" w:firstLineChars="200"/>
              <w:rPr>
                <w:rFonts w:hint="eastAsia" w:ascii="黑体" w:hAnsi="黑体" w:eastAsia="黑体" w:cs="黑体"/>
                <w:b/>
                <w:bCs/>
                <w:snapToGrid w:val="0"/>
                <w:color w:val="000000" w:themeColor="text1"/>
                <w:kern w:val="0"/>
                <w:sz w:val="21"/>
                <w:szCs w:val="21"/>
              </w:rPr>
            </w:pPr>
            <w:r>
              <w:rPr>
                <w:rFonts w:hint="eastAsia" w:ascii="黑体" w:hAnsi="黑体" w:eastAsia="黑体" w:cs="黑体"/>
                <w:b/>
                <w:bCs/>
                <w:snapToGrid w:val="0"/>
                <w:color w:val="000000" w:themeColor="text1"/>
                <w:kern w:val="0"/>
                <w:sz w:val="21"/>
                <w:szCs w:val="21"/>
              </w:rPr>
              <w:t>表</w:t>
            </w:r>
            <w:r>
              <w:rPr>
                <w:rFonts w:hint="eastAsia" w:ascii="黑体" w:hAnsi="黑体" w:eastAsia="黑体" w:cs="黑体"/>
                <w:b/>
                <w:bCs/>
                <w:snapToGrid w:val="0"/>
                <w:color w:val="000000" w:themeColor="text1"/>
                <w:kern w:val="0"/>
                <w:sz w:val="21"/>
                <w:szCs w:val="21"/>
                <w:lang w:val="en-US" w:eastAsia="zh-CN"/>
              </w:rPr>
              <w:t xml:space="preserve">30 </w:t>
            </w:r>
            <w:r>
              <w:rPr>
                <w:rFonts w:hint="eastAsia" w:ascii="黑体" w:hAnsi="黑体" w:eastAsia="黑体" w:cs="黑体"/>
                <w:b/>
                <w:bCs/>
                <w:snapToGrid w:val="0"/>
                <w:color w:val="000000" w:themeColor="text1"/>
                <w:kern w:val="0"/>
                <w:sz w:val="21"/>
                <w:szCs w:val="21"/>
              </w:rPr>
              <w:t xml:space="preserve">           运营期主要污染工序及污染因子一览表</w:t>
            </w:r>
          </w:p>
          <w:tbl>
            <w:tblPr>
              <w:tblStyle w:val="19"/>
              <w:tblW w:w="8220"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21"/>
              <w:gridCol w:w="1921"/>
              <w:gridCol w:w="1903"/>
              <w:gridCol w:w="3975"/>
            </w:tblGrid>
            <w:tr w14:paraId="759B01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21" w:type="dxa"/>
                  <w:tcBorders>
                    <w:bottom w:val="single" w:color="auto" w:sz="12" w:space="0"/>
                    <w:right w:val="single" w:color="auto" w:sz="4" w:space="0"/>
                  </w:tcBorders>
                  <w:vAlign w:val="center"/>
                </w:tcPr>
                <w:p w14:paraId="7311CA4E">
                  <w:pPr>
                    <w:spacing w:line="240" w:lineRule="auto"/>
                    <w:jc w:val="center"/>
                    <w:rPr>
                      <w:rFonts w:hint="default" w:ascii="Times New Roman" w:hAnsi="Times New Roman" w:cs="Times New Roman"/>
                      <w:b/>
                      <w:bCs w:val="0"/>
                      <w:color w:val="000000" w:themeColor="text1"/>
                      <w:sz w:val="21"/>
                      <w:szCs w:val="21"/>
                    </w:rPr>
                  </w:pPr>
                  <w:r>
                    <w:rPr>
                      <w:rFonts w:hint="default" w:ascii="Times New Roman" w:hAnsi="Times New Roman" w:cs="Times New Roman"/>
                      <w:b/>
                      <w:bCs w:val="0"/>
                      <w:color w:val="000000" w:themeColor="text1"/>
                      <w:sz w:val="21"/>
                      <w:szCs w:val="21"/>
                    </w:rPr>
                    <w:t>类别</w:t>
                  </w:r>
                </w:p>
              </w:tc>
              <w:tc>
                <w:tcPr>
                  <w:tcW w:w="1921" w:type="dxa"/>
                  <w:tcBorders>
                    <w:left w:val="single" w:color="auto" w:sz="4" w:space="0"/>
                    <w:bottom w:val="single" w:color="auto" w:sz="12" w:space="0"/>
                    <w:right w:val="single" w:color="auto" w:sz="4" w:space="0"/>
                  </w:tcBorders>
                  <w:vAlign w:val="center"/>
                </w:tcPr>
                <w:p w14:paraId="6E3E0EC0">
                  <w:pPr>
                    <w:spacing w:line="240" w:lineRule="auto"/>
                    <w:jc w:val="center"/>
                    <w:rPr>
                      <w:rFonts w:hint="default" w:ascii="Times New Roman" w:hAnsi="Times New Roman" w:cs="Times New Roman"/>
                      <w:b/>
                      <w:bCs w:val="0"/>
                      <w:color w:val="000000" w:themeColor="text1"/>
                      <w:sz w:val="21"/>
                      <w:szCs w:val="21"/>
                    </w:rPr>
                  </w:pPr>
                  <w:r>
                    <w:rPr>
                      <w:rFonts w:hint="default" w:ascii="Times New Roman" w:hAnsi="Times New Roman" w:cs="Times New Roman"/>
                      <w:b/>
                      <w:bCs w:val="0"/>
                      <w:color w:val="000000" w:themeColor="text1"/>
                      <w:sz w:val="21"/>
                      <w:szCs w:val="21"/>
                    </w:rPr>
                    <w:t>产生工序</w:t>
                  </w:r>
                </w:p>
              </w:tc>
              <w:tc>
                <w:tcPr>
                  <w:tcW w:w="1903" w:type="dxa"/>
                  <w:tcBorders>
                    <w:left w:val="single" w:color="auto" w:sz="4" w:space="0"/>
                    <w:bottom w:val="single" w:color="auto" w:sz="12" w:space="0"/>
                    <w:right w:val="single" w:color="auto" w:sz="4" w:space="0"/>
                  </w:tcBorders>
                  <w:vAlign w:val="center"/>
                </w:tcPr>
                <w:p w14:paraId="605B2506">
                  <w:pPr>
                    <w:spacing w:line="240" w:lineRule="auto"/>
                    <w:jc w:val="center"/>
                    <w:rPr>
                      <w:rFonts w:hint="default" w:ascii="Times New Roman" w:hAnsi="Times New Roman" w:cs="Times New Roman"/>
                      <w:b/>
                      <w:bCs w:val="0"/>
                      <w:color w:val="000000" w:themeColor="text1"/>
                      <w:sz w:val="21"/>
                      <w:szCs w:val="21"/>
                    </w:rPr>
                  </w:pPr>
                  <w:r>
                    <w:rPr>
                      <w:rFonts w:hint="default" w:ascii="Times New Roman" w:hAnsi="Times New Roman" w:cs="Times New Roman"/>
                      <w:b/>
                      <w:bCs w:val="0"/>
                      <w:color w:val="000000" w:themeColor="text1"/>
                      <w:sz w:val="21"/>
                      <w:szCs w:val="21"/>
                    </w:rPr>
                    <w:t>污染因子</w:t>
                  </w:r>
                </w:p>
              </w:tc>
              <w:tc>
                <w:tcPr>
                  <w:tcW w:w="3975" w:type="dxa"/>
                  <w:tcBorders>
                    <w:left w:val="single" w:color="auto" w:sz="4" w:space="0"/>
                    <w:bottom w:val="single" w:color="auto" w:sz="12" w:space="0"/>
                  </w:tcBorders>
                  <w:vAlign w:val="center"/>
                </w:tcPr>
                <w:p w14:paraId="52FA5190">
                  <w:pPr>
                    <w:spacing w:line="240" w:lineRule="auto"/>
                    <w:jc w:val="center"/>
                    <w:rPr>
                      <w:rFonts w:hint="default" w:ascii="Times New Roman" w:hAnsi="Times New Roman" w:cs="Times New Roman"/>
                      <w:b/>
                      <w:bCs w:val="0"/>
                      <w:color w:val="000000" w:themeColor="text1"/>
                      <w:sz w:val="21"/>
                      <w:szCs w:val="21"/>
                    </w:rPr>
                  </w:pPr>
                  <w:r>
                    <w:rPr>
                      <w:rFonts w:hint="default" w:ascii="Times New Roman" w:hAnsi="Times New Roman" w:cs="Times New Roman"/>
                      <w:b/>
                      <w:bCs w:val="0"/>
                      <w:color w:val="000000" w:themeColor="text1"/>
                      <w:sz w:val="21"/>
                      <w:szCs w:val="21"/>
                    </w:rPr>
                    <w:t>污染治理方式</w:t>
                  </w:r>
                </w:p>
              </w:tc>
            </w:tr>
            <w:tr w14:paraId="00BFDD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21" w:type="dxa"/>
                  <w:tcBorders>
                    <w:top w:val="single" w:color="auto" w:sz="12" w:space="0"/>
                    <w:bottom w:val="single" w:color="auto" w:sz="4" w:space="0"/>
                  </w:tcBorders>
                  <w:vAlign w:val="center"/>
                </w:tcPr>
                <w:p w14:paraId="734B9B93">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废气</w:t>
                  </w:r>
                </w:p>
              </w:tc>
              <w:tc>
                <w:tcPr>
                  <w:tcW w:w="1921" w:type="dxa"/>
                  <w:tcBorders>
                    <w:top w:val="single" w:color="auto" w:sz="12" w:space="0"/>
                  </w:tcBorders>
                  <w:vAlign w:val="center"/>
                </w:tcPr>
                <w:p w14:paraId="0A23B4F9">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卸油、储油、</w:t>
                  </w:r>
                  <w:r>
                    <w:rPr>
                      <w:rFonts w:hint="eastAsia" w:ascii="Times New Roman" w:hAnsi="Times New Roman" w:cs="Times New Roman"/>
                      <w:bCs/>
                      <w:color w:val="000000" w:themeColor="text1"/>
                      <w:sz w:val="21"/>
                      <w:szCs w:val="21"/>
                      <w:lang w:val="en-US" w:eastAsia="zh-CN"/>
                    </w:rPr>
                    <w:t>加气、</w:t>
                  </w:r>
                </w:p>
                <w:p w14:paraId="3388C67D">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加油过程</w:t>
                  </w:r>
                </w:p>
              </w:tc>
              <w:tc>
                <w:tcPr>
                  <w:tcW w:w="1903" w:type="dxa"/>
                  <w:tcBorders>
                    <w:top w:val="single" w:color="auto" w:sz="12" w:space="0"/>
                    <w:right w:val="single" w:color="auto" w:sz="4" w:space="0"/>
                  </w:tcBorders>
                  <w:vAlign w:val="center"/>
                </w:tcPr>
                <w:p w14:paraId="2608FA54">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非甲烷总烃</w:t>
                  </w:r>
                  <w:r>
                    <w:rPr>
                      <w:rFonts w:hint="eastAsia" w:ascii="Times New Roman" w:hAnsi="Times New Roman" w:cs="Times New Roman"/>
                      <w:bCs/>
                      <w:color w:val="000000" w:themeColor="text1"/>
                      <w:sz w:val="21"/>
                      <w:szCs w:val="21"/>
                      <w:lang w:eastAsia="zh-CN"/>
                    </w:rPr>
                    <w:t>、</w:t>
                  </w:r>
                  <w:r>
                    <w:rPr>
                      <w:rFonts w:hint="eastAsia" w:ascii="Times New Roman" w:hAnsi="Times New Roman" w:cs="Times New Roman"/>
                      <w:bCs/>
                      <w:color w:val="000000" w:themeColor="text1"/>
                      <w:sz w:val="21"/>
                      <w:szCs w:val="21"/>
                      <w:lang w:val="en-US" w:eastAsia="zh-CN"/>
                    </w:rPr>
                    <w:t>天然气</w:t>
                  </w:r>
                </w:p>
              </w:tc>
              <w:tc>
                <w:tcPr>
                  <w:tcW w:w="3975" w:type="dxa"/>
                  <w:tcBorders>
                    <w:top w:val="single" w:color="auto" w:sz="12" w:space="0"/>
                    <w:left w:val="single" w:color="auto" w:sz="4" w:space="0"/>
                  </w:tcBorders>
                  <w:vAlign w:val="center"/>
                </w:tcPr>
                <w:p w14:paraId="51133CF7">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color w:val="000000" w:themeColor="text1"/>
                      <w:sz w:val="21"/>
                      <w:szCs w:val="21"/>
                    </w:rPr>
                    <w:t>油气回收治理装置或设施</w:t>
                  </w:r>
                </w:p>
              </w:tc>
            </w:tr>
            <w:tr w14:paraId="436D23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21" w:type="dxa"/>
                  <w:tcBorders>
                    <w:top w:val="single" w:color="auto" w:sz="4" w:space="0"/>
                    <w:bottom w:val="single" w:color="auto" w:sz="4" w:space="0"/>
                  </w:tcBorders>
                  <w:vAlign w:val="center"/>
                </w:tcPr>
                <w:p w14:paraId="5509C8DF">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废水</w:t>
                  </w:r>
                </w:p>
              </w:tc>
              <w:tc>
                <w:tcPr>
                  <w:tcW w:w="1921" w:type="dxa"/>
                  <w:vAlign w:val="center"/>
                </w:tcPr>
                <w:p w14:paraId="5266AF98">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职工办公</w:t>
                  </w:r>
                </w:p>
              </w:tc>
              <w:tc>
                <w:tcPr>
                  <w:tcW w:w="1903" w:type="dxa"/>
                  <w:tcBorders>
                    <w:right w:val="single" w:color="auto" w:sz="4" w:space="0"/>
                  </w:tcBorders>
                  <w:vAlign w:val="center"/>
                </w:tcPr>
                <w:p w14:paraId="507BE2C5">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BOD</w:t>
                  </w:r>
                  <w:r>
                    <w:rPr>
                      <w:rFonts w:hint="default" w:ascii="Times New Roman" w:hAnsi="Times New Roman" w:cs="Times New Roman"/>
                      <w:bCs/>
                      <w:color w:val="000000" w:themeColor="text1"/>
                      <w:sz w:val="21"/>
                      <w:szCs w:val="21"/>
                      <w:vertAlign w:val="subscript"/>
                    </w:rPr>
                    <w:t>5</w:t>
                  </w:r>
                  <w:r>
                    <w:rPr>
                      <w:rFonts w:hint="default" w:ascii="Times New Roman" w:hAnsi="Times New Roman" w:cs="Times New Roman"/>
                      <w:bCs/>
                      <w:color w:val="000000" w:themeColor="text1"/>
                      <w:sz w:val="21"/>
                      <w:szCs w:val="21"/>
                    </w:rPr>
                    <w:t>、COD</w:t>
                  </w:r>
                  <w:r>
                    <w:rPr>
                      <w:rFonts w:hint="default" w:ascii="Times New Roman" w:hAnsi="Times New Roman" w:cs="Times New Roman"/>
                      <w:bCs/>
                      <w:color w:val="000000" w:themeColor="text1"/>
                      <w:sz w:val="21"/>
                      <w:szCs w:val="21"/>
                      <w:vertAlign w:val="subscript"/>
                    </w:rPr>
                    <w:t>Cr</w:t>
                  </w:r>
                  <w:r>
                    <w:rPr>
                      <w:rFonts w:hint="default" w:ascii="Times New Roman" w:hAnsi="Times New Roman" w:cs="Times New Roman"/>
                      <w:bCs/>
                      <w:color w:val="000000" w:themeColor="text1"/>
                      <w:sz w:val="21"/>
                      <w:szCs w:val="21"/>
                    </w:rPr>
                    <w:t>、SS、NH</w:t>
                  </w:r>
                  <w:r>
                    <w:rPr>
                      <w:rFonts w:hint="default" w:ascii="Times New Roman" w:hAnsi="Times New Roman" w:cs="Times New Roman"/>
                      <w:bCs/>
                      <w:color w:val="000000" w:themeColor="text1"/>
                      <w:sz w:val="21"/>
                      <w:szCs w:val="21"/>
                      <w:vertAlign w:val="subscript"/>
                    </w:rPr>
                    <w:t>3</w:t>
                  </w:r>
                  <w:r>
                    <w:rPr>
                      <w:rFonts w:hint="default" w:ascii="Times New Roman" w:hAnsi="Times New Roman" w:cs="Times New Roman"/>
                      <w:bCs/>
                      <w:color w:val="000000" w:themeColor="text1"/>
                      <w:sz w:val="21"/>
                      <w:szCs w:val="21"/>
                    </w:rPr>
                    <w:t>-N等</w:t>
                  </w:r>
                </w:p>
              </w:tc>
              <w:tc>
                <w:tcPr>
                  <w:tcW w:w="3975" w:type="dxa"/>
                  <w:tcBorders>
                    <w:left w:val="single" w:color="auto" w:sz="4" w:space="0"/>
                  </w:tcBorders>
                  <w:vAlign w:val="center"/>
                </w:tcPr>
                <w:p w14:paraId="197CFD11">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color w:val="000000" w:themeColor="text1"/>
                      <w:sz w:val="21"/>
                      <w:szCs w:val="21"/>
                    </w:rPr>
                    <w:t>排入园区污水管网</w:t>
                  </w:r>
                </w:p>
              </w:tc>
            </w:tr>
            <w:tr w14:paraId="2BEE7DE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21" w:type="dxa"/>
                  <w:vAlign w:val="center"/>
                </w:tcPr>
                <w:p w14:paraId="1D51CF11">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噪声</w:t>
                  </w:r>
                </w:p>
              </w:tc>
              <w:tc>
                <w:tcPr>
                  <w:tcW w:w="1921" w:type="dxa"/>
                  <w:vAlign w:val="center"/>
                </w:tcPr>
                <w:p w14:paraId="1B0D7372">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工作过程</w:t>
                  </w:r>
                </w:p>
              </w:tc>
              <w:tc>
                <w:tcPr>
                  <w:tcW w:w="1903" w:type="dxa"/>
                  <w:tcBorders>
                    <w:right w:val="single" w:color="auto" w:sz="4" w:space="0"/>
                  </w:tcBorders>
                  <w:vAlign w:val="center"/>
                </w:tcPr>
                <w:p w14:paraId="00FE65DB">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机械设备噪声</w:t>
                  </w:r>
                </w:p>
              </w:tc>
              <w:tc>
                <w:tcPr>
                  <w:tcW w:w="3975" w:type="dxa"/>
                  <w:tcBorders>
                    <w:left w:val="single" w:color="auto" w:sz="4" w:space="0"/>
                  </w:tcBorders>
                  <w:vAlign w:val="center"/>
                </w:tcPr>
                <w:p w14:paraId="06623766">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snapToGrid w:val="0"/>
                      <w:color w:val="000000" w:themeColor="text1"/>
                      <w:kern w:val="0"/>
                      <w:sz w:val="21"/>
                      <w:szCs w:val="21"/>
                    </w:rPr>
                    <w:t>选用低噪声设备、安装</w:t>
                  </w:r>
                  <w:r>
                    <w:rPr>
                      <w:rFonts w:hint="default" w:ascii="Times New Roman" w:hAnsi="Times New Roman" w:cs="Times New Roman"/>
                      <w:color w:val="000000" w:themeColor="text1"/>
                      <w:sz w:val="21"/>
                      <w:szCs w:val="21"/>
                    </w:rPr>
                    <w:t>减振垫</w:t>
                  </w:r>
                  <w:r>
                    <w:rPr>
                      <w:rFonts w:hint="default" w:ascii="Times New Roman" w:hAnsi="Times New Roman" w:cs="Times New Roman"/>
                      <w:snapToGrid w:val="0"/>
                      <w:color w:val="000000" w:themeColor="text1"/>
                      <w:kern w:val="0"/>
                      <w:sz w:val="21"/>
                      <w:szCs w:val="21"/>
                    </w:rPr>
                    <w:t>等降噪措施</w:t>
                  </w:r>
                </w:p>
              </w:tc>
            </w:tr>
            <w:tr w14:paraId="7BF642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21" w:type="dxa"/>
                  <w:vMerge w:val="restart"/>
                  <w:vAlign w:val="center"/>
                </w:tcPr>
                <w:p w14:paraId="13E2FDBB">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固废</w:t>
                  </w:r>
                </w:p>
              </w:tc>
              <w:tc>
                <w:tcPr>
                  <w:tcW w:w="1921" w:type="dxa"/>
                  <w:vAlign w:val="center"/>
                </w:tcPr>
                <w:p w14:paraId="0DB21A64">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职工办公</w:t>
                  </w:r>
                </w:p>
              </w:tc>
              <w:tc>
                <w:tcPr>
                  <w:tcW w:w="1903" w:type="dxa"/>
                  <w:tcBorders>
                    <w:right w:val="single" w:color="auto" w:sz="4" w:space="0"/>
                  </w:tcBorders>
                  <w:vAlign w:val="center"/>
                </w:tcPr>
                <w:p w14:paraId="68F47B9B">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生活垃圾</w:t>
                  </w:r>
                </w:p>
              </w:tc>
              <w:tc>
                <w:tcPr>
                  <w:tcW w:w="3975" w:type="dxa"/>
                  <w:tcBorders>
                    <w:left w:val="single" w:color="auto" w:sz="4" w:space="0"/>
                  </w:tcBorders>
                  <w:vAlign w:val="center"/>
                </w:tcPr>
                <w:p w14:paraId="13C86D58">
                  <w:pPr>
                    <w:topLinePunct/>
                    <w:adjustRightInd w:val="0"/>
                    <w:snapToGrid w:val="0"/>
                    <w:spacing w:line="240" w:lineRule="auto"/>
                    <w:jc w:val="center"/>
                    <w:rPr>
                      <w:rFonts w:hint="default" w:ascii="Times New Roman" w:hAnsi="Times New Roman" w:cs="Times New Roman"/>
                      <w:snapToGrid w:val="0"/>
                      <w:color w:val="000000" w:themeColor="text1"/>
                      <w:kern w:val="0"/>
                      <w:sz w:val="21"/>
                      <w:szCs w:val="21"/>
                    </w:rPr>
                  </w:pPr>
                  <w:r>
                    <w:rPr>
                      <w:rFonts w:hint="default" w:ascii="Times New Roman" w:hAnsi="Times New Roman" w:cs="Times New Roman"/>
                      <w:snapToGrid w:val="0"/>
                      <w:color w:val="000000" w:themeColor="text1"/>
                      <w:kern w:val="0"/>
                      <w:sz w:val="21"/>
                      <w:szCs w:val="21"/>
                    </w:rPr>
                    <w:t>分类收集至垃圾箱后，交由环卫部门处置</w:t>
                  </w:r>
                </w:p>
              </w:tc>
            </w:tr>
            <w:tr w14:paraId="1ECDD51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21" w:type="dxa"/>
                  <w:vMerge w:val="continue"/>
                  <w:vAlign w:val="center"/>
                </w:tcPr>
                <w:p w14:paraId="556F57F2">
                  <w:pPr>
                    <w:spacing w:line="240" w:lineRule="auto"/>
                    <w:jc w:val="center"/>
                    <w:rPr>
                      <w:rFonts w:hint="default" w:ascii="Times New Roman" w:hAnsi="Times New Roman" w:cs="Times New Roman"/>
                      <w:bCs/>
                      <w:color w:val="000000" w:themeColor="text1"/>
                      <w:sz w:val="21"/>
                      <w:szCs w:val="21"/>
                    </w:rPr>
                  </w:pPr>
                </w:p>
              </w:tc>
              <w:tc>
                <w:tcPr>
                  <w:tcW w:w="1921" w:type="dxa"/>
                  <w:tcBorders>
                    <w:left w:val="single" w:color="auto" w:sz="4" w:space="0"/>
                  </w:tcBorders>
                  <w:vAlign w:val="center"/>
                </w:tcPr>
                <w:p w14:paraId="7A908506">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检修、清罐过程</w:t>
                  </w:r>
                  <w:r>
                    <w:rPr>
                      <w:rFonts w:hint="eastAsia" w:ascii="Times New Roman" w:hAnsi="Times New Roman" w:cs="Times New Roman"/>
                      <w:bCs/>
                      <w:color w:val="000000" w:themeColor="text1"/>
                      <w:sz w:val="21"/>
                      <w:szCs w:val="21"/>
                      <w:lang w:eastAsia="zh-CN"/>
                    </w:rPr>
                    <w:t>，</w:t>
                  </w:r>
                  <w:r>
                    <w:rPr>
                      <w:rFonts w:hint="eastAsia" w:ascii="Times New Roman" w:hAnsi="Times New Roman" w:cs="Times New Roman"/>
                      <w:bCs/>
                      <w:color w:val="000000" w:themeColor="text1"/>
                      <w:sz w:val="21"/>
                      <w:szCs w:val="21"/>
                      <w:lang w:val="en-US" w:eastAsia="zh-CN"/>
                    </w:rPr>
                    <w:t>天然气脱水过程</w:t>
                  </w:r>
                </w:p>
              </w:tc>
              <w:tc>
                <w:tcPr>
                  <w:tcW w:w="1903" w:type="dxa"/>
                  <w:tcBorders>
                    <w:right w:val="single" w:color="auto" w:sz="4" w:space="0"/>
                  </w:tcBorders>
                  <w:vAlign w:val="center"/>
                </w:tcPr>
                <w:p w14:paraId="225399FB">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废渣、残液</w:t>
                  </w:r>
                  <w:r>
                    <w:rPr>
                      <w:rFonts w:hint="eastAsia" w:ascii="Times New Roman" w:hAnsi="Times New Roman" w:cs="Times New Roman"/>
                      <w:bCs/>
                      <w:color w:val="000000" w:themeColor="text1"/>
                      <w:sz w:val="21"/>
                      <w:szCs w:val="21"/>
                      <w:lang w:eastAsia="zh-CN"/>
                    </w:rPr>
                    <w:t>、</w:t>
                  </w:r>
                  <w:r>
                    <w:rPr>
                      <w:rFonts w:hint="eastAsia" w:ascii="Times New Roman" w:hAnsi="Times New Roman" w:cs="Times New Roman"/>
                      <w:bCs/>
                      <w:color w:val="000000" w:themeColor="text1"/>
                      <w:sz w:val="21"/>
                      <w:szCs w:val="21"/>
                      <w:lang w:val="en-US" w:eastAsia="zh-CN"/>
                    </w:rPr>
                    <w:t>含油废水</w:t>
                  </w:r>
                  <w:r>
                    <w:rPr>
                      <w:rFonts w:hint="default" w:ascii="Times New Roman" w:hAnsi="Times New Roman" w:cs="Times New Roman"/>
                      <w:bCs/>
                      <w:color w:val="000000" w:themeColor="text1"/>
                      <w:sz w:val="21"/>
                      <w:szCs w:val="21"/>
                    </w:rPr>
                    <w:t>等</w:t>
                  </w:r>
                </w:p>
              </w:tc>
              <w:tc>
                <w:tcPr>
                  <w:tcW w:w="3975" w:type="dxa"/>
                  <w:tcBorders>
                    <w:left w:val="single" w:color="auto" w:sz="4" w:space="0"/>
                  </w:tcBorders>
                  <w:vAlign w:val="center"/>
                </w:tcPr>
                <w:p w14:paraId="1C83754F">
                  <w:pPr>
                    <w:spacing w:line="240" w:lineRule="auto"/>
                    <w:jc w:val="center"/>
                    <w:rPr>
                      <w:rFonts w:hint="default" w:ascii="Times New Roman" w:hAnsi="Times New Roman" w:cs="Times New Roman"/>
                      <w:color w:val="000000" w:themeColor="text1"/>
                      <w:kern w:val="28"/>
                      <w:sz w:val="21"/>
                      <w:szCs w:val="21"/>
                      <w:lang w:eastAsia="zh-CN"/>
                    </w:rPr>
                  </w:pPr>
                  <w:r>
                    <w:rPr>
                      <w:rFonts w:hint="default" w:ascii="Times New Roman" w:hAnsi="Times New Roman" w:cs="Times New Roman"/>
                      <w:bCs/>
                      <w:color w:val="000000" w:themeColor="text1"/>
                      <w:sz w:val="21"/>
                      <w:szCs w:val="21"/>
                    </w:rPr>
                    <w:t>油罐区设置防渗灌池，油罐区底部做防渗处理，</w:t>
                  </w:r>
                  <w:r>
                    <w:rPr>
                      <w:rFonts w:hint="eastAsia" w:ascii="Times New Roman" w:hAnsi="Times New Roman" w:cs="Times New Roman"/>
                      <w:bCs/>
                      <w:color w:val="000000" w:themeColor="text1"/>
                      <w:sz w:val="21"/>
                      <w:szCs w:val="21"/>
                      <w:lang w:val="en-US" w:eastAsia="zh-CN"/>
                    </w:rPr>
                    <w:t>含油废水以及</w:t>
                  </w:r>
                  <w:r>
                    <w:rPr>
                      <w:rFonts w:hint="default" w:ascii="Times New Roman" w:hAnsi="Times New Roman" w:cs="Times New Roman"/>
                      <w:bCs/>
                      <w:color w:val="000000" w:themeColor="text1"/>
                      <w:sz w:val="21"/>
                      <w:szCs w:val="21"/>
                    </w:rPr>
                    <w:t>检修、清罐过程</w:t>
                  </w:r>
                  <w:r>
                    <w:rPr>
                      <w:rFonts w:hint="default" w:ascii="Times New Roman" w:hAnsi="Times New Roman" w:cs="Times New Roman"/>
                      <w:color w:val="000000" w:themeColor="text1"/>
                      <w:kern w:val="28"/>
                      <w:sz w:val="21"/>
                      <w:szCs w:val="21"/>
                    </w:rPr>
                    <w:t>产生的危废集中收集，交由有资质的单位处理</w:t>
                  </w:r>
                  <w:r>
                    <w:rPr>
                      <w:rFonts w:hint="eastAsia" w:ascii="Times New Roman" w:hAnsi="Times New Roman" w:cs="Times New Roman"/>
                      <w:color w:val="000000" w:themeColor="text1"/>
                      <w:kern w:val="28"/>
                      <w:sz w:val="21"/>
                      <w:szCs w:val="21"/>
                      <w:lang w:eastAsia="zh-CN"/>
                    </w:rPr>
                    <w:t>。</w:t>
                  </w:r>
                  <w:r>
                    <w:rPr>
                      <w:rFonts w:hint="eastAsia" w:ascii="Times New Roman" w:hAnsi="Times New Roman" w:cs="Times New Roman"/>
                      <w:color w:val="000000" w:themeColor="text1"/>
                      <w:kern w:val="28"/>
                      <w:sz w:val="21"/>
                      <w:szCs w:val="21"/>
                      <w:lang w:val="en-US" w:eastAsia="zh-CN"/>
                    </w:rPr>
                    <w:t>含油废水在厂区危废暂存处暂存后交由有资质的单位进行处理</w:t>
                  </w:r>
                </w:p>
              </w:tc>
            </w:tr>
            <w:tr w14:paraId="5DE9B4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21" w:type="dxa"/>
                  <w:vAlign w:val="center"/>
                </w:tcPr>
                <w:p w14:paraId="254DC15C">
                  <w:pPr>
                    <w:spacing w:line="240" w:lineRule="auto"/>
                    <w:jc w:val="center"/>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风险</w:t>
                  </w:r>
                </w:p>
              </w:tc>
              <w:tc>
                <w:tcPr>
                  <w:tcW w:w="7799" w:type="dxa"/>
                  <w:gridSpan w:val="3"/>
                  <w:tcBorders>
                    <w:left w:val="single" w:color="auto" w:sz="4" w:space="0"/>
                  </w:tcBorders>
                  <w:vAlign w:val="center"/>
                </w:tcPr>
                <w:p w14:paraId="68EC599A">
                  <w:pPr>
                    <w:spacing w:line="240" w:lineRule="auto"/>
                    <w:rPr>
                      <w:rFonts w:hint="default" w:ascii="Times New Roman" w:hAnsi="Times New Roman" w:cs="Times New Roman"/>
                      <w:bCs/>
                      <w:color w:val="000000" w:themeColor="text1"/>
                      <w:sz w:val="21"/>
                      <w:szCs w:val="21"/>
                    </w:rPr>
                  </w:pPr>
                  <w:r>
                    <w:rPr>
                      <w:rFonts w:hint="default" w:ascii="Times New Roman" w:hAnsi="Times New Roman" w:cs="Times New Roman"/>
                      <w:bCs/>
                      <w:color w:val="000000" w:themeColor="text1"/>
                      <w:sz w:val="21"/>
                      <w:szCs w:val="21"/>
                    </w:rPr>
                    <w:t>项目有大量柴油、汽油储存</w:t>
                  </w:r>
                  <w:r>
                    <w:rPr>
                      <w:rFonts w:hint="eastAsia" w:ascii="Times New Roman" w:hAnsi="Times New Roman" w:cs="Times New Roman"/>
                      <w:bCs/>
                      <w:color w:val="000000" w:themeColor="text1"/>
                      <w:sz w:val="21"/>
                      <w:szCs w:val="21"/>
                      <w:lang w:eastAsia="zh-CN"/>
                    </w:rPr>
                    <w:t>、</w:t>
                  </w:r>
                  <w:r>
                    <w:rPr>
                      <w:rFonts w:hint="eastAsia" w:ascii="Times New Roman" w:hAnsi="Times New Roman" w:cs="Times New Roman"/>
                      <w:bCs/>
                      <w:color w:val="000000" w:themeColor="text1"/>
                      <w:sz w:val="21"/>
                      <w:szCs w:val="21"/>
                      <w:lang w:val="en-US" w:eastAsia="zh-CN"/>
                    </w:rPr>
                    <w:t>天然气储存</w:t>
                  </w:r>
                  <w:r>
                    <w:rPr>
                      <w:rFonts w:hint="default" w:ascii="Times New Roman" w:hAnsi="Times New Roman" w:cs="Times New Roman"/>
                      <w:bCs/>
                      <w:color w:val="000000" w:themeColor="text1"/>
                      <w:sz w:val="21"/>
                      <w:szCs w:val="21"/>
                    </w:rPr>
                    <w:t>，存在一定的泄露、火灾、爆炸风险</w:t>
                  </w:r>
                </w:p>
              </w:tc>
            </w:tr>
          </w:tbl>
          <w:p w14:paraId="4DC4ED6B">
            <w:pPr>
              <w:pStyle w:val="18"/>
              <w:rPr>
                <w:rFonts w:hint="eastAsia"/>
                <w:color w:val="000000" w:themeColor="text1"/>
                <w:lang w:val="en-US" w:eastAsia="zh-CN"/>
              </w:rPr>
            </w:pPr>
          </w:p>
          <w:p w14:paraId="624EDD3A">
            <w:pPr>
              <w:adjustRightInd w:val="0"/>
              <w:snapToGrid w:val="0"/>
              <w:spacing w:line="360" w:lineRule="auto"/>
              <w:ind w:firstLine="512" w:firstLineChars="200"/>
              <w:rPr>
                <w:rFonts w:hint="eastAsia" w:ascii="Times New Roman" w:hAnsi="Times New Roman"/>
                <w:bCs/>
                <w:color w:val="000000" w:themeColor="text1"/>
                <w:spacing w:val="8"/>
                <w:kern w:val="24"/>
                <w:sz w:val="24"/>
                <w:highlight w:val="none"/>
                <w:lang w:val="en-US" w:eastAsia="zh-CN"/>
              </w:rPr>
            </w:pPr>
          </w:p>
          <w:p w14:paraId="5ABFE710">
            <w:pPr>
              <w:spacing w:line="360" w:lineRule="auto"/>
              <w:ind w:firstLine="480" w:firstLineChars="200"/>
              <w:rPr>
                <w:rFonts w:hint="eastAsia" w:ascii="Times New Roman" w:hAnsi="Times New Roman"/>
                <w:color w:val="000000" w:themeColor="text1"/>
                <w:sz w:val="24"/>
                <w:szCs w:val="24"/>
              </w:rPr>
            </w:pPr>
          </w:p>
        </w:tc>
      </w:tr>
    </w:tbl>
    <w:p w14:paraId="7980D18D">
      <w:pPr>
        <w:spacing w:line="480" w:lineRule="exact"/>
        <w:outlineLvl w:val="1"/>
        <w:rPr>
          <w:b/>
          <w:color w:val="000000" w:themeColor="text1"/>
          <w:sz w:val="32"/>
        </w:rPr>
      </w:pPr>
      <w:bookmarkStart w:id="13" w:name="_Toc355609313"/>
      <w:r>
        <w:rPr>
          <w:rFonts w:hint="eastAsia"/>
          <w:b/>
          <w:color w:val="000000" w:themeColor="text1"/>
          <w:sz w:val="32"/>
        </w:rPr>
        <w:t>项目主要污染物产生及排放情况</w:t>
      </w:r>
      <w:bookmarkEnd w:id="13"/>
    </w:p>
    <w:tbl>
      <w:tblPr>
        <w:tblStyle w:val="19"/>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811"/>
        <w:gridCol w:w="400"/>
        <w:gridCol w:w="1613"/>
        <w:gridCol w:w="1287"/>
        <w:gridCol w:w="2237"/>
        <w:gridCol w:w="2156"/>
      </w:tblGrid>
      <w:tr w14:paraId="122C28C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11" w:type="dxa"/>
            <w:tcBorders>
              <w:top w:val="single" w:color="000000" w:sz="12" w:space="0"/>
            </w:tcBorders>
          </w:tcPr>
          <w:p w14:paraId="06ECAF4B">
            <w:pPr>
              <w:spacing w:line="240" w:lineRule="auto"/>
              <w:rPr>
                <w:rFonts w:ascii="宋体" w:cs="宋体"/>
                <w:color w:val="000000" w:themeColor="text1"/>
                <w:sz w:val="24"/>
                <w:szCs w:val="24"/>
              </w:rPr>
            </w:pPr>
            <w:r>
              <w:rPr>
                <w:color w:val="000000" w:themeColor="text1"/>
              </w:rPr>
              <w:pict>
                <v:line id="_x0000_s1028" o:spid="_x0000_s1028" o:spt="20" style="position:absolute;left:0pt;margin-left:-5pt;margin-top:-1.05pt;height:47.8pt;width:39.95pt;z-index:251659264;mso-width-relative:page;mso-height-relative:page;" filled="f" stroked="t" coordsize="21600,21600">
                  <v:path arrowok="t"/>
                  <v:fill on="f" focussize="0,0"/>
                  <v:stroke weight="0.5pt" color="#000000" joinstyle="miter"/>
                  <v:imagedata o:title=""/>
                  <o:lock v:ext="edit" aspectratio="f"/>
                </v:line>
              </w:pict>
            </w:r>
            <w:r>
              <w:rPr>
                <w:rFonts w:hint="eastAsia" w:ascii="宋体" w:hAnsi="宋体" w:cs="宋体"/>
                <w:color w:val="000000" w:themeColor="text1"/>
                <w:sz w:val="24"/>
                <w:szCs w:val="24"/>
              </w:rPr>
              <w:t>内容</w:t>
            </w:r>
          </w:p>
          <w:p w14:paraId="6C6C8EF6">
            <w:pPr>
              <w:spacing w:line="240" w:lineRule="auto"/>
              <w:rPr>
                <w:rFonts w:ascii="宋体" w:cs="宋体"/>
                <w:color w:val="000000" w:themeColor="text1"/>
                <w:sz w:val="24"/>
                <w:szCs w:val="24"/>
              </w:rPr>
            </w:pPr>
          </w:p>
          <w:p w14:paraId="694643B0">
            <w:pPr>
              <w:spacing w:line="240" w:lineRule="auto"/>
              <w:rPr>
                <w:rFonts w:ascii="宋体" w:cs="宋体"/>
                <w:color w:val="000000" w:themeColor="text1"/>
                <w:sz w:val="24"/>
                <w:szCs w:val="24"/>
              </w:rPr>
            </w:pPr>
            <w:r>
              <w:rPr>
                <w:rFonts w:hint="eastAsia" w:ascii="宋体" w:hAnsi="宋体" w:cs="宋体"/>
                <w:color w:val="000000" w:themeColor="text1"/>
                <w:sz w:val="24"/>
                <w:szCs w:val="24"/>
              </w:rPr>
              <w:t>类型</w:t>
            </w:r>
          </w:p>
        </w:tc>
        <w:tc>
          <w:tcPr>
            <w:tcW w:w="2013" w:type="dxa"/>
            <w:gridSpan w:val="2"/>
            <w:tcBorders>
              <w:top w:val="single" w:color="000000" w:sz="12" w:space="0"/>
            </w:tcBorders>
            <w:vAlign w:val="center"/>
          </w:tcPr>
          <w:p w14:paraId="6F0E0E14">
            <w:pPr>
              <w:spacing w:line="240" w:lineRule="auto"/>
              <w:jc w:val="center"/>
              <w:rPr>
                <w:rFonts w:ascii="宋体" w:cs="宋体"/>
                <w:color w:val="000000" w:themeColor="text1"/>
                <w:sz w:val="24"/>
                <w:szCs w:val="24"/>
              </w:rPr>
            </w:pPr>
            <w:r>
              <w:rPr>
                <w:rFonts w:hint="eastAsia" w:ascii="宋体" w:hAnsi="宋体" w:cs="宋体"/>
                <w:color w:val="000000" w:themeColor="text1"/>
                <w:sz w:val="24"/>
                <w:szCs w:val="24"/>
              </w:rPr>
              <w:t>排放源</w:t>
            </w:r>
          </w:p>
          <w:p w14:paraId="51B222ED">
            <w:pPr>
              <w:spacing w:line="240" w:lineRule="auto"/>
              <w:jc w:val="center"/>
              <w:rPr>
                <w:rFonts w:ascii="宋体" w:cs="宋体"/>
                <w:color w:val="000000" w:themeColor="text1"/>
                <w:sz w:val="24"/>
                <w:szCs w:val="24"/>
              </w:rPr>
            </w:pPr>
            <w:r>
              <w:rPr>
                <w:rFonts w:hint="eastAsia" w:ascii="宋体" w:hAnsi="宋体" w:cs="宋体"/>
                <w:color w:val="000000" w:themeColor="text1"/>
                <w:sz w:val="24"/>
                <w:szCs w:val="24"/>
              </w:rPr>
              <w:t>（编号）</w:t>
            </w:r>
          </w:p>
        </w:tc>
        <w:tc>
          <w:tcPr>
            <w:tcW w:w="1287" w:type="dxa"/>
            <w:tcBorders>
              <w:top w:val="single" w:color="000000" w:sz="12" w:space="0"/>
            </w:tcBorders>
            <w:vAlign w:val="center"/>
          </w:tcPr>
          <w:p w14:paraId="0A7E0454">
            <w:pPr>
              <w:spacing w:line="240" w:lineRule="auto"/>
              <w:jc w:val="center"/>
              <w:rPr>
                <w:rFonts w:ascii="宋体" w:cs="宋体"/>
                <w:color w:val="000000" w:themeColor="text1"/>
                <w:sz w:val="24"/>
                <w:szCs w:val="24"/>
              </w:rPr>
            </w:pPr>
            <w:r>
              <w:rPr>
                <w:rFonts w:hint="eastAsia" w:ascii="宋体" w:hAnsi="宋体" w:cs="宋体"/>
                <w:color w:val="000000" w:themeColor="text1"/>
                <w:sz w:val="24"/>
                <w:szCs w:val="24"/>
              </w:rPr>
              <w:t>污染物</w:t>
            </w:r>
          </w:p>
          <w:p w14:paraId="7E396C27">
            <w:pPr>
              <w:spacing w:line="240" w:lineRule="auto"/>
              <w:jc w:val="center"/>
              <w:rPr>
                <w:rFonts w:ascii="宋体" w:cs="宋体"/>
                <w:color w:val="000000" w:themeColor="text1"/>
                <w:sz w:val="24"/>
                <w:szCs w:val="24"/>
              </w:rPr>
            </w:pPr>
            <w:r>
              <w:rPr>
                <w:rFonts w:hint="eastAsia" w:ascii="宋体" w:hAnsi="宋体" w:cs="宋体"/>
                <w:color w:val="000000" w:themeColor="text1"/>
                <w:sz w:val="24"/>
                <w:szCs w:val="24"/>
              </w:rPr>
              <w:t>名称</w:t>
            </w:r>
          </w:p>
        </w:tc>
        <w:tc>
          <w:tcPr>
            <w:tcW w:w="2237" w:type="dxa"/>
            <w:tcBorders>
              <w:top w:val="single" w:color="000000" w:sz="12" w:space="0"/>
            </w:tcBorders>
            <w:vAlign w:val="center"/>
          </w:tcPr>
          <w:p w14:paraId="46BFC273">
            <w:pPr>
              <w:spacing w:line="240" w:lineRule="auto"/>
              <w:jc w:val="center"/>
              <w:rPr>
                <w:rFonts w:ascii="宋体" w:cs="宋体"/>
                <w:color w:val="000000" w:themeColor="text1"/>
                <w:sz w:val="24"/>
                <w:szCs w:val="24"/>
              </w:rPr>
            </w:pPr>
            <w:r>
              <w:rPr>
                <w:rFonts w:hint="eastAsia" w:ascii="宋体" w:hAnsi="宋体" w:cs="宋体"/>
                <w:color w:val="000000" w:themeColor="text1"/>
                <w:sz w:val="24"/>
                <w:szCs w:val="24"/>
              </w:rPr>
              <w:t>处理前产生的浓度及产生量（单位）</w:t>
            </w:r>
          </w:p>
        </w:tc>
        <w:tc>
          <w:tcPr>
            <w:tcW w:w="2156" w:type="dxa"/>
            <w:tcBorders>
              <w:top w:val="single" w:color="000000" w:sz="12" w:space="0"/>
            </w:tcBorders>
            <w:vAlign w:val="center"/>
          </w:tcPr>
          <w:p w14:paraId="25E913A9">
            <w:pPr>
              <w:spacing w:line="240" w:lineRule="auto"/>
              <w:jc w:val="center"/>
              <w:rPr>
                <w:rFonts w:ascii="宋体" w:cs="宋体"/>
                <w:color w:val="000000" w:themeColor="text1"/>
                <w:sz w:val="24"/>
                <w:szCs w:val="24"/>
              </w:rPr>
            </w:pPr>
            <w:r>
              <w:rPr>
                <w:rFonts w:hint="eastAsia" w:ascii="宋体" w:hAnsi="宋体" w:cs="宋体"/>
                <w:color w:val="000000" w:themeColor="text1"/>
                <w:sz w:val="24"/>
                <w:szCs w:val="24"/>
              </w:rPr>
              <w:t>排放浓度及排放量</w:t>
            </w:r>
          </w:p>
          <w:p w14:paraId="21784C24">
            <w:pPr>
              <w:spacing w:line="240" w:lineRule="auto"/>
              <w:jc w:val="center"/>
              <w:rPr>
                <w:rFonts w:ascii="宋体" w:cs="宋体"/>
                <w:color w:val="000000" w:themeColor="text1"/>
                <w:sz w:val="24"/>
                <w:szCs w:val="24"/>
              </w:rPr>
            </w:pPr>
            <w:r>
              <w:rPr>
                <w:rFonts w:hint="eastAsia" w:ascii="宋体" w:hAnsi="宋体" w:cs="宋体"/>
                <w:color w:val="000000" w:themeColor="text1"/>
                <w:sz w:val="24"/>
                <w:szCs w:val="24"/>
              </w:rPr>
              <w:t>（单位）</w:t>
            </w:r>
          </w:p>
        </w:tc>
      </w:tr>
      <w:tr w14:paraId="1D3854C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vMerge w:val="restart"/>
            <w:vAlign w:val="center"/>
          </w:tcPr>
          <w:p w14:paraId="292350A1">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大</w:t>
            </w:r>
          </w:p>
          <w:p w14:paraId="55963F70">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气</w:t>
            </w:r>
          </w:p>
          <w:p w14:paraId="333CB4C7">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污</w:t>
            </w:r>
          </w:p>
          <w:p w14:paraId="6C45EB7A">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染</w:t>
            </w:r>
          </w:p>
          <w:p w14:paraId="0B52196B">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物</w:t>
            </w:r>
          </w:p>
        </w:tc>
        <w:tc>
          <w:tcPr>
            <w:tcW w:w="400" w:type="dxa"/>
            <w:vAlign w:val="center"/>
          </w:tcPr>
          <w:p w14:paraId="0835E205">
            <w:pPr>
              <w:spacing w:line="24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施工期</w:t>
            </w:r>
          </w:p>
        </w:tc>
        <w:tc>
          <w:tcPr>
            <w:tcW w:w="1613" w:type="dxa"/>
            <w:vAlign w:val="center"/>
          </w:tcPr>
          <w:p w14:paraId="4F342D52">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施工场地</w:t>
            </w:r>
          </w:p>
        </w:tc>
        <w:tc>
          <w:tcPr>
            <w:tcW w:w="1287" w:type="dxa"/>
            <w:vAlign w:val="center"/>
          </w:tcPr>
          <w:p w14:paraId="70EC655E">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扬尘</w:t>
            </w:r>
          </w:p>
        </w:tc>
        <w:tc>
          <w:tcPr>
            <w:tcW w:w="2237" w:type="dxa"/>
            <w:vAlign w:val="center"/>
          </w:tcPr>
          <w:p w14:paraId="746940FC">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0.5t</w:t>
            </w:r>
          </w:p>
        </w:tc>
        <w:tc>
          <w:tcPr>
            <w:tcW w:w="2156" w:type="dxa"/>
            <w:vAlign w:val="center"/>
          </w:tcPr>
          <w:p w14:paraId="3436FC1B">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0.5t</w:t>
            </w:r>
          </w:p>
        </w:tc>
      </w:tr>
      <w:tr w14:paraId="2188062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11" w:type="dxa"/>
            <w:vMerge w:val="continue"/>
            <w:vAlign w:val="center"/>
          </w:tcPr>
          <w:p w14:paraId="7C8824E4">
            <w:pPr>
              <w:spacing w:line="360" w:lineRule="auto"/>
              <w:jc w:val="center"/>
              <w:rPr>
                <w:rFonts w:hint="eastAsia" w:ascii="Times New Roman" w:hAnsi="Times New Roman"/>
                <w:color w:val="000000" w:themeColor="text1"/>
                <w:sz w:val="24"/>
                <w:szCs w:val="24"/>
              </w:rPr>
            </w:pPr>
          </w:p>
        </w:tc>
        <w:tc>
          <w:tcPr>
            <w:tcW w:w="400" w:type="dxa"/>
            <w:vMerge w:val="restart"/>
            <w:vAlign w:val="center"/>
          </w:tcPr>
          <w:p w14:paraId="112464F2">
            <w:pPr>
              <w:spacing w:line="24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营运期</w:t>
            </w:r>
          </w:p>
        </w:tc>
        <w:tc>
          <w:tcPr>
            <w:tcW w:w="1613" w:type="dxa"/>
            <w:vAlign w:val="center"/>
          </w:tcPr>
          <w:p w14:paraId="13FB07F8">
            <w:pPr>
              <w:spacing w:line="360" w:lineRule="auto"/>
              <w:jc w:val="center"/>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加气过程无组织排放天然气</w:t>
            </w:r>
          </w:p>
        </w:tc>
        <w:tc>
          <w:tcPr>
            <w:tcW w:w="1287" w:type="dxa"/>
            <w:vAlign w:val="center"/>
          </w:tcPr>
          <w:p w14:paraId="0131D385">
            <w:pPr>
              <w:spacing w:line="360" w:lineRule="auto"/>
              <w:jc w:val="center"/>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无组织天然气</w:t>
            </w:r>
          </w:p>
        </w:tc>
        <w:tc>
          <w:tcPr>
            <w:tcW w:w="2237" w:type="dxa"/>
            <w:vAlign w:val="center"/>
          </w:tcPr>
          <w:p w14:paraId="7C8C24DE">
            <w:pPr>
              <w:spacing w:line="360" w:lineRule="auto"/>
              <w:jc w:val="center"/>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0.066t/a</w:t>
            </w:r>
          </w:p>
        </w:tc>
        <w:tc>
          <w:tcPr>
            <w:tcW w:w="2156" w:type="dxa"/>
            <w:vAlign w:val="center"/>
          </w:tcPr>
          <w:p w14:paraId="0402A05D">
            <w:pPr>
              <w:spacing w:line="360" w:lineRule="auto"/>
              <w:jc w:val="center"/>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0.066t/a</w:t>
            </w:r>
          </w:p>
        </w:tc>
      </w:tr>
      <w:tr w14:paraId="3C48FAF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101" w:hRule="atLeast"/>
        </w:trPr>
        <w:tc>
          <w:tcPr>
            <w:tcW w:w="811" w:type="dxa"/>
            <w:vMerge w:val="continue"/>
            <w:vAlign w:val="center"/>
          </w:tcPr>
          <w:p w14:paraId="45698B88">
            <w:pPr>
              <w:spacing w:line="360" w:lineRule="auto"/>
              <w:jc w:val="center"/>
              <w:rPr>
                <w:color w:val="000000" w:themeColor="text1"/>
              </w:rPr>
            </w:pPr>
          </w:p>
        </w:tc>
        <w:tc>
          <w:tcPr>
            <w:tcW w:w="400" w:type="dxa"/>
            <w:vMerge w:val="continue"/>
            <w:vAlign w:val="center"/>
          </w:tcPr>
          <w:p w14:paraId="456D4077">
            <w:pPr>
              <w:spacing w:line="360" w:lineRule="auto"/>
              <w:jc w:val="center"/>
              <w:rPr>
                <w:color w:val="000000" w:themeColor="text1"/>
              </w:rPr>
            </w:pPr>
          </w:p>
        </w:tc>
        <w:tc>
          <w:tcPr>
            <w:tcW w:w="1613" w:type="dxa"/>
            <w:vAlign w:val="center"/>
          </w:tcPr>
          <w:p w14:paraId="2B05466A">
            <w:pPr>
              <w:spacing w:line="360" w:lineRule="auto"/>
              <w:jc w:val="center"/>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油罐车卸油、加油机加油、储油罐呼吸作用、系统检修及管阀泄漏及放空</w:t>
            </w:r>
          </w:p>
        </w:tc>
        <w:tc>
          <w:tcPr>
            <w:tcW w:w="1287" w:type="dxa"/>
            <w:vAlign w:val="center"/>
          </w:tcPr>
          <w:p w14:paraId="63C5ECCD">
            <w:pPr>
              <w:spacing w:line="360" w:lineRule="auto"/>
              <w:jc w:val="center"/>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非甲烷总烃</w:t>
            </w:r>
          </w:p>
        </w:tc>
        <w:tc>
          <w:tcPr>
            <w:tcW w:w="2237" w:type="dxa"/>
            <w:vAlign w:val="center"/>
          </w:tcPr>
          <w:p w14:paraId="327AFB04">
            <w:pPr>
              <w:spacing w:line="360" w:lineRule="auto"/>
              <w:jc w:val="center"/>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11t/a</w:t>
            </w:r>
          </w:p>
        </w:tc>
        <w:tc>
          <w:tcPr>
            <w:tcW w:w="2156" w:type="dxa"/>
            <w:vAlign w:val="center"/>
          </w:tcPr>
          <w:p w14:paraId="65BDB100">
            <w:pPr>
              <w:spacing w:line="360" w:lineRule="auto"/>
              <w:jc w:val="center"/>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1.1t/a</w:t>
            </w:r>
          </w:p>
        </w:tc>
      </w:tr>
      <w:tr w14:paraId="54A79772">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811" w:type="dxa"/>
            <w:vMerge w:val="restart"/>
            <w:vAlign w:val="center"/>
          </w:tcPr>
          <w:p w14:paraId="7B15493B">
            <w:pPr>
              <w:spacing w:line="360" w:lineRule="auto"/>
              <w:jc w:val="center"/>
              <w:rPr>
                <w:rFonts w:ascii="Times New Roman" w:hAnsi="Times New Roman"/>
                <w:color w:val="000000" w:themeColor="text1"/>
                <w:sz w:val="24"/>
                <w:szCs w:val="24"/>
              </w:rPr>
            </w:pPr>
          </w:p>
          <w:p w14:paraId="02B09AC2">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水</w:t>
            </w:r>
          </w:p>
          <w:p w14:paraId="611DCE6D">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污</w:t>
            </w:r>
          </w:p>
          <w:p w14:paraId="0B82FA5D">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染</w:t>
            </w:r>
          </w:p>
          <w:p w14:paraId="2BA76909">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物</w:t>
            </w:r>
          </w:p>
          <w:p w14:paraId="52131C76">
            <w:pPr>
              <w:spacing w:line="360" w:lineRule="auto"/>
              <w:jc w:val="center"/>
              <w:rPr>
                <w:rFonts w:ascii="Times New Roman" w:hAnsi="Times New Roman"/>
                <w:color w:val="000000" w:themeColor="text1"/>
                <w:sz w:val="24"/>
                <w:szCs w:val="24"/>
              </w:rPr>
            </w:pPr>
          </w:p>
        </w:tc>
        <w:tc>
          <w:tcPr>
            <w:tcW w:w="400" w:type="dxa"/>
            <w:vMerge w:val="restart"/>
            <w:vAlign w:val="center"/>
          </w:tcPr>
          <w:p w14:paraId="18137FC3">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施工期</w:t>
            </w:r>
          </w:p>
        </w:tc>
        <w:tc>
          <w:tcPr>
            <w:tcW w:w="1613" w:type="dxa"/>
            <w:vAlign w:val="center"/>
          </w:tcPr>
          <w:p w14:paraId="019907DF">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施工废水</w:t>
            </w:r>
          </w:p>
        </w:tc>
        <w:tc>
          <w:tcPr>
            <w:tcW w:w="1287" w:type="dxa"/>
            <w:vAlign w:val="center"/>
          </w:tcPr>
          <w:p w14:paraId="7CD25C36">
            <w:pPr>
              <w:spacing w:line="360" w:lineRule="auto"/>
              <w:jc w:val="center"/>
              <w:rPr>
                <w:rFonts w:hint="eastAsia" w:ascii="Times New Roman" w:hAnsi="Times New Roman" w:eastAsia="宋体"/>
                <w:color w:val="000000" w:themeColor="text1"/>
                <w:sz w:val="24"/>
                <w:szCs w:val="24"/>
                <w:lang w:eastAsia="zh-CN"/>
              </w:rPr>
            </w:pPr>
            <w:r>
              <w:rPr>
                <w:rFonts w:hint="eastAsia" w:ascii="Times New Roman" w:hAnsi="Times New Roman"/>
                <w:color w:val="000000" w:themeColor="text1"/>
                <w:sz w:val="24"/>
                <w:szCs w:val="24"/>
                <w:lang w:val="en-US" w:eastAsia="zh-CN"/>
              </w:rPr>
              <w:t>SS</w:t>
            </w:r>
          </w:p>
        </w:tc>
        <w:tc>
          <w:tcPr>
            <w:tcW w:w="2237" w:type="dxa"/>
            <w:vAlign w:val="center"/>
          </w:tcPr>
          <w:p w14:paraId="78A49124">
            <w:pPr>
              <w:spacing w:line="36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350mg/L</w:t>
            </w:r>
            <w:r>
              <w:rPr>
                <w:rFonts w:hint="eastAsia" w:ascii="Times New Roman" w:hAnsi="Times New Roman"/>
                <w:color w:val="000000" w:themeColor="text1"/>
                <w:sz w:val="24"/>
                <w:szCs w:val="24"/>
              </w:rPr>
              <w:t>；</w:t>
            </w:r>
            <w:r>
              <w:rPr>
                <w:rFonts w:ascii="Times New Roman" w:hAnsi="Times New Roman"/>
                <w:color w:val="000000" w:themeColor="text1"/>
                <w:sz w:val="24"/>
                <w:szCs w:val="24"/>
              </w:rPr>
              <w:t>0.</w:t>
            </w:r>
            <w:r>
              <w:rPr>
                <w:rFonts w:hint="eastAsia" w:ascii="Times New Roman" w:hAnsi="Times New Roman"/>
                <w:color w:val="000000" w:themeColor="text1"/>
                <w:sz w:val="24"/>
                <w:szCs w:val="24"/>
                <w:lang w:val="en-US" w:eastAsia="zh-CN"/>
              </w:rPr>
              <w:t>168</w:t>
            </w:r>
            <w:r>
              <w:rPr>
                <w:rFonts w:ascii="Times New Roman" w:hAnsi="Times New Roman"/>
                <w:color w:val="000000" w:themeColor="text1"/>
                <w:sz w:val="24"/>
                <w:szCs w:val="24"/>
              </w:rPr>
              <w:t>t/a</w:t>
            </w:r>
          </w:p>
        </w:tc>
        <w:tc>
          <w:tcPr>
            <w:tcW w:w="2156" w:type="dxa"/>
            <w:vAlign w:val="center"/>
          </w:tcPr>
          <w:p w14:paraId="67AECB14">
            <w:pPr>
              <w:spacing w:line="36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350mg/L</w:t>
            </w:r>
            <w:r>
              <w:rPr>
                <w:rFonts w:hint="eastAsia" w:ascii="Times New Roman" w:hAnsi="Times New Roman"/>
                <w:color w:val="000000" w:themeColor="text1"/>
                <w:sz w:val="24"/>
                <w:szCs w:val="24"/>
              </w:rPr>
              <w:t>；</w:t>
            </w:r>
            <w:r>
              <w:rPr>
                <w:rFonts w:ascii="Times New Roman" w:hAnsi="Times New Roman"/>
                <w:color w:val="000000" w:themeColor="text1"/>
                <w:sz w:val="24"/>
                <w:szCs w:val="24"/>
              </w:rPr>
              <w:t>0.</w:t>
            </w:r>
            <w:r>
              <w:rPr>
                <w:rFonts w:hint="eastAsia" w:ascii="Times New Roman" w:hAnsi="Times New Roman"/>
                <w:color w:val="000000" w:themeColor="text1"/>
                <w:sz w:val="24"/>
                <w:szCs w:val="24"/>
                <w:lang w:val="en-US" w:eastAsia="zh-CN"/>
              </w:rPr>
              <w:t>168</w:t>
            </w:r>
            <w:r>
              <w:rPr>
                <w:rFonts w:ascii="Times New Roman" w:hAnsi="Times New Roman"/>
                <w:color w:val="000000" w:themeColor="text1"/>
                <w:sz w:val="24"/>
                <w:szCs w:val="24"/>
              </w:rPr>
              <w:t>t/a</w:t>
            </w:r>
          </w:p>
        </w:tc>
      </w:tr>
      <w:tr w14:paraId="0579814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811" w:type="dxa"/>
            <w:vMerge w:val="continue"/>
            <w:vAlign w:val="center"/>
          </w:tcPr>
          <w:p w14:paraId="3DE571F0">
            <w:pPr>
              <w:spacing w:line="360" w:lineRule="auto"/>
              <w:jc w:val="center"/>
              <w:rPr>
                <w:color w:val="000000" w:themeColor="text1"/>
              </w:rPr>
            </w:pPr>
          </w:p>
        </w:tc>
        <w:tc>
          <w:tcPr>
            <w:tcW w:w="400" w:type="dxa"/>
            <w:vMerge w:val="continue"/>
            <w:vAlign w:val="center"/>
          </w:tcPr>
          <w:p w14:paraId="42FA734C">
            <w:pPr>
              <w:spacing w:line="360" w:lineRule="auto"/>
              <w:jc w:val="center"/>
              <w:rPr>
                <w:color w:val="000000" w:themeColor="text1"/>
              </w:rPr>
            </w:pPr>
          </w:p>
        </w:tc>
        <w:tc>
          <w:tcPr>
            <w:tcW w:w="1613" w:type="dxa"/>
            <w:vMerge w:val="restart"/>
            <w:vAlign w:val="center"/>
          </w:tcPr>
          <w:p w14:paraId="38E4CB9A">
            <w:pPr>
              <w:spacing w:line="360" w:lineRule="auto"/>
              <w:jc w:val="center"/>
              <w:rPr>
                <w:rFonts w:hint="eastAsia"/>
                <w:color w:val="000000" w:themeColor="text1"/>
                <w:lang w:val="en-US" w:eastAsia="zh-CN"/>
              </w:rPr>
            </w:pPr>
            <w:r>
              <w:rPr>
                <w:rFonts w:hint="eastAsia"/>
                <w:color w:val="000000" w:themeColor="text1"/>
                <w:lang w:val="en-US" w:eastAsia="zh-CN"/>
              </w:rPr>
              <w:t>施工人员生活污水</w:t>
            </w:r>
          </w:p>
          <w:p w14:paraId="4E62D434">
            <w:pPr>
              <w:spacing w:line="360" w:lineRule="auto"/>
              <w:jc w:val="center"/>
              <w:rPr>
                <w:rFonts w:hint="eastAsia"/>
                <w:color w:val="000000" w:themeColor="text1"/>
                <w:lang w:val="en-US" w:eastAsia="zh-CN"/>
              </w:rPr>
            </w:pPr>
            <w:r>
              <w:rPr>
                <w:rFonts w:hint="eastAsia" w:ascii="Times New Roman" w:hAnsi="Times New Roman" w:cs="Times New Roman"/>
                <w:color w:val="000000" w:themeColor="text1"/>
                <w:lang w:val="en-US" w:eastAsia="zh-CN"/>
              </w:rPr>
              <w:t>（</w:t>
            </w:r>
            <w:r>
              <w:rPr>
                <w:rFonts w:hint="default" w:ascii="Times New Roman" w:hAnsi="Times New Roman" w:cs="Times New Roman"/>
                <w:color w:val="000000" w:themeColor="text1"/>
                <w:lang w:val="en-US" w:eastAsia="zh-CN"/>
              </w:rPr>
              <w:t>180t/a</w:t>
            </w:r>
            <w:r>
              <w:rPr>
                <w:rFonts w:hint="eastAsia" w:ascii="Times New Roman" w:hAnsi="Times New Roman" w:cs="Times New Roman"/>
                <w:color w:val="000000" w:themeColor="text1"/>
                <w:lang w:val="en-US" w:eastAsia="zh-CN"/>
              </w:rPr>
              <w:t>）</w:t>
            </w:r>
          </w:p>
        </w:tc>
        <w:tc>
          <w:tcPr>
            <w:tcW w:w="1287" w:type="dxa"/>
            <w:vAlign w:val="center"/>
          </w:tcPr>
          <w:p w14:paraId="6926FCB6">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COD</w:t>
            </w:r>
          </w:p>
        </w:tc>
        <w:tc>
          <w:tcPr>
            <w:tcW w:w="2237" w:type="dxa"/>
            <w:vAlign w:val="center"/>
          </w:tcPr>
          <w:p w14:paraId="732223FC">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250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0.045</w:t>
            </w:r>
            <w:r>
              <w:rPr>
                <w:rFonts w:ascii="Times New Roman" w:hAnsi="Times New Roman"/>
                <w:color w:val="000000" w:themeColor="text1"/>
                <w:sz w:val="24"/>
                <w:szCs w:val="24"/>
              </w:rPr>
              <w:t>t/a</w:t>
            </w:r>
          </w:p>
        </w:tc>
        <w:tc>
          <w:tcPr>
            <w:tcW w:w="2156" w:type="dxa"/>
            <w:vAlign w:val="center"/>
          </w:tcPr>
          <w:p w14:paraId="2BEAAD58">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250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0.045</w:t>
            </w:r>
            <w:r>
              <w:rPr>
                <w:rFonts w:ascii="Times New Roman" w:hAnsi="Times New Roman"/>
                <w:color w:val="000000" w:themeColor="text1"/>
                <w:sz w:val="24"/>
                <w:szCs w:val="24"/>
              </w:rPr>
              <w:t>t/a</w:t>
            </w:r>
          </w:p>
        </w:tc>
      </w:tr>
      <w:tr w14:paraId="6BC65A25">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811" w:type="dxa"/>
            <w:vMerge w:val="continue"/>
            <w:vAlign w:val="center"/>
          </w:tcPr>
          <w:p w14:paraId="63895F2E">
            <w:pPr>
              <w:spacing w:line="360" w:lineRule="auto"/>
              <w:jc w:val="center"/>
              <w:rPr>
                <w:color w:val="000000" w:themeColor="text1"/>
              </w:rPr>
            </w:pPr>
          </w:p>
        </w:tc>
        <w:tc>
          <w:tcPr>
            <w:tcW w:w="400" w:type="dxa"/>
            <w:vMerge w:val="continue"/>
            <w:vAlign w:val="center"/>
          </w:tcPr>
          <w:p w14:paraId="7F10F15B">
            <w:pPr>
              <w:spacing w:line="360" w:lineRule="auto"/>
              <w:jc w:val="center"/>
              <w:rPr>
                <w:color w:val="000000" w:themeColor="text1"/>
              </w:rPr>
            </w:pPr>
          </w:p>
        </w:tc>
        <w:tc>
          <w:tcPr>
            <w:tcW w:w="1613" w:type="dxa"/>
            <w:vMerge w:val="continue"/>
            <w:vAlign w:val="center"/>
          </w:tcPr>
          <w:p w14:paraId="294FFC9E">
            <w:pPr>
              <w:spacing w:line="360" w:lineRule="auto"/>
              <w:jc w:val="center"/>
              <w:rPr>
                <w:color w:val="000000" w:themeColor="text1"/>
              </w:rPr>
            </w:pPr>
          </w:p>
        </w:tc>
        <w:tc>
          <w:tcPr>
            <w:tcW w:w="1287" w:type="dxa"/>
            <w:vAlign w:val="center"/>
          </w:tcPr>
          <w:p w14:paraId="6C2D1A57">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BOD</w:t>
            </w:r>
            <w:r>
              <w:rPr>
                <w:rFonts w:hint="eastAsia" w:ascii="Times New Roman" w:hAnsi="Times New Roman"/>
                <w:color w:val="000000" w:themeColor="text1"/>
                <w:sz w:val="24"/>
                <w:szCs w:val="24"/>
                <w:vertAlign w:val="subscript"/>
                <w:lang w:val="en-US" w:eastAsia="zh-CN"/>
              </w:rPr>
              <w:t>5</w:t>
            </w:r>
          </w:p>
        </w:tc>
        <w:tc>
          <w:tcPr>
            <w:tcW w:w="2237" w:type="dxa"/>
            <w:vAlign w:val="center"/>
          </w:tcPr>
          <w:p w14:paraId="0E92221F">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100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0.018</w:t>
            </w:r>
            <w:r>
              <w:rPr>
                <w:rFonts w:ascii="Times New Roman" w:hAnsi="Times New Roman"/>
                <w:color w:val="000000" w:themeColor="text1"/>
                <w:sz w:val="24"/>
                <w:szCs w:val="24"/>
              </w:rPr>
              <w:t>t/a</w:t>
            </w:r>
          </w:p>
        </w:tc>
        <w:tc>
          <w:tcPr>
            <w:tcW w:w="2156" w:type="dxa"/>
            <w:vAlign w:val="center"/>
          </w:tcPr>
          <w:p w14:paraId="4983D9A9">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100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0.018</w:t>
            </w:r>
            <w:r>
              <w:rPr>
                <w:rFonts w:ascii="Times New Roman" w:hAnsi="Times New Roman"/>
                <w:color w:val="000000" w:themeColor="text1"/>
                <w:sz w:val="24"/>
                <w:szCs w:val="24"/>
              </w:rPr>
              <w:t>t/a</w:t>
            </w:r>
          </w:p>
        </w:tc>
      </w:tr>
      <w:tr w14:paraId="50F77E5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811" w:type="dxa"/>
            <w:vMerge w:val="continue"/>
            <w:vAlign w:val="center"/>
          </w:tcPr>
          <w:p w14:paraId="16B3AD7F">
            <w:pPr>
              <w:spacing w:line="360" w:lineRule="auto"/>
              <w:jc w:val="center"/>
              <w:rPr>
                <w:rFonts w:ascii="Times New Roman" w:hAnsi="Times New Roman"/>
                <w:color w:val="000000" w:themeColor="text1"/>
                <w:sz w:val="24"/>
                <w:szCs w:val="24"/>
              </w:rPr>
            </w:pPr>
          </w:p>
        </w:tc>
        <w:tc>
          <w:tcPr>
            <w:tcW w:w="400" w:type="dxa"/>
            <w:vMerge w:val="continue"/>
            <w:vAlign w:val="center"/>
          </w:tcPr>
          <w:p w14:paraId="5AE4E1D0">
            <w:pPr>
              <w:spacing w:line="360" w:lineRule="auto"/>
              <w:jc w:val="center"/>
              <w:rPr>
                <w:rFonts w:ascii="Times New Roman" w:hAnsi="Times New Roman"/>
                <w:color w:val="000000" w:themeColor="text1"/>
                <w:sz w:val="24"/>
                <w:szCs w:val="24"/>
              </w:rPr>
            </w:pPr>
          </w:p>
        </w:tc>
        <w:tc>
          <w:tcPr>
            <w:tcW w:w="1613" w:type="dxa"/>
            <w:vMerge w:val="continue"/>
            <w:vAlign w:val="center"/>
          </w:tcPr>
          <w:p w14:paraId="15525798">
            <w:pPr>
              <w:spacing w:line="360" w:lineRule="auto"/>
              <w:jc w:val="center"/>
              <w:rPr>
                <w:rFonts w:ascii="Times New Roman" w:hAnsi="Times New Roman"/>
                <w:color w:val="000000" w:themeColor="text1"/>
                <w:sz w:val="24"/>
                <w:szCs w:val="24"/>
              </w:rPr>
            </w:pPr>
          </w:p>
        </w:tc>
        <w:tc>
          <w:tcPr>
            <w:tcW w:w="1287" w:type="dxa"/>
            <w:vAlign w:val="center"/>
          </w:tcPr>
          <w:p w14:paraId="4D7EF60E">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氨氮</w:t>
            </w:r>
          </w:p>
        </w:tc>
        <w:tc>
          <w:tcPr>
            <w:tcW w:w="2237" w:type="dxa"/>
            <w:vAlign w:val="center"/>
          </w:tcPr>
          <w:p w14:paraId="53AB8888">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25</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0.0045</w:t>
            </w:r>
            <w:r>
              <w:rPr>
                <w:rFonts w:ascii="Times New Roman" w:hAnsi="Times New Roman"/>
                <w:color w:val="000000" w:themeColor="text1"/>
                <w:sz w:val="24"/>
                <w:szCs w:val="24"/>
              </w:rPr>
              <w:t>t/a</w:t>
            </w:r>
          </w:p>
        </w:tc>
        <w:tc>
          <w:tcPr>
            <w:tcW w:w="2156" w:type="dxa"/>
            <w:vAlign w:val="center"/>
          </w:tcPr>
          <w:p w14:paraId="63D56305">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25</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0.0045</w:t>
            </w:r>
            <w:r>
              <w:rPr>
                <w:rFonts w:ascii="Times New Roman" w:hAnsi="Times New Roman"/>
                <w:color w:val="000000" w:themeColor="text1"/>
                <w:sz w:val="24"/>
                <w:szCs w:val="24"/>
              </w:rPr>
              <w:t>t/a</w:t>
            </w:r>
          </w:p>
        </w:tc>
      </w:tr>
      <w:tr w14:paraId="7B2299B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811" w:type="dxa"/>
            <w:vMerge w:val="continue"/>
            <w:vAlign w:val="center"/>
          </w:tcPr>
          <w:p w14:paraId="7957B879">
            <w:pPr>
              <w:spacing w:line="360" w:lineRule="auto"/>
              <w:jc w:val="center"/>
              <w:rPr>
                <w:rFonts w:ascii="Times New Roman" w:hAnsi="Times New Roman"/>
                <w:color w:val="000000" w:themeColor="text1"/>
                <w:sz w:val="24"/>
                <w:szCs w:val="24"/>
              </w:rPr>
            </w:pPr>
          </w:p>
        </w:tc>
        <w:tc>
          <w:tcPr>
            <w:tcW w:w="400" w:type="dxa"/>
            <w:vMerge w:val="continue"/>
            <w:vAlign w:val="center"/>
          </w:tcPr>
          <w:p w14:paraId="2BE69584">
            <w:pPr>
              <w:spacing w:line="360" w:lineRule="auto"/>
              <w:jc w:val="center"/>
              <w:rPr>
                <w:rFonts w:ascii="Times New Roman" w:hAnsi="Times New Roman"/>
                <w:color w:val="000000" w:themeColor="text1"/>
                <w:sz w:val="24"/>
                <w:szCs w:val="24"/>
              </w:rPr>
            </w:pPr>
          </w:p>
        </w:tc>
        <w:tc>
          <w:tcPr>
            <w:tcW w:w="1613" w:type="dxa"/>
            <w:vMerge w:val="continue"/>
            <w:vAlign w:val="center"/>
          </w:tcPr>
          <w:p w14:paraId="5EE70C17">
            <w:pPr>
              <w:spacing w:line="360" w:lineRule="auto"/>
              <w:jc w:val="center"/>
              <w:rPr>
                <w:rFonts w:ascii="Times New Roman" w:hAnsi="Times New Roman"/>
                <w:color w:val="000000" w:themeColor="text1"/>
                <w:sz w:val="24"/>
                <w:szCs w:val="24"/>
              </w:rPr>
            </w:pPr>
          </w:p>
        </w:tc>
        <w:tc>
          <w:tcPr>
            <w:tcW w:w="1287" w:type="dxa"/>
            <w:vAlign w:val="center"/>
          </w:tcPr>
          <w:p w14:paraId="3F21AFAA">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SS</w:t>
            </w:r>
          </w:p>
        </w:tc>
        <w:tc>
          <w:tcPr>
            <w:tcW w:w="2237" w:type="dxa"/>
            <w:vAlign w:val="center"/>
          </w:tcPr>
          <w:p w14:paraId="338FEEB1">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200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0.036</w:t>
            </w:r>
            <w:r>
              <w:rPr>
                <w:rFonts w:ascii="Times New Roman" w:hAnsi="Times New Roman"/>
                <w:color w:val="000000" w:themeColor="text1"/>
                <w:sz w:val="24"/>
                <w:szCs w:val="24"/>
              </w:rPr>
              <w:t>t/a</w:t>
            </w:r>
          </w:p>
        </w:tc>
        <w:tc>
          <w:tcPr>
            <w:tcW w:w="2156" w:type="dxa"/>
            <w:vAlign w:val="center"/>
          </w:tcPr>
          <w:p w14:paraId="5BC67155">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200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0.036</w:t>
            </w:r>
            <w:r>
              <w:rPr>
                <w:rFonts w:ascii="Times New Roman" w:hAnsi="Times New Roman"/>
                <w:color w:val="000000" w:themeColor="text1"/>
                <w:sz w:val="24"/>
                <w:szCs w:val="24"/>
              </w:rPr>
              <w:t>t/a</w:t>
            </w:r>
          </w:p>
        </w:tc>
      </w:tr>
      <w:tr w14:paraId="6D5ACAF6">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811" w:type="dxa"/>
            <w:vMerge w:val="continue"/>
            <w:vAlign w:val="center"/>
          </w:tcPr>
          <w:p w14:paraId="79DEF66E">
            <w:pPr>
              <w:spacing w:line="360" w:lineRule="auto"/>
              <w:jc w:val="center"/>
              <w:rPr>
                <w:rFonts w:ascii="Times New Roman" w:hAnsi="Times New Roman"/>
                <w:color w:val="000000" w:themeColor="text1"/>
                <w:sz w:val="24"/>
                <w:szCs w:val="24"/>
              </w:rPr>
            </w:pPr>
            <w:bookmarkStart w:id="14" w:name="OLE_LINK6" w:colFirst="4" w:colLast="4"/>
          </w:p>
        </w:tc>
        <w:tc>
          <w:tcPr>
            <w:tcW w:w="400" w:type="dxa"/>
            <w:vMerge w:val="restart"/>
            <w:vAlign w:val="center"/>
          </w:tcPr>
          <w:p w14:paraId="1AF13DC9">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营运期</w:t>
            </w:r>
          </w:p>
        </w:tc>
        <w:tc>
          <w:tcPr>
            <w:tcW w:w="1613" w:type="dxa"/>
            <w:vMerge w:val="restart"/>
            <w:vAlign w:val="center"/>
          </w:tcPr>
          <w:p w14:paraId="0E6B5189">
            <w:pPr>
              <w:spacing w:line="360" w:lineRule="auto"/>
              <w:jc w:val="center"/>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生活污水</w:t>
            </w:r>
          </w:p>
          <w:p w14:paraId="2E2C9A3A">
            <w:pPr>
              <w:spacing w:line="360" w:lineRule="auto"/>
              <w:jc w:val="center"/>
              <w:rPr>
                <w:rFonts w:hint="eastAsia" w:ascii="Times New Roman" w:hAnsi="Times New Roman" w:eastAsia="宋体"/>
                <w:color w:val="000000" w:themeColor="text1"/>
                <w:sz w:val="24"/>
                <w:szCs w:val="24"/>
                <w:lang w:val="en-US" w:eastAsia="zh-CN"/>
              </w:rPr>
            </w:pPr>
            <w:r>
              <w:rPr>
                <w:rFonts w:hint="default" w:ascii="Times New Roman" w:hAnsi="Times New Roman" w:cs="Times New Roman"/>
                <w:color w:val="000000" w:themeColor="text1"/>
                <w:lang w:val="en-US" w:eastAsia="zh-CN"/>
              </w:rPr>
              <w:t>（</w:t>
            </w:r>
            <w:r>
              <w:rPr>
                <w:rFonts w:hint="eastAsia" w:ascii="Times New Roman" w:hAnsi="Times New Roman" w:cs="Times New Roman"/>
                <w:color w:val="000000" w:themeColor="text1"/>
                <w:lang w:val="en-US" w:eastAsia="zh-CN"/>
              </w:rPr>
              <w:t>233.6</w:t>
            </w:r>
            <w:r>
              <w:rPr>
                <w:rFonts w:hint="default" w:ascii="Times New Roman" w:hAnsi="Times New Roman" w:cs="Times New Roman"/>
                <w:color w:val="000000" w:themeColor="text1"/>
                <w:lang w:val="en-US" w:eastAsia="zh-CN"/>
              </w:rPr>
              <w:t>m</w:t>
            </w:r>
            <w:r>
              <w:rPr>
                <w:rFonts w:hint="default" w:ascii="Times New Roman" w:hAnsi="Times New Roman" w:cs="Times New Roman"/>
                <w:color w:val="000000" w:themeColor="text1"/>
                <w:vertAlign w:val="superscript"/>
                <w:lang w:val="en-US" w:eastAsia="zh-CN"/>
              </w:rPr>
              <w:t>3</w:t>
            </w:r>
            <w:r>
              <w:rPr>
                <w:rFonts w:hint="default" w:ascii="Times New Roman" w:hAnsi="Times New Roman" w:cs="Times New Roman"/>
                <w:color w:val="000000" w:themeColor="text1"/>
                <w:lang w:val="en-US" w:eastAsia="zh-CN"/>
              </w:rPr>
              <w:t>/a）</w:t>
            </w:r>
          </w:p>
        </w:tc>
        <w:tc>
          <w:tcPr>
            <w:tcW w:w="1287" w:type="dxa"/>
            <w:vAlign w:val="center"/>
          </w:tcPr>
          <w:p w14:paraId="16EF4E1F">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COD</w:t>
            </w:r>
          </w:p>
        </w:tc>
        <w:tc>
          <w:tcPr>
            <w:tcW w:w="2237" w:type="dxa"/>
            <w:vAlign w:val="center"/>
          </w:tcPr>
          <w:p w14:paraId="043633D0">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350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0.082</w:t>
            </w:r>
            <w:r>
              <w:rPr>
                <w:rFonts w:ascii="Times New Roman" w:hAnsi="Times New Roman"/>
                <w:color w:val="000000" w:themeColor="text1"/>
                <w:sz w:val="24"/>
                <w:szCs w:val="24"/>
              </w:rPr>
              <w:t>t/a</w:t>
            </w:r>
          </w:p>
        </w:tc>
        <w:tc>
          <w:tcPr>
            <w:tcW w:w="2156" w:type="dxa"/>
            <w:vAlign w:val="center"/>
          </w:tcPr>
          <w:p w14:paraId="232C0A07">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350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0.082</w:t>
            </w:r>
            <w:r>
              <w:rPr>
                <w:rFonts w:ascii="Times New Roman" w:hAnsi="Times New Roman"/>
                <w:color w:val="000000" w:themeColor="text1"/>
                <w:sz w:val="24"/>
                <w:szCs w:val="24"/>
              </w:rPr>
              <w:t>t/a</w:t>
            </w:r>
          </w:p>
        </w:tc>
      </w:tr>
      <w:tr w14:paraId="11709FA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811" w:type="dxa"/>
            <w:vMerge w:val="continue"/>
            <w:vAlign w:val="center"/>
          </w:tcPr>
          <w:p w14:paraId="0941A87D">
            <w:pPr>
              <w:spacing w:line="360" w:lineRule="auto"/>
              <w:jc w:val="center"/>
              <w:rPr>
                <w:color w:val="000000" w:themeColor="text1"/>
              </w:rPr>
            </w:pPr>
          </w:p>
        </w:tc>
        <w:tc>
          <w:tcPr>
            <w:tcW w:w="400" w:type="dxa"/>
            <w:vMerge w:val="continue"/>
            <w:vAlign w:val="center"/>
          </w:tcPr>
          <w:p w14:paraId="25E9761B">
            <w:pPr>
              <w:spacing w:line="360" w:lineRule="auto"/>
              <w:jc w:val="center"/>
              <w:rPr>
                <w:color w:val="000000" w:themeColor="text1"/>
              </w:rPr>
            </w:pPr>
          </w:p>
        </w:tc>
        <w:tc>
          <w:tcPr>
            <w:tcW w:w="1613" w:type="dxa"/>
            <w:vMerge w:val="continue"/>
            <w:vAlign w:val="center"/>
          </w:tcPr>
          <w:p w14:paraId="1F0BCC52">
            <w:pPr>
              <w:spacing w:line="360" w:lineRule="auto"/>
              <w:jc w:val="center"/>
              <w:rPr>
                <w:color w:val="000000" w:themeColor="text1"/>
              </w:rPr>
            </w:pPr>
          </w:p>
        </w:tc>
        <w:tc>
          <w:tcPr>
            <w:tcW w:w="1287" w:type="dxa"/>
            <w:vAlign w:val="center"/>
          </w:tcPr>
          <w:p w14:paraId="4E570EBA">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BOD</w:t>
            </w:r>
            <w:r>
              <w:rPr>
                <w:rFonts w:hint="eastAsia" w:ascii="Times New Roman" w:hAnsi="Times New Roman"/>
                <w:color w:val="000000" w:themeColor="text1"/>
                <w:sz w:val="24"/>
                <w:szCs w:val="24"/>
                <w:vertAlign w:val="subscript"/>
                <w:lang w:val="en-US" w:eastAsia="zh-CN"/>
              </w:rPr>
              <w:t>5</w:t>
            </w:r>
          </w:p>
        </w:tc>
        <w:tc>
          <w:tcPr>
            <w:tcW w:w="2237" w:type="dxa"/>
            <w:vAlign w:val="center"/>
          </w:tcPr>
          <w:p w14:paraId="41A54E5B">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180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0.042</w:t>
            </w:r>
            <w:r>
              <w:rPr>
                <w:rFonts w:ascii="Times New Roman" w:hAnsi="Times New Roman"/>
                <w:color w:val="000000" w:themeColor="text1"/>
                <w:sz w:val="24"/>
                <w:szCs w:val="24"/>
              </w:rPr>
              <w:t>t/a</w:t>
            </w:r>
          </w:p>
        </w:tc>
        <w:tc>
          <w:tcPr>
            <w:tcW w:w="2156" w:type="dxa"/>
            <w:vAlign w:val="center"/>
          </w:tcPr>
          <w:p w14:paraId="16403C94">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180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0.042</w:t>
            </w:r>
            <w:r>
              <w:rPr>
                <w:rFonts w:ascii="Times New Roman" w:hAnsi="Times New Roman"/>
                <w:color w:val="000000" w:themeColor="text1"/>
                <w:sz w:val="24"/>
                <w:szCs w:val="24"/>
              </w:rPr>
              <w:t>t/a</w:t>
            </w:r>
          </w:p>
        </w:tc>
      </w:tr>
      <w:tr w14:paraId="2FFBED4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811" w:type="dxa"/>
            <w:vMerge w:val="continue"/>
            <w:vAlign w:val="center"/>
          </w:tcPr>
          <w:p w14:paraId="2EA68CAB">
            <w:pPr>
              <w:spacing w:line="360" w:lineRule="auto"/>
              <w:jc w:val="center"/>
              <w:rPr>
                <w:rFonts w:ascii="Times New Roman" w:hAnsi="Times New Roman"/>
                <w:color w:val="000000" w:themeColor="text1"/>
                <w:sz w:val="24"/>
                <w:szCs w:val="24"/>
              </w:rPr>
            </w:pPr>
          </w:p>
        </w:tc>
        <w:tc>
          <w:tcPr>
            <w:tcW w:w="400" w:type="dxa"/>
            <w:vMerge w:val="continue"/>
            <w:vAlign w:val="center"/>
          </w:tcPr>
          <w:p w14:paraId="64D6FA95">
            <w:pPr>
              <w:spacing w:line="360" w:lineRule="auto"/>
              <w:jc w:val="center"/>
              <w:rPr>
                <w:rFonts w:ascii="Times New Roman" w:hAnsi="Times New Roman"/>
                <w:color w:val="000000" w:themeColor="text1"/>
                <w:sz w:val="24"/>
                <w:szCs w:val="24"/>
              </w:rPr>
            </w:pPr>
          </w:p>
        </w:tc>
        <w:tc>
          <w:tcPr>
            <w:tcW w:w="1613" w:type="dxa"/>
            <w:vMerge w:val="continue"/>
            <w:vAlign w:val="center"/>
          </w:tcPr>
          <w:p w14:paraId="5E255DE5">
            <w:pPr>
              <w:spacing w:line="360" w:lineRule="auto"/>
              <w:jc w:val="center"/>
              <w:rPr>
                <w:rFonts w:ascii="Times New Roman" w:hAnsi="Times New Roman"/>
                <w:color w:val="000000" w:themeColor="text1"/>
                <w:sz w:val="24"/>
                <w:szCs w:val="24"/>
              </w:rPr>
            </w:pPr>
          </w:p>
        </w:tc>
        <w:tc>
          <w:tcPr>
            <w:tcW w:w="1287" w:type="dxa"/>
            <w:vAlign w:val="center"/>
          </w:tcPr>
          <w:p w14:paraId="21521628">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氨氮</w:t>
            </w:r>
          </w:p>
        </w:tc>
        <w:tc>
          <w:tcPr>
            <w:tcW w:w="2237" w:type="dxa"/>
            <w:vAlign w:val="center"/>
          </w:tcPr>
          <w:p w14:paraId="2E63C796">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30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0.007</w:t>
            </w:r>
            <w:r>
              <w:rPr>
                <w:rFonts w:ascii="Times New Roman" w:hAnsi="Times New Roman"/>
                <w:color w:val="000000" w:themeColor="text1"/>
                <w:sz w:val="24"/>
                <w:szCs w:val="24"/>
              </w:rPr>
              <w:t>t/a</w:t>
            </w:r>
          </w:p>
        </w:tc>
        <w:tc>
          <w:tcPr>
            <w:tcW w:w="2156" w:type="dxa"/>
            <w:vAlign w:val="center"/>
          </w:tcPr>
          <w:p w14:paraId="5D5D6EBC">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30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0.007</w:t>
            </w:r>
            <w:r>
              <w:rPr>
                <w:rFonts w:ascii="Times New Roman" w:hAnsi="Times New Roman"/>
                <w:color w:val="000000" w:themeColor="text1"/>
                <w:sz w:val="24"/>
                <w:szCs w:val="24"/>
              </w:rPr>
              <w:t>t/a</w:t>
            </w:r>
          </w:p>
        </w:tc>
      </w:tr>
      <w:tr w14:paraId="0265E06F">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811" w:type="dxa"/>
            <w:vMerge w:val="continue"/>
            <w:vAlign w:val="center"/>
          </w:tcPr>
          <w:p w14:paraId="7447D6EE">
            <w:pPr>
              <w:spacing w:line="360" w:lineRule="auto"/>
              <w:jc w:val="center"/>
              <w:rPr>
                <w:color w:val="000000" w:themeColor="text1"/>
              </w:rPr>
            </w:pPr>
          </w:p>
        </w:tc>
        <w:tc>
          <w:tcPr>
            <w:tcW w:w="400" w:type="dxa"/>
            <w:vMerge w:val="continue"/>
            <w:vAlign w:val="center"/>
          </w:tcPr>
          <w:p w14:paraId="2C80D66F">
            <w:pPr>
              <w:spacing w:line="360" w:lineRule="auto"/>
              <w:jc w:val="center"/>
              <w:rPr>
                <w:color w:val="000000" w:themeColor="text1"/>
              </w:rPr>
            </w:pPr>
          </w:p>
        </w:tc>
        <w:tc>
          <w:tcPr>
            <w:tcW w:w="1613" w:type="dxa"/>
            <w:vMerge w:val="continue"/>
            <w:vAlign w:val="center"/>
          </w:tcPr>
          <w:p w14:paraId="0F252DDA">
            <w:pPr>
              <w:spacing w:line="360" w:lineRule="auto"/>
              <w:jc w:val="center"/>
              <w:rPr>
                <w:color w:val="000000" w:themeColor="text1"/>
              </w:rPr>
            </w:pPr>
          </w:p>
        </w:tc>
        <w:tc>
          <w:tcPr>
            <w:tcW w:w="1287" w:type="dxa"/>
            <w:vAlign w:val="center"/>
          </w:tcPr>
          <w:p w14:paraId="6BB453BE">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SS</w:t>
            </w:r>
          </w:p>
        </w:tc>
        <w:tc>
          <w:tcPr>
            <w:tcW w:w="2237" w:type="dxa"/>
            <w:vAlign w:val="center"/>
          </w:tcPr>
          <w:p w14:paraId="50845901">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200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0.047</w:t>
            </w:r>
            <w:r>
              <w:rPr>
                <w:rFonts w:ascii="Times New Roman" w:hAnsi="Times New Roman"/>
                <w:color w:val="000000" w:themeColor="text1"/>
                <w:sz w:val="24"/>
                <w:szCs w:val="24"/>
              </w:rPr>
              <w:t>t/a</w:t>
            </w:r>
          </w:p>
        </w:tc>
        <w:tc>
          <w:tcPr>
            <w:tcW w:w="2156" w:type="dxa"/>
            <w:vAlign w:val="center"/>
          </w:tcPr>
          <w:p w14:paraId="23CE1BBF">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200</w:t>
            </w:r>
            <w:r>
              <w:rPr>
                <w:rFonts w:ascii="Times New Roman" w:hAnsi="Times New Roman"/>
                <w:color w:val="000000" w:themeColor="text1"/>
                <w:sz w:val="24"/>
                <w:szCs w:val="24"/>
              </w:rPr>
              <w:t>mg/L</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0.047</w:t>
            </w:r>
            <w:r>
              <w:rPr>
                <w:rFonts w:ascii="Times New Roman" w:hAnsi="Times New Roman"/>
                <w:color w:val="000000" w:themeColor="text1"/>
                <w:sz w:val="24"/>
                <w:szCs w:val="24"/>
              </w:rPr>
              <w:t>t/a</w:t>
            </w:r>
          </w:p>
        </w:tc>
      </w:tr>
      <w:bookmarkEnd w:id="14"/>
      <w:tr w14:paraId="0C93241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811" w:type="dxa"/>
            <w:vMerge w:val="restart"/>
            <w:vAlign w:val="center"/>
          </w:tcPr>
          <w:p w14:paraId="4DF10518">
            <w:pPr>
              <w:spacing w:line="360" w:lineRule="auto"/>
              <w:jc w:val="center"/>
              <w:rPr>
                <w:rFonts w:ascii="Times New Roman" w:hAnsi="Times New Roman"/>
                <w:color w:val="000000" w:themeColor="text1"/>
                <w:sz w:val="24"/>
                <w:szCs w:val="24"/>
              </w:rPr>
            </w:pPr>
          </w:p>
          <w:p w14:paraId="1BC3D4F5">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固</w:t>
            </w:r>
          </w:p>
          <w:p w14:paraId="1E6CB337">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体</w:t>
            </w:r>
          </w:p>
          <w:p w14:paraId="6770B4FB">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废</w:t>
            </w:r>
          </w:p>
          <w:p w14:paraId="1AE530C7">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物</w:t>
            </w:r>
          </w:p>
          <w:p w14:paraId="1CADC6C1">
            <w:pPr>
              <w:spacing w:line="360" w:lineRule="auto"/>
              <w:jc w:val="center"/>
              <w:rPr>
                <w:rFonts w:ascii="Times New Roman" w:hAnsi="Times New Roman"/>
                <w:color w:val="000000" w:themeColor="text1"/>
                <w:sz w:val="24"/>
                <w:szCs w:val="24"/>
              </w:rPr>
            </w:pPr>
          </w:p>
        </w:tc>
        <w:tc>
          <w:tcPr>
            <w:tcW w:w="400" w:type="dxa"/>
            <w:vMerge w:val="restart"/>
            <w:vAlign w:val="center"/>
          </w:tcPr>
          <w:p w14:paraId="1192F36D">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施工期</w:t>
            </w:r>
          </w:p>
        </w:tc>
        <w:tc>
          <w:tcPr>
            <w:tcW w:w="1613" w:type="dxa"/>
            <w:vAlign w:val="center"/>
          </w:tcPr>
          <w:p w14:paraId="17AC8A9E">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施工场地</w:t>
            </w:r>
          </w:p>
        </w:tc>
        <w:tc>
          <w:tcPr>
            <w:tcW w:w="1287" w:type="dxa"/>
            <w:vAlign w:val="center"/>
          </w:tcPr>
          <w:p w14:paraId="6CBAAD46">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建筑垃圾</w:t>
            </w:r>
          </w:p>
        </w:tc>
        <w:tc>
          <w:tcPr>
            <w:tcW w:w="2237" w:type="dxa"/>
            <w:vAlign w:val="center"/>
          </w:tcPr>
          <w:p w14:paraId="0AB8F7AB">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1.33t/a</w:t>
            </w:r>
          </w:p>
        </w:tc>
        <w:tc>
          <w:tcPr>
            <w:tcW w:w="2156" w:type="dxa"/>
            <w:vAlign w:val="center"/>
          </w:tcPr>
          <w:p w14:paraId="0C2FB775">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1.33t</w:t>
            </w:r>
          </w:p>
        </w:tc>
      </w:tr>
      <w:tr w14:paraId="4A6CFBDD">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811" w:type="dxa"/>
            <w:vMerge w:val="continue"/>
            <w:vAlign w:val="center"/>
          </w:tcPr>
          <w:p w14:paraId="6920A18B">
            <w:pPr>
              <w:spacing w:line="360" w:lineRule="auto"/>
              <w:jc w:val="center"/>
              <w:rPr>
                <w:color w:val="000000" w:themeColor="text1"/>
              </w:rPr>
            </w:pPr>
          </w:p>
        </w:tc>
        <w:tc>
          <w:tcPr>
            <w:tcW w:w="400" w:type="dxa"/>
            <w:vMerge w:val="continue"/>
            <w:vAlign w:val="center"/>
          </w:tcPr>
          <w:p w14:paraId="5947A84B">
            <w:pPr>
              <w:spacing w:line="360" w:lineRule="auto"/>
              <w:jc w:val="center"/>
              <w:rPr>
                <w:color w:val="000000" w:themeColor="text1"/>
              </w:rPr>
            </w:pPr>
          </w:p>
        </w:tc>
        <w:tc>
          <w:tcPr>
            <w:tcW w:w="1613" w:type="dxa"/>
            <w:vAlign w:val="center"/>
          </w:tcPr>
          <w:p w14:paraId="5BFD6790">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施工人员</w:t>
            </w:r>
          </w:p>
        </w:tc>
        <w:tc>
          <w:tcPr>
            <w:tcW w:w="1287" w:type="dxa"/>
            <w:vAlign w:val="center"/>
          </w:tcPr>
          <w:p w14:paraId="769C36EB">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生活垃圾</w:t>
            </w:r>
          </w:p>
        </w:tc>
        <w:tc>
          <w:tcPr>
            <w:tcW w:w="2237" w:type="dxa"/>
            <w:vAlign w:val="center"/>
          </w:tcPr>
          <w:p w14:paraId="5EC2A5D1">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2.4t/a</w:t>
            </w:r>
          </w:p>
        </w:tc>
        <w:tc>
          <w:tcPr>
            <w:tcW w:w="2156" w:type="dxa"/>
            <w:vAlign w:val="center"/>
          </w:tcPr>
          <w:p w14:paraId="651EC2AE">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2.4t/a</w:t>
            </w:r>
          </w:p>
        </w:tc>
      </w:tr>
      <w:tr w14:paraId="5227740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811" w:type="dxa"/>
            <w:vMerge w:val="continue"/>
            <w:vAlign w:val="center"/>
          </w:tcPr>
          <w:p w14:paraId="6B0D53A0">
            <w:pPr>
              <w:spacing w:line="360" w:lineRule="auto"/>
              <w:jc w:val="center"/>
              <w:rPr>
                <w:color w:val="000000" w:themeColor="text1"/>
              </w:rPr>
            </w:pPr>
          </w:p>
        </w:tc>
        <w:tc>
          <w:tcPr>
            <w:tcW w:w="400" w:type="dxa"/>
            <w:vMerge w:val="restart"/>
            <w:vAlign w:val="center"/>
          </w:tcPr>
          <w:p w14:paraId="5020EFC5">
            <w:pPr>
              <w:spacing w:line="360" w:lineRule="auto"/>
              <w:jc w:val="center"/>
              <w:rPr>
                <w:rFonts w:hint="eastAsia" w:eastAsia="宋体"/>
                <w:color w:val="000000" w:themeColor="text1"/>
                <w:lang w:val="en-US" w:eastAsia="zh-CN"/>
              </w:rPr>
            </w:pPr>
            <w:r>
              <w:rPr>
                <w:rFonts w:hint="eastAsia"/>
                <w:color w:val="000000" w:themeColor="text1"/>
                <w:lang w:val="en-US" w:eastAsia="zh-CN"/>
              </w:rPr>
              <w:t>营运期</w:t>
            </w:r>
          </w:p>
        </w:tc>
        <w:tc>
          <w:tcPr>
            <w:tcW w:w="1613" w:type="dxa"/>
            <w:vAlign w:val="center"/>
          </w:tcPr>
          <w:p w14:paraId="03F6847F">
            <w:pPr>
              <w:spacing w:line="360" w:lineRule="auto"/>
              <w:jc w:val="center"/>
              <w:rPr>
                <w:rFonts w:hint="eastAsia" w:eastAsia="宋体"/>
                <w:color w:val="000000" w:themeColor="text1"/>
                <w:lang w:val="en-US" w:eastAsia="zh-CN"/>
              </w:rPr>
            </w:pPr>
            <w:r>
              <w:rPr>
                <w:rFonts w:hint="eastAsia"/>
                <w:color w:val="000000" w:themeColor="text1"/>
                <w:lang w:val="en-US" w:eastAsia="zh-CN"/>
              </w:rPr>
              <w:t>生活设施</w:t>
            </w:r>
          </w:p>
        </w:tc>
        <w:tc>
          <w:tcPr>
            <w:tcW w:w="1287" w:type="dxa"/>
            <w:vAlign w:val="center"/>
          </w:tcPr>
          <w:p w14:paraId="19DEC5A0">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生活垃圾</w:t>
            </w:r>
          </w:p>
        </w:tc>
        <w:tc>
          <w:tcPr>
            <w:tcW w:w="2237" w:type="dxa"/>
            <w:vAlign w:val="center"/>
          </w:tcPr>
          <w:p w14:paraId="373EBDCF">
            <w:pPr>
              <w:spacing w:line="360" w:lineRule="auto"/>
              <w:jc w:val="center"/>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2.92t/a</w:t>
            </w:r>
          </w:p>
        </w:tc>
        <w:tc>
          <w:tcPr>
            <w:tcW w:w="2156" w:type="dxa"/>
            <w:vAlign w:val="center"/>
          </w:tcPr>
          <w:p w14:paraId="60E77AAE">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2.92t/a</w:t>
            </w:r>
          </w:p>
        </w:tc>
      </w:tr>
      <w:tr w14:paraId="77D53B4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811" w:type="dxa"/>
            <w:vMerge w:val="continue"/>
            <w:vAlign w:val="center"/>
          </w:tcPr>
          <w:p w14:paraId="18C8A632">
            <w:pPr>
              <w:spacing w:line="360" w:lineRule="auto"/>
              <w:jc w:val="center"/>
              <w:rPr>
                <w:color w:val="000000" w:themeColor="text1"/>
              </w:rPr>
            </w:pPr>
          </w:p>
        </w:tc>
        <w:tc>
          <w:tcPr>
            <w:tcW w:w="400" w:type="dxa"/>
            <w:vMerge w:val="continue"/>
            <w:vAlign w:val="center"/>
          </w:tcPr>
          <w:p w14:paraId="36E7EE60">
            <w:pPr>
              <w:spacing w:line="360" w:lineRule="auto"/>
              <w:jc w:val="center"/>
              <w:rPr>
                <w:color w:val="000000" w:themeColor="text1"/>
              </w:rPr>
            </w:pPr>
          </w:p>
        </w:tc>
        <w:tc>
          <w:tcPr>
            <w:tcW w:w="1613" w:type="dxa"/>
            <w:vAlign w:val="center"/>
          </w:tcPr>
          <w:p w14:paraId="7E1CD760">
            <w:pPr>
              <w:spacing w:line="360" w:lineRule="auto"/>
              <w:jc w:val="center"/>
              <w:rPr>
                <w:rFonts w:hint="eastAsia" w:eastAsia="宋体"/>
                <w:color w:val="000000" w:themeColor="text1"/>
                <w:lang w:val="en-US" w:eastAsia="zh-CN"/>
              </w:rPr>
            </w:pPr>
            <w:r>
              <w:rPr>
                <w:rFonts w:hint="eastAsia"/>
                <w:color w:val="000000" w:themeColor="text1"/>
                <w:sz w:val="24"/>
                <w:szCs w:val="24"/>
                <w:lang w:val="en-US" w:eastAsia="zh-CN"/>
              </w:rPr>
              <w:t>天然气压缩、</w:t>
            </w:r>
            <w:r>
              <w:rPr>
                <w:color w:val="000000" w:themeColor="text1"/>
                <w:sz w:val="24"/>
                <w:szCs w:val="24"/>
              </w:rPr>
              <w:t>清洗、检修油罐过程</w:t>
            </w:r>
          </w:p>
        </w:tc>
        <w:tc>
          <w:tcPr>
            <w:tcW w:w="1287" w:type="dxa"/>
            <w:vAlign w:val="center"/>
          </w:tcPr>
          <w:p w14:paraId="5194530D">
            <w:pPr>
              <w:spacing w:line="360" w:lineRule="auto"/>
              <w:jc w:val="center"/>
              <w:rPr>
                <w:rFonts w:hint="eastAsia" w:eastAsia="宋体"/>
                <w:color w:val="000000" w:themeColor="text1"/>
                <w:lang w:val="en-US" w:eastAsia="zh-CN"/>
              </w:rPr>
            </w:pPr>
            <w:r>
              <w:rPr>
                <w:rFonts w:hint="eastAsia"/>
                <w:color w:val="000000" w:themeColor="text1"/>
                <w:lang w:val="en-US" w:eastAsia="zh-CN"/>
              </w:rPr>
              <w:t>含油废水，残渣、残液等</w:t>
            </w:r>
          </w:p>
        </w:tc>
        <w:tc>
          <w:tcPr>
            <w:tcW w:w="2237" w:type="dxa"/>
            <w:vAlign w:val="center"/>
          </w:tcPr>
          <w:p w14:paraId="77B749E4">
            <w:pPr>
              <w:spacing w:line="360" w:lineRule="auto"/>
              <w:jc w:val="center"/>
              <w:rPr>
                <w:rFonts w:hint="eastAsia"/>
                <w:color w:val="000000" w:themeColor="text1"/>
                <w:lang w:val="en-US" w:eastAsia="zh-CN"/>
              </w:rPr>
            </w:pPr>
            <w:r>
              <w:rPr>
                <w:rFonts w:hint="eastAsia" w:ascii="Times New Roman" w:hAnsi="Times New Roman" w:cs="Times New Roman"/>
                <w:color w:val="000000" w:themeColor="text1"/>
                <w:lang w:val="en-US" w:eastAsia="zh-CN"/>
              </w:rPr>
              <w:t>2</w:t>
            </w:r>
            <w:r>
              <w:rPr>
                <w:rFonts w:hint="default" w:ascii="Times New Roman" w:hAnsi="Times New Roman" w:eastAsia="宋体" w:cs="Times New Roman"/>
                <w:color w:val="000000" w:themeColor="text1"/>
                <w:lang w:val="en-US" w:eastAsia="zh-CN"/>
              </w:rPr>
              <w:t>.1</w:t>
            </w:r>
            <w:r>
              <w:rPr>
                <w:rFonts w:hint="default" w:ascii="Times New Roman" w:hAnsi="Times New Roman" w:eastAsia="宋体" w:cs="Times New Roman"/>
                <w:color w:val="000000" w:themeColor="text1"/>
                <w:sz w:val="24"/>
                <w:szCs w:val="24"/>
                <w:lang w:val="en-US" w:eastAsia="zh-CN"/>
              </w:rPr>
              <w:t>t/a</w:t>
            </w:r>
          </w:p>
        </w:tc>
        <w:tc>
          <w:tcPr>
            <w:tcW w:w="2156" w:type="dxa"/>
            <w:vAlign w:val="center"/>
          </w:tcPr>
          <w:p w14:paraId="5D49D6A1">
            <w:pPr>
              <w:spacing w:line="360" w:lineRule="auto"/>
              <w:jc w:val="center"/>
              <w:rPr>
                <w:rFonts w:hint="eastAsia" w:eastAsia="宋体"/>
                <w:color w:val="000000" w:themeColor="text1"/>
                <w:lang w:val="en-US" w:eastAsia="zh-CN"/>
              </w:rPr>
            </w:pPr>
            <w:r>
              <w:rPr>
                <w:rFonts w:hint="default" w:ascii="Times New Roman" w:hAnsi="Times New Roman" w:eastAsia="黑体" w:cs="Times New Roman"/>
                <w:color w:val="000000" w:themeColor="text1"/>
                <w:lang w:val="en-US" w:eastAsia="zh-CN"/>
              </w:rPr>
              <w:t>0</w:t>
            </w:r>
          </w:p>
        </w:tc>
      </w:tr>
      <w:tr w14:paraId="008F2034">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7E48A5EE">
            <w:pPr>
              <w:spacing w:line="360" w:lineRule="auto"/>
              <w:jc w:val="center"/>
              <w:rPr>
                <w:rFonts w:ascii="Times New Roman" w:hAnsi="Times New Roman"/>
                <w:color w:val="000000" w:themeColor="text1"/>
                <w:sz w:val="24"/>
                <w:szCs w:val="24"/>
              </w:rPr>
            </w:pPr>
            <w:r>
              <w:rPr>
                <w:rFonts w:hint="eastAsia" w:ascii="Times New Roman" w:hAnsi="Times New Roman"/>
                <w:color w:val="000000" w:themeColor="text1"/>
                <w:sz w:val="24"/>
                <w:szCs w:val="24"/>
              </w:rPr>
              <w:t>噪声</w:t>
            </w:r>
          </w:p>
        </w:tc>
        <w:tc>
          <w:tcPr>
            <w:tcW w:w="7693" w:type="dxa"/>
            <w:gridSpan w:val="5"/>
            <w:vAlign w:val="center"/>
          </w:tcPr>
          <w:p w14:paraId="69D9A6EE">
            <w:pPr>
              <w:spacing w:line="360" w:lineRule="auto"/>
              <w:ind w:firstLine="480" w:firstLineChars="200"/>
              <w:jc w:val="left"/>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施工期：根据类比分析，施工期主要噪声源有：挖掘机、装载机、振捣棒等；</w:t>
            </w:r>
          </w:p>
          <w:p w14:paraId="191F144F">
            <w:pPr>
              <w:spacing w:line="360" w:lineRule="auto"/>
              <w:ind w:firstLine="480" w:firstLineChars="200"/>
              <w:jc w:val="left"/>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营运期：</w:t>
            </w:r>
            <w:r>
              <w:rPr>
                <w:rFonts w:hint="eastAsia" w:ascii="Times New Roman" w:hAnsi="Times New Roman"/>
                <w:color w:val="000000" w:themeColor="text1"/>
                <w:sz w:val="24"/>
                <w:szCs w:val="24"/>
              </w:rPr>
              <w:t>本项目主要噪声为</w:t>
            </w:r>
            <w:r>
              <w:rPr>
                <w:rFonts w:hint="eastAsia" w:ascii="Times New Roman" w:hAnsi="Times New Roman"/>
                <w:color w:val="000000" w:themeColor="text1"/>
                <w:sz w:val="24"/>
                <w:szCs w:val="24"/>
                <w:lang w:eastAsia="zh-CN"/>
              </w:rPr>
              <w:t>生产设备机械</w:t>
            </w:r>
            <w:r>
              <w:rPr>
                <w:rFonts w:hint="eastAsia" w:ascii="Times New Roman" w:hAnsi="Times New Roman"/>
                <w:color w:val="000000" w:themeColor="text1"/>
                <w:sz w:val="24"/>
                <w:szCs w:val="24"/>
              </w:rPr>
              <w:t>噪声</w:t>
            </w:r>
            <w:r>
              <w:rPr>
                <w:rFonts w:hint="eastAsia" w:ascii="Times New Roman" w:hAnsi="Times New Roman"/>
                <w:color w:val="000000" w:themeColor="text1"/>
                <w:sz w:val="24"/>
                <w:szCs w:val="24"/>
                <w:lang w:eastAsia="zh-CN"/>
              </w:rPr>
              <w:t>以及运输车辆噪声</w:t>
            </w:r>
            <w:r>
              <w:rPr>
                <w:rFonts w:hint="eastAsia" w:ascii="Times New Roman" w:hAnsi="Times New Roman"/>
                <w:color w:val="000000" w:themeColor="text1"/>
                <w:sz w:val="24"/>
                <w:szCs w:val="24"/>
              </w:rPr>
              <w:t>，各主要噪声源的噪声声级</w:t>
            </w:r>
            <w:r>
              <w:rPr>
                <w:rFonts w:hint="eastAsia" w:ascii="Times New Roman" w:hAnsi="Times New Roman"/>
                <w:color w:val="000000" w:themeColor="text1"/>
                <w:sz w:val="24"/>
                <w:szCs w:val="24"/>
                <w:lang w:val="en-US" w:eastAsia="zh-CN"/>
              </w:rPr>
              <w:t>75</w:t>
            </w:r>
            <w:r>
              <w:rPr>
                <w:rFonts w:ascii="Times New Roman" w:hAnsi="Times New Roman"/>
                <w:color w:val="000000" w:themeColor="text1"/>
                <w:sz w:val="24"/>
                <w:szCs w:val="24"/>
              </w:rPr>
              <w:t>~</w:t>
            </w:r>
            <w:r>
              <w:rPr>
                <w:rFonts w:hint="eastAsia" w:ascii="Times New Roman" w:hAnsi="Times New Roman"/>
                <w:color w:val="000000" w:themeColor="text1"/>
                <w:sz w:val="24"/>
                <w:szCs w:val="24"/>
                <w:lang w:val="en-US" w:eastAsia="zh-CN"/>
              </w:rPr>
              <w:t>85</w:t>
            </w:r>
            <w:r>
              <w:rPr>
                <w:rFonts w:ascii="Times New Roman" w:hAnsi="Times New Roman"/>
                <w:color w:val="000000" w:themeColor="text1"/>
                <w:sz w:val="24"/>
                <w:szCs w:val="24"/>
              </w:rPr>
              <w:t>dB</w:t>
            </w:r>
            <w:r>
              <w:rPr>
                <w:rFonts w:hint="eastAsia" w:ascii="Times New Roman" w:hAnsi="Times New Roman"/>
                <w:color w:val="000000" w:themeColor="text1"/>
                <w:sz w:val="24"/>
                <w:szCs w:val="24"/>
              </w:rPr>
              <w:t>（</w:t>
            </w:r>
            <w:r>
              <w:rPr>
                <w:rFonts w:ascii="Times New Roman" w:hAnsi="Times New Roman"/>
                <w:color w:val="000000" w:themeColor="text1"/>
                <w:sz w:val="24"/>
                <w:szCs w:val="24"/>
              </w:rPr>
              <w:t>A</w:t>
            </w:r>
            <w:r>
              <w:rPr>
                <w:rFonts w:hint="eastAsia" w:ascii="Times New Roman" w:hAnsi="Times New Roman"/>
                <w:color w:val="000000" w:themeColor="text1"/>
                <w:sz w:val="24"/>
                <w:szCs w:val="24"/>
              </w:rPr>
              <w:t>）</w:t>
            </w:r>
          </w:p>
        </w:tc>
      </w:tr>
      <w:tr w14:paraId="295A9CEA">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11" w:type="dxa"/>
            <w:vAlign w:val="center"/>
          </w:tcPr>
          <w:p w14:paraId="662DF8D7">
            <w:pPr>
              <w:spacing w:line="360" w:lineRule="auto"/>
              <w:jc w:val="center"/>
              <w:rPr>
                <w:rFonts w:hint="eastAsia" w:ascii="Times New Roman" w:hAnsi="Times New Roman" w:eastAsia="宋体"/>
                <w:color w:val="000000" w:themeColor="text1"/>
                <w:sz w:val="24"/>
                <w:szCs w:val="24"/>
                <w:lang w:val="en-US" w:eastAsia="zh-CN"/>
              </w:rPr>
            </w:pPr>
            <w:r>
              <w:rPr>
                <w:rFonts w:hint="eastAsia" w:ascii="Times New Roman" w:hAnsi="Times New Roman"/>
                <w:color w:val="000000" w:themeColor="text1"/>
                <w:sz w:val="24"/>
                <w:szCs w:val="24"/>
                <w:lang w:val="en-US" w:eastAsia="zh-CN"/>
              </w:rPr>
              <w:t>其他</w:t>
            </w:r>
          </w:p>
        </w:tc>
        <w:tc>
          <w:tcPr>
            <w:tcW w:w="7693" w:type="dxa"/>
            <w:gridSpan w:val="5"/>
            <w:vAlign w:val="center"/>
          </w:tcPr>
          <w:p w14:paraId="08B95714">
            <w:pPr>
              <w:spacing w:line="360" w:lineRule="auto"/>
              <w:ind w:firstLine="480" w:firstLineChars="200"/>
              <w:jc w:val="left"/>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建设项目为加油加气站，天然气、汽油和柴油属于易燃易爆物品，存在一定的火灾、爆炸等风险。</w:t>
            </w:r>
          </w:p>
        </w:tc>
      </w:tr>
      <w:tr w14:paraId="520C1E0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504" w:type="dxa"/>
            <w:gridSpan w:val="6"/>
            <w:tcBorders>
              <w:bottom w:val="single" w:color="000000" w:sz="12" w:space="0"/>
            </w:tcBorders>
            <w:vAlign w:val="center"/>
          </w:tcPr>
          <w:p w14:paraId="16F2C941">
            <w:pPr>
              <w:spacing w:line="360" w:lineRule="auto"/>
              <w:jc w:val="left"/>
              <w:rPr>
                <w:color w:val="000000" w:themeColor="text1"/>
              </w:rPr>
            </w:pPr>
            <w:r>
              <w:rPr>
                <w:rFonts w:hint="eastAsia"/>
                <w:color w:val="000000" w:themeColor="text1"/>
              </w:rPr>
              <w:t>主要生态影响</w:t>
            </w:r>
          </w:p>
          <w:p w14:paraId="55762E14">
            <w:pPr>
              <w:spacing w:line="360" w:lineRule="auto"/>
              <w:ind w:firstLine="480" w:firstLineChars="200"/>
              <w:jc w:val="left"/>
              <w:rPr>
                <w:rFonts w:hint="eastAsia"/>
                <w:color w:val="000000" w:themeColor="text1"/>
              </w:rPr>
            </w:pPr>
            <w:r>
              <w:rPr>
                <w:rFonts w:hint="eastAsia"/>
                <w:color w:val="000000" w:themeColor="text1"/>
              </w:rPr>
              <w:t>本项目建成运营后，生产及生活过程中产生的各种污染物通过切实有效的治理措施进行处理，对周围生态环境的影响比较小。</w:t>
            </w:r>
          </w:p>
          <w:p w14:paraId="1DA8E755">
            <w:pPr>
              <w:pStyle w:val="13"/>
              <w:rPr>
                <w:rFonts w:hint="eastAsia"/>
                <w:color w:val="000000" w:themeColor="text1"/>
              </w:rPr>
            </w:pPr>
          </w:p>
          <w:p w14:paraId="727D1D52">
            <w:pPr>
              <w:rPr>
                <w:rFonts w:hint="eastAsia"/>
                <w:color w:val="000000" w:themeColor="text1"/>
              </w:rPr>
            </w:pPr>
          </w:p>
          <w:p w14:paraId="26821F16">
            <w:pPr>
              <w:pStyle w:val="13"/>
              <w:rPr>
                <w:rFonts w:hint="eastAsia"/>
                <w:color w:val="000000" w:themeColor="text1"/>
              </w:rPr>
            </w:pPr>
          </w:p>
          <w:p w14:paraId="1B94C03D">
            <w:pPr>
              <w:rPr>
                <w:rFonts w:hint="eastAsia"/>
                <w:color w:val="000000" w:themeColor="text1"/>
              </w:rPr>
            </w:pPr>
          </w:p>
          <w:p w14:paraId="10B34301">
            <w:pPr>
              <w:pStyle w:val="13"/>
              <w:rPr>
                <w:rFonts w:hint="eastAsia"/>
                <w:color w:val="000000" w:themeColor="text1"/>
              </w:rPr>
            </w:pPr>
          </w:p>
          <w:p w14:paraId="2F425D57">
            <w:pPr>
              <w:rPr>
                <w:rFonts w:hint="eastAsia"/>
                <w:color w:val="000000" w:themeColor="text1"/>
              </w:rPr>
            </w:pPr>
          </w:p>
          <w:p w14:paraId="25F3244B">
            <w:pPr>
              <w:pStyle w:val="13"/>
              <w:rPr>
                <w:rFonts w:hint="eastAsia"/>
                <w:color w:val="000000" w:themeColor="text1"/>
              </w:rPr>
            </w:pPr>
          </w:p>
          <w:p w14:paraId="46529D0D">
            <w:pPr>
              <w:rPr>
                <w:rFonts w:hint="eastAsia"/>
                <w:color w:val="000000" w:themeColor="text1"/>
              </w:rPr>
            </w:pPr>
          </w:p>
          <w:p w14:paraId="4BB6024A">
            <w:pPr>
              <w:pStyle w:val="13"/>
              <w:rPr>
                <w:rFonts w:hint="eastAsia"/>
                <w:color w:val="000000" w:themeColor="text1"/>
              </w:rPr>
            </w:pPr>
          </w:p>
          <w:p w14:paraId="642945A3">
            <w:pPr>
              <w:rPr>
                <w:rFonts w:hint="eastAsia"/>
                <w:color w:val="000000" w:themeColor="text1"/>
              </w:rPr>
            </w:pPr>
          </w:p>
          <w:p w14:paraId="2E356ACD">
            <w:pPr>
              <w:pStyle w:val="13"/>
              <w:rPr>
                <w:rFonts w:hint="eastAsia"/>
                <w:color w:val="000000" w:themeColor="text1"/>
              </w:rPr>
            </w:pPr>
          </w:p>
          <w:p w14:paraId="192195FB">
            <w:pPr>
              <w:rPr>
                <w:rFonts w:hint="eastAsia"/>
                <w:color w:val="000000" w:themeColor="text1"/>
              </w:rPr>
            </w:pPr>
          </w:p>
          <w:p w14:paraId="39F7F68F">
            <w:pPr>
              <w:pStyle w:val="13"/>
              <w:rPr>
                <w:rFonts w:hint="eastAsia"/>
                <w:color w:val="000000" w:themeColor="text1"/>
              </w:rPr>
            </w:pPr>
          </w:p>
          <w:p w14:paraId="14393978">
            <w:pPr>
              <w:rPr>
                <w:rFonts w:hint="eastAsia"/>
                <w:color w:val="000000" w:themeColor="text1"/>
              </w:rPr>
            </w:pPr>
          </w:p>
          <w:p w14:paraId="2190B3F6">
            <w:pPr>
              <w:pStyle w:val="13"/>
              <w:rPr>
                <w:rFonts w:hint="eastAsia"/>
                <w:color w:val="000000" w:themeColor="text1"/>
              </w:rPr>
            </w:pPr>
          </w:p>
          <w:p w14:paraId="55C54227">
            <w:pPr>
              <w:rPr>
                <w:rFonts w:hint="eastAsia"/>
                <w:color w:val="000000" w:themeColor="text1"/>
              </w:rPr>
            </w:pPr>
          </w:p>
          <w:p w14:paraId="19D8C097">
            <w:pPr>
              <w:pStyle w:val="13"/>
              <w:rPr>
                <w:rFonts w:hint="eastAsia"/>
                <w:color w:val="000000" w:themeColor="text1"/>
              </w:rPr>
            </w:pPr>
          </w:p>
          <w:p w14:paraId="68AF49AC">
            <w:pPr>
              <w:rPr>
                <w:rFonts w:hint="eastAsia"/>
                <w:color w:val="000000" w:themeColor="text1"/>
              </w:rPr>
            </w:pPr>
          </w:p>
          <w:p w14:paraId="32DC538F">
            <w:pPr>
              <w:pStyle w:val="13"/>
              <w:rPr>
                <w:rFonts w:hint="eastAsia"/>
                <w:color w:val="000000" w:themeColor="text1"/>
              </w:rPr>
            </w:pPr>
          </w:p>
          <w:p w14:paraId="55254D0A">
            <w:pPr>
              <w:pStyle w:val="13"/>
              <w:rPr>
                <w:rFonts w:hint="eastAsia"/>
                <w:color w:val="000000" w:themeColor="text1"/>
              </w:rPr>
            </w:pPr>
          </w:p>
          <w:p w14:paraId="08E3A1F0">
            <w:pPr>
              <w:rPr>
                <w:rFonts w:hint="eastAsia"/>
                <w:color w:val="000000" w:themeColor="text1"/>
              </w:rPr>
            </w:pPr>
          </w:p>
          <w:p w14:paraId="1776A917">
            <w:pPr>
              <w:rPr>
                <w:rFonts w:hint="eastAsia"/>
                <w:color w:val="000000" w:themeColor="text1"/>
              </w:rPr>
            </w:pPr>
          </w:p>
          <w:p w14:paraId="64401AF0">
            <w:pPr>
              <w:rPr>
                <w:rFonts w:hint="eastAsia"/>
                <w:color w:val="000000" w:themeColor="text1"/>
              </w:rPr>
            </w:pPr>
          </w:p>
          <w:p w14:paraId="7FBE0600">
            <w:pPr>
              <w:rPr>
                <w:rFonts w:hint="eastAsia"/>
                <w:color w:val="000000" w:themeColor="text1"/>
              </w:rPr>
            </w:pPr>
          </w:p>
          <w:p w14:paraId="7780CCC2">
            <w:pPr>
              <w:pStyle w:val="13"/>
              <w:rPr>
                <w:rFonts w:hint="eastAsia"/>
                <w:color w:val="000000" w:themeColor="text1"/>
              </w:rPr>
            </w:pPr>
          </w:p>
          <w:p w14:paraId="5FFA36D3">
            <w:pPr>
              <w:rPr>
                <w:rFonts w:hint="eastAsia"/>
                <w:color w:val="000000" w:themeColor="text1"/>
              </w:rPr>
            </w:pPr>
          </w:p>
          <w:p w14:paraId="4A5CE92A">
            <w:pPr>
              <w:pStyle w:val="13"/>
              <w:ind w:left="0" w:leftChars="0" w:firstLine="0" w:firstLineChars="0"/>
              <w:rPr>
                <w:rFonts w:hint="eastAsia"/>
                <w:color w:val="000000" w:themeColor="text1"/>
              </w:rPr>
            </w:pPr>
          </w:p>
        </w:tc>
      </w:tr>
    </w:tbl>
    <w:p w14:paraId="19A8C58A">
      <w:pPr>
        <w:spacing w:line="480" w:lineRule="exact"/>
        <w:outlineLvl w:val="1"/>
        <w:rPr>
          <w:b/>
          <w:color w:val="000000" w:themeColor="text1"/>
          <w:sz w:val="32"/>
        </w:rPr>
      </w:pPr>
      <w:r>
        <w:rPr>
          <w:rFonts w:hint="eastAsia"/>
          <w:b/>
          <w:color w:val="000000" w:themeColor="text1"/>
          <w:sz w:val="32"/>
        </w:rPr>
        <w:t>环境影响分析</w:t>
      </w:r>
    </w:p>
    <w:tbl>
      <w:tblPr>
        <w:tblStyle w:val="19"/>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14:paraId="37BBAAA8">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504" w:type="dxa"/>
            <w:tcBorders>
              <w:top w:val="single" w:color="000000" w:sz="12" w:space="0"/>
              <w:bottom w:val="single" w:color="000000" w:sz="12" w:space="0"/>
            </w:tcBorders>
          </w:tcPr>
          <w:p w14:paraId="53C71A1E">
            <w:pPr>
              <w:rPr>
                <w:rFonts w:hint="eastAsia"/>
                <w:b/>
                <w:color w:val="000000" w:themeColor="text1"/>
                <w:kern w:val="0"/>
                <w:sz w:val="28"/>
                <w:lang w:val="zh-CN"/>
              </w:rPr>
            </w:pPr>
            <w:r>
              <w:rPr>
                <w:rFonts w:hint="eastAsia"/>
                <w:b/>
                <w:color w:val="000000" w:themeColor="text1"/>
                <w:kern w:val="0"/>
                <w:sz w:val="28"/>
                <w:lang w:val="zh-CN"/>
              </w:rPr>
              <w:t>施工期环境影响分析：</w:t>
            </w:r>
          </w:p>
          <w:p w14:paraId="412610B0">
            <w:pPr>
              <w:spacing w:line="360" w:lineRule="auto"/>
              <w:ind w:firstLine="480" w:firstLineChars="200"/>
              <w:rPr>
                <w:rFonts w:hint="eastAsia" w:ascii="Times New Roman" w:hAnsi="Times New Roman"/>
                <w:color w:val="000000" w:themeColor="text1"/>
                <w:sz w:val="24"/>
                <w:szCs w:val="24"/>
              </w:rPr>
            </w:pPr>
            <w:r>
              <w:rPr>
                <w:rFonts w:hint="default" w:ascii="Times New Roman" w:hAnsi="Times New Roman" w:eastAsia="宋体" w:cs="Times New Roman"/>
                <w:color w:val="000000" w:themeColor="text1"/>
                <w:sz w:val="24"/>
                <w:szCs w:val="24"/>
              </w:rPr>
              <w:t>施工期对环境的影响主要是施工设备的噪声影响，其次是施工场地扬尘</w:t>
            </w:r>
            <w:r>
              <w:rPr>
                <w:rFonts w:hint="eastAsia" w:ascii="Times New Roman" w:hAnsi="Times New Roman"/>
                <w:color w:val="000000" w:themeColor="text1"/>
                <w:sz w:val="24"/>
                <w:szCs w:val="24"/>
              </w:rPr>
              <w:t>。</w:t>
            </w:r>
          </w:p>
          <w:p w14:paraId="5FC3B58E">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不同施工阶段的环境影响有以下特点：</w:t>
            </w:r>
          </w:p>
          <w:p w14:paraId="3891BB6A">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平整场地、挖基坑阶段有挖掘机、装载机</w:t>
            </w:r>
            <w:r>
              <w:rPr>
                <w:rFonts w:hint="eastAsia" w:ascii="Times New Roman" w:hAnsi="Times New Roman" w:cs="Times New Roman"/>
                <w:color w:val="000000" w:themeColor="text1"/>
                <w:sz w:val="24"/>
                <w:szCs w:val="24"/>
                <w:lang w:eastAsia="zh-CN"/>
              </w:rPr>
              <w:t>以及</w:t>
            </w:r>
            <w:r>
              <w:rPr>
                <w:rFonts w:hint="default" w:ascii="Times New Roman" w:hAnsi="Times New Roman" w:eastAsia="宋体" w:cs="Times New Roman"/>
                <w:color w:val="000000" w:themeColor="text1"/>
                <w:sz w:val="24"/>
                <w:szCs w:val="24"/>
              </w:rPr>
              <w:t>各种运输车辆等作业。该施工阶段特点是主要噪声源强大，且多为移动声源；扬尘面源多，为扬尘易发阶段且不易控制，但工期较短。</w:t>
            </w:r>
          </w:p>
          <w:p w14:paraId="4F252020">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砌基础、主体施工阶段有吊车、混凝土运输车、振捣棒、钢筋切断机和运输车辆等作业，场地料堆较多。该施工阶段特点是设备品种多，声源多，声强较大；扬尘源较多，并且工期较长。</w:t>
            </w:r>
          </w:p>
          <w:p w14:paraId="43AB61AC">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配套设施建设阶段有吊车和电钻等作业，该施工阶段特点是施工期较长，但强声源数量少，持续时间较短，且多数声源处于室内，扬尘源也相对较少。</w:t>
            </w:r>
          </w:p>
          <w:p w14:paraId="59290DA6">
            <w:pPr>
              <w:spacing w:line="360" w:lineRule="auto"/>
              <w:rPr>
                <w:rFonts w:hint="default" w:ascii="Times New Roman" w:hAnsi="Times New Roman" w:eastAsia="宋体" w:cs="Times New Roman"/>
                <w:b/>
                <w:bCs/>
                <w:color w:val="000000" w:themeColor="text1"/>
                <w:sz w:val="24"/>
                <w:szCs w:val="24"/>
              </w:rPr>
            </w:pPr>
            <w:r>
              <w:rPr>
                <w:rFonts w:hint="eastAsia" w:ascii="Times New Roman" w:hAnsi="Times New Roman" w:cs="Times New Roman"/>
                <w:b/>
                <w:bCs/>
                <w:color w:val="000000" w:themeColor="text1"/>
                <w:sz w:val="24"/>
                <w:szCs w:val="24"/>
                <w:lang w:val="en-US" w:eastAsia="zh-CN"/>
              </w:rPr>
              <w:t>1、</w:t>
            </w:r>
            <w:r>
              <w:rPr>
                <w:rFonts w:hint="default" w:ascii="Times New Roman" w:hAnsi="Times New Roman" w:eastAsia="宋体" w:cs="Times New Roman"/>
                <w:b/>
                <w:bCs/>
                <w:color w:val="000000" w:themeColor="text1"/>
                <w:sz w:val="24"/>
                <w:szCs w:val="24"/>
              </w:rPr>
              <w:t>声环境影响分析</w:t>
            </w:r>
          </w:p>
          <w:p w14:paraId="0B5AF695">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项目施工过程中挖掘机、空压机、装载机等机械设备产生机械噪声，按照类比调查以及相关资料，各建筑施工阶段通常采用的主要施工设备及其噪声源强见</w:t>
            </w:r>
            <w:r>
              <w:rPr>
                <w:rFonts w:hint="eastAsia" w:ascii="Times New Roman" w:hAnsi="Times New Roman" w:cs="Times New Roman"/>
                <w:color w:val="000000" w:themeColor="text1"/>
                <w:sz w:val="24"/>
                <w:szCs w:val="24"/>
                <w:lang w:val="en-US" w:eastAsia="zh-CN"/>
              </w:rPr>
              <w:t>下表</w:t>
            </w:r>
            <w:r>
              <w:rPr>
                <w:rFonts w:hint="default" w:ascii="Times New Roman" w:hAnsi="Times New Roman" w:eastAsia="宋体" w:cs="Times New Roman"/>
                <w:color w:val="000000" w:themeColor="text1"/>
                <w:sz w:val="24"/>
                <w:szCs w:val="24"/>
              </w:rPr>
              <w:t>。</w:t>
            </w:r>
          </w:p>
          <w:p w14:paraId="44C94A0B">
            <w:pPr>
              <w:pStyle w:val="18"/>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表31                     施工期主要声源及源强</w:t>
            </w:r>
          </w:p>
          <w:tbl>
            <w:tblPr>
              <w:tblStyle w:val="20"/>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55"/>
              <w:gridCol w:w="2055"/>
              <w:gridCol w:w="2055"/>
              <w:gridCol w:w="2055"/>
            </w:tblGrid>
            <w:tr w14:paraId="4560F1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2055" w:type="dxa"/>
                  <w:vMerge w:val="restart"/>
                  <w:vAlign w:val="center"/>
                </w:tcPr>
                <w:p w14:paraId="3BA7BABA">
                  <w:pPr>
                    <w:pStyle w:val="15"/>
                    <w:widowControl w:val="0"/>
                    <w:spacing w:line="240" w:lineRule="auto"/>
                    <w:jc w:val="center"/>
                    <w:rPr>
                      <w:rFonts w:hint="default"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施工阶段</w:t>
                  </w:r>
                </w:p>
              </w:tc>
              <w:tc>
                <w:tcPr>
                  <w:tcW w:w="2055" w:type="dxa"/>
                  <w:vMerge w:val="restart"/>
                  <w:vAlign w:val="center"/>
                </w:tcPr>
                <w:p w14:paraId="24B5B8EB">
                  <w:pPr>
                    <w:pStyle w:val="15"/>
                    <w:widowControl w:val="0"/>
                    <w:spacing w:line="240" w:lineRule="auto"/>
                    <w:jc w:val="center"/>
                    <w:rPr>
                      <w:rFonts w:hint="default"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主要声源名称</w:t>
                  </w:r>
                </w:p>
              </w:tc>
              <w:tc>
                <w:tcPr>
                  <w:tcW w:w="4110" w:type="dxa"/>
                  <w:gridSpan w:val="2"/>
                  <w:tcBorders>
                    <w:bottom w:val="single" w:color="auto" w:sz="12" w:space="0"/>
                  </w:tcBorders>
                  <w:vAlign w:val="center"/>
                </w:tcPr>
                <w:p w14:paraId="7491BF07">
                  <w:pPr>
                    <w:pStyle w:val="15"/>
                    <w:widowControl w:val="0"/>
                    <w:spacing w:line="240" w:lineRule="auto"/>
                    <w:jc w:val="center"/>
                    <w:rPr>
                      <w:rFonts w:hint="default"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源强</w:t>
                  </w:r>
                </w:p>
              </w:tc>
            </w:tr>
            <w:tr w14:paraId="595B28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2055" w:type="dxa"/>
                  <w:vMerge w:val="continue"/>
                  <w:tcBorders>
                    <w:bottom w:val="single" w:color="auto" w:sz="12" w:space="0"/>
                  </w:tcBorders>
                  <w:vAlign w:val="center"/>
                </w:tcPr>
                <w:p w14:paraId="55F169C3">
                  <w:pPr>
                    <w:pStyle w:val="15"/>
                    <w:widowControl w:val="0"/>
                    <w:spacing w:line="240" w:lineRule="auto"/>
                    <w:jc w:val="center"/>
                    <w:rPr>
                      <w:b/>
                      <w:bCs/>
                      <w:color w:val="000000" w:themeColor="text1"/>
                      <w:kern w:val="0"/>
                      <w:szCs w:val="20"/>
                    </w:rPr>
                  </w:pPr>
                </w:p>
              </w:tc>
              <w:tc>
                <w:tcPr>
                  <w:tcW w:w="2055" w:type="dxa"/>
                  <w:vMerge w:val="continue"/>
                  <w:tcBorders>
                    <w:bottom w:val="single" w:color="auto" w:sz="12" w:space="0"/>
                  </w:tcBorders>
                  <w:vAlign w:val="center"/>
                </w:tcPr>
                <w:p w14:paraId="21FC0983">
                  <w:pPr>
                    <w:pStyle w:val="15"/>
                    <w:widowControl w:val="0"/>
                    <w:spacing w:line="240" w:lineRule="auto"/>
                    <w:jc w:val="center"/>
                    <w:rPr>
                      <w:b/>
                      <w:bCs/>
                      <w:color w:val="000000" w:themeColor="text1"/>
                      <w:kern w:val="0"/>
                      <w:szCs w:val="20"/>
                    </w:rPr>
                  </w:pPr>
                </w:p>
              </w:tc>
              <w:tc>
                <w:tcPr>
                  <w:tcW w:w="2055" w:type="dxa"/>
                  <w:tcBorders>
                    <w:bottom w:val="single" w:color="auto" w:sz="12" w:space="0"/>
                  </w:tcBorders>
                  <w:vAlign w:val="center"/>
                </w:tcPr>
                <w:p w14:paraId="099FD397">
                  <w:pPr>
                    <w:pStyle w:val="15"/>
                    <w:widowControl w:val="0"/>
                    <w:spacing w:line="240" w:lineRule="auto"/>
                    <w:jc w:val="center"/>
                    <w:rPr>
                      <w:rFonts w:hint="default"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测距</w:t>
                  </w:r>
                </w:p>
              </w:tc>
              <w:tc>
                <w:tcPr>
                  <w:tcW w:w="2055" w:type="dxa"/>
                  <w:tcBorders>
                    <w:bottom w:val="single" w:color="auto" w:sz="12" w:space="0"/>
                  </w:tcBorders>
                  <w:vAlign w:val="center"/>
                </w:tcPr>
                <w:p w14:paraId="2813217F">
                  <w:pPr>
                    <w:pStyle w:val="15"/>
                    <w:widowControl w:val="0"/>
                    <w:spacing w:line="240" w:lineRule="auto"/>
                    <w:jc w:val="center"/>
                    <w:rPr>
                      <w:rFonts w:hint="default" w:ascii="Times New Roman" w:hAnsi="Times New Roman" w:eastAsia="宋体" w:cs="Times New Roman"/>
                      <w:b/>
                      <w:bCs/>
                      <w:color w:val="000000" w:themeColor="text1"/>
                      <w:kern w:val="0"/>
                      <w:sz w:val="21"/>
                      <w:szCs w:val="21"/>
                      <w:vertAlign w:val="baseline"/>
                      <w:lang w:val="en-US" w:eastAsia="zh-CN"/>
                    </w:rPr>
                  </w:pPr>
                  <w:r>
                    <w:rPr>
                      <w:rFonts w:hint="eastAsia" w:ascii="Times New Roman" w:hAnsi="Times New Roman" w:cs="Times New Roman"/>
                      <w:b/>
                      <w:bCs/>
                      <w:color w:val="000000" w:themeColor="text1"/>
                      <w:kern w:val="0"/>
                      <w:sz w:val="21"/>
                      <w:szCs w:val="21"/>
                      <w:vertAlign w:val="baseline"/>
                      <w:lang w:val="en-US" w:eastAsia="zh-CN"/>
                    </w:rPr>
                    <w:t>Lpmax（dB（A））</w:t>
                  </w:r>
                </w:p>
              </w:tc>
            </w:tr>
            <w:tr w14:paraId="551EFA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vMerge w:val="restart"/>
                  <w:tcBorders>
                    <w:top w:val="single" w:color="auto" w:sz="12" w:space="0"/>
                    <w:tl2br w:val="nil"/>
                    <w:tr2bl w:val="nil"/>
                  </w:tcBorders>
                  <w:vAlign w:val="center"/>
                </w:tcPr>
                <w:p w14:paraId="306E73CC">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土石方施工</w:t>
                  </w:r>
                </w:p>
              </w:tc>
              <w:tc>
                <w:tcPr>
                  <w:tcW w:w="2055" w:type="dxa"/>
                  <w:tcBorders>
                    <w:top w:val="single" w:color="auto" w:sz="12" w:space="0"/>
                    <w:tl2br w:val="nil"/>
                    <w:tr2bl w:val="nil"/>
                  </w:tcBorders>
                  <w:vAlign w:val="center"/>
                </w:tcPr>
                <w:p w14:paraId="6B2A7CF3">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挖掘机</w:t>
                  </w:r>
                </w:p>
              </w:tc>
              <w:tc>
                <w:tcPr>
                  <w:tcW w:w="2055" w:type="dxa"/>
                  <w:tcBorders>
                    <w:top w:val="single" w:color="auto" w:sz="12" w:space="0"/>
                    <w:tl2br w:val="nil"/>
                    <w:tr2bl w:val="nil"/>
                  </w:tcBorders>
                  <w:vAlign w:val="center"/>
                </w:tcPr>
                <w:p w14:paraId="2FCD6B01">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5.0</w:t>
                  </w:r>
                </w:p>
              </w:tc>
              <w:tc>
                <w:tcPr>
                  <w:tcW w:w="2055" w:type="dxa"/>
                  <w:tcBorders>
                    <w:top w:val="single" w:color="auto" w:sz="12" w:space="0"/>
                    <w:tl2br w:val="nil"/>
                    <w:tr2bl w:val="nil"/>
                  </w:tcBorders>
                  <w:vAlign w:val="center"/>
                </w:tcPr>
                <w:p w14:paraId="08458EC4">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88</w:t>
                  </w:r>
                </w:p>
              </w:tc>
            </w:tr>
            <w:tr w14:paraId="7A92AF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vMerge w:val="continue"/>
                  <w:tcBorders>
                    <w:tl2br w:val="nil"/>
                    <w:tr2bl w:val="nil"/>
                  </w:tcBorders>
                  <w:vAlign w:val="center"/>
                </w:tcPr>
                <w:p w14:paraId="32553B6E">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p>
              </w:tc>
              <w:tc>
                <w:tcPr>
                  <w:tcW w:w="2055" w:type="dxa"/>
                  <w:tcBorders>
                    <w:tl2br w:val="nil"/>
                    <w:tr2bl w:val="nil"/>
                  </w:tcBorders>
                  <w:vAlign w:val="center"/>
                </w:tcPr>
                <w:p w14:paraId="220C70FF">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装载机</w:t>
                  </w:r>
                </w:p>
              </w:tc>
              <w:tc>
                <w:tcPr>
                  <w:tcW w:w="2055" w:type="dxa"/>
                  <w:tcBorders>
                    <w:tl2br w:val="nil"/>
                    <w:tr2bl w:val="nil"/>
                  </w:tcBorders>
                  <w:vAlign w:val="center"/>
                </w:tcPr>
                <w:p w14:paraId="67BD0E0E">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5.0</w:t>
                  </w:r>
                </w:p>
              </w:tc>
              <w:tc>
                <w:tcPr>
                  <w:tcW w:w="2055" w:type="dxa"/>
                  <w:tcBorders>
                    <w:tl2br w:val="nil"/>
                    <w:tr2bl w:val="nil"/>
                  </w:tcBorders>
                  <w:vAlign w:val="center"/>
                </w:tcPr>
                <w:p w14:paraId="285FC4B5">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86</w:t>
                  </w:r>
                </w:p>
              </w:tc>
            </w:tr>
            <w:tr w14:paraId="105058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vMerge w:val="continue"/>
                  <w:tcBorders>
                    <w:tl2br w:val="nil"/>
                    <w:tr2bl w:val="nil"/>
                  </w:tcBorders>
                  <w:vAlign w:val="center"/>
                </w:tcPr>
                <w:p w14:paraId="7A4FB1A1">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p>
              </w:tc>
              <w:tc>
                <w:tcPr>
                  <w:tcW w:w="2055" w:type="dxa"/>
                  <w:tcBorders>
                    <w:tl2br w:val="nil"/>
                    <w:tr2bl w:val="nil"/>
                  </w:tcBorders>
                  <w:vAlign w:val="center"/>
                </w:tcPr>
                <w:p w14:paraId="4B10198E">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翻斗车</w:t>
                  </w:r>
                </w:p>
              </w:tc>
              <w:tc>
                <w:tcPr>
                  <w:tcW w:w="2055" w:type="dxa"/>
                  <w:tcBorders>
                    <w:tl2br w:val="nil"/>
                    <w:tr2bl w:val="nil"/>
                  </w:tcBorders>
                  <w:vAlign w:val="center"/>
                </w:tcPr>
                <w:p w14:paraId="67BEFE9D">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3.0</w:t>
                  </w:r>
                </w:p>
              </w:tc>
              <w:tc>
                <w:tcPr>
                  <w:tcW w:w="2055" w:type="dxa"/>
                  <w:tcBorders>
                    <w:tl2br w:val="nil"/>
                    <w:tr2bl w:val="nil"/>
                  </w:tcBorders>
                  <w:vAlign w:val="center"/>
                </w:tcPr>
                <w:p w14:paraId="5CD46271">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87</w:t>
                  </w:r>
                </w:p>
              </w:tc>
            </w:tr>
            <w:tr w14:paraId="06D591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vMerge w:val="restart"/>
                  <w:tcBorders>
                    <w:tl2br w:val="nil"/>
                    <w:tr2bl w:val="nil"/>
                  </w:tcBorders>
                  <w:vAlign w:val="center"/>
                </w:tcPr>
                <w:p w14:paraId="2ABED5FD">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结构施工</w:t>
                  </w:r>
                </w:p>
              </w:tc>
              <w:tc>
                <w:tcPr>
                  <w:tcW w:w="2055" w:type="dxa"/>
                  <w:tcBorders>
                    <w:tl2br w:val="nil"/>
                    <w:tr2bl w:val="nil"/>
                  </w:tcBorders>
                  <w:vAlign w:val="center"/>
                </w:tcPr>
                <w:p w14:paraId="3325EC1F">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钢筋切断机</w:t>
                  </w:r>
                </w:p>
              </w:tc>
              <w:tc>
                <w:tcPr>
                  <w:tcW w:w="2055" w:type="dxa"/>
                  <w:tcBorders>
                    <w:tl2br w:val="nil"/>
                    <w:tr2bl w:val="nil"/>
                  </w:tcBorders>
                  <w:vAlign w:val="center"/>
                </w:tcPr>
                <w:p w14:paraId="0E24B41B">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7.0</w:t>
                  </w:r>
                </w:p>
              </w:tc>
              <w:tc>
                <w:tcPr>
                  <w:tcW w:w="2055" w:type="dxa"/>
                  <w:tcBorders>
                    <w:tl2br w:val="nil"/>
                    <w:tr2bl w:val="nil"/>
                  </w:tcBorders>
                  <w:vAlign w:val="center"/>
                </w:tcPr>
                <w:p w14:paraId="01DF63A9">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85</w:t>
                  </w:r>
                </w:p>
              </w:tc>
            </w:tr>
            <w:tr w14:paraId="008545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vMerge w:val="continue"/>
                  <w:tcBorders>
                    <w:tl2br w:val="nil"/>
                    <w:tr2bl w:val="nil"/>
                  </w:tcBorders>
                  <w:vAlign w:val="center"/>
                </w:tcPr>
                <w:p w14:paraId="2C249E8D">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p>
              </w:tc>
              <w:tc>
                <w:tcPr>
                  <w:tcW w:w="2055" w:type="dxa"/>
                  <w:tcBorders>
                    <w:tl2br w:val="nil"/>
                    <w:tr2bl w:val="nil"/>
                  </w:tcBorders>
                  <w:vAlign w:val="center"/>
                </w:tcPr>
                <w:p w14:paraId="655230A7">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混凝土输送泵</w:t>
                  </w:r>
                </w:p>
              </w:tc>
              <w:tc>
                <w:tcPr>
                  <w:tcW w:w="2055" w:type="dxa"/>
                  <w:tcBorders>
                    <w:tl2br w:val="nil"/>
                    <w:tr2bl w:val="nil"/>
                  </w:tcBorders>
                  <w:vAlign w:val="center"/>
                </w:tcPr>
                <w:p w14:paraId="7E4FE2DC">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15.0</w:t>
                  </w:r>
                </w:p>
              </w:tc>
              <w:tc>
                <w:tcPr>
                  <w:tcW w:w="2055" w:type="dxa"/>
                  <w:tcBorders>
                    <w:tl2br w:val="nil"/>
                    <w:tr2bl w:val="nil"/>
                  </w:tcBorders>
                  <w:vAlign w:val="center"/>
                </w:tcPr>
                <w:p w14:paraId="0BADA5B3">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85</w:t>
                  </w:r>
                </w:p>
              </w:tc>
            </w:tr>
            <w:tr w14:paraId="57DC78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vMerge w:val="continue"/>
                  <w:tcBorders>
                    <w:tl2br w:val="nil"/>
                    <w:tr2bl w:val="nil"/>
                  </w:tcBorders>
                  <w:vAlign w:val="center"/>
                </w:tcPr>
                <w:p w14:paraId="29EC85BE">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p>
              </w:tc>
              <w:tc>
                <w:tcPr>
                  <w:tcW w:w="2055" w:type="dxa"/>
                  <w:tcBorders>
                    <w:tl2br w:val="nil"/>
                    <w:tr2bl w:val="nil"/>
                  </w:tcBorders>
                  <w:vAlign w:val="center"/>
                </w:tcPr>
                <w:p w14:paraId="276F34A5">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振捣棒</w:t>
                  </w:r>
                </w:p>
              </w:tc>
              <w:tc>
                <w:tcPr>
                  <w:tcW w:w="2055" w:type="dxa"/>
                  <w:tcBorders>
                    <w:tl2br w:val="nil"/>
                    <w:tr2bl w:val="nil"/>
                  </w:tcBorders>
                  <w:vAlign w:val="center"/>
                </w:tcPr>
                <w:p w14:paraId="7BDACB7A">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2.0</w:t>
                  </w:r>
                </w:p>
              </w:tc>
              <w:tc>
                <w:tcPr>
                  <w:tcW w:w="2055" w:type="dxa"/>
                  <w:tcBorders>
                    <w:tl2br w:val="nil"/>
                    <w:tr2bl w:val="nil"/>
                  </w:tcBorders>
                  <w:vAlign w:val="center"/>
                </w:tcPr>
                <w:p w14:paraId="6A29873B">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100</w:t>
                  </w:r>
                </w:p>
              </w:tc>
            </w:tr>
            <w:tr w14:paraId="310AEF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055" w:type="dxa"/>
                  <w:tcBorders>
                    <w:tl2br w:val="nil"/>
                    <w:tr2bl w:val="nil"/>
                  </w:tcBorders>
                  <w:vAlign w:val="center"/>
                </w:tcPr>
                <w:p w14:paraId="21B8B5AD">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装修施工</w:t>
                  </w:r>
                </w:p>
              </w:tc>
              <w:tc>
                <w:tcPr>
                  <w:tcW w:w="2055" w:type="dxa"/>
                  <w:tcBorders>
                    <w:tl2br w:val="nil"/>
                    <w:tr2bl w:val="nil"/>
                  </w:tcBorders>
                  <w:vAlign w:val="center"/>
                </w:tcPr>
                <w:p w14:paraId="16BBD9B9">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电钻、砂轮机等</w:t>
                  </w:r>
                </w:p>
              </w:tc>
              <w:tc>
                <w:tcPr>
                  <w:tcW w:w="4110" w:type="dxa"/>
                  <w:gridSpan w:val="2"/>
                  <w:tcBorders>
                    <w:tl2br w:val="nil"/>
                    <w:tr2bl w:val="nil"/>
                  </w:tcBorders>
                  <w:vAlign w:val="center"/>
                </w:tcPr>
                <w:p w14:paraId="7B9C4455">
                  <w:pPr>
                    <w:pStyle w:val="15"/>
                    <w:widowControl w:val="0"/>
                    <w:spacing w:line="240" w:lineRule="auto"/>
                    <w:jc w:val="center"/>
                    <w:rPr>
                      <w:rFonts w:hint="default" w:ascii="Times New Roman" w:hAnsi="Times New Roman" w:eastAsia="宋体" w:cs="Times New Roman"/>
                      <w:color w:val="000000" w:themeColor="text1"/>
                      <w:kern w:val="0"/>
                      <w:sz w:val="21"/>
                      <w:szCs w:val="21"/>
                      <w:vertAlign w:val="baseline"/>
                      <w:lang w:val="en-US" w:eastAsia="zh-CN"/>
                    </w:rPr>
                  </w:pPr>
                  <w:r>
                    <w:rPr>
                      <w:rFonts w:hint="eastAsia" w:ascii="Times New Roman" w:hAnsi="Times New Roman" w:cs="Times New Roman"/>
                      <w:color w:val="000000" w:themeColor="text1"/>
                      <w:kern w:val="0"/>
                      <w:sz w:val="21"/>
                      <w:szCs w:val="21"/>
                      <w:vertAlign w:val="baseline"/>
                      <w:lang w:val="en-US" w:eastAsia="zh-CN"/>
                    </w:rPr>
                    <w:t>一般小于90</w:t>
                  </w:r>
                </w:p>
              </w:tc>
            </w:tr>
          </w:tbl>
          <w:p w14:paraId="18210712">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因建筑施工设备运行具有随机性大和移动性大的特征，为此采用估算各种建筑施工机械的干扰半径，来预测其噪声对周围环境的影响。所谓干扰半径，即相对于某场界噪声标准限值或环境噪声标准限值，设备噪声传播衰减达到该标准限值时所需要的传播距离。</w:t>
            </w:r>
          </w:p>
          <w:p w14:paraId="361B3DDA">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因此，按</w:t>
            </w:r>
            <w:r>
              <w:rPr>
                <w:rFonts w:hint="eastAsia" w:ascii="Times New Roman" w:hAnsi="Times New Roman" w:cs="Times New Roman"/>
                <w:color w:val="000000" w:themeColor="text1"/>
                <w:sz w:val="24"/>
                <w:szCs w:val="24"/>
                <w:lang w:val="en-US" w:eastAsia="zh-CN"/>
              </w:rPr>
              <w:t>上表</w:t>
            </w:r>
            <w:r>
              <w:rPr>
                <w:rFonts w:hint="default" w:ascii="Times New Roman" w:hAnsi="Times New Roman" w:eastAsia="宋体" w:cs="Times New Roman"/>
                <w:color w:val="000000" w:themeColor="text1"/>
                <w:sz w:val="24"/>
                <w:szCs w:val="24"/>
              </w:rPr>
              <w:t>中各种施工设备噪声源强，以《建筑施工场界环境噪声排放标准》（GB12523-2011）和《声环境质量标准》（GB3096-2008）为限值，仅按点声源传播距离衰减公式估算，各施工期主要施工机械的干扰范围列于</w:t>
            </w:r>
            <w:r>
              <w:rPr>
                <w:rFonts w:hint="eastAsia" w:ascii="Times New Roman" w:hAnsi="Times New Roman" w:cs="Times New Roman"/>
                <w:color w:val="000000" w:themeColor="text1"/>
                <w:sz w:val="24"/>
                <w:szCs w:val="24"/>
                <w:lang w:val="en-US" w:eastAsia="zh-CN"/>
              </w:rPr>
              <w:t>下表</w:t>
            </w:r>
            <w:r>
              <w:rPr>
                <w:rFonts w:hint="default" w:ascii="Times New Roman" w:hAnsi="Times New Roman" w:eastAsia="宋体" w:cs="Times New Roman"/>
                <w:color w:val="000000" w:themeColor="text1"/>
                <w:sz w:val="24"/>
                <w:szCs w:val="24"/>
              </w:rPr>
              <w:t>。</w:t>
            </w:r>
          </w:p>
          <w:p w14:paraId="5E0BD4B0">
            <w:pPr>
              <w:pStyle w:val="18"/>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表32           各种施工机械对应于不同噪声限值的干扰半径</w:t>
            </w:r>
          </w:p>
          <w:tbl>
            <w:tblPr>
              <w:tblStyle w:val="19"/>
              <w:tblW w:w="82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9"/>
              <w:gridCol w:w="2789"/>
              <w:gridCol w:w="1644"/>
              <w:gridCol w:w="1644"/>
              <w:gridCol w:w="1644"/>
            </w:tblGrid>
            <w:tr w14:paraId="53CE9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499" w:type="dxa"/>
                  <w:vMerge w:val="restart"/>
                  <w:tcBorders>
                    <w:top w:val="single" w:color="auto" w:sz="12" w:space="0"/>
                    <w:bottom w:val="single" w:color="auto" w:sz="4" w:space="0"/>
                    <w:right w:val="single" w:color="auto" w:sz="4" w:space="0"/>
                  </w:tcBorders>
                  <w:vAlign w:val="center"/>
                </w:tcPr>
                <w:p w14:paraId="31CD1AB9">
                  <w:pPr>
                    <w:spacing w:beforeLines="0" w:afterLines="0"/>
                    <w:jc w:val="center"/>
                    <w:rPr>
                      <w:rFonts w:hint="eastAsia" w:ascii="Times New Roman" w:hAnsi="Times New Roman" w:eastAsia="宋体"/>
                      <w:b/>
                      <w:bCs/>
                      <w:color w:val="000000" w:themeColor="text1"/>
                      <w:sz w:val="21"/>
                      <w:lang w:val="en-US" w:eastAsia="zh-CN"/>
                    </w:rPr>
                  </w:pPr>
                  <w:r>
                    <w:rPr>
                      <w:rFonts w:hint="eastAsia" w:ascii="Times New Roman" w:hAnsi="Times New Roman"/>
                      <w:b/>
                      <w:bCs/>
                      <w:color w:val="000000" w:themeColor="text1"/>
                      <w:sz w:val="21"/>
                      <w:lang w:val="en-US" w:eastAsia="zh-CN"/>
                    </w:rPr>
                    <w:t>序号</w:t>
                  </w:r>
                </w:p>
              </w:tc>
              <w:tc>
                <w:tcPr>
                  <w:tcW w:w="2789" w:type="dxa"/>
                  <w:vMerge w:val="restart"/>
                  <w:tcBorders>
                    <w:top w:val="single" w:color="auto" w:sz="12" w:space="0"/>
                    <w:left w:val="single" w:color="auto" w:sz="4" w:space="0"/>
                    <w:bottom w:val="single" w:color="auto" w:sz="4" w:space="0"/>
                    <w:right w:val="single" w:color="auto" w:sz="4" w:space="0"/>
                  </w:tcBorders>
                  <w:vAlign w:val="center"/>
                </w:tcPr>
                <w:p w14:paraId="7AF18038">
                  <w:pPr>
                    <w:spacing w:beforeLines="0" w:afterLines="0"/>
                    <w:jc w:val="center"/>
                    <w:rPr>
                      <w:rFonts w:hint="eastAsia" w:ascii="宋体" w:hAnsi="宋体" w:eastAsia="宋体"/>
                      <w:b/>
                      <w:bCs/>
                      <w:color w:val="000000" w:themeColor="text1"/>
                      <w:sz w:val="21"/>
                      <w:lang w:val="en-US" w:eastAsia="zh-CN"/>
                    </w:rPr>
                  </w:pPr>
                  <w:r>
                    <w:rPr>
                      <w:rFonts w:hint="eastAsia" w:ascii="宋体" w:hAnsi="宋体"/>
                      <w:b/>
                      <w:bCs/>
                      <w:color w:val="000000" w:themeColor="text1"/>
                      <w:sz w:val="21"/>
                      <w:lang w:val="en-US" w:eastAsia="zh-CN"/>
                    </w:rPr>
                    <w:t>主要声源名称</w:t>
                  </w:r>
                </w:p>
              </w:tc>
              <w:tc>
                <w:tcPr>
                  <w:tcW w:w="1644" w:type="dxa"/>
                  <w:vMerge w:val="restart"/>
                  <w:tcBorders>
                    <w:top w:val="single" w:color="auto" w:sz="12" w:space="0"/>
                    <w:left w:val="single" w:color="auto" w:sz="4" w:space="0"/>
                    <w:bottom w:val="single" w:color="auto" w:sz="4" w:space="0"/>
                    <w:right w:val="single" w:color="auto" w:sz="4" w:space="0"/>
                  </w:tcBorders>
                  <w:vAlign w:val="center"/>
                </w:tcPr>
                <w:p w14:paraId="3163A5F2">
                  <w:pPr>
                    <w:spacing w:beforeLines="0" w:afterLines="0"/>
                    <w:jc w:val="center"/>
                    <w:rPr>
                      <w:rFonts w:hint="default" w:ascii="Times New Roman" w:hAnsi="Times New Roman" w:eastAsia="Times New Roman"/>
                      <w:b/>
                      <w:bCs/>
                      <w:color w:val="000000" w:themeColor="text1"/>
                      <w:sz w:val="21"/>
                    </w:rPr>
                  </w:pPr>
                  <w:r>
                    <w:rPr>
                      <w:rFonts w:hint="eastAsia" w:ascii="Times New Roman" w:hAnsi="Times New Roman" w:cs="Times New Roman"/>
                      <w:b/>
                      <w:bCs/>
                      <w:color w:val="000000" w:themeColor="text1"/>
                      <w:sz w:val="21"/>
                      <w:szCs w:val="21"/>
                      <w:vertAlign w:val="baseline"/>
                      <w:lang w:val="en-US" w:eastAsia="zh-CN"/>
                    </w:rPr>
                    <w:t>Lpmax（dB（A））</w:t>
                  </w:r>
                </w:p>
              </w:tc>
              <w:tc>
                <w:tcPr>
                  <w:tcW w:w="3288" w:type="dxa"/>
                  <w:gridSpan w:val="2"/>
                  <w:tcBorders>
                    <w:top w:val="single" w:color="auto" w:sz="12" w:space="0"/>
                    <w:left w:val="single" w:color="auto" w:sz="4" w:space="0"/>
                    <w:bottom w:val="single" w:color="auto" w:sz="4" w:space="0"/>
                  </w:tcBorders>
                  <w:vAlign w:val="center"/>
                </w:tcPr>
                <w:p w14:paraId="2181AFF9">
                  <w:pPr>
                    <w:spacing w:beforeLines="0" w:afterLines="0"/>
                    <w:jc w:val="center"/>
                    <w:rPr>
                      <w:rFonts w:hint="eastAsia" w:ascii="Times New Roman" w:hAnsi="Times New Roman" w:eastAsia="宋体"/>
                      <w:b/>
                      <w:bCs/>
                      <w:color w:val="000000" w:themeColor="text1"/>
                      <w:sz w:val="21"/>
                      <w:lang w:val="en-US" w:eastAsia="zh-CN"/>
                    </w:rPr>
                  </w:pPr>
                  <w:r>
                    <w:rPr>
                      <w:rFonts w:hint="eastAsia" w:ascii="Times New Roman" w:hAnsi="Times New Roman"/>
                      <w:b/>
                      <w:bCs/>
                      <w:color w:val="000000" w:themeColor="text1"/>
                      <w:sz w:val="21"/>
                      <w:lang w:val="en-US" w:eastAsia="zh-CN"/>
                    </w:rPr>
                    <w:t>对应不同限值的干扰半径</w:t>
                  </w:r>
                </w:p>
              </w:tc>
            </w:tr>
            <w:tr w14:paraId="0503D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499" w:type="dxa"/>
                  <w:vMerge w:val="continue"/>
                  <w:tcBorders>
                    <w:top w:val="single" w:color="auto" w:sz="4" w:space="0"/>
                    <w:bottom w:val="single" w:color="auto" w:sz="12" w:space="0"/>
                    <w:right w:val="single" w:color="auto" w:sz="4" w:space="0"/>
                  </w:tcBorders>
                  <w:vAlign w:val="center"/>
                </w:tcPr>
                <w:p w14:paraId="6FFCDCB2">
                  <w:pPr>
                    <w:spacing w:beforeLines="0" w:afterLines="0"/>
                    <w:jc w:val="center"/>
                    <w:rPr>
                      <w:b/>
                      <w:bCs/>
                      <w:color w:val="000000" w:themeColor="text1"/>
                    </w:rPr>
                  </w:pPr>
                </w:p>
              </w:tc>
              <w:tc>
                <w:tcPr>
                  <w:tcW w:w="2789" w:type="dxa"/>
                  <w:vMerge w:val="continue"/>
                  <w:tcBorders>
                    <w:top w:val="single" w:color="auto" w:sz="4" w:space="0"/>
                    <w:left w:val="single" w:color="auto" w:sz="4" w:space="0"/>
                    <w:bottom w:val="single" w:color="auto" w:sz="12" w:space="0"/>
                    <w:right w:val="single" w:color="auto" w:sz="4" w:space="0"/>
                  </w:tcBorders>
                  <w:vAlign w:val="center"/>
                </w:tcPr>
                <w:p w14:paraId="433515BF">
                  <w:pPr>
                    <w:spacing w:beforeLines="0" w:afterLines="0"/>
                    <w:jc w:val="center"/>
                    <w:rPr>
                      <w:b/>
                      <w:bCs/>
                      <w:color w:val="000000" w:themeColor="text1"/>
                    </w:rPr>
                  </w:pPr>
                </w:p>
              </w:tc>
              <w:tc>
                <w:tcPr>
                  <w:tcW w:w="1644" w:type="dxa"/>
                  <w:vMerge w:val="continue"/>
                  <w:tcBorders>
                    <w:top w:val="single" w:color="auto" w:sz="4" w:space="0"/>
                    <w:left w:val="single" w:color="auto" w:sz="4" w:space="0"/>
                    <w:bottom w:val="single" w:color="auto" w:sz="12" w:space="0"/>
                    <w:right w:val="single" w:color="auto" w:sz="4" w:space="0"/>
                  </w:tcBorders>
                  <w:vAlign w:val="center"/>
                </w:tcPr>
                <w:p w14:paraId="2E0046EA">
                  <w:pPr>
                    <w:spacing w:beforeLines="0" w:afterLines="0"/>
                    <w:jc w:val="center"/>
                    <w:rPr>
                      <w:b/>
                      <w:bCs/>
                      <w:color w:val="000000" w:themeColor="text1"/>
                    </w:rPr>
                  </w:pPr>
                </w:p>
              </w:tc>
              <w:tc>
                <w:tcPr>
                  <w:tcW w:w="1644" w:type="dxa"/>
                  <w:tcBorders>
                    <w:top w:val="single" w:color="auto" w:sz="4" w:space="0"/>
                    <w:left w:val="single" w:color="auto" w:sz="4" w:space="0"/>
                    <w:bottom w:val="single" w:color="auto" w:sz="12" w:space="0"/>
                    <w:right w:val="single" w:color="auto" w:sz="4" w:space="0"/>
                  </w:tcBorders>
                  <w:vAlign w:val="center"/>
                </w:tcPr>
                <w:p w14:paraId="5530F384">
                  <w:pPr>
                    <w:spacing w:beforeLines="0" w:afterLines="0"/>
                    <w:jc w:val="center"/>
                    <w:rPr>
                      <w:rFonts w:hint="eastAsia" w:ascii="Times New Roman" w:hAnsi="Times New Roman" w:eastAsia="宋体"/>
                      <w:b/>
                      <w:bCs/>
                      <w:color w:val="000000" w:themeColor="text1"/>
                      <w:sz w:val="21"/>
                      <w:lang w:val="en-US" w:eastAsia="zh-CN"/>
                    </w:rPr>
                  </w:pPr>
                  <w:r>
                    <w:rPr>
                      <w:rFonts w:hint="eastAsia" w:ascii="Times New Roman" w:hAnsi="Times New Roman"/>
                      <w:b/>
                      <w:bCs/>
                      <w:color w:val="000000" w:themeColor="text1"/>
                      <w:sz w:val="21"/>
                      <w:lang w:val="en-US" w:eastAsia="zh-CN"/>
                    </w:rPr>
                    <w:t>r55</w:t>
                  </w:r>
                </w:p>
              </w:tc>
              <w:tc>
                <w:tcPr>
                  <w:tcW w:w="1644" w:type="dxa"/>
                  <w:tcBorders>
                    <w:top w:val="single" w:color="auto" w:sz="4" w:space="0"/>
                    <w:left w:val="single" w:color="auto" w:sz="4" w:space="0"/>
                    <w:bottom w:val="single" w:color="auto" w:sz="12" w:space="0"/>
                  </w:tcBorders>
                  <w:vAlign w:val="center"/>
                </w:tcPr>
                <w:p w14:paraId="3B0AFB4B">
                  <w:pPr>
                    <w:spacing w:beforeLines="0" w:afterLines="0"/>
                    <w:jc w:val="center"/>
                    <w:rPr>
                      <w:rFonts w:hint="eastAsia" w:ascii="Times New Roman" w:hAnsi="Times New Roman" w:eastAsia="宋体"/>
                      <w:b/>
                      <w:bCs/>
                      <w:color w:val="000000" w:themeColor="text1"/>
                      <w:sz w:val="21"/>
                      <w:lang w:val="en-US" w:eastAsia="zh-CN"/>
                    </w:rPr>
                  </w:pPr>
                  <w:r>
                    <w:rPr>
                      <w:rFonts w:hint="eastAsia" w:ascii="Times New Roman" w:hAnsi="Times New Roman"/>
                      <w:b/>
                      <w:bCs/>
                      <w:color w:val="000000" w:themeColor="text1"/>
                      <w:sz w:val="21"/>
                      <w:lang w:val="en-US" w:eastAsia="zh-CN"/>
                    </w:rPr>
                    <w:t>r70</w:t>
                  </w:r>
                </w:p>
              </w:tc>
            </w:tr>
            <w:tr w14:paraId="1A377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499" w:type="dxa"/>
                  <w:tcBorders>
                    <w:top w:val="single" w:color="auto" w:sz="12" w:space="0"/>
                    <w:bottom w:val="single" w:color="auto" w:sz="4" w:space="0"/>
                    <w:right w:val="single" w:color="auto" w:sz="4" w:space="0"/>
                  </w:tcBorders>
                  <w:vAlign w:val="center"/>
                </w:tcPr>
                <w:p w14:paraId="01506717">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1</w:t>
                  </w:r>
                </w:p>
              </w:tc>
              <w:tc>
                <w:tcPr>
                  <w:tcW w:w="2789" w:type="dxa"/>
                  <w:tcBorders>
                    <w:top w:val="single" w:color="auto" w:sz="12" w:space="0"/>
                    <w:left w:val="single" w:color="auto" w:sz="4" w:space="0"/>
                    <w:bottom w:val="single" w:color="auto" w:sz="4" w:space="0"/>
                    <w:right w:val="single" w:color="auto" w:sz="4" w:space="0"/>
                  </w:tcBorders>
                  <w:vAlign w:val="center"/>
                </w:tcPr>
                <w:p w14:paraId="1CE50108">
                  <w:pPr>
                    <w:spacing w:beforeLines="0" w:afterLines="0"/>
                    <w:jc w:val="center"/>
                    <w:rPr>
                      <w:rFonts w:hint="default" w:ascii="宋体" w:hAnsi="宋体" w:eastAsia="宋体"/>
                      <w:color w:val="000000" w:themeColor="text1"/>
                      <w:sz w:val="21"/>
                    </w:rPr>
                  </w:pPr>
                  <w:r>
                    <w:rPr>
                      <w:rFonts w:hint="default" w:ascii="宋体" w:hAnsi="宋体" w:eastAsia="宋体"/>
                      <w:color w:val="000000" w:themeColor="text1"/>
                      <w:sz w:val="21"/>
                    </w:rPr>
                    <w:t>挖掘机</w:t>
                  </w:r>
                </w:p>
              </w:tc>
              <w:tc>
                <w:tcPr>
                  <w:tcW w:w="1644" w:type="dxa"/>
                  <w:tcBorders>
                    <w:top w:val="single" w:color="auto" w:sz="12" w:space="0"/>
                    <w:left w:val="single" w:color="auto" w:sz="4" w:space="0"/>
                    <w:bottom w:val="single" w:color="auto" w:sz="4" w:space="0"/>
                    <w:right w:val="single" w:color="auto" w:sz="4" w:space="0"/>
                  </w:tcBorders>
                  <w:vAlign w:val="center"/>
                </w:tcPr>
                <w:p w14:paraId="2480D822">
                  <w:pPr>
                    <w:spacing w:beforeLines="0" w:afterLines="0"/>
                    <w:jc w:val="center"/>
                    <w:rPr>
                      <w:rFonts w:hint="default" w:ascii="宋体" w:hAnsi="宋体" w:eastAsia="宋体"/>
                      <w:color w:val="000000" w:themeColor="text1"/>
                      <w:sz w:val="21"/>
                    </w:rPr>
                  </w:pPr>
                  <w:r>
                    <w:rPr>
                      <w:rFonts w:hint="default" w:ascii="Times New Roman" w:hAnsi="Times New Roman" w:eastAsia="Times New Roman"/>
                      <w:color w:val="000000" w:themeColor="text1"/>
                      <w:sz w:val="21"/>
                    </w:rPr>
                    <w:t>88</w:t>
                  </w:r>
                  <w:r>
                    <w:rPr>
                      <w:rFonts w:hint="default" w:ascii="宋体" w:hAnsi="宋体" w:eastAsia="宋体"/>
                      <w:color w:val="000000" w:themeColor="text1"/>
                      <w:sz w:val="21"/>
                    </w:rPr>
                    <w:t>（</w:t>
                  </w:r>
                  <w:r>
                    <w:rPr>
                      <w:rFonts w:hint="default" w:ascii="Times New Roman" w:hAnsi="Times New Roman" w:eastAsia="Times New Roman"/>
                      <w:color w:val="000000" w:themeColor="text1"/>
                      <w:sz w:val="21"/>
                    </w:rPr>
                    <w:t>5.0m</w:t>
                  </w:r>
                  <w:r>
                    <w:rPr>
                      <w:rFonts w:hint="default" w:ascii="宋体" w:hAnsi="宋体" w:eastAsia="宋体"/>
                      <w:color w:val="000000" w:themeColor="text1"/>
                      <w:sz w:val="21"/>
                    </w:rPr>
                    <w:t>）</w:t>
                  </w:r>
                </w:p>
              </w:tc>
              <w:tc>
                <w:tcPr>
                  <w:tcW w:w="1644" w:type="dxa"/>
                  <w:tcBorders>
                    <w:top w:val="single" w:color="auto" w:sz="12" w:space="0"/>
                    <w:left w:val="single" w:color="auto" w:sz="4" w:space="0"/>
                    <w:bottom w:val="single" w:color="auto" w:sz="4" w:space="0"/>
                    <w:right w:val="single" w:color="auto" w:sz="4" w:space="0"/>
                  </w:tcBorders>
                  <w:vAlign w:val="center"/>
                </w:tcPr>
                <w:p w14:paraId="0285D442">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223</w:t>
                  </w:r>
                </w:p>
              </w:tc>
              <w:tc>
                <w:tcPr>
                  <w:tcW w:w="1644" w:type="dxa"/>
                  <w:tcBorders>
                    <w:top w:val="single" w:color="auto" w:sz="12" w:space="0"/>
                    <w:left w:val="single" w:color="auto" w:sz="4" w:space="0"/>
                    <w:bottom w:val="single" w:color="auto" w:sz="4" w:space="0"/>
                  </w:tcBorders>
                  <w:vAlign w:val="center"/>
                </w:tcPr>
                <w:p w14:paraId="1D17E46F">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40</w:t>
                  </w:r>
                </w:p>
              </w:tc>
            </w:tr>
            <w:tr w14:paraId="41883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499" w:type="dxa"/>
                  <w:tcBorders>
                    <w:top w:val="single" w:color="auto" w:sz="4" w:space="0"/>
                    <w:bottom w:val="single" w:color="auto" w:sz="4" w:space="0"/>
                    <w:right w:val="single" w:color="auto" w:sz="4" w:space="0"/>
                  </w:tcBorders>
                  <w:vAlign w:val="center"/>
                </w:tcPr>
                <w:p w14:paraId="0A189565">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2</w:t>
                  </w:r>
                </w:p>
              </w:tc>
              <w:tc>
                <w:tcPr>
                  <w:tcW w:w="2789" w:type="dxa"/>
                  <w:tcBorders>
                    <w:top w:val="single" w:color="auto" w:sz="4" w:space="0"/>
                    <w:left w:val="single" w:color="auto" w:sz="4" w:space="0"/>
                    <w:bottom w:val="single" w:color="auto" w:sz="4" w:space="0"/>
                    <w:right w:val="single" w:color="auto" w:sz="4" w:space="0"/>
                  </w:tcBorders>
                  <w:vAlign w:val="center"/>
                </w:tcPr>
                <w:p w14:paraId="7AA3158E">
                  <w:pPr>
                    <w:spacing w:beforeLines="0" w:afterLines="0"/>
                    <w:jc w:val="center"/>
                    <w:rPr>
                      <w:rFonts w:hint="default" w:ascii="宋体" w:hAnsi="宋体" w:eastAsia="宋体"/>
                      <w:color w:val="000000" w:themeColor="text1"/>
                      <w:sz w:val="21"/>
                    </w:rPr>
                  </w:pPr>
                  <w:r>
                    <w:rPr>
                      <w:rFonts w:hint="default" w:ascii="宋体" w:hAnsi="宋体" w:eastAsia="宋体"/>
                      <w:color w:val="000000" w:themeColor="text1"/>
                      <w:sz w:val="21"/>
                    </w:rPr>
                    <w:t>装载机</w:t>
                  </w:r>
                </w:p>
              </w:tc>
              <w:tc>
                <w:tcPr>
                  <w:tcW w:w="1644" w:type="dxa"/>
                  <w:tcBorders>
                    <w:top w:val="single" w:color="auto" w:sz="4" w:space="0"/>
                    <w:left w:val="single" w:color="auto" w:sz="4" w:space="0"/>
                    <w:bottom w:val="single" w:color="auto" w:sz="4" w:space="0"/>
                    <w:right w:val="single" w:color="auto" w:sz="4" w:space="0"/>
                  </w:tcBorders>
                  <w:vAlign w:val="center"/>
                </w:tcPr>
                <w:p w14:paraId="34C5B241">
                  <w:pPr>
                    <w:spacing w:beforeLines="0" w:afterLines="0"/>
                    <w:jc w:val="center"/>
                    <w:rPr>
                      <w:rFonts w:hint="default" w:ascii="宋体" w:hAnsi="宋体" w:eastAsia="宋体"/>
                      <w:color w:val="000000" w:themeColor="text1"/>
                      <w:sz w:val="21"/>
                    </w:rPr>
                  </w:pPr>
                  <w:r>
                    <w:rPr>
                      <w:rFonts w:hint="default" w:ascii="Times New Roman" w:hAnsi="Times New Roman" w:eastAsia="Times New Roman"/>
                      <w:color w:val="000000" w:themeColor="text1"/>
                      <w:sz w:val="21"/>
                    </w:rPr>
                    <w:t>86</w:t>
                  </w:r>
                  <w:r>
                    <w:rPr>
                      <w:rFonts w:hint="default" w:ascii="宋体" w:hAnsi="宋体" w:eastAsia="宋体"/>
                      <w:color w:val="000000" w:themeColor="text1"/>
                      <w:sz w:val="21"/>
                    </w:rPr>
                    <w:t>（</w:t>
                  </w:r>
                  <w:r>
                    <w:rPr>
                      <w:rFonts w:hint="default" w:ascii="Times New Roman" w:hAnsi="Times New Roman" w:eastAsia="Times New Roman"/>
                      <w:color w:val="000000" w:themeColor="text1"/>
                      <w:sz w:val="21"/>
                    </w:rPr>
                    <w:t>5.0m</w:t>
                  </w:r>
                  <w:r>
                    <w:rPr>
                      <w:rFonts w:hint="default" w:ascii="宋体" w:hAnsi="宋体" w:eastAsia="宋体"/>
                      <w:color w:val="000000" w:themeColor="text1"/>
                      <w:sz w:val="21"/>
                    </w:rPr>
                    <w:t>）</w:t>
                  </w:r>
                </w:p>
              </w:tc>
              <w:tc>
                <w:tcPr>
                  <w:tcW w:w="1644" w:type="dxa"/>
                  <w:tcBorders>
                    <w:top w:val="single" w:color="auto" w:sz="4" w:space="0"/>
                    <w:left w:val="single" w:color="auto" w:sz="4" w:space="0"/>
                    <w:bottom w:val="single" w:color="auto" w:sz="4" w:space="0"/>
                    <w:right w:val="single" w:color="auto" w:sz="4" w:space="0"/>
                  </w:tcBorders>
                  <w:vAlign w:val="center"/>
                </w:tcPr>
                <w:p w14:paraId="7B1C0084">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177</w:t>
                  </w:r>
                </w:p>
              </w:tc>
              <w:tc>
                <w:tcPr>
                  <w:tcW w:w="1644" w:type="dxa"/>
                  <w:tcBorders>
                    <w:top w:val="single" w:color="auto" w:sz="4" w:space="0"/>
                    <w:left w:val="single" w:color="auto" w:sz="4" w:space="0"/>
                    <w:bottom w:val="single" w:color="auto" w:sz="4" w:space="0"/>
                  </w:tcBorders>
                  <w:vAlign w:val="center"/>
                </w:tcPr>
                <w:p w14:paraId="6939BE74">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32</w:t>
                  </w:r>
                </w:p>
              </w:tc>
            </w:tr>
            <w:tr w14:paraId="3C75B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499" w:type="dxa"/>
                  <w:tcBorders>
                    <w:top w:val="single" w:color="auto" w:sz="4" w:space="0"/>
                    <w:bottom w:val="single" w:color="auto" w:sz="4" w:space="0"/>
                    <w:right w:val="single" w:color="auto" w:sz="4" w:space="0"/>
                  </w:tcBorders>
                  <w:vAlign w:val="center"/>
                </w:tcPr>
                <w:p w14:paraId="3984EB7B">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3</w:t>
                  </w:r>
                </w:p>
              </w:tc>
              <w:tc>
                <w:tcPr>
                  <w:tcW w:w="2789" w:type="dxa"/>
                  <w:tcBorders>
                    <w:top w:val="single" w:color="auto" w:sz="4" w:space="0"/>
                    <w:left w:val="single" w:color="auto" w:sz="4" w:space="0"/>
                    <w:bottom w:val="single" w:color="auto" w:sz="4" w:space="0"/>
                    <w:right w:val="single" w:color="auto" w:sz="4" w:space="0"/>
                  </w:tcBorders>
                  <w:vAlign w:val="center"/>
                </w:tcPr>
                <w:p w14:paraId="0D11CDA3">
                  <w:pPr>
                    <w:spacing w:beforeLines="0" w:afterLines="0"/>
                    <w:jc w:val="center"/>
                    <w:rPr>
                      <w:rFonts w:hint="default" w:ascii="宋体" w:hAnsi="宋体" w:eastAsia="宋体"/>
                      <w:color w:val="000000" w:themeColor="text1"/>
                      <w:sz w:val="21"/>
                    </w:rPr>
                  </w:pPr>
                  <w:r>
                    <w:rPr>
                      <w:rFonts w:hint="default" w:ascii="宋体" w:hAnsi="宋体" w:eastAsia="宋体"/>
                      <w:color w:val="000000" w:themeColor="text1"/>
                      <w:sz w:val="21"/>
                    </w:rPr>
                    <w:t>翻斗车</w:t>
                  </w:r>
                </w:p>
              </w:tc>
              <w:tc>
                <w:tcPr>
                  <w:tcW w:w="1644" w:type="dxa"/>
                  <w:tcBorders>
                    <w:top w:val="single" w:color="auto" w:sz="4" w:space="0"/>
                    <w:left w:val="single" w:color="auto" w:sz="4" w:space="0"/>
                    <w:bottom w:val="single" w:color="auto" w:sz="4" w:space="0"/>
                    <w:right w:val="single" w:color="auto" w:sz="4" w:space="0"/>
                  </w:tcBorders>
                  <w:vAlign w:val="center"/>
                </w:tcPr>
                <w:p w14:paraId="4448E251">
                  <w:pPr>
                    <w:spacing w:beforeLines="0" w:afterLines="0"/>
                    <w:jc w:val="center"/>
                    <w:rPr>
                      <w:rFonts w:hint="default" w:ascii="宋体" w:hAnsi="宋体" w:eastAsia="宋体"/>
                      <w:color w:val="000000" w:themeColor="text1"/>
                      <w:sz w:val="21"/>
                    </w:rPr>
                  </w:pPr>
                  <w:r>
                    <w:rPr>
                      <w:rFonts w:hint="default" w:ascii="Times New Roman" w:hAnsi="Times New Roman" w:eastAsia="Times New Roman"/>
                      <w:color w:val="000000" w:themeColor="text1"/>
                      <w:sz w:val="21"/>
                    </w:rPr>
                    <w:t>87</w:t>
                  </w:r>
                  <w:r>
                    <w:rPr>
                      <w:rFonts w:hint="default" w:ascii="宋体" w:hAnsi="宋体" w:eastAsia="宋体"/>
                      <w:color w:val="000000" w:themeColor="text1"/>
                      <w:sz w:val="21"/>
                    </w:rPr>
                    <w:t>（</w:t>
                  </w:r>
                  <w:r>
                    <w:rPr>
                      <w:rFonts w:hint="default" w:ascii="Times New Roman" w:hAnsi="Times New Roman" w:eastAsia="Times New Roman"/>
                      <w:color w:val="000000" w:themeColor="text1"/>
                      <w:sz w:val="21"/>
                    </w:rPr>
                    <w:t>3.0m</w:t>
                  </w:r>
                  <w:r>
                    <w:rPr>
                      <w:rFonts w:hint="default" w:ascii="宋体" w:hAnsi="宋体" w:eastAsia="宋体"/>
                      <w:color w:val="000000" w:themeColor="text1"/>
                      <w:sz w:val="21"/>
                    </w:rPr>
                    <w:t>）</w:t>
                  </w:r>
                </w:p>
              </w:tc>
              <w:tc>
                <w:tcPr>
                  <w:tcW w:w="1644" w:type="dxa"/>
                  <w:tcBorders>
                    <w:top w:val="single" w:color="auto" w:sz="4" w:space="0"/>
                    <w:left w:val="single" w:color="auto" w:sz="4" w:space="0"/>
                    <w:bottom w:val="single" w:color="auto" w:sz="4" w:space="0"/>
                    <w:right w:val="single" w:color="auto" w:sz="4" w:space="0"/>
                  </w:tcBorders>
                  <w:vAlign w:val="center"/>
                </w:tcPr>
                <w:p w14:paraId="45764276">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119</w:t>
                  </w:r>
                </w:p>
              </w:tc>
              <w:tc>
                <w:tcPr>
                  <w:tcW w:w="1644" w:type="dxa"/>
                  <w:tcBorders>
                    <w:top w:val="single" w:color="auto" w:sz="4" w:space="0"/>
                    <w:left w:val="single" w:color="auto" w:sz="4" w:space="0"/>
                    <w:bottom w:val="single" w:color="auto" w:sz="4" w:space="0"/>
                  </w:tcBorders>
                  <w:vAlign w:val="center"/>
                </w:tcPr>
                <w:p w14:paraId="30BC4F8D">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21</w:t>
                  </w:r>
                </w:p>
              </w:tc>
            </w:tr>
            <w:tr w14:paraId="23A1F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499" w:type="dxa"/>
                  <w:tcBorders>
                    <w:top w:val="single" w:color="auto" w:sz="4" w:space="0"/>
                    <w:bottom w:val="single" w:color="auto" w:sz="4" w:space="0"/>
                    <w:right w:val="single" w:color="auto" w:sz="4" w:space="0"/>
                  </w:tcBorders>
                  <w:vAlign w:val="center"/>
                </w:tcPr>
                <w:p w14:paraId="7F0EEE3D">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4</w:t>
                  </w:r>
                </w:p>
              </w:tc>
              <w:tc>
                <w:tcPr>
                  <w:tcW w:w="2789" w:type="dxa"/>
                  <w:tcBorders>
                    <w:top w:val="single" w:color="auto" w:sz="4" w:space="0"/>
                    <w:left w:val="single" w:color="auto" w:sz="4" w:space="0"/>
                    <w:bottom w:val="single" w:color="auto" w:sz="4" w:space="0"/>
                    <w:right w:val="single" w:color="auto" w:sz="4" w:space="0"/>
                  </w:tcBorders>
                  <w:vAlign w:val="center"/>
                </w:tcPr>
                <w:p w14:paraId="408E0AC4">
                  <w:pPr>
                    <w:spacing w:beforeLines="0" w:afterLines="0"/>
                    <w:jc w:val="center"/>
                    <w:rPr>
                      <w:rFonts w:hint="default" w:ascii="宋体" w:hAnsi="宋体" w:eastAsia="宋体"/>
                      <w:color w:val="000000" w:themeColor="text1"/>
                      <w:sz w:val="21"/>
                    </w:rPr>
                  </w:pPr>
                  <w:r>
                    <w:rPr>
                      <w:rFonts w:hint="default" w:ascii="宋体" w:hAnsi="宋体" w:eastAsia="宋体"/>
                      <w:color w:val="000000" w:themeColor="text1"/>
                      <w:sz w:val="21"/>
                    </w:rPr>
                    <w:t>钢筋切断机</w:t>
                  </w:r>
                </w:p>
              </w:tc>
              <w:tc>
                <w:tcPr>
                  <w:tcW w:w="1644" w:type="dxa"/>
                  <w:tcBorders>
                    <w:top w:val="single" w:color="auto" w:sz="4" w:space="0"/>
                    <w:left w:val="single" w:color="auto" w:sz="4" w:space="0"/>
                    <w:bottom w:val="single" w:color="auto" w:sz="4" w:space="0"/>
                    <w:right w:val="single" w:color="auto" w:sz="4" w:space="0"/>
                  </w:tcBorders>
                  <w:vAlign w:val="center"/>
                </w:tcPr>
                <w:p w14:paraId="22421B67">
                  <w:pPr>
                    <w:spacing w:beforeLines="0" w:afterLines="0"/>
                    <w:jc w:val="center"/>
                    <w:rPr>
                      <w:rFonts w:hint="default" w:ascii="宋体" w:hAnsi="宋体" w:eastAsia="宋体"/>
                      <w:color w:val="000000" w:themeColor="text1"/>
                      <w:sz w:val="21"/>
                    </w:rPr>
                  </w:pPr>
                  <w:r>
                    <w:rPr>
                      <w:rFonts w:hint="default" w:ascii="Times New Roman" w:hAnsi="Times New Roman" w:eastAsia="Times New Roman"/>
                      <w:color w:val="000000" w:themeColor="text1"/>
                      <w:sz w:val="21"/>
                    </w:rPr>
                    <w:t>85</w:t>
                  </w:r>
                  <w:r>
                    <w:rPr>
                      <w:rFonts w:hint="default" w:ascii="宋体" w:hAnsi="宋体" w:eastAsia="宋体"/>
                      <w:color w:val="000000" w:themeColor="text1"/>
                      <w:sz w:val="21"/>
                    </w:rPr>
                    <w:t>（</w:t>
                  </w:r>
                  <w:r>
                    <w:rPr>
                      <w:rFonts w:hint="default" w:ascii="Times New Roman" w:hAnsi="Times New Roman" w:eastAsia="Times New Roman"/>
                      <w:color w:val="000000" w:themeColor="text1"/>
                      <w:sz w:val="21"/>
                    </w:rPr>
                    <w:t>7.0m</w:t>
                  </w:r>
                  <w:r>
                    <w:rPr>
                      <w:rFonts w:hint="default" w:ascii="宋体" w:hAnsi="宋体" w:eastAsia="宋体"/>
                      <w:color w:val="000000" w:themeColor="text1"/>
                      <w:sz w:val="21"/>
                    </w:rPr>
                    <w:t>）</w:t>
                  </w:r>
                </w:p>
              </w:tc>
              <w:tc>
                <w:tcPr>
                  <w:tcW w:w="1644" w:type="dxa"/>
                  <w:tcBorders>
                    <w:top w:val="single" w:color="auto" w:sz="4" w:space="0"/>
                    <w:left w:val="single" w:color="auto" w:sz="4" w:space="0"/>
                    <w:bottom w:val="single" w:color="auto" w:sz="4" w:space="0"/>
                    <w:right w:val="single" w:color="auto" w:sz="4" w:space="0"/>
                  </w:tcBorders>
                  <w:vAlign w:val="center"/>
                </w:tcPr>
                <w:p w14:paraId="239DE639">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221</w:t>
                  </w:r>
                </w:p>
              </w:tc>
              <w:tc>
                <w:tcPr>
                  <w:tcW w:w="1644" w:type="dxa"/>
                  <w:tcBorders>
                    <w:top w:val="single" w:color="auto" w:sz="4" w:space="0"/>
                    <w:left w:val="single" w:color="auto" w:sz="4" w:space="0"/>
                    <w:bottom w:val="single" w:color="auto" w:sz="4" w:space="0"/>
                  </w:tcBorders>
                  <w:vAlign w:val="center"/>
                </w:tcPr>
                <w:p w14:paraId="2DC929EC">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39</w:t>
                  </w:r>
                </w:p>
              </w:tc>
            </w:tr>
            <w:tr w14:paraId="602FC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499" w:type="dxa"/>
                  <w:tcBorders>
                    <w:top w:val="single" w:color="auto" w:sz="4" w:space="0"/>
                    <w:bottom w:val="single" w:color="auto" w:sz="4" w:space="0"/>
                    <w:right w:val="single" w:color="auto" w:sz="4" w:space="0"/>
                  </w:tcBorders>
                  <w:vAlign w:val="center"/>
                </w:tcPr>
                <w:p w14:paraId="1C7B24A0">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5</w:t>
                  </w:r>
                </w:p>
              </w:tc>
              <w:tc>
                <w:tcPr>
                  <w:tcW w:w="2789" w:type="dxa"/>
                  <w:tcBorders>
                    <w:top w:val="single" w:color="auto" w:sz="4" w:space="0"/>
                    <w:left w:val="single" w:color="auto" w:sz="4" w:space="0"/>
                    <w:bottom w:val="single" w:color="auto" w:sz="4" w:space="0"/>
                    <w:right w:val="single" w:color="auto" w:sz="4" w:space="0"/>
                  </w:tcBorders>
                  <w:vAlign w:val="center"/>
                </w:tcPr>
                <w:p w14:paraId="67B0BC93">
                  <w:pPr>
                    <w:spacing w:beforeLines="0" w:afterLines="0"/>
                    <w:jc w:val="center"/>
                    <w:rPr>
                      <w:rFonts w:hint="default" w:ascii="宋体" w:hAnsi="宋体" w:eastAsia="宋体"/>
                      <w:color w:val="000000" w:themeColor="text1"/>
                      <w:sz w:val="21"/>
                    </w:rPr>
                  </w:pPr>
                  <w:r>
                    <w:rPr>
                      <w:rFonts w:hint="default" w:ascii="宋体" w:hAnsi="宋体" w:eastAsia="宋体"/>
                      <w:color w:val="000000" w:themeColor="text1"/>
                      <w:sz w:val="21"/>
                    </w:rPr>
                    <w:t>混凝土输送泵</w:t>
                  </w:r>
                </w:p>
              </w:tc>
              <w:tc>
                <w:tcPr>
                  <w:tcW w:w="1644" w:type="dxa"/>
                  <w:tcBorders>
                    <w:top w:val="single" w:color="auto" w:sz="4" w:space="0"/>
                    <w:left w:val="single" w:color="auto" w:sz="4" w:space="0"/>
                    <w:bottom w:val="single" w:color="auto" w:sz="4" w:space="0"/>
                    <w:right w:val="single" w:color="auto" w:sz="4" w:space="0"/>
                  </w:tcBorders>
                  <w:vAlign w:val="center"/>
                </w:tcPr>
                <w:p w14:paraId="2F593D3D">
                  <w:pPr>
                    <w:spacing w:beforeLines="0" w:afterLines="0"/>
                    <w:jc w:val="center"/>
                    <w:rPr>
                      <w:rFonts w:hint="default" w:ascii="宋体" w:hAnsi="宋体" w:eastAsia="宋体"/>
                      <w:color w:val="000000" w:themeColor="text1"/>
                      <w:sz w:val="21"/>
                    </w:rPr>
                  </w:pPr>
                  <w:r>
                    <w:rPr>
                      <w:rFonts w:hint="default" w:ascii="Times New Roman" w:hAnsi="Times New Roman" w:eastAsia="Times New Roman"/>
                      <w:color w:val="000000" w:themeColor="text1"/>
                      <w:sz w:val="21"/>
                    </w:rPr>
                    <w:t>85</w:t>
                  </w:r>
                  <w:r>
                    <w:rPr>
                      <w:rFonts w:hint="default" w:ascii="宋体" w:hAnsi="宋体" w:eastAsia="宋体"/>
                      <w:color w:val="000000" w:themeColor="text1"/>
                      <w:sz w:val="21"/>
                    </w:rPr>
                    <w:t>（</w:t>
                  </w:r>
                  <w:r>
                    <w:rPr>
                      <w:rFonts w:hint="default" w:ascii="Times New Roman" w:hAnsi="Times New Roman" w:eastAsia="Times New Roman"/>
                      <w:color w:val="000000" w:themeColor="text1"/>
                      <w:sz w:val="21"/>
                    </w:rPr>
                    <w:t>5.0m</w:t>
                  </w:r>
                  <w:r>
                    <w:rPr>
                      <w:rFonts w:hint="default" w:ascii="宋体" w:hAnsi="宋体" w:eastAsia="宋体"/>
                      <w:color w:val="000000" w:themeColor="text1"/>
                      <w:sz w:val="21"/>
                    </w:rPr>
                    <w:t>）</w:t>
                  </w:r>
                </w:p>
              </w:tc>
              <w:tc>
                <w:tcPr>
                  <w:tcW w:w="1644" w:type="dxa"/>
                  <w:tcBorders>
                    <w:top w:val="single" w:color="auto" w:sz="4" w:space="0"/>
                    <w:left w:val="single" w:color="auto" w:sz="4" w:space="0"/>
                    <w:bottom w:val="single" w:color="auto" w:sz="4" w:space="0"/>
                    <w:right w:val="single" w:color="auto" w:sz="4" w:space="0"/>
                  </w:tcBorders>
                  <w:vAlign w:val="center"/>
                </w:tcPr>
                <w:p w14:paraId="4013EE16">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158</w:t>
                  </w:r>
                </w:p>
              </w:tc>
              <w:tc>
                <w:tcPr>
                  <w:tcW w:w="1644" w:type="dxa"/>
                  <w:tcBorders>
                    <w:top w:val="single" w:color="auto" w:sz="4" w:space="0"/>
                    <w:left w:val="single" w:color="auto" w:sz="4" w:space="0"/>
                    <w:bottom w:val="single" w:color="auto" w:sz="4" w:space="0"/>
                  </w:tcBorders>
                  <w:vAlign w:val="center"/>
                </w:tcPr>
                <w:p w14:paraId="77709469">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28</w:t>
                  </w:r>
                </w:p>
              </w:tc>
            </w:tr>
            <w:tr w14:paraId="4CE1D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499" w:type="dxa"/>
                  <w:tcBorders>
                    <w:top w:val="single" w:color="auto" w:sz="4" w:space="0"/>
                    <w:bottom w:val="single" w:color="auto" w:sz="4" w:space="0"/>
                    <w:right w:val="single" w:color="auto" w:sz="4" w:space="0"/>
                  </w:tcBorders>
                  <w:vAlign w:val="center"/>
                </w:tcPr>
                <w:p w14:paraId="3C5E0216">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6</w:t>
                  </w:r>
                </w:p>
              </w:tc>
              <w:tc>
                <w:tcPr>
                  <w:tcW w:w="2789" w:type="dxa"/>
                  <w:tcBorders>
                    <w:top w:val="single" w:color="auto" w:sz="4" w:space="0"/>
                    <w:left w:val="single" w:color="auto" w:sz="4" w:space="0"/>
                    <w:bottom w:val="single" w:color="auto" w:sz="4" w:space="0"/>
                    <w:right w:val="single" w:color="auto" w:sz="4" w:space="0"/>
                  </w:tcBorders>
                  <w:vAlign w:val="center"/>
                </w:tcPr>
                <w:p w14:paraId="70E8F9C5">
                  <w:pPr>
                    <w:spacing w:beforeLines="0" w:afterLines="0"/>
                    <w:jc w:val="center"/>
                    <w:rPr>
                      <w:rFonts w:hint="default" w:ascii="宋体" w:hAnsi="宋体" w:eastAsia="宋体"/>
                      <w:color w:val="000000" w:themeColor="text1"/>
                      <w:sz w:val="21"/>
                    </w:rPr>
                  </w:pPr>
                  <w:r>
                    <w:rPr>
                      <w:rFonts w:hint="default" w:ascii="宋体" w:hAnsi="宋体" w:eastAsia="宋体"/>
                      <w:color w:val="000000" w:themeColor="text1"/>
                      <w:sz w:val="21"/>
                    </w:rPr>
                    <w:t>振捣棒</w:t>
                  </w:r>
                </w:p>
              </w:tc>
              <w:tc>
                <w:tcPr>
                  <w:tcW w:w="1644" w:type="dxa"/>
                  <w:tcBorders>
                    <w:top w:val="single" w:color="auto" w:sz="4" w:space="0"/>
                    <w:left w:val="single" w:color="auto" w:sz="4" w:space="0"/>
                    <w:bottom w:val="single" w:color="auto" w:sz="4" w:space="0"/>
                    <w:right w:val="single" w:color="auto" w:sz="4" w:space="0"/>
                  </w:tcBorders>
                  <w:vAlign w:val="center"/>
                </w:tcPr>
                <w:p w14:paraId="40DABA67">
                  <w:pPr>
                    <w:spacing w:beforeLines="0" w:afterLines="0"/>
                    <w:jc w:val="center"/>
                    <w:rPr>
                      <w:rFonts w:hint="default" w:ascii="宋体" w:hAnsi="宋体" w:eastAsia="宋体"/>
                      <w:color w:val="000000" w:themeColor="text1"/>
                      <w:sz w:val="21"/>
                    </w:rPr>
                  </w:pPr>
                  <w:r>
                    <w:rPr>
                      <w:rFonts w:hint="default" w:ascii="Times New Roman" w:hAnsi="Times New Roman" w:eastAsia="Times New Roman"/>
                      <w:color w:val="000000" w:themeColor="text1"/>
                      <w:sz w:val="21"/>
                    </w:rPr>
                    <w:t>100</w:t>
                  </w:r>
                  <w:r>
                    <w:rPr>
                      <w:rFonts w:hint="default" w:ascii="宋体" w:hAnsi="宋体" w:eastAsia="宋体"/>
                      <w:color w:val="000000" w:themeColor="text1"/>
                      <w:sz w:val="21"/>
                    </w:rPr>
                    <w:t>（</w:t>
                  </w:r>
                  <w:r>
                    <w:rPr>
                      <w:rFonts w:hint="default" w:ascii="Times New Roman" w:hAnsi="Times New Roman" w:eastAsia="Times New Roman"/>
                      <w:color w:val="000000" w:themeColor="text1"/>
                      <w:sz w:val="21"/>
                    </w:rPr>
                    <w:t>2.0m</w:t>
                  </w:r>
                  <w:r>
                    <w:rPr>
                      <w:rFonts w:hint="default" w:ascii="宋体" w:hAnsi="宋体" w:eastAsia="宋体"/>
                      <w:color w:val="000000" w:themeColor="text1"/>
                      <w:sz w:val="21"/>
                    </w:rPr>
                    <w:t>）</w:t>
                  </w:r>
                </w:p>
              </w:tc>
              <w:tc>
                <w:tcPr>
                  <w:tcW w:w="1644" w:type="dxa"/>
                  <w:tcBorders>
                    <w:top w:val="single" w:color="auto" w:sz="4" w:space="0"/>
                    <w:left w:val="single" w:color="auto" w:sz="4" w:space="0"/>
                    <w:bottom w:val="single" w:color="auto" w:sz="4" w:space="0"/>
                    <w:right w:val="single" w:color="auto" w:sz="4" w:space="0"/>
                  </w:tcBorders>
                  <w:vAlign w:val="center"/>
                </w:tcPr>
                <w:p w14:paraId="3A3A745B">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356</w:t>
                  </w:r>
                </w:p>
              </w:tc>
              <w:tc>
                <w:tcPr>
                  <w:tcW w:w="1644" w:type="dxa"/>
                  <w:tcBorders>
                    <w:top w:val="single" w:color="auto" w:sz="4" w:space="0"/>
                    <w:left w:val="single" w:color="auto" w:sz="4" w:space="0"/>
                    <w:bottom w:val="single" w:color="auto" w:sz="4" w:space="0"/>
                  </w:tcBorders>
                  <w:vAlign w:val="center"/>
                </w:tcPr>
                <w:p w14:paraId="7F4DB822">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63</w:t>
                  </w:r>
                </w:p>
              </w:tc>
            </w:tr>
            <w:tr w14:paraId="5F086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499" w:type="dxa"/>
                  <w:tcBorders>
                    <w:top w:val="single" w:color="auto" w:sz="4" w:space="0"/>
                    <w:bottom w:val="single" w:color="auto" w:sz="12" w:space="0"/>
                    <w:right w:val="single" w:color="auto" w:sz="4" w:space="0"/>
                  </w:tcBorders>
                  <w:vAlign w:val="center"/>
                </w:tcPr>
                <w:p w14:paraId="6BA1BB62">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7</w:t>
                  </w:r>
                </w:p>
              </w:tc>
              <w:tc>
                <w:tcPr>
                  <w:tcW w:w="2789" w:type="dxa"/>
                  <w:tcBorders>
                    <w:top w:val="single" w:color="auto" w:sz="4" w:space="0"/>
                    <w:left w:val="single" w:color="auto" w:sz="4" w:space="0"/>
                    <w:bottom w:val="single" w:color="auto" w:sz="12" w:space="0"/>
                    <w:right w:val="single" w:color="auto" w:sz="4" w:space="0"/>
                  </w:tcBorders>
                  <w:vAlign w:val="center"/>
                </w:tcPr>
                <w:p w14:paraId="1FAE2588">
                  <w:pPr>
                    <w:spacing w:beforeLines="0" w:afterLines="0"/>
                    <w:jc w:val="center"/>
                    <w:rPr>
                      <w:rFonts w:hint="default" w:ascii="宋体" w:hAnsi="宋体" w:eastAsia="宋体"/>
                      <w:color w:val="000000" w:themeColor="text1"/>
                      <w:sz w:val="21"/>
                    </w:rPr>
                  </w:pPr>
                  <w:r>
                    <w:rPr>
                      <w:rFonts w:hint="default" w:ascii="宋体" w:hAnsi="宋体" w:eastAsia="宋体"/>
                      <w:color w:val="000000" w:themeColor="text1"/>
                      <w:sz w:val="21"/>
                    </w:rPr>
                    <w:t>电钻、沙轮机等</w:t>
                  </w:r>
                </w:p>
              </w:tc>
              <w:tc>
                <w:tcPr>
                  <w:tcW w:w="1644" w:type="dxa"/>
                  <w:tcBorders>
                    <w:top w:val="single" w:color="auto" w:sz="4" w:space="0"/>
                    <w:left w:val="single" w:color="auto" w:sz="4" w:space="0"/>
                    <w:bottom w:val="single" w:color="auto" w:sz="12" w:space="0"/>
                    <w:right w:val="single" w:color="auto" w:sz="4" w:space="0"/>
                  </w:tcBorders>
                  <w:vAlign w:val="center"/>
                </w:tcPr>
                <w:p w14:paraId="358D51E5">
                  <w:pPr>
                    <w:spacing w:beforeLines="0" w:afterLines="0"/>
                    <w:jc w:val="center"/>
                    <w:rPr>
                      <w:rFonts w:hint="default" w:ascii="宋体" w:hAnsi="宋体" w:eastAsia="宋体"/>
                      <w:color w:val="000000" w:themeColor="text1"/>
                      <w:sz w:val="21"/>
                    </w:rPr>
                  </w:pPr>
                  <w:r>
                    <w:rPr>
                      <w:rFonts w:hint="default" w:ascii="Times New Roman" w:hAnsi="Times New Roman" w:eastAsia="Times New Roman"/>
                      <w:color w:val="000000" w:themeColor="text1"/>
                      <w:sz w:val="21"/>
                    </w:rPr>
                    <w:t>90</w:t>
                  </w:r>
                  <w:r>
                    <w:rPr>
                      <w:rFonts w:hint="default" w:ascii="宋体" w:hAnsi="宋体" w:eastAsia="宋体"/>
                      <w:color w:val="000000" w:themeColor="text1"/>
                      <w:sz w:val="21"/>
                    </w:rPr>
                    <w:t>（</w:t>
                  </w:r>
                  <w:r>
                    <w:rPr>
                      <w:rFonts w:hint="default" w:ascii="Times New Roman" w:hAnsi="Times New Roman" w:eastAsia="Times New Roman"/>
                      <w:color w:val="000000" w:themeColor="text1"/>
                      <w:sz w:val="21"/>
                    </w:rPr>
                    <w:t>5.0m</w:t>
                  </w:r>
                  <w:r>
                    <w:rPr>
                      <w:rFonts w:hint="default" w:ascii="宋体" w:hAnsi="宋体" w:eastAsia="宋体"/>
                      <w:color w:val="000000" w:themeColor="text1"/>
                      <w:sz w:val="21"/>
                    </w:rPr>
                    <w:t>）</w:t>
                  </w:r>
                </w:p>
              </w:tc>
              <w:tc>
                <w:tcPr>
                  <w:tcW w:w="1644" w:type="dxa"/>
                  <w:tcBorders>
                    <w:top w:val="single" w:color="auto" w:sz="4" w:space="0"/>
                    <w:left w:val="single" w:color="auto" w:sz="4" w:space="0"/>
                    <w:bottom w:val="single" w:color="auto" w:sz="12" w:space="0"/>
                    <w:right w:val="single" w:color="auto" w:sz="4" w:space="0"/>
                  </w:tcBorders>
                  <w:vAlign w:val="center"/>
                </w:tcPr>
                <w:p w14:paraId="5A2114EB">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281</w:t>
                  </w:r>
                </w:p>
              </w:tc>
              <w:tc>
                <w:tcPr>
                  <w:tcW w:w="1644" w:type="dxa"/>
                  <w:tcBorders>
                    <w:top w:val="single" w:color="auto" w:sz="4" w:space="0"/>
                    <w:left w:val="single" w:color="auto" w:sz="4" w:space="0"/>
                    <w:bottom w:val="single" w:color="auto" w:sz="12" w:space="0"/>
                  </w:tcBorders>
                  <w:vAlign w:val="center"/>
                </w:tcPr>
                <w:p w14:paraId="4F9F995E">
                  <w:pPr>
                    <w:spacing w:beforeLines="0" w:afterLines="0"/>
                    <w:jc w:val="center"/>
                    <w:rPr>
                      <w:rFonts w:hint="default" w:ascii="Times New Roman" w:hAnsi="Times New Roman" w:eastAsia="Times New Roman"/>
                      <w:color w:val="000000" w:themeColor="text1"/>
                      <w:sz w:val="21"/>
                    </w:rPr>
                  </w:pPr>
                  <w:r>
                    <w:rPr>
                      <w:rFonts w:hint="default" w:ascii="Times New Roman" w:hAnsi="Times New Roman" w:eastAsia="Times New Roman"/>
                      <w:color w:val="000000" w:themeColor="text1"/>
                      <w:sz w:val="21"/>
                    </w:rPr>
                    <w:t>50</w:t>
                  </w:r>
                </w:p>
              </w:tc>
            </w:tr>
          </w:tbl>
          <w:p w14:paraId="57368D3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rPr>
            </w:pPr>
            <w:r>
              <w:rPr>
                <w:rFonts w:hint="default" w:ascii="Times New Roman" w:hAnsi="Times New Roman" w:cs="Times New Roman"/>
                <w:color w:val="000000" w:themeColor="text1"/>
              </w:rPr>
              <w:t>从上表中可以看出，项目施工期间，以单台设备为中心昼间影响范围约为63米以内范围，夜间影响范围在356米以内。</w:t>
            </w:r>
          </w:p>
          <w:p w14:paraId="55EC5E4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rPr>
            </w:pPr>
            <w:r>
              <w:rPr>
                <w:rFonts w:hint="default" w:ascii="Times New Roman" w:hAnsi="Times New Roman" w:cs="Times New Roman"/>
                <w:color w:val="000000" w:themeColor="text1"/>
              </w:rPr>
              <w:t>本项目施工设备在拟建厂区内均有分布，对比达标要求与施工场地大小分析，施工期只有将全部施工设施置于施工场地中心处时，建设项目各施工期间昼间场界噪声基本能够达到《建筑施工场界环境噪声排放标准》（GB12523-2011）中标准限值要求（昼间70dB；夜间55dB），夜间施工场界噪声不能确保达标。故根据《关于控制城区建筑施工噪声和施工声地扬尘污染的通告》的规定，建议建设单位夜间严格禁止施工作业。</w:t>
            </w:r>
          </w:p>
          <w:p w14:paraId="32E3241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rPr>
            </w:pPr>
            <w:r>
              <w:rPr>
                <w:rFonts w:hint="default" w:ascii="Times New Roman" w:hAnsi="Times New Roman" w:cs="Times New Roman"/>
                <w:color w:val="000000" w:themeColor="text1"/>
              </w:rPr>
              <w:t>此外，本评价提出要求建设单位按照相关规范设置标准施工围挡，要求围护结构隔声量需达到30dB（A）以上，方能确保昼间施工厂界噪声达标。</w:t>
            </w:r>
          </w:p>
          <w:p w14:paraId="6FD7362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rPr>
            </w:pPr>
            <w:r>
              <w:rPr>
                <w:rFonts w:hint="default" w:ascii="Times New Roman" w:hAnsi="Times New Roman" w:cs="Times New Roman"/>
                <w:color w:val="000000" w:themeColor="text1"/>
              </w:rPr>
              <w:t>项目建设区域声环境标准为昼间：</w:t>
            </w:r>
            <w:r>
              <w:rPr>
                <w:rFonts w:hint="eastAsia" w:ascii="Times New Roman" w:hAnsi="Times New Roman" w:cs="Times New Roman"/>
                <w:color w:val="000000" w:themeColor="text1"/>
                <w:lang w:val="en-US" w:eastAsia="zh-CN"/>
              </w:rPr>
              <w:t>65</w:t>
            </w:r>
            <w:r>
              <w:rPr>
                <w:rFonts w:hint="default" w:ascii="Times New Roman" w:hAnsi="Times New Roman" w:cs="Times New Roman"/>
                <w:color w:val="000000" w:themeColor="text1"/>
              </w:rPr>
              <w:t>dB（A），夜间：</w:t>
            </w:r>
            <w:r>
              <w:rPr>
                <w:rFonts w:hint="eastAsia" w:ascii="Times New Roman" w:hAnsi="Times New Roman" w:cs="Times New Roman"/>
                <w:color w:val="000000" w:themeColor="text1"/>
                <w:lang w:val="en-US" w:eastAsia="zh-CN"/>
              </w:rPr>
              <w:t>55</w:t>
            </w:r>
            <w:r>
              <w:rPr>
                <w:rFonts w:hint="default" w:ascii="Times New Roman" w:hAnsi="Times New Roman" w:cs="Times New Roman"/>
                <w:color w:val="000000" w:themeColor="text1"/>
              </w:rPr>
              <w:t>dB（A）。施工设备相对应的干扰范围夜间较大，当然声音在传播中存在空气和地面吸收，以及施工场地构筑物隔挡等，实际干扰范围要小于计算值。在施工期该区域总体噪声将会有明显增加，夜间影响则更大。因此，为尽可能降低噪声源对周围环境的影响，建筑作业要严格按照《关于控制城区建筑施工噪声和施工声地扬尘污染的通告》的规定时间进行，夜间（晚22：00—早6：00）禁止施工；并且运输车辆在沿路途径居民区时严禁鸣笛。建设单位在施工期应科学安排施工进度和时间，禁止夜间施工，建筑施工场地周围设置不低于2.5米的标准围挡，沿</w:t>
            </w:r>
            <w:r>
              <w:rPr>
                <w:rFonts w:hint="eastAsia" w:ascii="Times New Roman" w:hAnsi="Times New Roman" w:cs="Times New Roman"/>
                <w:color w:val="000000" w:themeColor="text1"/>
                <w:lang w:val="en-US" w:eastAsia="zh-CN"/>
              </w:rPr>
              <w:t>黄埔江路</w:t>
            </w:r>
            <w:r>
              <w:rPr>
                <w:rFonts w:hint="default" w:ascii="Times New Roman" w:hAnsi="Times New Roman" w:cs="Times New Roman"/>
                <w:color w:val="000000" w:themeColor="text1"/>
              </w:rPr>
              <w:t>一侧设置高度不得低于4.0米，同时尽量避免高噪声设备同时开启，施工设备尽量摆放于靠近厂区内部一侧，部分高噪声设备应设置减震垫以减小噪声源强，要求围护结构隔声量需达到30dB（A）以上，方能确保昼间施工厂界噪声达标。围挡做法建议按照我国环保注册工程师专业考试用书中对应隔声量制作围墙，如100mm厚矿渣砖砌块墙（双面粉刷）——隔声量可达31dB（A），130mm厚空心砖墙（两面粉刷）——隔声量可达31dB（A），270mm厚空斗墙（两面粉刷）——隔声量可达31dB（A）。</w:t>
            </w:r>
          </w:p>
          <w:p w14:paraId="4AF258B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rPr>
            </w:pPr>
            <w:r>
              <w:rPr>
                <w:rFonts w:hint="default" w:ascii="Times New Roman" w:hAnsi="Times New Roman" w:cs="Times New Roman"/>
                <w:color w:val="000000" w:themeColor="text1"/>
              </w:rPr>
              <w:t>通过上述措施将施工噪声的影响减小到最低限度。同时，本项目所在地周围均为空地及道路，故昼间施工期间产生噪声对周围环境影响较小。</w:t>
            </w:r>
          </w:p>
          <w:p w14:paraId="2441FECA">
            <w:pPr>
              <w:keepNext w:val="0"/>
              <w:keepLines w:val="0"/>
              <w:pageBreakBefore w:val="0"/>
              <w:widowControl w:val="0"/>
              <w:kinsoku/>
              <w:wordWrap/>
              <w:overflowPunct/>
              <w:topLinePunct w:val="0"/>
              <w:autoSpaceDE/>
              <w:autoSpaceDN/>
              <w:bidi w:val="0"/>
              <w:adjustRightInd/>
              <w:snapToGrid/>
              <w:spacing w:beforeLines="0" w:afterLines="0" w:line="360" w:lineRule="auto"/>
              <w:ind w:right="0" w:rightChars="0"/>
              <w:jc w:val="left"/>
              <w:textAlignment w:val="auto"/>
              <w:rPr>
                <w:rFonts w:hint="default" w:ascii="Times New Roman" w:hAnsi="Times New Roman" w:eastAsia="宋体" w:cs="Times New Roman"/>
                <w:b/>
                <w:bCs/>
                <w:color w:val="000000" w:themeColor="text1"/>
                <w:sz w:val="24"/>
                <w:szCs w:val="24"/>
              </w:rPr>
            </w:pPr>
            <w:r>
              <w:rPr>
                <w:rFonts w:hint="eastAsia" w:ascii="Times New Roman" w:hAnsi="Times New Roman" w:cs="Times New Roman"/>
                <w:b/>
                <w:bCs/>
                <w:color w:val="000000" w:themeColor="text1"/>
                <w:sz w:val="24"/>
                <w:szCs w:val="24"/>
                <w:lang w:val="en-US" w:eastAsia="zh-CN"/>
              </w:rPr>
              <w:t>2、</w:t>
            </w:r>
            <w:r>
              <w:rPr>
                <w:rFonts w:hint="default" w:ascii="Times New Roman" w:hAnsi="Times New Roman" w:eastAsia="宋体" w:cs="Times New Roman"/>
                <w:b/>
                <w:bCs/>
                <w:color w:val="000000" w:themeColor="text1"/>
                <w:sz w:val="24"/>
                <w:szCs w:val="24"/>
              </w:rPr>
              <w:t>施工期大气环境影响分析</w:t>
            </w:r>
          </w:p>
          <w:p w14:paraId="6D5062B9">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施工期大气污染源主要有扬尘源和机动车尾气污染源。扬尘源主要来自土方的挖掘、运输及现场堆放；建筑材料的运输及堆放；施工垃圾的运输及堆放，以及临时施工道路和裸露地面的风致扬尘，主要污染物是TSP等。机动车尾气污染源主要是施工机械和车辆排放的尾气，主要污染物是NO</w:t>
            </w:r>
            <w:r>
              <w:rPr>
                <w:rFonts w:hint="eastAsia" w:ascii="Times New Roman" w:hAnsi="Times New Roman" w:cs="Times New Roman"/>
                <w:color w:val="000000" w:themeColor="text1"/>
                <w:sz w:val="24"/>
                <w:szCs w:val="24"/>
                <w:vertAlign w:val="subscript"/>
                <w:lang w:val="en-US" w:eastAsia="zh-CN"/>
              </w:rPr>
              <w:t>x</w:t>
            </w:r>
            <w:r>
              <w:rPr>
                <w:rFonts w:hint="default" w:ascii="Times New Roman" w:hAnsi="Times New Roman" w:eastAsia="宋体" w:cs="Times New Roman"/>
                <w:color w:val="000000" w:themeColor="text1"/>
                <w:sz w:val="24"/>
                <w:szCs w:val="24"/>
              </w:rPr>
              <w:t>、CO、HC。</w:t>
            </w:r>
          </w:p>
          <w:p w14:paraId="4B999196">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本项目建设前该地块为净地，</w:t>
            </w:r>
            <w:r>
              <w:rPr>
                <w:rFonts w:hint="eastAsia" w:ascii="Times New Roman" w:hAnsi="Times New Roman" w:cs="Times New Roman"/>
                <w:color w:val="000000" w:themeColor="text1"/>
                <w:sz w:val="24"/>
                <w:szCs w:val="24"/>
                <w:lang w:val="en-US" w:eastAsia="zh-CN"/>
              </w:rPr>
              <w:t>本次施工期扬尘计算参考</w:t>
            </w:r>
            <w:r>
              <w:rPr>
                <w:rFonts w:hint="default" w:ascii="Times New Roman" w:hAnsi="Times New Roman" w:eastAsia="宋体" w:cs="Times New Roman"/>
                <w:color w:val="000000" w:themeColor="text1"/>
                <w:sz w:val="24"/>
                <w:szCs w:val="24"/>
              </w:rPr>
              <w:t>辽宁省环保厅制定的《辽宁省城区建筑施工扬尘排放量计算方法</w:t>
            </w:r>
            <w:r>
              <w:rPr>
                <w:rFonts w:hint="eastAsia" w:ascii="Times New Roman" w:hAnsi="Times New Roman" w:cs="Times New Roman"/>
                <w:color w:val="000000" w:themeColor="text1"/>
                <w:sz w:val="24"/>
                <w:szCs w:val="24"/>
                <w:lang w:eastAsia="zh-CN"/>
              </w:rPr>
              <w:t>（试行）》。</w:t>
            </w:r>
            <w:r>
              <w:rPr>
                <w:rFonts w:hint="eastAsia" w:ascii="Times New Roman" w:hAnsi="Times New Roman" w:cs="Times New Roman"/>
                <w:color w:val="000000" w:themeColor="text1"/>
                <w:sz w:val="24"/>
                <w:szCs w:val="24"/>
                <w:lang w:val="en-US" w:eastAsia="zh-CN"/>
              </w:rPr>
              <w:t>辽宁省与新疆昌吉地区处于同一纬度，气候相似，故本次计算参考</w:t>
            </w:r>
            <w:r>
              <w:rPr>
                <w:rFonts w:hint="default" w:ascii="Times New Roman" w:hAnsi="Times New Roman" w:eastAsia="宋体" w:cs="Times New Roman"/>
                <w:color w:val="000000" w:themeColor="text1"/>
                <w:sz w:val="24"/>
                <w:szCs w:val="24"/>
              </w:rPr>
              <w:t>《辽宁省城区建筑施工扬尘排放量计算方法</w:t>
            </w:r>
            <w:r>
              <w:rPr>
                <w:rFonts w:hint="eastAsia" w:ascii="Times New Roman" w:hAnsi="Times New Roman" w:cs="Times New Roman"/>
                <w:color w:val="000000" w:themeColor="text1"/>
                <w:sz w:val="24"/>
                <w:szCs w:val="24"/>
                <w:lang w:eastAsia="zh-CN"/>
              </w:rPr>
              <w:t>（试行）》</w:t>
            </w:r>
            <w:r>
              <w:rPr>
                <w:rFonts w:hint="eastAsia" w:ascii="Times New Roman" w:hAnsi="Times New Roman" w:cs="Times New Roman"/>
                <w:color w:val="000000" w:themeColor="text1"/>
                <w:sz w:val="24"/>
                <w:szCs w:val="24"/>
                <w:lang w:val="en-US" w:eastAsia="zh-CN"/>
              </w:rPr>
              <w:t>基本可信。</w:t>
            </w:r>
          </w:p>
          <w:p w14:paraId="6C8893B3">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建筑施工扬尘量按下式估算：</w:t>
            </w:r>
          </w:p>
          <w:p w14:paraId="06E2B466">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W=WB+WK</w:t>
            </w:r>
          </w:p>
          <w:p w14:paraId="3394F05A">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WB=A×B×T</w:t>
            </w:r>
          </w:p>
          <w:p w14:paraId="73C243C3">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WK= A×（P11+P12+P13+P14+P15+P2）×T</w:t>
            </w:r>
          </w:p>
          <w:p w14:paraId="39D1DF16">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式中：</w:t>
            </w:r>
          </w:p>
          <w:p w14:paraId="1B6FE911">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 xml:space="preserve">W：施工工地扬尘排放量，t； </w:t>
            </w:r>
          </w:p>
          <w:p w14:paraId="28D975D4">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 xml:space="preserve">WB：基本排放量，t； </w:t>
            </w:r>
          </w:p>
          <w:p w14:paraId="490BA84E">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 xml:space="preserve">WK：可控排放量，t； </w:t>
            </w:r>
          </w:p>
          <w:p w14:paraId="50EC597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A：建筑面积（市政工地按施工面积），万m</w:t>
            </w:r>
            <w:r>
              <w:rPr>
                <w:rFonts w:hint="default" w:ascii="Times New Roman" w:hAnsi="Times New Roman" w:eastAsia="宋体" w:cs="Times New Roman"/>
                <w:color w:val="000000" w:themeColor="text1"/>
                <w:sz w:val="24"/>
                <w:szCs w:val="24"/>
                <w:vertAlign w:val="superscript"/>
              </w:rPr>
              <w:t>2</w:t>
            </w:r>
            <w:r>
              <w:rPr>
                <w:rFonts w:hint="default" w:ascii="Times New Roman" w:hAnsi="Times New Roman" w:eastAsia="宋体" w:cs="Times New Roman"/>
                <w:color w:val="000000" w:themeColor="text1"/>
                <w:sz w:val="24"/>
                <w:szCs w:val="24"/>
              </w:rPr>
              <w:t>；</w:t>
            </w:r>
          </w:p>
          <w:p w14:paraId="4D0B8431">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B：基本排放量排放系数，t/万m</w:t>
            </w:r>
            <w:r>
              <w:rPr>
                <w:rFonts w:hint="eastAsia" w:ascii="Times New Roman" w:hAnsi="Times New Roman" w:eastAsia="宋体" w:cs="Times New Roman"/>
                <w:color w:val="000000" w:themeColor="text1"/>
                <w:sz w:val="24"/>
                <w:szCs w:val="24"/>
                <w:vertAlign w:val="superscript"/>
              </w:rPr>
              <w:t>2</w:t>
            </w:r>
            <w:r>
              <w:rPr>
                <w:rFonts w:hint="eastAsia" w:ascii="Times New Roman" w:hAnsi="Times New Roman" w:eastAsia="宋体" w:cs="Times New Roman"/>
                <w:color w:val="000000" w:themeColor="text1"/>
                <w:sz w:val="24"/>
                <w:szCs w:val="24"/>
              </w:rPr>
              <w:t xml:space="preserve">·月，详见表27； </w:t>
            </w:r>
          </w:p>
          <w:p w14:paraId="0947785C">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P11、P12、P12、P14、P15：各项控制扬尘措施所对应的一次扬尘可控排放量排污系数，t/万m2·月，详见表28。</w:t>
            </w:r>
          </w:p>
          <w:p w14:paraId="00048214">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P2：控制运输车辆扬尘所对应二次扬尘可控排放量系数，t/万m</w:t>
            </w:r>
            <w:r>
              <w:rPr>
                <w:rFonts w:hint="eastAsia" w:ascii="Times New Roman" w:hAnsi="Times New Roman" w:eastAsia="宋体" w:cs="Times New Roman"/>
                <w:color w:val="000000" w:themeColor="text1"/>
                <w:sz w:val="24"/>
                <w:szCs w:val="24"/>
                <w:vertAlign w:val="superscript"/>
              </w:rPr>
              <w:t>2</w:t>
            </w:r>
            <w:r>
              <w:rPr>
                <w:rFonts w:hint="eastAsia" w:ascii="Times New Roman" w:hAnsi="Times New Roman" w:eastAsia="宋体" w:cs="Times New Roman"/>
                <w:color w:val="000000" w:themeColor="text1"/>
                <w:sz w:val="24"/>
                <w:szCs w:val="24"/>
              </w:rPr>
              <w:t>月，详见表28。</w:t>
            </w:r>
          </w:p>
          <w:p w14:paraId="004F4856">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rPr>
                <w:rFonts w:hint="eastAsia" w:ascii="Times New Roman" w:hAnsi="Times New Roman" w:eastAsia="宋体" w:cs="Times New Roman"/>
                <w:color w:val="000000" w:themeColor="text1"/>
                <w:sz w:val="24"/>
                <w:szCs w:val="24"/>
              </w:rPr>
            </w:pPr>
            <w:r>
              <w:rPr>
                <w:rFonts w:hint="eastAsia" w:ascii="Times New Roman" w:hAnsi="Times New Roman" w:eastAsia="宋体" w:cs="Times New Roman"/>
                <w:color w:val="000000" w:themeColor="text1"/>
                <w:sz w:val="24"/>
                <w:szCs w:val="24"/>
              </w:rPr>
              <w:t>T：施工期，月，计算基本排放量时，最大值为：建筑工程12个月，市政工程8个月。</w:t>
            </w:r>
          </w:p>
          <w:p w14:paraId="2CCA06BE">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22" w:firstLineChars="200"/>
              <w:jc w:val="left"/>
              <w:textAlignment w:val="auto"/>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表33                  施工场地扬尘基本排放系数</w:t>
            </w:r>
          </w:p>
          <w:tbl>
            <w:tblPr>
              <w:tblStyle w:val="20"/>
              <w:tblW w:w="828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4"/>
              <w:gridCol w:w="2475"/>
              <w:gridCol w:w="4739"/>
            </w:tblGrid>
            <w:tr w14:paraId="7AFC9E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74" w:type="dxa"/>
                  <w:tcBorders>
                    <w:bottom w:val="single" w:color="auto" w:sz="12" w:space="0"/>
                  </w:tcBorders>
                  <w:vAlign w:val="center"/>
                </w:tcPr>
                <w:p w14:paraId="643B2665">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序号</w:t>
                  </w:r>
                </w:p>
              </w:tc>
              <w:tc>
                <w:tcPr>
                  <w:tcW w:w="2475" w:type="dxa"/>
                  <w:tcBorders>
                    <w:bottom w:val="single" w:color="auto" w:sz="12" w:space="0"/>
                  </w:tcBorders>
                  <w:vAlign w:val="center"/>
                </w:tcPr>
                <w:p w14:paraId="00250E9E">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工地类型</w:t>
                  </w:r>
                </w:p>
              </w:tc>
              <w:tc>
                <w:tcPr>
                  <w:tcW w:w="4739" w:type="dxa"/>
                  <w:tcBorders>
                    <w:bottom w:val="single" w:color="auto" w:sz="12" w:space="0"/>
                  </w:tcBorders>
                  <w:vAlign w:val="center"/>
                </w:tcPr>
                <w:p w14:paraId="011539CD">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基本排放量排放系数B（t/万m</w:t>
                  </w:r>
                  <w:r>
                    <w:rPr>
                      <w:rFonts w:hint="eastAsia" w:ascii="Times New Roman" w:hAnsi="Times New Roman" w:cs="Times New Roman"/>
                      <w:color w:val="000000" w:themeColor="text1"/>
                      <w:sz w:val="21"/>
                      <w:szCs w:val="21"/>
                      <w:vertAlign w:val="superscript"/>
                      <w:lang w:val="en-US" w:eastAsia="zh-CN"/>
                    </w:rPr>
                    <w:t>2</w:t>
                  </w:r>
                  <w:r>
                    <w:rPr>
                      <w:rFonts w:hint="default" w:ascii="Times New Roman" w:hAnsi="Times New Roman" w:cs="Times New Roman"/>
                      <w:color w:val="000000" w:themeColor="text1"/>
                      <w:sz w:val="21"/>
                      <w:szCs w:val="21"/>
                      <w:vertAlign w:val="baseline"/>
                      <w:lang w:val="en-US" w:eastAsia="zh-CN"/>
                    </w:rPr>
                    <w:t>•</w:t>
                  </w:r>
                  <w:r>
                    <w:rPr>
                      <w:rFonts w:hint="eastAsia" w:ascii="Times New Roman" w:hAnsi="Times New Roman" w:cs="Times New Roman"/>
                      <w:color w:val="000000" w:themeColor="text1"/>
                      <w:sz w:val="21"/>
                      <w:szCs w:val="21"/>
                      <w:vertAlign w:val="baseline"/>
                      <w:lang w:val="en-US" w:eastAsia="zh-CN"/>
                    </w:rPr>
                    <w:t>月）</w:t>
                  </w:r>
                </w:p>
              </w:tc>
            </w:tr>
            <w:tr w14:paraId="500889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74" w:type="dxa"/>
                  <w:tcBorders>
                    <w:top w:val="single" w:color="auto" w:sz="12" w:space="0"/>
                    <w:tl2br w:val="nil"/>
                    <w:tr2bl w:val="nil"/>
                  </w:tcBorders>
                  <w:vAlign w:val="center"/>
                </w:tcPr>
                <w:p w14:paraId="2169E3FA">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1</w:t>
                  </w:r>
                </w:p>
              </w:tc>
              <w:tc>
                <w:tcPr>
                  <w:tcW w:w="2475" w:type="dxa"/>
                  <w:tcBorders>
                    <w:top w:val="single" w:color="auto" w:sz="12" w:space="0"/>
                    <w:tl2br w:val="nil"/>
                    <w:tr2bl w:val="nil"/>
                  </w:tcBorders>
                  <w:vAlign w:val="center"/>
                </w:tcPr>
                <w:p w14:paraId="4128164C">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建筑工地</w:t>
                  </w:r>
                </w:p>
              </w:tc>
              <w:tc>
                <w:tcPr>
                  <w:tcW w:w="4739" w:type="dxa"/>
                  <w:tcBorders>
                    <w:top w:val="single" w:color="auto" w:sz="12" w:space="0"/>
                    <w:tl2br w:val="nil"/>
                    <w:tr2bl w:val="nil"/>
                  </w:tcBorders>
                  <w:vAlign w:val="center"/>
                </w:tcPr>
                <w:p w14:paraId="5EE6E86E">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4.80</w:t>
                  </w:r>
                </w:p>
              </w:tc>
            </w:tr>
            <w:tr w14:paraId="2C79E8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74" w:type="dxa"/>
                  <w:tcBorders>
                    <w:tl2br w:val="nil"/>
                    <w:tr2bl w:val="nil"/>
                  </w:tcBorders>
                  <w:vAlign w:val="center"/>
                </w:tcPr>
                <w:p w14:paraId="2A4E7DAD">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2</w:t>
                  </w:r>
                </w:p>
              </w:tc>
              <w:tc>
                <w:tcPr>
                  <w:tcW w:w="2475" w:type="dxa"/>
                  <w:tcBorders>
                    <w:tl2br w:val="nil"/>
                    <w:tr2bl w:val="nil"/>
                  </w:tcBorders>
                  <w:vAlign w:val="center"/>
                </w:tcPr>
                <w:p w14:paraId="31FBE9E8">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市政工地</w:t>
                  </w:r>
                </w:p>
              </w:tc>
              <w:tc>
                <w:tcPr>
                  <w:tcW w:w="4739" w:type="dxa"/>
                  <w:tcBorders>
                    <w:tl2br w:val="nil"/>
                    <w:tr2bl w:val="nil"/>
                  </w:tcBorders>
                  <w:vAlign w:val="center"/>
                </w:tcPr>
                <w:p w14:paraId="24377535">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6.60</w:t>
                  </w:r>
                </w:p>
              </w:tc>
            </w:tr>
            <w:tr w14:paraId="60070A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74" w:type="dxa"/>
                  <w:tcBorders>
                    <w:tl2br w:val="nil"/>
                    <w:tr2bl w:val="nil"/>
                  </w:tcBorders>
                  <w:vAlign w:val="center"/>
                </w:tcPr>
                <w:p w14:paraId="5EBE37FC">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3</w:t>
                  </w:r>
                </w:p>
              </w:tc>
              <w:tc>
                <w:tcPr>
                  <w:tcW w:w="2475" w:type="dxa"/>
                  <w:tcBorders>
                    <w:tl2br w:val="nil"/>
                    <w:tr2bl w:val="nil"/>
                  </w:tcBorders>
                  <w:vAlign w:val="center"/>
                </w:tcPr>
                <w:p w14:paraId="5F1E25FC">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拆迁工地</w:t>
                  </w:r>
                </w:p>
              </w:tc>
              <w:tc>
                <w:tcPr>
                  <w:tcW w:w="4739" w:type="dxa"/>
                  <w:tcBorders>
                    <w:tl2br w:val="nil"/>
                    <w:tr2bl w:val="nil"/>
                  </w:tcBorders>
                  <w:vAlign w:val="center"/>
                </w:tcPr>
                <w:p w14:paraId="30D2CA40">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eastAsia="宋体"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24.2</w:t>
                  </w:r>
                </w:p>
              </w:tc>
            </w:tr>
          </w:tbl>
          <w:p w14:paraId="048BC881">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22" w:firstLineChars="200"/>
              <w:jc w:val="left"/>
              <w:textAlignment w:val="auto"/>
              <w:rPr>
                <w:rFonts w:hint="eastAsia" w:ascii="黑体" w:hAnsi="黑体" w:eastAsia="黑体" w:cs="黑体"/>
                <w:b/>
                <w:bCs/>
                <w:color w:val="000000" w:themeColor="text1"/>
                <w:sz w:val="21"/>
                <w:szCs w:val="21"/>
                <w:lang w:val="en-US" w:eastAsia="zh-CN"/>
              </w:rPr>
            </w:pPr>
            <w:r>
              <w:rPr>
                <w:rFonts w:hint="eastAsia" w:ascii="黑体" w:hAnsi="黑体" w:eastAsia="黑体" w:cs="黑体"/>
                <w:b/>
                <w:bCs/>
                <w:color w:val="000000" w:themeColor="text1"/>
                <w:sz w:val="21"/>
                <w:szCs w:val="21"/>
                <w:lang w:val="en-US" w:eastAsia="zh-CN"/>
              </w:rPr>
              <w:t>表34                    施工场地扬尘可控排放系数</w:t>
            </w:r>
          </w:p>
          <w:tbl>
            <w:tblPr>
              <w:tblStyle w:val="20"/>
              <w:tblW w:w="8220"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51"/>
              <w:gridCol w:w="1971"/>
              <w:gridCol w:w="2442"/>
              <w:gridCol w:w="744"/>
              <w:gridCol w:w="856"/>
              <w:gridCol w:w="856"/>
            </w:tblGrid>
            <w:tr w14:paraId="70736D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restart"/>
                  <w:tcBorders>
                    <w:top w:val="single" w:color="auto" w:sz="12" w:space="0"/>
                  </w:tcBorders>
                  <w:vAlign w:val="center"/>
                </w:tcPr>
                <w:p w14:paraId="35E96CA0">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工地类型</w:t>
                  </w:r>
                </w:p>
              </w:tc>
              <w:tc>
                <w:tcPr>
                  <w:tcW w:w="1971" w:type="dxa"/>
                  <w:vMerge w:val="restart"/>
                  <w:tcBorders>
                    <w:top w:val="single" w:color="auto" w:sz="12" w:space="0"/>
                  </w:tcBorders>
                  <w:vAlign w:val="center"/>
                </w:tcPr>
                <w:p w14:paraId="61496D79">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扬尘类型</w:t>
                  </w:r>
                </w:p>
              </w:tc>
              <w:tc>
                <w:tcPr>
                  <w:tcW w:w="2442" w:type="dxa"/>
                  <w:vMerge w:val="restart"/>
                  <w:tcBorders>
                    <w:top w:val="single" w:color="auto" w:sz="12" w:space="0"/>
                  </w:tcBorders>
                  <w:vAlign w:val="center"/>
                </w:tcPr>
                <w:p w14:paraId="792B38A4">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扬尘污染控制措施</w:t>
                  </w:r>
                </w:p>
              </w:tc>
              <w:tc>
                <w:tcPr>
                  <w:tcW w:w="2456" w:type="dxa"/>
                  <w:gridSpan w:val="3"/>
                  <w:tcBorders>
                    <w:top w:val="single" w:color="auto" w:sz="12" w:space="0"/>
                  </w:tcBorders>
                  <w:vAlign w:val="center"/>
                </w:tcPr>
                <w:p w14:paraId="42F98CC7">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可控排放量排放系数</w:t>
                  </w:r>
                </w:p>
                <w:p w14:paraId="26B9FA61">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（t/万m</w:t>
                  </w:r>
                  <w:r>
                    <w:rPr>
                      <w:rFonts w:hint="default" w:ascii="Times New Roman" w:hAnsi="Times New Roman" w:cs="Times New Roman"/>
                      <w:color w:val="000000" w:themeColor="text1"/>
                      <w:sz w:val="21"/>
                      <w:szCs w:val="21"/>
                      <w:vertAlign w:val="superscript"/>
                      <w:lang w:val="en-US" w:eastAsia="zh-CN"/>
                    </w:rPr>
                    <w:t>2</w:t>
                  </w:r>
                  <w:r>
                    <w:rPr>
                      <w:rFonts w:hint="default" w:ascii="Times New Roman" w:hAnsi="Times New Roman" w:cs="Times New Roman"/>
                      <w:color w:val="000000" w:themeColor="text1"/>
                      <w:sz w:val="21"/>
                      <w:szCs w:val="21"/>
                      <w:vertAlign w:val="baseline"/>
                      <w:lang w:val="en-US" w:eastAsia="zh-CN"/>
                    </w:rPr>
                    <w:t>•月）</w:t>
                  </w:r>
                </w:p>
              </w:tc>
            </w:tr>
            <w:tr w14:paraId="4A86F4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continue"/>
                  <w:vAlign w:val="center"/>
                </w:tcPr>
                <w:p w14:paraId="6CE165D1">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1971" w:type="dxa"/>
                  <w:vMerge w:val="continue"/>
                  <w:vAlign w:val="center"/>
                </w:tcPr>
                <w:p w14:paraId="034824D0">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2442" w:type="dxa"/>
                  <w:vMerge w:val="continue"/>
                  <w:vAlign w:val="center"/>
                </w:tcPr>
                <w:p w14:paraId="0CED364F">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744" w:type="dxa"/>
                  <w:vMerge w:val="restart"/>
                  <w:vAlign w:val="center"/>
                </w:tcPr>
                <w:p w14:paraId="54BCB511">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代码</w:t>
                  </w:r>
                </w:p>
              </w:tc>
              <w:tc>
                <w:tcPr>
                  <w:tcW w:w="1712" w:type="dxa"/>
                  <w:gridSpan w:val="2"/>
                  <w:vAlign w:val="center"/>
                </w:tcPr>
                <w:p w14:paraId="0C5684F0">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措施达标</w:t>
                  </w:r>
                </w:p>
              </w:tc>
            </w:tr>
            <w:tr w14:paraId="2EABA7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continue"/>
                  <w:tcBorders>
                    <w:bottom w:val="single" w:color="auto" w:sz="12" w:space="0"/>
                  </w:tcBorders>
                  <w:vAlign w:val="center"/>
                </w:tcPr>
                <w:p w14:paraId="7FBAD06F">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1971" w:type="dxa"/>
                  <w:vMerge w:val="continue"/>
                  <w:tcBorders>
                    <w:bottom w:val="single" w:color="auto" w:sz="12" w:space="0"/>
                  </w:tcBorders>
                  <w:vAlign w:val="center"/>
                </w:tcPr>
                <w:p w14:paraId="78358476">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2442" w:type="dxa"/>
                  <w:vMerge w:val="continue"/>
                  <w:tcBorders>
                    <w:bottom w:val="single" w:color="auto" w:sz="12" w:space="0"/>
                  </w:tcBorders>
                  <w:vAlign w:val="center"/>
                </w:tcPr>
                <w:p w14:paraId="2CC4747F">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744" w:type="dxa"/>
                  <w:vMerge w:val="continue"/>
                  <w:tcBorders>
                    <w:bottom w:val="single" w:color="auto" w:sz="12" w:space="0"/>
                  </w:tcBorders>
                  <w:vAlign w:val="center"/>
                </w:tcPr>
                <w:p w14:paraId="67789F78">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856" w:type="dxa"/>
                  <w:tcBorders>
                    <w:bottom w:val="single" w:color="auto" w:sz="12" w:space="0"/>
                  </w:tcBorders>
                  <w:vAlign w:val="center"/>
                </w:tcPr>
                <w:p w14:paraId="3E3827FB">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是</w:t>
                  </w:r>
                </w:p>
              </w:tc>
              <w:tc>
                <w:tcPr>
                  <w:tcW w:w="856" w:type="dxa"/>
                  <w:tcBorders>
                    <w:bottom w:val="single" w:color="auto" w:sz="12" w:space="0"/>
                  </w:tcBorders>
                  <w:vAlign w:val="center"/>
                </w:tcPr>
                <w:p w14:paraId="1673923F">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default" w:ascii="Times New Roman" w:hAnsi="Times New Roman" w:cs="Times New Roman"/>
                      <w:color w:val="000000" w:themeColor="text1"/>
                      <w:sz w:val="21"/>
                      <w:szCs w:val="21"/>
                      <w:vertAlign w:val="baseline"/>
                      <w:lang w:val="en-US" w:eastAsia="zh-CN"/>
                    </w:rPr>
                    <w:t>否</w:t>
                  </w:r>
                </w:p>
              </w:tc>
            </w:tr>
            <w:tr w14:paraId="1259BC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restart"/>
                  <w:tcBorders>
                    <w:top w:val="single" w:color="auto" w:sz="12" w:space="0"/>
                    <w:tl2br w:val="nil"/>
                    <w:tr2bl w:val="nil"/>
                  </w:tcBorders>
                  <w:vAlign w:val="center"/>
                </w:tcPr>
                <w:p w14:paraId="59E9275B">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建筑工地</w:t>
                  </w:r>
                </w:p>
              </w:tc>
              <w:tc>
                <w:tcPr>
                  <w:tcW w:w="1971" w:type="dxa"/>
                  <w:vMerge w:val="restart"/>
                  <w:tcBorders>
                    <w:top w:val="single" w:color="auto" w:sz="12" w:space="0"/>
                    <w:tl2br w:val="nil"/>
                    <w:tr2bl w:val="nil"/>
                  </w:tcBorders>
                  <w:vAlign w:val="center"/>
                </w:tcPr>
                <w:p w14:paraId="2D6E6F31">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一次扬尘</w:t>
                  </w:r>
                </w:p>
                <w:p w14:paraId="04F3E811">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（累计计算）</w:t>
                  </w:r>
                </w:p>
              </w:tc>
              <w:tc>
                <w:tcPr>
                  <w:tcW w:w="2442" w:type="dxa"/>
                  <w:tcBorders>
                    <w:top w:val="single" w:color="auto" w:sz="12" w:space="0"/>
                    <w:tl2br w:val="nil"/>
                    <w:tr2bl w:val="nil"/>
                  </w:tcBorders>
                  <w:vAlign w:val="center"/>
                </w:tcPr>
                <w:p w14:paraId="3C6291F8">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道路硬化与管理</w:t>
                  </w:r>
                </w:p>
              </w:tc>
              <w:tc>
                <w:tcPr>
                  <w:tcW w:w="744" w:type="dxa"/>
                  <w:tcBorders>
                    <w:top w:val="single" w:color="auto" w:sz="12" w:space="0"/>
                    <w:tl2br w:val="nil"/>
                    <w:tr2bl w:val="nil"/>
                  </w:tcBorders>
                  <w:vAlign w:val="center"/>
                </w:tcPr>
                <w:p w14:paraId="1FB95339">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P11</w:t>
                  </w:r>
                </w:p>
              </w:tc>
              <w:tc>
                <w:tcPr>
                  <w:tcW w:w="856" w:type="dxa"/>
                  <w:tcBorders>
                    <w:top w:val="single" w:color="auto" w:sz="12" w:space="0"/>
                    <w:tl2br w:val="nil"/>
                    <w:tr2bl w:val="nil"/>
                  </w:tcBorders>
                  <w:vAlign w:val="center"/>
                </w:tcPr>
                <w:p w14:paraId="00E7E211">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w:t>
                  </w:r>
                </w:p>
              </w:tc>
              <w:tc>
                <w:tcPr>
                  <w:tcW w:w="856" w:type="dxa"/>
                  <w:tcBorders>
                    <w:top w:val="single" w:color="auto" w:sz="12" w:space="0"/>
                    <w:tl2br w:val="nil"/>
                    <w:tr2bl w:val="nil"/>
                  </w:tcBorders>
                  <w:vAlign w:val="center"/>
                </w:tcPr>
                <w:p w14:paraId="00D3030B">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0.71</w:t>
                  </w:r>
                </w:p>
              </w:tc>
            </w:tr>
            <w:tr w14:paraId="350041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continue"/>
                  <w:tcBorders>
                    <w:tl2br w:val="nil"/>
                    <w:tr2bl w:val="nil"/>
                  </w:tcBorders>
                  <w:vAlign w:val="center"/>
                </w:tcPr>
                <w:p w14:paraId="228CFA7F">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1971" w:type="dxa"/>
                  <w:vMerge w:val="continue"/>
                  <w:tcBorders>
                    <w:tl2br w:val="nil"/>
                    <w:tr2bl w:val="nil"/>
                  </w:tcBorders>
                  <w:vAlign w:val="center"/>
                </w:tcPr>
                <w:p w14:paraId="166A90B5">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2442" w:type="dxa"/>
                  <w:tcBorders>
                    <w:tl2br w:val="nil"/>
                    <w:tr2bl w:val="nil"/>
                  </w:tcBorders>
                  <w:vAlign w:val="center"/>
                </w:tcPr>
                <w:p w14:paraId="6CCD5BB7">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边界围挡</w:t>
                  </w:r>
                </w:p>
              </w:tc>
              <w:tc>
                <w:tcPr>
                  <w:tcW w:w="744" w:type="dxa"/>
                  <w:tcBorders>
                    <w:tl2br w:val="nil"/>
                    <w:tr2bl w:val="nil"/>
                  </w:tcBorders>
                  <w:vAlign w:val="center"/>
                </w:tcPr>
                <w:p w14:paraId="1791A171">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P12</w:t>
                  </w:r>
                </w:p>
              </w:tc>
              <w:tc>
                <w:tcPr>
                  <w:tcW w:w="856" w:type="dxa"/>
                  <w:tcBorders>
                    <w:tl2br w:val="nil"/>
                    <w:tr2bl w:val="nil"/>
                  </w:tcBorders>
                  <w:vAlign w:val="center"/>
                </w:tcPr>
                <w:p w14:paraId="147DC3F3">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w:t>
                  </w:r>
                </w:p>
              </w:tc>
              <w:tc>
                <w:tcPr>
                  <w:tcW w:w="856" w:type="dxa"/>
                  <w:tcBorders>
                    <w:tl2br w:val="nil"/>
                    <w:tr2bl w:val="nil"/>
                  </w:tcBorders>
                  <w:vAlign w:val="center"/>
                </w:tcPr>
                <w:p w14:paraId="35D4FF22">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0.47</w:t>
                  </w:r>
                </w:p>
              </w:tc>
            </w:tr>
            <w:tr w14:paraId="472EEA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continue"/>
                  <w:tcBorders>
                    <w:tl2br w:val="nil"/>
                    <w:tr2bl w:val="nil"/>
                  </w:tcBorders>
                  <w:vAlign w:val="center"/>
                </w:tcPr>
                <w:p w14:paraId="02A4563F">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1971" w:type="dxa"/>
                  <w:vMerge w:val="continue"/>
                  <w:tcBorders>
                    <w:tl2br w:val="nil"/>
                    <w:tr2bl w:val="nil"/>
                  </w:tcBorders>
                  <w:vAlign w:val="center"/>
                </w:tcPr>
                <w:p w14:paraId="1E2BE356">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2442" w:type="dxa"/>
                  <w:tcBorders>
                    <w:tl2br w:val="nil"/>
                    <w:tr2bl w:val="nil"/>
                  </w:tcBorders>
                  <w:vAlign w:val="center"/>
                </w:tcPr>
                <w:p w14:paraId="277FDA24">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裸露地面覆盖</w:t>
                  </w:r>
                </w:p>
              </w:tc>
              <w:tc>
                <w:tcPr>
                  <w:tcW w:w="744" w:type="dxa"/>
                  <w:tcBorders>
                    <w:tl2br w:val="nil"/>
                    <w:tr2bl w:val="nil"/>
                  </w:tcBorders>
                  <w:vAlign w:val="center"/>
                </w:tcPr>
                <w:p w14:paraId="7F46CF13">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P13</w:t>
                  </w:r>
                </w:p>
              </w:tc>
              <w:tc>
                <w:tcPr>
                  <w:tcW w:w="856" w:type="dxa"/>
                  <w:tcBorders>
                    <w:tl2br w:val="nil"/>
                    <w:tr2bl w:val="nil"/>
                  </w:tcBorders>
                  <w:vAlign w:val="center"/>
                </w:tcPr>
                <w:p w14:paraId="5761D509">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w:t>
                  </w:r>
                </w:p>
              </w:tc>
              <w:tc>
                <w:tcPr>
                  <w:tcW w:w="856" w:type="dxa"/>
                  <w:tcBorders>
                    <w:tl2br w:val="nil"/>
                    <w:tr2bl w:val="nil"/>
                  </w:tcBorders>
                  <w:vAlign w:val="center"/>
                </w:tcPr>
                <w:p w14:paraId="7182E973">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0.47</w:t>
                  </w:r>
                </w:p>
              </w:tc>
            </w:tr>
            <w:tr w14:paraId="429602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continue"/>
                  <w:tcBorders>
                    <w:tl2br w:val="nil"/>
                    <w:tr2bl w:val="nil"/>
                  </w:tcBorders>
                  <w:vAlign w:val="center"/>
                </w:tcPr>
                <w:p w14:paraId="1431259A">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1971" w:type="dxa"/>
                  <w:vMerge w:val="continue"/>
                  <w:tcBorders>
                    <w:tl2br w:val="nil"/>
                    <w:tr2bl w:val="nil"/>
                  </w:tcBorders>
                  <w:vAlign w:val="center"/>
                </w:tcPr>
                <w:p w14:paraId="4B074BB1">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2442" w:type="dxa"/>
                  <w:tcBorders>
                    <w:tl2br w:val="nil"/>
                    <w:tr2bl w:val="nil"/>
                  </w:tcBorders>
                  <w:vAlign w:val="center"/>
                </w:tcPr>
                <w:p w14:paraId="3E338CDE">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易起尘物料遮盖</w:t>
                  </w:r>
                </w:p>
              </w:tc>
              <w:tc>
                <w:tcPr>
                  <w:tcW w:w="744" w:type="dxa"/>
                  <w:tcBorders>
                    <w:tl2br w:val="nil"/>
                    <w:tr2bl w:val="nil"/>
                  </w:tcBorders>
                  <w:vAlign w:val="center"/>
                </w:tcPr>
                <w:p w14:paraId="21B2623E">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P14</w:t>
                  </w:r>
                </w:p>
              </w:tc>
              <w:tc>
                <w:tcPr>
                  <w:tcW w:w="856" w:type="dxa"/>
                  <w:tcBorders>
                    <w:tl2br w:val="nil"/>
                    <w:tr2bl w:val="nil"/>
                  </w:tcBorders>
                  <w:vAlign w:val="center"/>
                </w:tcPr>
                <w:p w14:paraId="6D12408A">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w:t>
                  </w:r>
                </w:p>
              </w:tc>
              <w:tc>
                <w:tcPr>
                  <w:tcW w:w="856" w:type="dxa"/>
                  <w:tcBorders>
                    <w:tl2br w:val="nil"/>
                    <w:tr2bl w:val="nil"/>
                  </w:tcBorders>
                  <w:vAlign w:val="center"/>
                </w:tcPr>
                <w:p w14:paraId="32B1CBF6">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0.25</w:t>
                  </w:r>
                </w:p>
              </w:tc>
            </w:tr>
            <w:tr w14:paraId="034B56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continue"/>
                  <w:tcBorders>
                    <w:tl2br w:val="nil"/>
                    <w:tr2bl w:val="nil"/>
                  </w:tcBorders>
                  <w:vAlign w:val="center"/>
                </w:tcPr>
                <w:p w14:paraId="6D874860">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1971" w:type="dxa"/>
                  <w:vMerge w:val="continue"/>
                  <w:tcBorders>
                    <w:tl2br w:val="nil"/>
                    <w:tr2bl w:val="nil"/>
                  </w:tcBorders>
                  <w:vAlign w:val="center"/>
                </w:tcPr>
                <w:p w14:paraId="24310276">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2442" w:type="dxa"/>
                  <w:tcBorders>
                    <w:tl2br w:val="nil"/>
                    <w:tr2bl w:val="nil"/>
                  </w:tcBorders>
                  <w:vAlign w:val="center"/>
                </w:tcPr>
                <w:p w14:paraId="5935C694">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定期喷洒抑制剂</w:t>
                  </w:r>
                </w:p>
              </w:tc>
              <w:tc>
                <w:tcPr>
                  <w:tcW w:w="744" w:type="dxa"/>
                  <w:tcBorders>
                    <w:tl2br w:val="nil"/>
                    <w:tr2bl w:val="nil"/>
                  </w:tcBorders>
                  <w:vAlign w:val="center"/>
                </w:tcPr>
                <w:p w14:paraId="71F0BB20">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P15</w:t>
                  </w:r>
                </w:p>
              </w:tc>
              <w:tc>
                <w:tcPr>
                  <w:tcW w:w="856" w:type="dxa"/>
                  <w:tcBorders>
                    <w:tl2br w:val="nil"/>
                    <w:tr2bl w:val="nil"/>
                  </w:tcBorders>
                  <w:vAlign w:val="center"/>
                </w:tcPr>
                <w:p w14:paraId="37D4B8A2">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w:t>
                  </w:r>
                </w:p>
              </w:tc>
              <w:tc>
                <w:tcPr>
                  <w:tcW w:w="856" w:type="dxa"/>
                  <w:tcBorders>
                    <w:tl2br w:val="nil"/>
                    <w:tr2bl w:val="nil"/>
                  </w:tcBorders>
                  <w:vAlign w:val="center"/>
                </w:tcPr>
                <w:p w14:paraId="328812D0">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0.3</w:t>
                  </w:r>
                </w:p>
              </w:tc>
            </w:tr>
            <w:tr w14:paraId="65728B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continue"/>
                  <w:tcBorders>
                    <w:tl2br w:val="nil"/>
                    <w:tr2bl w:val="nil"/>
                  </w:tcBorders>
                  <w:vAlign w:val="center"/>
                </w:tcPr>
                <w:p w14:paraId="61213B1D">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1971" w:type="dxa"/>
                  <w:tcBorders>
                    <w:tl2br w:val="nil"/>
                    <w:tr2bl w:val="nil"/>
                  </w:tcBorders>
                  <w:vAlign w:val="center"/>
                </w:tcPr>
                <w:p w14:paraId="097556F4">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二次扬尘</w:t>
                  </w:r>
                </w:p>
                <w:p w14:paraId="5FD5C122">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（不累计计算）</w:t>
                  </w:r>
                </w:p>
              </w:tc>
              <w:tc>
                <w:tcPr>
                  <w:tcW w:w="2442" w:type="dxa"/>
                  <w:tcBorders>
                    <w:tl2br w:val="nil"/>
                    <w:tr2bl w:val="nil"/>
                  </w:tcBorders>
                  <w:vAlign w:val="center"/>
                </w:tcPr>
                <w:p w14:paraId="1C6DBCF1">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运输车辆简易冲洗装置</w:t>
                  </w:r>
                </w:p>
              </w:tc>
              <w:tc>
                <w:tcPr>
                  <w:tcW w:w="744" w:type="dxa"/>
                  <w:tcBorders>
                    <w:tl2br w:val="nil"/>
                    <w:tr2bl w:val="nil"/>
                  </w:tcBorders>
                  <w:vAlign w:val="center"/>
                </w:tcPr>
                <w:p w14:paraId="6DEDBE33">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P2</w:t>
                  </w:r>
                </w:p>
              </w:tc>
              <w:tc>
                <w:tcPr>
                  <w:tcW w:w="856" w:type="dxa"/>
                  <w:tcBorders>
                    <w:tl2br w:val="nil"/>
                    <w:tr2bl w:val="nil"/>
                  </w:tcBorders>
                  <w:vAlign w:val="center"/>
                </w:tcPr>
                <w:p w14:paraId="1EDEEC08">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1.55</w:t>
                  </w:r>
                </w:p>
              </w:tc>
              <w:tc>
                <w:tcPr>
                  <w:tcW w:w="856" w:type="dxa"/>
                  <w:tcBorders>
                    <w:tl2br w:val="nil"/>
                    <w:tr2bl w:val="nil"/>
                  </w:tcBorders>
                  <w:vAlign w:val="center"/>
                </w:tcPr>
                <w:p w14:paraId="455BDB6C">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3.1</w:t>
                  </w:r>
                </w:p>
              </w:tc>
            </w:tr>
            <w:tr w14:paraId="209E48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restart"/>
                  <w:vAlign w:val="center"/>
                </w:tcPr>
                <w:p w14:paraId="57B84D8C">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市政工地</w:t>
                  </w:r>
                </w:p>
              </w:tc>
              <w:tc>
                <w:tcPr>
                  <w:tcW w:w="1971" w:type="dxa"/>
                  <w:vMerge w:val="restart"/>
                  <w:vAlign w:val="center"/>
                </w:tcPr>
                <w:p w14:paraId="5CEC603C">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一次扬尘</w:t>
                  </w:r>
                </w:p>
                <w:p w14:paraId="18E38907">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（累计计算）</w:t>
                  </w:r>
                </w:p>
              </w:tc>
              <w:tc>
                <w:tcPr>
                  <w:tcW w:w="2442" w:type="dxa"/>
                  <w:vAlign w:val="center"/>
                </w:tcPr>
                <w:p w14:paraId="32A7BA1D">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道路硬化与管理</w:t>
                  </w:r>
                </w:p>
              </w:tc>
              <w:tc>
                <w:tcPr>
                  <w:tcW w:w="744" w:type="dxa"/>
                  <w:vAlign w:val="center"/>
                </w:tcPr>
                <w:p w14:paraId="4F8C57B6">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P11</w:t>
                  </w:r>
                </w:p>
              </w:tc>
              <w:tc>
                <w:tcPr>
                  <w:tcW w:w="856" w:type="dxa"/>
                  <w:vAlign w:val="center"/>
                </w:tcPr>
                <w:p w14:paraId="3C757A80">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w:t>
                  </w:r>
                </w:p>
              </w:tc>
              <w:tc>
                <w:tcPr>
                  <w:tcW w:w="856" w:type="dxa"/>
                  <w:vAlign w:val="center"/>
                </w:tcPr>
                <w:p w14:paraId="44490DB1">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1.02</w:t>
                  </w:r>
                </w:p>
              </w:tc>
            </w:tr>
            <w:tr w14:paraId="3811AE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continue"/>
                  <w:vAlign w:val="center"/>
                </w:tcPr>
                <w:p w14:paraId="5EA94669">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1971" w:type="dxa"/>
                  <w:vMerge w:val="continue"/>
                  <w:vAlign w:val="center"/>
                </w:tcPr>
                <w:p w14:paraId="6B5F26B1">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2442" w:type="dxa"/>
                  <w:vAlign w:val="center"/>
                </w:tcPr>
                <w:p w14:paraId="254C98E5">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边界围挡</w:t>
                  </w:r>
                </w:p>
              </w:tc>
              <w:tc>
                <w:tcPr>
                  <w:tcW w:w="744" w:type="dxa"/>
                  <w:vAlign w:val="center"/>
                </w:tcPr>
                <w:p w14:paraId="2BEF541B">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P12</w:t>
                  </w:r>
                </w:p>
              </w:tc>
              <w:tc>
                <w:tcPr>
                  <w:tcW w:w="856" w:type="dxa"/>
                  <w:vAlign w:val="center"/>
                </w:tcPr>
                <w:p w14:paraId="733A9904">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w:t>
                  </w:r>
                </w:p>
              </w:tc>
              <w:tc>
                <w:tcPr>
                  <w:tcW w:w="856" w:type="dxa"/>
                  <w:vAlign w:val="center"/>
                </w:tcPr>
                <w:p w14:paraId="0832A40B">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1.02</w:t>
                  </w:r>
                </w:p>
              </w:tc>
            </w:tr>
            <w:tr w14:paraId="451F21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continue"/>
                  <w:vAlign w:val="center"/>
                </w:tcPr>
                <w:p w14:paraId="427A9A77">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1971" w:type="dxa"/>
                  <w:vMerge w:val="continue"/>
                  <w:vAlign w:val="center"/>
                </w:tcPr>
                <w:p w14:paraId="074BBD10">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2442" w:type="dxa"/>
                  <w:vAlign w:val="center"/>
                </w:tcPr>
                <w:p w14:paraId="49B633A8">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易起尘物料遮盖</w:t>
                  </w:r>
                </w:p>
              </w:tc>
              <w:tc>
                <w:tcPr>
                  <w:tcW w:w="744" w:type="dxa"/>
                  <w:vAlign w:val="center"/>
                </w:tcPr>
                <w:p w14:paraId="1D3FE9A7">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P13</w:t>
                  </w:r>
                </w:p>
              </w:tc>
              <w:tc>
                <w:tcPr>
                  <w:tcW w:w="856" w:type="dxa"/>
                  <w:vAlign w:val="center"/>
                </w:tcPr>
                <w:p w14:paraId="79B25BE8">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w:t>
                  </w:r>
                </w:p>
              </w:tc>
              <w:tc>
                <w:tcPr>
                  <w:tcW w:w="856" w:type="dxa"/>
                  <w:vAlign w:val="center"/>
                </w:tcPr>
                <w:p w14:paraId="62F641F2">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0.66</w:t>
                  </w:r>
                </w:p>
              </w:tc>
            </w:tr>
            <w:tr w14:paraId="7D0027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continue"/>
                  <w:vAlign w:val="center"/>
                </w:tcPr>
                <w:p w14:paraId="66E164DB">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1971" w:type="dxa"/>
                  <w:vMerge w:val="continue"/>
                  <w:vAlign w:val="center"/>
                </w:tcPr>
                <w:p w14:paraId="6DAF3268">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2442" w:type="dxa"/>
                  <w:vAlign w:val="center"/>
                </w:tcPr>
                <w:p w14:paraId="13ED79BD">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定期喷洒抑制剂</w:t>
                  </w:r>
                </w:p>
              </w:tc>
              <w:tc>
                <w:tcPr>
                  <w:tcW w:w="744" w:type="dxa"/>
                  <w:vAlign w:val="center"/>
                </w:tcPr>
                <w:p w14:paraId="692A1353">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P15</w:t>
                  </w:r>
                </w:p>
              </w:tc>
              <w:tc>
                <w:tcPr>
                  <w:tcW w:w="856" w:type="dxa"/>
                  <w:vAlign w:val="center"/>
                </w:tcPr>
                <w:p w14:paraId="608D8DDD">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w:t>
                  </w:r>
                </w:p>
              </w:tc>
              <w:tc>
                <w:tcPr>
                  <w:tcW w:w="856" w:type="dxa"/>
                  <w:vAlign w:val="center"/>
                </w:tcPr>
                <w:p w14:paraId="174048B1">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0.3</w:t>
                  </w:r>
                </w:p>
              </w:tc>
            </w:tr>
            <w:tr w14:paraId="5540B81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51" w:type="dxa"/>
                  <w:vMerge w:val="continue"/>
                  <w:tcBorders>
                    <w:bottom w:val="single" w:color="auto" w:sz="12" w:space="0"/>
                  </w:tcBorders>
                  <w:vAlign w:val="center"/>
                </w:tcPr>
                <w:p w14:paraId="3FF5ADE7">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p>
              </w:tc>
              <w:tc>
                <w:tcPr>
                  <w:tcW w:w="1971" w:type="dxa"/>
                  <w:tcBorders>
                    <w:bottom w:val="single" w:color="auto" w:sz="12" w:space="0"/>
                  </w:tcBorders>
                  <w:vAlign w:val="center"/>
                </w:tcPr>
                <w:p w14:paraId="414C7D82">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二次扬尘</w:t>
                  </w:r>
                </w:p>
                <w:p w14:paraId="53C8BBB9">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（不累计计算）</w:t>
                  </w:r>
                </w:p>
              </w:tc>
              <w:tc>
                <w:tcPr>
                  <w:tcW w:w="2442" w:type="dxa"/>
                  <w:tcBorders>
                    <w:bottom w:val="single" w:color="auto" w:sz="12" w:space="0"/>
                  </w:tcBorders>
                  <w:vAlign w:val="center"/>
                </w:tcPr>
                <w:p w14:paraId="12C63A77">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运输车辆简易冲洗装置</w:t>
                  </w:r>
                </w:p>
              </w:tc>
              <w:tc>
                <w:tcPr>
                  <w:tcW w:w="744" w:type="dxa"/>
                  <w:tcBorders>
                    <w:bottom w:val="single" w:color="auto" w:sz="12" w:space="0"/>
                  </w:tcBorders>
                  <w:vAlign w:val="center"/>
                </w:tcPr>
                <w:p w14:paraId="556D0E2C">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P2</w:t>
                  </w:r>
                </w:p>
              </w:tc>
              <w:tc>
                <w:tcPr>
                  <w:tcW w:w="856" w:type="dxa"/>
                  <w:tcBorders>
                    <w:bottom w:val="single" w:color="auto" w:sz="12" w:space="0"/>
                  </w:tcBorders>
                  <w:vAlign w:val="center"/>
                </w:tcPr>
                <w:p w14:paraId="37DC917E">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3.4</w:t>
                  </w:r>
                </w:p>
              </w:tc>
              <w:tc>
                <w:tcPr>
                  <w:tcW w:w="856" w:type="dxa"/>
                  <w:tcBorders>
                    <w:bottom w:val="single" w:color="auto" w:sz="12" w:space="0"/>
                  </w:tcBorders>
                  <w:vAlign w:val="center"/>
                </w:tcPr>
                <w:p w14:paraId="4E4A74D0">
                  <w:pPr>
                    <w:keepNext w:val="0"/>
                    <w:keepLines w:val="0"/>
                    <w:pageBreakBefore w:val="0"/>
                    <w:widowControl w:val="0"/>
                    <w:kinsoku/>
                    <w:wordWrap/>
                    <w:overflowPunct/>
                    <w:topLinePunct w:val="0"/>
                    <w:autoSpaceDE/>
                    <w:autoSpaceDN/>
                    <w:bidi w:val="0"/>
                    <w:adjustRightInd/>
                    <w:snapToGrid/>
                    <w:spacing w:beforeLines="0" w:afterLines="0" w:line="240" w:lineRule="auto"/>
                    <w:ind w:right="0" w:rightChars="0"/>
                    <w:jc w:val="center"/>
                    <w:textAlignment w:val="auto"/>
                    <w:rPr>
                      <w:rFonts w:hint="default"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6.8</w:t>
                  </w:r>
                </w:p>
              </w:tc>
            </w:tr>
          </w:tbl>
          <w:p w14:paraId="1E31D4E6">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本项目为建筑施工工地，要求建设单位采用可控扬尘的所有设施且保证达标，采取表2</w:t>
            </w:r>
            <w:r>
              <w:rPr>
                <w:rFonts w:hint="eastAsia" w:ascii="Times New Roman" w:hAnsi="Times New Roman" w:cs="Times New Roman"/>
                <w:color w:val="000000" w:themeColor="text1"/>
                <w:sz w:val="24"/>
                <w:szCs w:val="24"/>
                <w:lang w:val="en-US" w:eastAsia="zh-CN"/>
              </w:rPr>
              <w:t>2</w:t>
            </w:r>
            <w:r>
              <w:rPr>
                <w:rFonts w:hint="default" w:ascii="Times New Roman" w:hAnsi="Times New Roman" w:eastAsia="宋体" w:cs="Times New Roman"/>
                <w:color w:val="000000" w:themeColor="text1"/>
                <w:sz w:val="24"/>
                <w:szCs w:val="24"/>
              </w:rPr>
              <w:t>所列扬尘防治措施后，项目施工期约为5个月，本项目属于建筑施工场地，基本排放量排放系数为4.8t/万m</w:t>
            </w:r>
            <w:r>
              <w:rPr>
                <w:rFonts w:hint="default" w:ascii="Times New Roman" w:hAnsi="Times New Roman" w:eastAsia="宋体" w:cs="Times New Roman"/>
                <w:color w:val="000000" w:themeColor="text1"/>
                <w:sz w:val="24"/>
                <w:szCs w:val="24"/>
                <w:vertAlign w:val="superscript"/>
              </w:rPr>
              <w:t>2</w:t>
            </w:r>
            <w:r>
              <w:rPr>
                <w:rFonts w:hint="default" w:ascii="Times New Roman" w:hAnsi="Times New Roman" w:eastAsia="宋体" w:cs="Times New Roman"/>
                <w:color w:val="000000" w:themeColor="text1"/>
                <w:sz w:val="24"/>
                <w:szCs w:val="24"/>
              </w:rPr>
              <w:t>月；可控排放量参数中一次扬尘系数均为0，二次扬尘产生系数为1.55,t/万m</w:t>
            </w:r>
            <w:r>
              <w:rPr>
                <w:rFonts w:hint="default" w:ascii="Times New Roman" w:hAnsi="Times New Roman" w:eastAsia="宋体" w:cs="Times New Roman"/>
                <w:color w:val="000000" w:themeColor="text1"/>
                <w:sz w:val="24"/>
                <w:szCs w:val="24"/>
                <w:vertAlign w:val="superscript"/>
              </w:rPr>
              <w:t>2</w:t>
            </w:r>
            <w:r>
              <w:rPr>
                <w:rFonts w:hint="default" w:ascii="Times New Roman" w:hAnsi="Times New Roman" w:eastAsia="宋体" w:cs="Times New Roman"/>
                <w:color w:val="000000" w:themeColor="text1"/>
                <w:sz w:val="24"/>
                <w:szCs w:val="24"/>
              </w:rPr>
              <w:t>月，代入公式，计算如下：</w:t>
            </w:r>
          </w:p>
          <w:p w14:paraId="1B752DA5">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WB=A×B×T</w:t>
            </w:r>
          </w:p>
          <w:p w14:paraId="23CA3A61">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=0.016×4.8×5=0.38t</w:t>
            </w:r>
          </w:p>
          <w:p w14:paraId="22200635">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WK=A×（P11+ P12+ P13+ P14+ P15+ P2）×T</w:t>
            </w:r>
          </w:p>
          <w:p w14:paraId="463AF0AB">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=0.016×1.55×5=0.12t</w:t>
            </w:r>
          </w:p>
          <w:p w14:paraId="4613A3F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经计算，施工工地扬尘总量为0.5t，其中扬尘可控排放量为0.12t，扬尘基本排放量为0.38t。</w:t>
            </w:r>
          </w:p>
          <w:p w14:paraId="1BFE709D">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施工期间扬尘量的产生受天气、场地状况及管理等多因素影响，一般影响范围在100~200米。对于本项目，受施工期废气影响的主要是施工场地北侧自来水厂，以及周围大气环境，施工单位对此应予以重视。在施工期</w:t>
            </w:r>
            <w:r>
              <w:rPr>
                <w:rFonts w:hint="eastAsia" w:ascii="Times New Roman" w:hAnsi="Times New Roman" w:cs="Times New Roman"/>
                <w:color w:val="000000" w:themeColor="text1"/>
                <w:sz w:val="24"/>
                <w:szCs w:val="24"/>
                <w:lang w:val="en-US" w:eastAsia="zh-CN"/>
              </w:rPr>
              <w:t>根据</w:t>
            </w:r>
            <w:r>
              <w:rPr>
                <w:rFonts w:hint="default" w:ascii="Times New Roman" w:hAnsi="Times New Roman" w:eastAsia="宋体" w:cs="Times New Roman"/>
                <w:color w:val="000000" w:themeColor="text1"/>
                <w:sz w:val="24"/>
                <w:szCs w:val="24"/>
              </w:rPr>
              <w:t>相关环保要求，应采取如下必要的控制措施：</w:t>
            </w:r>
          </w:p>
          <w:p w14:paraId="1F8A28F5">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rPr>
            </w:pP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1</w:t>
            </w:r>
            <w:r>
              <w:rPr>
                <w:rFonts w:hint="eastAsia" w:ascii="Times New Roman" w:hAnsi="Times New Roman" w:cs="Times New Roman"/>
                <w:color w:val="000000" w:themeColor="text1"/>
                <w:sz w:val="24"/>
                <w:szCs w:val="24"/>
                <w:lang w:eastAsia="zh-CN"/>
              </w:rPr>
              <w:t>）</w:t>
            </w:r>
            <w:r>
              <w:rPr>
                <w:rFonts w:hint="default" w:ascii="Times New Roman" w:hAnsi="Times New Roman" w:eastAsia="宋体" w:cs="Times New Roman"/>
                <w:color w:val="000000" w:themeColor="text1"/>
                <w:sz w:val="24"/>
                <w:szCs w:val="24"/>
              </w:rPr>
              <w:t>加强管理，文明施工，设置硬质、密闭标准围挡（高度4米），配置洒水车对场地进行洒水，保持一定的地面湿度，降低扬尘的污染。据有关资料介绍，施工场地洒水，可以使扬尘降低80%左右。</w:t>
            </w:r>
          </w:p>
          <w:p w14:paraId="45885B94">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rPr>
            </w:pP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2</w:t>
            </w:r>
            <w:r>
              <w:rPr>
                <w:rFonts w:hint="eastAsia" w:ascii="Times New Roman" w:hAnsi="Times New Roman" w:cs="Times New Roman"/>
                <w:color w:val="000000" w:themeColor="text1"/>
                <w:sz w:val="24"/>
                <w:szCs w:val="24"/>
                <w:lang w:eastAsia="zh-CN"/>
              </w:rPr>
              <w:t>）</w:t>
            </w:r>
            <w:r>
              <w:rPr>
                <w:rFonts w:hint="default" w:ascii="Times New Roman" w:hAnsi="Times New Roman" w:eastAsia="宋体" w:cs="Times New Roman"/>
                <w:color w:val="000000" w:themeColor="text1"/>
                <w:sz w:val="24"/>
                <w:szCs w:val="24"/>
              </w:rPr>
              <w:t>道路及出入口应当进行硬化处理，设置车辆自动冲洗设施，并保持正常使用，车辆应当冲洗干净后，方可驶出施工工地。同时，出入口处应设置标准扬尘公示牌，并保持出入口通道及道路两侧各100米范围内的清洁。</w:t>
            </w:r>
          </w:p>
          <w:p w14:paraId="6FD85F01">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rPr>
            </w:pP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3</w:t>
            </w:r>
            <w:r>
              <w:rPr>
                <w:rFonts w:hint="eastAsia" w:ascii="Times New Roman" w:hAnsi="Times New Roman" w:cs="Times New Roman"/>
                <w:color w:val="000000" w:themeColor="text1"/>
                <w:sz w:val="24"/>
                <w:szCs w:val="24"/>
                <w:lang w:eastAsia="zh-CN"/>
              </w:rPr>
              <w:t>）</w:t>
            </w:r>
            <w:r>
              <w:rPr>
                <w:rFonts w:hint="default" w:ascii="Times New Roman" w:hAnsi="Times New Roman" w:eastAsia="宋体" w:cs="Times New Roman"/>
                <w:color w:val="000000" w:themeColor="text1"/>
                <w:sz w:val="24"/>
                <w:szCs w:val="24"/>
              </w:rPr>
              <w:t>物料堆放不得超出场地，易产生扬尘污染的物料应当采取密闭存放或者覆盖等措施；建筑垃圾、工程渣土应在48小时内及时清运，对暂时不外运的应当采取洒水或者覆盖防尘网等措施。</w:t>
            </w:r>
          </w:p>
          <w:p w14:paraId="6E7C891A">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rPr>
            </w:pP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4</w:t>
            </w:r>
            <w:r>
              <w:rPr>
                <w:rFonts w:hint="eastAsia" w:ascii="Times New Roman" w:hAnsi="Times New Roman" w:cs="Times New Roman"/>
                <w:color w:val="000000" w:themeColor="text1"/>
                <w:sz w:val="24"/>
                <w:szCs w:val="24"/>
                <w:lang w:eastAsia="zh-CN"/>
              </w:rPr>
              <w:t>）</w:t>
            </w:r>
            <w:r>
              <w:rPr>
                <w:rFonts w:hint="default" w:ascii="Times New Roman" w:hAnsi="Times New Roman" w:eastAsia="宋体" w:cs="Times New Roman"/>
                <w:color w:val="000000" w:themeColor="text1"/>
                <w:sz w:val="24"/>
                <w:szCs w:val="24"/>
              </w:rPr>
              <w:t>气象部门发布大风警报期间，应当停止平整土地、换土、原土过筛等作业，气象部门发布雾霾天气预警期间，禁止产生扬尘污染的施工作业。</w:t>
            </w:r>
          </w:p>
          <w:p w14:paraId="61CE8D5C">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rPr>
            </w:pP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5</w:t>
            </w:r>
            <w:r>
              <w:rPr>
                <w:rFonts w:hint="eastAsia" w:ascii="Times New Roman" w:hAnsi="Times New Roman" w:cs="Times New Roman"/>
                <w:color w:val="000000" w:themeColor="text1"/>
                <w:sz w:val="24"/>
                <w:szCs w:val="24"/>
                <w:lang w:eastAsia="zh-CN"/>
              </w:rPr>
              <w:t>）</w:t>
            </w:r>
            <w:r>
              <w:rPr>
                <w:rFonts w:hint="default" w:ascii="Times New Roman" w:hAnsi="Times New Roman" w:eastAsia="宋体" w:cs="Times New Roman"/>
                <w:color w:val="000000" w:themeColor="text1"/>
                <w:sz w:val="24"/>
                <w:szCs w:val="24"/>
              </w:rPr>
              <w:t>运输易产生扬尘污染物料的车辆（自卸车）应当实行封闭运输，卸货空车应当清理干净，重新密闭，不得沿路泄漏、逸散、飘散，不得委托没有封闭设施的车辆从事扬尘污染物料运输。</w:t>
            </w:r>
          </w:p>
          <w:p w14:paraId="34696CBC">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此外，施工期应组织石材、木制半成品进入施工现场，实施装配式施工，减少因切割石材、木制品加工所造成的扬尘污染。同时在建设施工期间应严格按照锦州市有关建设管理条例在施工场界周围设置不低于4米的标准围挡以防治建设期间扬尘对周围环境的影响。</w:t>
            </w:r>
          </w:p>
          <w:p w14:paraId="20E0D081">
            <w:pPr>
              <w:keepNext w:val="0"/>
              <w:keepLines w:val="0"/>
              <w:pageBreakBefore w:val="0"/>
              <w:widowControl w:val="0"/>
              <w:kinsoku/>
              <w:wordWrap/>
              <w:overflowPunct/>
              <w:topLinePunct w:val="0"/>
              <w:autoSpaceDE/>
              <w:autoSpaceDN/>
              <w:bidi w:val="0"/>
              <w:adjustRightInd/>
              <w:snapToGrid/>
              <w:spacing w:beforeLines="0" w:afterLines="0" w:line="360" w:lineRule="auto"/>
              <w:ind w:left="0" w:leftChars="0" w:right="0" w:rightChars="0" w:firstLine="480" w:firstLineChars="200"/>
              <w:jc w:val="left"/>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在采取上述措施后，施工过程中扬尘的产生可得到有效控制，一般对周围环境的影响较小。</w:t>
            </w:r>
          </w:p>
          <w:p w14:paraId="657E8F5D">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default" w:ascii="宋体" w:hAnsi="宋体" w:eastAsia="宋体"/>
                <w:b/>
                <w:bCs/>
                <w:color w:val="000000" w:themeColor="text1"/>
                <w:sz w:val="24"/>
                <w:szCs w:val="24"/>
              </w:rPr>
            </w:pPr>
            <w:r>
              <w:rPr>
                <w:rFonts w:hint="eastAsia" w:ascii="宋体" w:hAnsi="宋体"/>
                <w:b/>
                <w:bCs/>
                <w:color w:val="000000" w:themeColor="text1"/>
                <w:sz w:val="24"/>
                <w:szCs w:val="24"/>
                <w:lang w:val="en-US" w:eastAsia="zh-CN"/>
              </w:rPr>
              <w:t>3、</w:t>
            </w:r>
            <w:r>
              <w:rPr>
                <w:rFonts w:hint="default" w:ascii="宋体" w:hAnsi="宋体" w:eastAsia="宋体"/>
                <w:b/>
                <w:bCs/>
                <w:color w:val="000000" w:themeColor="text1"/>
                <w:sz w:val="24"/>
                <w:szCs w:val="24"/>
              </w:rPr>
              <w:t>废水影响分析</w:t>
            </w:r>
          </w:p>
          <w:p w14:paraId="4B34538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施工期的水污染源主要是基础施工砼养护排放的含泥浆废水，以及施工人员排放的生活污水等，施工期生活污水主要污染物为SS、COD、BOD</w:t>
            </w:r>
            <w:r>
              <w:rPr>
                <w:rFonts w:hint="default" w:ascii="Times New Roman" w:hAnsi="Times New Roman" w:eastAsia="宋体" w:cs="Times New Roman"/>
                <w:color w:val="000000" w:themeColor="text1"/>
                <w:sz w:val="24"/>
                <w:szCs w:val="24"/>
                <w:vertAlign w:val="subscript"/>
              </w:rPr>
              <w:t>5</w:t>
            </w:r>
            <w:r>
              <w:rPr>
                <w:rFonts w:hint="default" w:ascii="Times New Roman" w:hAnsi="Times New Roman" w:eastAsia="宋体" w:cs="Times New Roman"/>
                <w:color w:val="000000" w:themeColor="text1"/>
                <w:sz w:val="24"/>
                <w:szCs w:val="24"/>
              </w:rPr>
              <w:t>等。根据建设单位提供资料显示，施工期施工人员平均约为40人，生活污水按每人每天产</w:t>
            </w:r>
            <w:r>
              <w:rPr>
                <w:rFonts w:hint="eastAsia" w:ascii="Times New Roman" w:hAnsi="Times New Roman" w:cs="Times New Roman"/>
                <w:color w:val="000000" w:themeColor="text1"/>
                <w:sz w:val="24"/>
                <w:szCs w:val="24"/>
                <w:lang w:val="en-US" w:eastAsia="zh-CN"/>
              </w:rPr>
              <w:t>污水</w:t>
            </w:r>
            <w:r>
              <w:rPr>
                <w:rFonts w:hint="default" w:ascii="Times New Roman" w:hAnsi="Times New Roman" w:eastAsia="宋体" w:cs="Times New Roman"/>
                <w:color w:val="000000" w:themeColor="text1"/>
                <w:sz w:val="24"/>
                <w:szCs w:val="24"/>
              </w:rPr>
              <w:t>30L计算，施工期约为5个月，则产生废水量约为180t，生活污水污染物浓度为COD约250mg/</w:t>
            </w:r>
            <w:r>
              <w:rPr>
                <w:rFonts w:hint="eastAsia" w:ascii="Times New Roman" w:hAnsi="Times New Roman" w:cs="Times New Roman"/>
                <w:color w:val="000000" w:themeColor="text1"/>
                <w:sz w:val="24"/>
                <w:szCs w:val="24"/>
                <w:lang w:val="en-US" w:eastAsia="zh-CN"/>
              </w:rPr>
              <w:t>L</w:t>
            </w:r>
            <w:r>
              <w:rPr>
                <w:rFonts w:hint="default" w:ascii="Times New Roman" w:hAnsi="Times New Roman" w:eastAsia="宋体" w:cs="Times New Roman"/>
                <w:color w:val="000000" w:themeColor="text1"/>
                <w:sz w:val="24"/>
                <w:szCs w:val="24"/>
              </w:rPr>
              <w:t>、氨氮约25mg/</w:t>
            </w:r>
            <w:r>
              <w:rPr>
                <w:rFonts w:hint="eastAsia" w:ascii="Times New Roman" w:hAnsi="Times New Roman" w:cs="Times New Roman"/>
                <w:color w:val="000000" w:themeColor="text1"/>
                <w:sz w:val="24"/>
                <w:szCs w:val="24"/>
                <w:lang w:val="en-US" w:eastAsia="zh-CN"/>
              </w:rPr>
              <w:t>L</w:t>
            </w:r>
            <w:r>
              <w:rPr>
                <w:rFonts w:hint="default" w:ascii="Times New Roman" w:hAnsi="Times New Roman" w:eastAsia="宋体" w:cs="Times New Roman"/>
                <w:color w:val="000000" w:themeColor="text1"/>
                <w:sz w:val="24"/>
                <w:szCs w:val="24"/>
              </w:rPr>
              <w:t>、SS约200mg/</w:t>
            </w:r>
            <w:r>
              <w:rPr>
                <w:rFonts w:hint="eastAsia" w:ascii="Times New Roman" w:hAnsi="Times New Roman" w:cs="Times New Roman"/>
                <w:color w:val="000000" w:themeColor="text1"/>
                <w:sz w:val="24"/>
                <w:szCs w:val="24"/>
                <w:lang w:val="en-US" w:eastAsia="zh-CN"/>
              </w:rPr>
              <w:t>L</w:t>
            </w:r>
            <w:r>
              <w:rPr>
                <w:rFonts w:hint="default" w:ascii="Times New Roman" w:hAnsi="Times New Roman" w:eastAsia="宋体" w:cs="Times New Roman"/>
                <w:color w:val="000000" w:themeColor="text1"/>
                <w:sz w:val="24"/>
                <w:szCs w:val="24"/>
              </w:rPr>
              <w:t>，BOD</w:t>
            </w:r>
            <w:r>
              <w:rPr>
                <w:rFonts w:hint="default" w:ascii="Times New Roman" w:hAnsi="Times New Roman" w:eastAsia="宋体" w:cs="Times New Roman"/>
                <w:color w:val="000000" w:themeColor="text1"/>
                <w:sz w:val="24"/>
                <w:szCs w:val="24"/>
                <w:vertAlign w:val="subscript"/>
              </w:rPr>
              <w:t>5</w:t>
            </w:r>
            <w:r>
              <w:rPr>
                <w:rFonts w:hint="eastAsia" w:ascii="Times New Roman" w:hAnsi="Times New Roman" w:cs="Times New Roman"/>
                <w:color w:val="000000" w:themeColor="text1"/>
                <w:sz w:val="24"/>
                <w:szCs w:val="24"/>
                <w:vertAlign w:val="baseline"/>
                <w:lang w:val="en-US" w:eastAsia="zh-CN"/>
              </w:rPr>
              <w:t>100mg/L</w:t>
            </w:r>
            <w:r>
              <w:rPr>
                <w:rFonts w:hint="default" w:ascii="Times New Roman" w:hAnsi="Times New Roman" w:eastAsia="宋体" w:cs="Times New Roman"/>
                <w:color w:val="000000" w:themeColor="text1"/>
                <w:sz w:val="24"/>
                <w:szCs w:val="24"/>
              </w:rPr>
              <w:t>则COD产生量为0.045t/a、氨氮产生量约为0.0045t/a、SS产生量约为0.036t/a</w:t>
            </w:r>
            <w:r>
              <w:rPr>
                <w:rFonts w:hint="eastAsia" w:ascii="Times New Roman" w:hAnsi="Times New Roman" w:cs="Times New Roman"/>
                <w:color w:val="000000" w:themeColor="text1"/>
                <w:sz w:val="24"/>
                <w:szCs w:val="24"/>
                <w:lang w:eastAsia="zh-CN"/>
              </w:rPr>
              <w:t>，</w:t>
            </w:r>
            <w:r>
              <w:rPr>
                <w:rFonts w:hint="default" w:ascii="Times New Roman" w:hAnsi="Times New Roman" w:eastAsia="宋体" w:cs="Times New Roman"/>
                <w:color w:val="000000" w:themeColor="text1"/>
                <w:sz w:val="24"/>
                <w:szCs w:val="24"/>
              </w:rPr>
              <w:t>BOD</w:t>
            </w:r>
            <w:r>
              <w:rPr>
                <w:rFonts w:hint="default" w:ascii="Times New Roman" w:hAnsi="Times New Roman" w:eastAsia="宋体" w:cs="Times New Roman"/>
                <w:color w:val="000000" w:themeColor="text1"/>
                <w:sz w:val="24"/>
                <w:szCs w:val="24"/>
                <w:vertAlign w:val="subscript"/>
              </w:rPr>
              <w:t>5</w:t>
            </w:r>
            <w:r>
              <w:rPr>
                <w:rFonts w:hint="eastAsia" w:ascii="Times New Roman" w:hAnsi="Times New Roman" w:cs="Times New Roman"/>
                <w:color w:val="000000" w:themeColor="text1"/>
                <w:sz w:val="24"/>
                <w:szCs w:val="24"/>
                <w:vertAlign w:val="baseline"/>
                <w:lang w:val="en-US" w:eastAsia="zh-CN"/>
              </w:rPr>
              <w:t>产生量约为0.018t/a。</w:t>
            </w:r>
            <w:r>
              <w:rPr>
                <w:rFonts w:hint="default" w:ascii="Times New Roman" w:hAnsi="Times New Roman" w:eastAsia="宋体" w:cs="Times New Roman"/>
                <w:color w:val="000000" w:themeColor="text1"/>
                <w:sz w:val="24"/>
                <w:szCs w:val="24"/>
              </w:rPr>
              <w:t>根据建设单位提供资料显示，施工过程产生施工废水主要为砼养护水，主要污染物质是悬浮物，该部分水以蒸发为主，不外排，故对周围环境影响较小。施工期生活污水排至施工人员驻地旱厕内，之后清掏外运，故对水环境影响较小。</w:t>
            </w:r>
          </w:p>
          <w:p w14:paraId="23155751">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ascii="Times New Roman" w:hAnsi="Times New Roman" w:cs="Times New Roman"/>
                <w:b/>
                <w:bCs/>
                <w:color w:val="000000" w:themeColor="text1"/>
                <w:sz w:val="24"/>
                <w:szCs w:val="24"/>
                <w:lang w:val="en-US" w:eastAsia="zh-CN"/>
              </w:rPr>
            </w:pPr>
            <w:r>
              <w:rPr>
                <w:rFonts w:hint="eastAsia" w:ascii="Times New Roman" w:hAnsi="Times New Roman" w:cs="Times New Roman"/>
                <w:b/>
                <w:bCs/>
                <w:color w:val="000000" w:themeColor="text1"/>
                <w:sz w:val="24"/>
                <w:szCs w:val="24"/>
                <w:lang w:val="en-US" w:eastAsia="zh-CN"/>
              </w:rPr>
              <w:t>4、固体废物影响分析</w:t>
            </w:r>
          </w:p>
          <w:p w14:paraId="477B41E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施工期的固体废物主要是砖瓦和弃土等建筑垃圾以及施工人员产生生活垃圾。根据建设单位提供资料显示，施工期施工人员为40人，施工期产生生活垃圾量按0.4kg/d·人计算，施工期约为5个月，经计算，年产生的施工生活垃圾为2.4t/a。类比同行业相关资料显示，施工场地产生的施工固废量按2t/万m</w:t>
            </w:r>
            <w:r>
              <w:rPr>
                <w:rFonts w:hint="default" w:ascii="Times New Roman" w:hAnsi="Times New Roman" w:eastAsia="宋体" w:cs="Times New Roman"/>
                <w:color w:val="000000" w:themeColor="text1"/>
                <w:sz w:val="24"/>
                <w:szCs w:val="24"/>
                <w:vertAlign w:val="superscript"/>
              </w:rPr>
              <w:t>2</w:t>
            </w:r>
            <w:r>
              <w:rPr>
                <w:rFonts w:hint="default" w:ascii="Times New Roman" w:hAnsi="Times New Roman" w:eastAsia="宋体" w:cs="Times New Roman"/>
                <w:color w:val="000000" w:themeColor="text1"/>
                <w:sz w:val="24"/>
                <w:szCs w:val="24"/>
              </w:rPr>
              <w:t>计算，经计算，产生施工固废量约为</w:t>
            </w:r>
            <w:r>
              <w:rPr>
                <w:rFonts w:hint="eastAsia" w:ascii="Times New Roman" w:hAnsi="Times New Roman" w:cs="Times New Roman"/>
                <w:color w:val="000000" w:themeColor="text1"/>
                <w:sz w:val="24"/>
                <w:szCs w:val="24"/>
                <w:lang w:val="en-US" w:eastAsia="zh-CN"/>
              </w:rPr>
              <w:t>1.33</w:t>
            </w:r>
            <w:r>
              <w:rPr>
                <w:rFonts w:hint="default" w:ascii="Times New Roman" w:hAnsi="Times New Roman" w:eastAsia="宋体" w:cs="Times New Roman"/>
                <w:color w:val="000000" w:themeColor="text1"/>
                <w:sz w:val="24"/>
                <w:szCs w:val="24"/>
              </w:rPr>
              <w:t>t/a。</w:t>
            </w:r>
          </w:p>
          <w:p w14:paraId="5D77A35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olor w:val="000000" w:themeColor="text1"/>
                <w:sz w:val="24"/>
                <w:szCs w:val="24"/>
                <w:lang w:val="en-US" w:eastAsia="zh-CN"/>
              </w:rPr>
            </w:pPr>
            <w:r>
              <w:rPr>
                <w:rFonts w:hint="default" w:ascii="Times New Roman" w:hAnsi="Times New Roman" w:cs="Times New Roman"/>
                <w:color w:val="000000" w:themeColor="text1"/>
                <w:sz w:val="24"/>
                <w:szCs w:val="24"/>
                <w:lang w:val="en-US" w:eastAsia="zh-CN"/>
              </w:rPr>
              <w:t>本项目新增</w:t>
            </w:r>
            <w:r>
              <w:rPr>
                <w:rFonts w:hint="default" w:ascii="Times New Roman" w:hAnsi="Times New Roman" w:cs="Times New Roman"/>
                <w:color w:val="000000" w:themeColor="text1"/>
                <w:lang w:val="en-US" w:eastAsia="zh-CN"/>
              </w:rPr>
              <w:t>3座20</w:t>
            </w:r>
            <w:r>
              <w:rPr>
                <w:rFonts w:hint="default" w:ascii="Times New Roman" w:hAnsi="Times New Roman" w:cs="Times New Roman"/>
                <w:color w:val="000000" w:themeColor="text1"/>
              </w:rPr>
              <w:t>m</w:t>
            </w:r>
            <w:r>
              <w:rPr>
                <w:rFonts w:hint="eastAsia" w:ascii="Times New Roman" w:hAnsi="Times New Roman" w:cs="Times New Roman"/>
                <w:color w:val="000000" w:themeColor="text1"/>
                <w:vertAlign w:val="superscript"/>
                <w:lang w:val="en-US" w:eastAsia="zh-CN"/>
              </w:rPr>
              <w:t>3</w:t>
            </w:r>
            <w:r>
              <w:rPr>
                <w:rFonts w:hint="default" w:ascii="Times New Roman" w:hAnsi="Times New Roman" w:cs="Times New Roman"/>
                <w:color w:val="000000" w:themeColor="text1"/>
                <w:lang w:val="en-US" w:eastAsia="zh-CN"/>
              </w:rPr>
              <w:t>埋地双层汽油储罐，3座20</w:t>
            </w:r>
            <w:r>
              <w:rPr>
                <w:rFonts w:hint="default" w:ascii="Times New Roman" w:hAnsi="Times New Roman" w:cs="Times New Roman"/>
                <w:color w:val="000000" w:themeColor="text1"/>
              </w:rPr>
              <w:t>m</w:t>
            </w:r>
            <w:r>
              <w:rPr>
                <w:rFonts w:hint="eastAsia" w:ascii="Times New Roman" w:hAnsi="Times New Roman" w:cs="Times New Roman"/>
                <w:color w:val="000000" w:themeColor="text1"/>
                <w:vertAlign w:val="superscript"/>
                <w:lang w:val="en-US" w:eastAsia="zh-CN"/>
              </w:rPr>
              <w:t>3</w:t>
            </w:r>
            <w:r>
              <w:rPr>
                <w:rFonts w:hint="default" w:ascii="Times New Roman" w:hAnsi="Times New Roman" w:cs="Times New Roman"/>
                <w:color w:val="000000" w:themeColor="text1"/>
                <w:lang w:val="en-US" w:eastAsia="zh-CN"/>
              </w:rPr>
              <w:t>埋地双层柴油储罐；1座30m</w:t>
            </w:r>
            <w:r>
              <w:rPr>
                <w:rFonts w:hint="default" w:ascii="Times New Roman" w:hAnsi="Times New Roman" w:cs="Times New Roman"/>
                <w:color w:val="000000" w:themeColor="text1"/>
                <w:vertAlign w:val="superscript"/>
                <w:lang w:val="en-US" w:eastAsia="zh-CN"/>
              </w:rPr>
              <w:t>3</w:t>
            </w:r>
            <w:r>
              <w:rPr>
                <w:rFonts w:hint="default" w:ascii="Times New Roman" w:hAnsi="Times New Roman" w:cs="Times New Roman"/>
                <w:color w:val="000000" w:themeColor="text1"/>
                <w:lang w:val="en-US" w:eastAsia="zh-CN"/>
              </w:rPr>
              <w:t>立式LNG储罐</w:t>
            </w:r>
            <w:r>
              <w:rPr>
                <w:rFonts w:hint="eastAsia" w:ascii="Times New Roman" w:hAnsi="Times New Roman" w:cs="Times New Roman"/>
                <w:color w:val="000000" w:themeColor="text1"/>
                <w:lang w:val="en-US" w:eastAsia="zh-CN"/>
              </w:rPr>
              <w:t>。所有储罐均埋置于地下，因埋置储罐产生约160m</w:t>
            </w:r>
            <w:r>
              <w:rPr>
                <w:rFonts w:hint="eastAsia" w:ascii="Times New Roman" w:hAnsi="Times New Roman" w:cs="Times New Roman"/>
                <w:color w:val="000000" w:themeColor="text1"/>
                <w:vertAlign w:val="superscript"/>
                <w:lang w:val="en-US" w:eastAsia="zh-CN"/>
              </w:rPr>
              <w:t>3</w:t>
            </w:r>
            <w:r>
              <w:rPr>
                <w:rFonts w:hint="eastAsia" w:ascii="Times New Roman" w:hAnsi="Times New Roman" w:cs="Times New Roman"/>
                <w:color w:val="000000" w:themeColor="text1"/>
                <w:lang w:val="en-US" w:eastAsia="zh-CN"/>
              </w:rPr>
              <w:t>的挖方，这部分挖方参考类比同类型加油加气站，约有40%可用于项目区的施工过程。产生60%的弃土，为96m</w:t>
            </w:r>
            <w:r>
              <w:rPr>
                <w:rFonts w:hint="eastAsia" w:ascii="Times New Roman" w:hAnsi="Times New Roman" w:cs="Times New Roman"/>
                <w:color w:val="000000" w:themeColor="text1"/>
                <w:vertAlign w:val="superscript"/>
                <w:lang w:val="en-US" w:eastAsia="zh-CN"/>
              </w:rPr>
              <w:t>3</w:t>
            </w:r>
            <w:r>
              <w:rPr>
                <w:rFonts w:hint="eastAsia" w:ascii="Times New Roman" w:hAnsi="Times New Roman" w:cs="Times New Roman"/>
                <w:color w:val="000000" w:themeColor="text1"/>
                <w:lang w:val="en-US" w:eastAsia="zh-CN"/>
              </w:rPr>
              <w:t>。这部分弃土运至园区指定的建筑垃圾场排放。</w:t>
            </w:r>
          </w:p>
          <w:p w14:paraId="40A5C75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eastAsia" w:ascii="Times New Roman" w:hAnsi="Times New Roman" w:eastAsia="宋体" w:cs="Times New Roman"/>
                <w:color w:val="000000" w:themeColor="text1"/>
                <w:sz w:val="24"/>
                <w:szCs w:val="24"/>
                <w:lang w:val="en-US" w:eastAsia="zh-CN"/>
              </w:rPr>
            </w:pPr>
            <w:r>
              <w:rPr>
                <w:rFonts w:hint="default" w:ascii="Times New Roman" w:hAnsi="Times New Roman" w:eastAsia="宋体" w:cs="Times New Roman"/>
                <w:color w:val="000000" w:themeColor="text1"/>
                <w:sz w:val="24"/>
                <w:szCs w:val="24"/>
              </w:rPr>
              <w:t>遇大风或雨天，将产生扬尘及水土流失，污染空气和水体。对建筑垃圾和施工弃土，建设单位应严格按照有关规定，将建筑垃圾和施工弃土运到指定地点排放。要求运输建筑垃圾的车辆要遮盖苫布，以防止运输过程中产生扬尘污染；严禁随意抛撒建筑垃圾，污染环境。生活垃圾集中收集后外运。在此基础上本项目施工期产生的建筑垃圾和施工弃土等，对环境影响不大。</w:t>
            </w:r>
          </w:p>
          <w:p w14:paraId="674BFEBB">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rFonts w:hint="eastAsia" w:ascii="Times New Roman" w:hAnsi="Times New Roman" w:cs="Times New Roman"/>
                <w:b/>
                <w:bCs/>
                <w:color w:val="000000" w:themeColor="text1"/>
                <w:sz w:val="24"/>
                <w:szCs w:val="24"/>
                <w:lang w:val="en-US" w:eastAsia="zh-CN"/>
              </w:rPr>
            </w:pPr>
            <w:r>
              <w:rPr>
                <w:rFonts w:hint="eastAsia" w:ascii="Times New Roman" w:hAnsi="Times New Roman" w:cs="Times New Roman"/>
                <w:b/>
                <w:bCs/>
                <w:color w:val="000000" w:themeColor="text1"/>
                <w:sz w:val="24"/>
                <w:szCs w:val="24"/>
                <w:lang w:val="en-US" w:eastAsia="zh-CN"/>
              </w:rPr>
              <w:t>5、生态影响分析</w:t>
            </w:r>
          </w:p>
          <w:p w14:paraId="31B8EC32">
            <w:pPr>
              <w:spacing w:line="360" w:lineRule="auto"/>
              <w:ind w:firstLine="480" w:firstLineChars="200"/>
              <w:rPr>
                <w:rFonts w:hint="eastAsia" w:ascii="Times New Roman" w:hAnsi="Times New Roman"/>
                <w:color w:val="000000" w:themeColor="text1"/>
                <w:sz w:val="24"/>
                <w:szCs w:val="24"/>
              </w:rPr>
            </w:pPr>
            <w:r>
              <w:rPr>
                <w:rFonts w:hint="eastAsia" w:ascii="Times New Roman" w:hAnsi="Times New Roman"/>
                <w:color w:val="000000" w:themeColor="text1"/>
                <w:sz w:val="24"/>
                <w:szCs w:val="24"/>
              </w:rPr>
              <w:t>项目施工中，建筑弃土在外运及回填、绿化、道路建设前的堆放时，因结构松散，易被雨水冲刷造成水土流失，本项目挖填方量较小，因此，挖填方可以持平，弃土完全用于回填。建筑垃圾可回收利用的部分实现回收利用，其余部分应及时清运到指定的建筑垃圾场处理。</w:t>
            </w:r>
          </w:p>
          <w:p w14:paraId="1D67BD39">
            <w:pPr>
              <w:spacing w:line="360" w:lineRule="auto"/>
              <w:ind w:firstLine="480" w:firstLineChars="200"/>
              <w:rPr>
                <w:rFonts w:hint="eastAsia" w:ascii="Times New Roman" w:hAnsi="Times New Roman"/>
                <w:color w:val="000000" w:themeColor="text1"/>
                <w:sz w:val="24"/>
                <w:szCs w:val="24"/>
              </w:rPr>
            </w:pPr>
          </w:p>
          <w:p w14:paraId="52046B66">
            <w:pPr>
              <w:spacing w:line="360" w:lineRule="auto"/>
              <w:ind w:firstLine="480" w:firstLineChars="200"/>
              <w:rPr>
                <w:rFonts w:hint="eastAsia" w:ascii="Times New Roman" w:hAnsi="Times New Roman"/>
                <w:color w:val="000000" w:themeColor="text1"/>
                <w:sz w:val="24"/>
                <w:szCs w:val="24"/>
              </w:rPr>
            </w:pPr>
          </w:p>
          <w:p w14:paraId="241317F8">
            <w:pPr>
              <w:spacing w:line="360" w:lineRule="auto"/>
              <w:ind w:firstLine="480" w:firstLineChars="200"/>
              <w:rPr>
                <w:rFonts w:hint="eastAsia" w:ascii="Times New Roman" w:hAnsi="Times New Roman"/>
                <w:color w:val="000000" w:themeColor="text1"/>
                <w:sz w:val="24"/>
                <w:szCs w:val="24"/>
                <w:lang w:val="en-US" w:eastAsia="zh-CN"/>
              </w:rPr>
            </w:pPr>
          </w:p>
          <w:p w14:paraId="7712492F">
            <w:pPr>
              <w:keepNext w:val="0"/>
              <w:keepLines w:val="0"/>
              <w:pageBreakBefore w:val="0"/>
              <w:widowControl w:val="0"/>
              <w:kinsoku/>
              <w:wordWrap/>
              <w:overflowPunct/>
              <w:topLinePunct w:val="0"/>
              <w:autoSpaceDE/>
              <w:autoSpaceDN/>
              <w:bidi w:val="0"/>
              <w:adjustRightInd/>
              <w:snapToGrid/>
              <w:spacing w:line="360" w:lineRule="auto"/>
              <w:ind w:right="0" w:rightChars="0"/>
              <w:textAlignment w:val="auto"/>
              <w:outlineLvl w:val="9"/>
              <w:rPr>
                <w:b/>
                <w:color w:val="000000" w:themeColor="text1"/>
                <w:sz w:val="28"/>
                <w:szCs w:val="28"/>
              </w:rPr>
            </w:pPr>
            <w:r>
              <w:rPr>
                <w:rFonts w:hint="eastAsia"/>
                <w:b/>
                <w:color w:val="000000" w:themeColor="text1"/>
                <w:kern w:val="0"/>
                <w:sz w:val="28"/>
                <w:szCs w:val="28"/>
                <w:lang w:val="zh-CN"/>
              </w:rPr>
              <w:t>运营期环境影响分析：</w:t>
            </w:r>
          </w:p>
          <w:p w14:paraId="27F25289">
            <w:pPr>
              <w:spacing w:line="36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1</w:t>
            </w:r>
            <w:r>
              <w:rPr>
                <w:rFonts w:hint="eastAsia" w:ascii="Times New Roman" w:hAnsi="Times New Roman"/>
                <w:b/>
                <w:bCs/>
                <w:color w:val="000000" w:themeColor="text1"/>
                <w:sz w:val="24"/>
                <w:szCs w:val="24"/>
              </w:rPr>
              <w:t>、运营期大气环境影响分析</w:t>
            </w:r>
          </w:p>
          <w:p w14:paraId="157E4B21">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本项目加油站产生的废气主要来源于油品损耗挥发形成的油气</w:t>
            </w:r>
            <w:r>
              <w:rPr>
                <w:rFonts w:hint="eastAsia" w:ascii="Times New Roman" w:hAnsi="Times New Roman" w:cs="Times New Roman"/>
                <w:color w:val="000000" w:themeColor="text1"/>
                <w:sz w:val="24"/>
                <w:szCs w:val="24"/>
                <w:lang w:eastAsia="zh-CN"/>
              </w:rPr>
              <w:t>，</w:t>
            </w:r>
            <w:r>
              <w:rPr>
                <w:rFonts w:hint="default" w:ascii="Times New Roman" w:hAnsi="Times New Roman" w:eastAsia="宋体" w:cs="Times New Roman"/>
                <w:color w:val="000000" w:themeColor="text1"/>
                <w:sz w:val="24"/>
                <w:szCs w:val="24"/>
              </w:rPr>
              <w:t>其主要成分以</w:t>
            </w:r>
            <w:r>
              <w:rPr>
                <w:rFonts w:hint="eastAsia" w:ascii="Times New Roman" w:hAnsi="Times New Roman" w:cs="Times New Roman"/>
                <w:color w:val="000000" w:themeColor="text1"/>
                <w:sz w:val="24"/>
                <w:szCs w:val="24"/>
                <w:lang w:val="en-US" w:eastAsia="zh-CN"/>
              </w:rPr>
              <w:t>非甲烷总烃</w:t>
            </w:r>
            <w:r>
              <w:rPr>
                <w:rFonts w:hint="default" w:ascii="Times New Roman" w:hAnsi="Times New Roman" w:eastAsia="宋体" w:cs="Times New Roman"/>
                <w:color w:val="000000" w:themeColor="text1"/>
                <w:sz w:val="24"/>
                <w:szCs w:val="24"/>
              </w:rPr>
              <w:t>计</w:t>
            </w:r>
            <w:r>
              <w:rPr>
                <w:rFonts w:hint="eastAsia" w:ascii="Times New Roman" w:hAnsi="Times New Roman" w:cs="Times New Roman"/>
                <w:color w:val="000000" w:themeColor="text1"/>
                <w:sz w:val="24"/>
                <w:szCs w:val="24"/>
                <w:lang w:val="en-US" w:eastAsia="zh-CN"/>
              </w:rPr>
              <w:t>。天然气加气过程产生的无组织排放天然气</w:t>
            </w:r>
            <w:r>
              <w:rPr>
                <w:rFonts w:hint="default" w:ascii="Times New Roman" w:hAnsi="Times New Roman" w:eastAsia="宋体" w:cs="Times New Roman"/>
                <w:color w:val="000000" w:themeColor="text1"/>
                <w:sz w:val="24"/>
                <w:szCs w:val="24"/>
              </w:rPr>
              <w:t>，正常营运时，油品损耗主要有卸油灌注损失、储油损失、加油作业损失等。根据《散装液态石油产品损耗标准》，项目所在区域属于 C 类地区，卸油过程中汽、柴油损耗率分别为0.13%、0.05%；储油过程中卧式罐的贮存损耗忽略不计，汽油、柴油损零售耗分别0.29%、0.08%。项目设置有一、二次油气回收系统，其油气回收效率可达到90%以上，按照年销售汽油</w:t>
            </w:r>
            <w:r>
              <w:rPr>
                <w:rFonts w:hint="eastAsia" w:ascii="Times New Roman" w:hAnsi="Times New Roman" w:cs="Times New Roman"/>
                <w:color w:val="000000" w:themeColor="text1"/>
                <w:sz w:val="24"/>
                <w:szCs w:val="24"/>
                <w:lang w:val="en-US" w:eastAsia="zh-CN"/>
              </w:rPr>
              <w:t>2000吨</w:t>
            </w:r>
            <w:r>
              <w:rPr>
                <w:rFonts w:hint="default" w:ascii="Times New Roman" w:hAnsi="Times New Roman" w:eastAsia="宋体" w:cs="Times New Roman"/>
                <w:color w:val="000000" w:themeColor="text1"/>
                <w:sz w:val="24"/>
                <w:szCs w:val="24"/>
              </w:rPr>
              <w:t>，柴油</w:t>
            </w:r>
            <w:r>
              <w:rPr>
                <w:rFonts w:hint="eastAsia" w:ascii="Times New Roman" w:hAnsi="Times New Roman" w:cs="Times New Roman"/>
                <w:color w:val="000000" w:themeColor="text1"/>
                <w:sz w:val="24"/>
                <w:szCs w:val="24"/>
                <w:lang w:val="en-US" w:eastAsia="zh-CN"/>
              </w:rPr>
              <w:t>2000</w:t>
            </w:r>
            <w:r>
              <w:rPr>
                <w:rFonts w:hint="default" w:ascii="Times New Roman" w:hAnsi="Times New Roman" w:eastAsia="宋体" w:cs="Times New Roman"/>
                <w:color w:val="000000" w:themeColor="text1"/>
                <w:sz w:val="24"/>
                <w:szCs w:val="24"/>
              </w:rPr>
              <w:t>吨，</w:t>
            </w:r>
            <w:r>
              <w:rPr>
                <w:rFonts w:hint="eastAsia" w:ascii="Times New Roman" w:hAnsi="Times New Roman" w:cs="Times New Roman"/>
                <w:color w:val="000000" w:themeColor="text1"/>
                <w:sz w:val="24"/>
                <w:szCs w:val="24"/>
                <w:lang w:val="en-US" w:eastAsia="zh-CN"/>
              </w:rPr>
              <w:t>天然气无组织排放以销售总量的十万分之一计，则</w:t>
            </w:r>
            <w:r>
              <w:rPr>
                <w:rFonts w:hint="default" w:ascii="Times New Roman" w:hAnsi="Times New Roman" w:eastAsia="宋体" w:cs="Times New Roman"/>
                <w:color w:val="000000" w:themeColor="text1"/>
                <w:sz w:val="24"/>
                <w:szCs w:val="24"/>
              </w:rPr>
              <w:t>项目</w:t>
            </w:r>
            <w:r>
              <w:rPr>
                <w:rFonts w:hint="eastAsia" w:ascii="Times New Roman" w:hAnsi="Times New Roman" w:cs="Times New Roman"/>
                <w:color w:val="000000" w:themeColor="text1"/>
                <w:sz w:val="24"/>
                <w:szCs w:val="24"/>
                <w:lang w:val="en-US" w:eastAsia="zh-CN"/>
              </w:rPr>
              <w:t>废气</w:t>
            </w:r>
            <w:r>
              <w:rPr>
                <w:rFonts w:hint="default" w:ascii="Times New Roman" w:hAnsi="Times New Roman" w:eastAsia="宋体" w:cs="Times New Roman"/>
                <w:color w:val="000000" w:themeColor="text1"/>
                <w:sz w:val="24"/>
                <w:szCs w:val="24"/>
              </w:rPr>
              <w:t>产排量见</w:t>
            </w:r>
            <w:r>
              <w:rPr>
                <w:rFonts w:hint="eastAsia" w:ascii="Times New Roman" w:hAnsi="Times New Roman" w:cs="Times New Roman"/>
                <w:color w:val="000000" w:themeColor="text1"/>
                <w:sz w:val="24"/>
                <w:szCs w:val="24"/>
                <w:lang w:val="en-US" w:eastAsia="zh-CN"/>
              </w:rPr>
              <w:t>下表</w:t>
            </w:r>
            <w:r>
              <w:rPr>
                <w:rFonts w:hint="default" w:ascii="Times New Roman" w:hAnsi="Times New Roman" w:eastAsia="宋体" w:cs="Times New Roman"/>
                <w:color w:val="000000" w:themeColor="text1"/>
                <w:sz w:val="24"/>
                <w:szCs w:val="24"/>
              </w:rPr>
              <w:t>。</w:t>
            </w:r>
          </w:p>
          <w:p w14:paraId="6FAECF9D">
            <w:pPr>
              <w:ind w:firstLine="422" w:firstLineChars="200"/>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35</w:t>
            </w:r>
            <w:r>
              <w:rPr>
                <w:rFonts w:hint="eastAsia"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废气</w:t>
            </w:r>
            <w:r>
              <w:rPr>
                <w:rFonts w:hint="eastAsia" w:ascii="黑体" w:hAnsi="黑体" w:eastAsia="黑体" w:cs="黑体"/>
                <w:b/>
                <w:bCs/>
                <w:color w:val="000000" w:themeColor="text1"/>
                <w:sz w:val="21"/>
                <w:szCs w:val="21"/>
              </w:rPr>
              <w:t>产生量及排放量</w:t>
            </w:r>
          </w:p>
          <w:tbl>
            <w:tblPr>
              <w:tblStyle w:val="20"/>
              <w:tblW w:w="8220"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23"/>
              <w:gridCol w:w="1402"/>
              <w:gridCol w:w="1898"/>
              <w:gridCol w:w="1898"/>
              <w:gridCol w:w="1899"/>
            </w:tblGrid>
            <w:tr w14:paraId="7EA26D0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525" w:type="dxa"/>
                  <w:gridSpan w:val="2"/>
                  <w:tcBorders>
                    <w:bottom w:val="single" w:color="auto" w:sz="12" w:space="0"/>
                  </w:tcBorders>
                  <w:vAlign w:val="center"/>
                </w:tcPr>
                <w:p w14:paraId="6502414E">
                  <w:pPr>
                    <w:spacing w:line="240" w:lineRule="auto"/>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污染源名称</w:t>
                  </w:r>
                </w:p>
              </w:tc>
              <w:tc>
                <w:tcPr>
                  <w:tcW w:w="1898" w:type="dxa"/>
                  <w:tcBorders>
                    <w:bottom w:val="single" w:color="auto" w:sz="12" w:space="0"/>
                  </w:tcBorders>
                  <w:vAlign w:val="center"/>
                </w:tcPr>
                <w:p w14:paraId="7631E700">
                  <w:pPr>
                    <w:spacing w:line="240" w:lineRule="auto"/>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损耗率%</w:t>
                  </w:r>
                </w:p>
              </w:tc>
              <w:tc>
                <w:tcPr>
                  <w:tcW w:w="1898" w:type="dxa"/>
                  <w:tcBorders>
                    <w:bottom w:val="single" w:color="auto" w:sz="12" w:space="0"/>
                  </w:tcBorders>
                  <w:vAlign w:val="center"/>
                </w:tcPr>
                <w:p w14:paraId="6988D06C">
                  <w:pPr>
                    <w:spacing w:line="240" w:lineRule="auto"/>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产生量</w:t>
                  </w:r>
                </w:p>
              </w:tc>
              <w:tc>
                <w:tcPr>
                  <w:tcW w:w="1899" w:type="dxa"/>
                  <w:tcBorders>
                    <w:bottom w:val="single" w:color="auto" w:sz="12" w:space="0"/>
                  </w:tcBorders>
                  <w:vAlign w:val="center"/>
                </w:tcPr>
                <w:p w14:paraId="70631944">
                  <w:pPr>
                    <w:spacing w:line="240" w:lineRule="auto"/>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排放量</w:t>
                  </w:r>
                </w:p>
              </w:tc>
            </w:tr>
            <w:tr w14:paraId="22D81C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23" w:type="dxa"/>
                  <w:vMerge w:val="restart"/>
                  <w:tcBorders>
                    <w:top w:val="single" w:color="auto" w:sz="12" w:space="0"/>
                  </w:tcBorders>
                  <w:vAlign w:val="center"/>
                </w:tcPr>
                <w:p w14:paraId="4BED4DF0">
                  <w:pPr>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卸油过程</w:t>
                  </w:r>
                </w:p>
              </w:tc>
              <w:tc>
                <w:tcPr>
                  <w:tcW w:w="1402" w:type="dxa"/>
                  <w:tcBorders>
                    <w:top w:val="single" w:color="auto" w:sz="12" w:space="0"/>
                  </w:tcBorders>
                  <w:vAlign w:val="center"/>
                </w:tcPr>
                <w:p w14:paraId="624FAF61">
                  <w:pPr>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汽油</w:t>
                  </w:r>
                </w:p>
              </w:tc>
              <w:tc>
                <w:tcPr>
                  <w:tcW w:w="1898" w:type="dxa"/>
                  <w:tcBorders>
                    <w:top w:val="single" w:color="auto" w:sz="12" w:space="0"/>
                  </w:tcBorders>
                  <w:vAlign w:val="center"/>
                </w:tcPr>
                <w:p w14:paraId="0686481F">
                  <w:pPr>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0.13</w:t>
                  </w:r>
                </w:p>
              </w:tc>
              <w:tc>
                <w:tcPr>
                  <w:tcW w:w="1898" w:type="dxa"/>
                  <w:tcBorders>
                    <w:top w:val="single" w:color="auto" w:sz="12" w:space="0"/>
                  </w:tcBorders>
                  <w:vAlign w:val="center"/>
                </w:tcPr>
                <w:p w14:paraId="6D6DB678">
                  <w:pPr>
                    <w:spacing w:line="240" w:lineRule="auto"/>
                    <w:jc w:val="center"/>
                    <w:rPr>
                      <w:rFonts w:hint="default" w:ascii="Times New Roman" w:hAnsi="Times New Roman" w:eastAsia="宋体" w:cs="Times New Roman"/>
                      <w:b w:val="0"/>
                      <w:bCs w:val="0"/>
                      <w:color w:val="000000" w:themeColor="text1"/>
                      <w:sz w:val="21"/>
                      <w:szCs w:val="21"/>
                    </w:rPr>
                  </w:pPr>
                  <w:r>
                    <w:rPr>
                      <w:rFonts w:hint="eastAsia" w:ascii="Times New Roman" w:hAnsi="Times New Roman" w:cs="Times New Roman"/>
                      <w:b w:val="0"/>
                      <w:bCs w:val="0"/>
                      <w:color w:val="000000" w:themeColor="text1"/>
                      <w:sz w:val="21"/>
                      <w:szCs w:val="21"/>
                      <w:lang w:val="en-US" w:eastAsia="zh-CN"/>
                    </w:rPr>
                    <w:t>2.6</w:t>
                  </w:r>
                  <w:r>
                    <w:rPr>
                      <w:rFonts w:hint="default" w:ascii="Times New Roman" w:hAnsi="Times New Roman" w:eastAsia="宋体" w:cs="Times New Roman"/>
                      <w:b w:val="0"/>
                      <w:bCs w:val="0"/>
                      <w:color w:val="000000" w:themeColor="text1"/>
                      <w:sz w:val="21"/>
                      <w:szCs w:val="21"/>
                    </w:rPr>
                    <w:t>（t/a）</w:t>
                  </w:r>
                </w:p>
              </w:tc>
              <w:tc>
                <w:tcPr>
                  <w:tcW w:w="1899" w:type="dxa"/>
                  <w:tcBorders>
                    <w:top w:val="single" w:color="auto" w:sz="12" w:space="0"/>
                  </w:tcBorders>
                  <w:vAlign w:val="center"/>
                </w:tcPr>
                <w:p w14:paraId="00C80C2B">
                  <w:pPr>
                    <w:spacing w:line="240" w:lineRule="auto"/>
                    <w:jc w:val="center"/>
                    <w:rPr>
                      <w:rFonts w:hint="default" w:ascii="Times New Roman" w:hAnsi="Times New Roman" w:eastAsia="宋体" w:cs="Times New Roman"/>
                      <w:b w:val="0"/>
                      <w:bCs w:val="0"/>
                      <w:color w:val="000000" w:themeColor="text1"/>
                      <w:sz w:val="21"/>
                      <w:szCs w:val="21"/>
                    </w:rPr>
                  </w:pPr>
                  <w:r>
                    <w:rPr>
                      <w:rFonts w:hint="eastAsia" w:ascii="Times New Roman" w:hAnsi="Times New Roman" w:cs="Times New Roman"/>
                      <w:b w:val="0"/>
                      <w:bCs w:val="0"/>
                      <w:color w:val="000000" w:themeColor="text1"/>
                      <w:sz w:val="21"/>
                      <w:szCs w:val="21"/>
                      <w:lang w:val="en-US" w:eastAsia="zh-CN"/>
                    </w:rPr>
                    <w:t>0.26</w:t>
                  </w:r>
                  <w:r>
                    <w:rPr>
                      <w:rFonts w:hint="default" w:ascii="Times New Roman" w:hAnsi="Times New Roman" w:eastAsia="宋体" w:cs="Times New Roman"/>
                      <w:b w:val="0"/>
                      <w:bCs w:val="0"/>
                      <w:color w:val="000000" w:themeColor="text1"/>
                      <w:sz w:val="21"/>
                      <w:szCs w:val="21"/>
                    </w:rPr>
                    <w:t>（t/a）</w:t>
                  </w:r>
                </w:p>
              </w:tc>
            </w:tr>
            <w:tr w14:paraId="41EE4C6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23" w:type="dxa"/>
                  <w:vMerge w:val="continue"/>
                  <w:vAlign w:val="center"/>
                </w:tcPr>
                <w:p w14:paraId="7DD42A6E">
                  <w:pPr>
                    <w:spacing w:line="240" w:lineRule="auto"/>
                    <w:jc w:val="center"/>
                    <w:rPr>
                      <w:rFonts w:hint="default" w:ascii="Times New Roman" w:hAnsi="Times New Roman" w:eastAsia="宋体" w:cs="Times New Roman"/>
                      <w:color w:val="000000" w:themeColor="text1"/>
                      <w:sz w:val="21"/>
                      <w:szCs w:val="21"/>
                    </w:rPr>
                  </w:pPr>
                </w:p>
              </w:tc>
              <w:tc>
                <w:tcPr>
                  <w:tcW w:w="1402" w:type="dxa"/>
                  <w:vAlign w:val="center"/>
                </w:tcPr>
                <w:p w14:paraId="7CFC779A">
                  <w:pPr>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柴油</w:t>
                  </w:r>
                </w:p>
              </w:tc>
              <w:tc>
                <w:tcPr>
                  <w:tcW w:w="1898" w:type="dxa"/>
                  <w:vAlign w:val="center"/>
                </w:tcPr>
                <w:p w14:paraId="7BAF3968">
                  <w:pPr>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0.05</w:t>
                  </w:r>
                </w:p>
              </w:tc>
              <w:tc>
                <w:tcPr>
                  <w:tcW w:w="1898" w:type="dxa"/>
                  <w:vAlign w:val="center"/>
                </w:tcPr>
                <w:p w14:paraId="2E5D5371">
                  <w:pPr>
                    <w:spacing w:line="240" w:lineRule="auto"/>
                    <w:jc w:val="center"/>
                    <w:rPr>
                      <w:rFonts w:hint="default" w:ascii="Times New Roman" w:hAnsi="Times New Roman" w:eastAsia="宋体" w:cs="Times New Roman"/>
                      <w:b w:val="0"/>
                      <w:bCs w:val="0"/>
                      <w:color w:val="000000" w:themeColor="text1"/>
                      <w:sz w:val="21"/>
                      <w:szCs w:val="21"/>
                    </w:rPr>
                  </w:pPr>
                  <w:r>
                    <w:rPr>
                      <w:rFonts w:hint="eastAsia" w:ascii="Times New Roman" w:hAnsi="Times New Roman" w:cs="Times New Roman"/>
                      <w:b w:val="0"/>
                      <w:bCs w:val="0"/>
                      <w:color w:val="000000" w:themeColor="text1"/>
                      <w:sz w:val="21"/>
                      <w:szCs w:val="21"/>
                      <w:lang w:val="en-US" w:eastAsia="zh-CN"/>
                    </w:rPr>
                    <w:t>1</w:t>
                  </w:r>
                  <w:r>
                    <w:rPr>
                      <w:rFonts w:hint="default" w:ascii="Times New Roman" w:hAnsi="Times New Roman" w:eastAsia="宋体" w:cs="Times New Roman"/>
                      <w:b w:val="0"/>
                      <w:bCs w:val="0"/>
                      <w:color w:val="000000" w:themeColor="text1"/>
                      <w:sz w:val="21"/>
                      <w:szCs w:val="21"/>
                    </w:rPr>
                    <w:t>（t/a）</w:t>
                  </w:r>
                </w:p>
              </w:tc>
              <w:tc>
                <w:tcPr>
                  <w:tcW w:w="1899" w:type="dxa"/>
                  <w:vAlign w:val="center"/>
                </w:tcPr>
                <w:p w14:paraId="0851EB3B">
                  <w:pPr>
                    <w:spacing w:line="240" w:lineRule="auto"/>
                    <w:jc w:val="center"/>
                    <w:rPr>
                      <w:rFonts w:hint="default" w:ascii="Times New Roman" w:hAnsi="Times New Roman" w:eastAsia="宋体" w:cs="Times New Roman"/>
                      <w:b w:val="0"/>
                      <w:bCs w:val="0"/>
                      <w:color w:val="000000" w:themeColor="text1"/>
                      <w:sz w:val="21"/>
                      <w:szCs w:val="21"/>
                    </w:rPr>
                  </w:pPr>
                  <w:r>
                    <w:rPr>
                      <w:rFonts w:hint="eastAsia" w:ascii="Times New Roman" w:hAnsi="Times New Roman" w:cs="Times New Roman"/>
                      <w:b w:val="0"/>
                      <w:bCs w:val="0"/>
                      <w:color w:val="000000" w:themeColor="text1"/>
                      <w:sz w:val="21"/>
                      <w:szCs w:val="21"/>
                      <w:lang w:val="en-US" w:eastAsia="zh-CN"/>
                    </w:rPr>
                    <w:t>0.1</w:t>
                  </w:r>
                  <w:r>
                    <w:rPr>
                      <w:rFonts w:hint="default" w:ascii="Times New Roman" w:hAnsi="Times New Roman" w:eastAsia="宋体" w:cs="Times New Roman"/>
                      <w:b w:val="0"/>
                      <w:bCs w:val="0"/>
                      <w:color w:val="000000" w:themeColor="text1"/>
                      <w:sz w:val="21"/>
                      <w:szCs w:val="21"/>
                    </w:rPr>
                    <w:t>（t/a）</w:t>
                  </w:r>
                </w:p>
              </w:tc>
            </w:tr>
            <w:tr w14:paraId="2A2F700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23" w:type="dxa"/>
                  <w:vMerge w:val="restart"/>
                  <w:vAlign w:val="center"/>
                </w:tcPr>
                <w:p w14:paraId="726E55AE">
                  <w:pPr>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零售过程</w:t>
                  </w:r>
                </w:p>
              </w:tc>
              <w:tc>
                <w:tcPr>
                  <w:tcW w:w="1402" w:type="dxa"/>
                  <w:vAlign w:val="center"/>
                </w:tcPr>
                <w:p w14:paraId="1816F753">
                  <w:pPr>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汽油</w:t>
                  </w:r>
                </w:p>
              </w:tc>
              <w:tc>
                <w:tcPr>
                  <w:tcW w:w="1898" w:type="dxa"/>
                  <w:vAlign w:val="center"/>
                </w:tcPr>
                <w:p w14:paraId="3E51AB97">
                  <w:pPr>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0.29</w:t>
                  </w:r>
                </w:p>
              </w:tc>
              <w:tc>
                <w:tcPr>
                  <w:tcW w:w="1898" w:type="dxa"/>
                  <w:vAlign w:val="center"/>
                </w:tcPr>
                <w:p w14:paraId="149C4A6A">
                  <w:pPr>
                    <w:spacing w:line="240" w:lineRule="auto"/>
                    <w:jc w:val="center"/>
                    <w:rPr>
                      <w:rFonts w:hint="default" w:ascii="Times New Roman" w:hAnsi="Times New Roman" w:eastAsia="宋体" w:cs="Times New Roman"/>
                      <w:b w:val="0"/>
                      <w:bCs w:val="0"/>
                      <w:color w:val="000000" w:themeColor="text1"/>
                      <w:sz w:val="21"/>
                      <w:szCs w:val="21"/>
                    </w:rPr>
                  </w:pPr>
                  <w:r>
                    <w:rPr>
                      <w:rFonts w:hint="eastAsia" w:ascii="Times New Roman" w:hAnsi="Times New Roman" w:cs="Times New Roman"/>
                      <w:b w:val="0"/>
                      <w:bCs w:val="0"/>
                      <w:color w:val="000000" w:themeColor="text1"/>
                      <w:sz w:val="21"/>
                      <w:szCs w:val="21"/>
                      <w:lang w:val="en-US" w:eastAsia="zh-CN"/>
                    </w:rPr>
                    <w:t>5.8</w:t>
                  </w:r>
                  <w:r>
                    <w:rPr>
                      <w:rFonts w:hint="default" w:ascii="Times New Roman" w:hAnsi="Times New Roman" w:eastAsia="宋体" w:cs="Times New Roman"/>
                      <w:b w:val="0"/>
                      <w:bCs w:val="0"/>
                      <w:color w:val="000000" w:themeColor="text1"/>
                      <w:sz w:val="21"/>
                      <w:szCs w:val="21"/>
                    </w:rPr>
                    <w:t>（t/a）</w:t>
                  </w:r>
                </w:p>
              </w:tc>
              <w:tc>
                <w:tcPr>
                  <w:tcW w:w="1899" w:type="dxa"/>
                  <w:vAlign w:val="center"/>
                </w:tcPr>
                <w:p w14:paraId="647F311A">
                  <w:pPr>
                    <w:spacing w:line="240" w:lineRule="auto"/>
                    <w:jc w:val="center"/>
                    <w:rPr>
                      <w:rFonts w:hint="default" w:ascii="Times New Roman" w:hAnsi="Times New Roman" w:eastAsia="宋体" w:cs="Times New Roman"/>
                      <w:b w:val="0"/>
                      <w:bCs w:val="0"/>
                      <w:color w:val="000000" w:themeColor="text1"/>
                      <w:sz w:val="21"/>
                      <w:szCs w:val="21"/>
                    </w:rPr>
                  </w:pPr>
                  <w:r>
                    <w:rPr>
                      <w:rFonts w:hint="eastAsia" w:ascii="Times New Roman" w:hAnsi="Times New Roman" w:cs="Times New Roman"/>
                      <w:b w:val="0"/>
                      <w:bCs w:val="0"/>
                      <w:color w:val="000000" w:themeColor="text1"/>
                      <w:sz w:val="21"/>
                      <w:szCs w:val="21"/>
                      <w:lang w:val="en-US" w:eastAsia="zh-CN"/>
                    </w:rPr>
                    <w:t>0.58</w:t>
                  </w:r>
                  <w:r>
                    <w:rPr>
                      <w:rFonts w:hint="default" w:ascii="Times New Roman" w:hAnsi="Times New Roman" w:eastAsia="宋体" w:cs="Times New Roman"/>
                      <w:b w:val="0"/>
                      <w:bCs w:val="0"/>
                      <w:color w:val="000000" w:themeColor="text1"/>
                      <w:sz w:val="21"/>
                      <w:szCs w:val="21"/>
                    </w:rPr>
                    <w:t>（t/a）</w:t>
                  </w:r>
                </w:p>
              </w:tc>
            </w:tr>
            <w:tr w14:paraId="7D3F0FF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23" w:type="dxa"/>
                  <w:vMerge w:val="continue"/>
                  <w:vAlign w:val="center"/>
                </w:tcPr>
                <w:p w14:paraId="7DABBE8E">
                  <w:pPr>
                    <w:spacing w:line="240" w:lineRule="auto"/>
                    <w:jc w:val="center"/>
                    <w:rPr>
                      <w:rFonts w:hint="default" w:ascii="Times New Roman" w:hAnsi="Times New Roman" w:eastAsia="宋体" w:cs="Times New Roman"/>
                      <w:color w:val="000000" w:themeColor="text1"/>
                      <w:sz w:val="21"/>
                      <w:szCs w:val="21"/>
                    </w:rPr>
                  </w:pPr>
                </w:p>
              </w:tc>
              <w:tc>
                <w:tcPr>
                  <w:tcW w:w="1402" w:type="dxa"/>
                  <w:vAlign w:val="center"/>
                </w:tcPr>
                <w:p w14:paraId="1E38E177">
                  <w:pPr>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柴油</w:t>
                  </w:r>
                </w:p>
              </w:tc>
              <w:tc>
                <w:tcPr>
                  <w:tcW w:w="1898" w:type="dxa"/>
                  <w:vAlign w:val="center"/>
                </w:tcPr>
                <w:p w14:paraId="16CEB6E2">
                  <w:pPr>
                    <w:spacing w:line="240" w:lineRule="auto"/>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0.08</w:t>
                  </w:r>
                </w:p>
              </w:tc>
              <w:tc>
                <w:tcPr>
                  <w:tcW w:w="1898" w:type="dxa"/>
                  <w:vAlign w:val="center"/>
                </w:tcPr>
                <w:p w14:paraId="421CBFBD">
                  <w:pPr>
                    <w:spacing w:line="240" w:lineRule="auto"/>
                    <w:jc w:val="center"/>
                    <w:rPr>
                      <w:rFonts w:hint="default" w:ascii="Times New Roman" w:hAnsi="Times New Roman" w:eastAsia="宋体" w:cs="Times New Roman"/>
                      <w:b w:val="0"/>
                      <w:bCs w:val="0"/>
                      <w:color w:val="000000" w:themeColor="text1"/>
                      <w:sz w:val="21"/>
                      <w:szCs w:val="21"/>
                    </w:rPr>
                  </w:pPr>
                  <w:r>
                    <w:rPr>
                      <w:rFonts w:hint="eastAsia" w:ascii="Times New Roman" w:hAnsi="Times New Roman" w:cs="Times New Roman"/>
                      <w:b w:val="0"/>
                      <w:bCs w:val="0"/>
                      <w:color w:val="000000" w:themeColor="text1"/>
                      <w:sz w:val="21"/>
                      <w:szCs w:val="21"/>
                      <w:lang w:val="en-US" w:eastAsia="zh-CN"/>
                    </w:rPr>
                    <w:t>1.6</w:t>
                  </w:r>
                  <w:r>
                    <w:rPr>
                      <w:rFonts w:hint="default" w:ascii="Times New Roman" w:hAnsi="Times New Roman" w:eastAsia="宋体" w:cs="Times New Roman"/>
                      <w:b w:val="0"/>
                      <w:bCs w:val="0"/>
                      <w:color w:val="000000" w:themeColor="text1"/>
                      <w:sz w:val="21"/>
                      <w:szCs w:val="21"/>
                    </w:rPr>
                    <w:t>（t/a）</w:t>
                  </w:r>
                </w:p>
              </w:tc>
              <w:tc>
                <w:tcPr>
                  <w:tcW w:w="1899" w:type="dxa"/>
                  <w:vAlign w:val="center"/>
                </w:tcPr>
                <w:p w14:paraId="3A1E96C3">
                  <w:pPr>
                    <w:spacing w:line="240" w:lineRule="auto"/>
                    <w:jc w:val="center"/>
                    <w:rPr>
                      <w:rFonts w:hint="default" w:ascii="Times New Roman" w:hAnsi="Times New Roman" w:eastAsia="宋体" w:cs="Times New Roman"/>
                      <w:b w:val="0"/>
                      <w:bCs w:val="0"/>
                      <w:color w:val="000000" w:themeColor="text1"/>
                      <w:sz w:val="21"/>
                      <w:szCs w:val="21"/>
                    </w:rPr>
                  </w:pPr>
                  <w:r>
                    <w:rPr>
                      <w:rFonts w:hint="eastAsia" w:ascii="Times New Roman" w:hAnsi="Times New Roman" w:cs="Times New Roman"/>
                      <w:b w:val="0"/>
                      <w:bCs w:val="0"/>
                      <w:color w:val="000000" w:themeColor="text1"/>
                      <w:sz w:val="21"/>
                      <w:szCs w:val="21"/>
                      <w:lang w:val="en-US" w:eastAsia="zh-CN"/>
                    </w:rPr>
                    <w:t>0.16</w:t>
                  </w:r>
                  <w:r>
                    <w:rPr>
                      <w:rFonts w:hint="default" w:ascii="Times New Roman" w:hAnsi="Times New Roman" w:eastAsia="宋体" w:cs="Times New Roman"/>
                      <w:b w:val="0"/>
                      <w:bCs w:val="0"/>
                      <w:color w:val="000000" w:themeColor="text1"/>
                      <w:sz w:val="21"/>
                      <w:szCs w:val="21"/>
                    </w:rPr>
                    <w:t>（t/a）</w:t>
                  </w:r>
                </w:p>
              </w:tc>
            </w:tr>
            <w:tr w14:paraId="0316EA7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23" w:type="dxa"/>
                  <w:vAlign w:val="center"/>
                </w:tcPr>
                <w:p w14:paraId="5D334217">
                  <w:pPr>
                    <w:spacing w:line="240" w:lineRule="auto"/>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加气过程</w:t>
                  </w:r>
                </w:p>
              </w:tc>
              <w:tc>
                <w:tcPr>
                  <w:tcW w:w="1402" w:type="dxa"/>
                  <w:vAlign w:val="center"/>
                </w:tcPr>
                <w:p w14:paraId="7A6DD02B">
                  <w:pPr>
                    <w:spacing w:line="240" w:lineRule="auto"/>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天然气</w:t>
                  </w:r>
                </w:p>
              </w:tc>
              <w:tc>
                <w:tcPr>
                  <w:tcW w:w="1898" w:type="dxa"/>
                  <w:vAlign w:val="center"/>
                </w:tcPr>
                <w:p w14:paraId="5663051F">
                  <w:pPr>
                    <w:spacing w:line="240" w:lineRule="auto"/>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0.001</w:t>
                  </w:r>
                </w:p>
              </w:tc>
              <w:tc>
                <w:tcPr>
                  <w:tcW w:w="1898" w:type="dxa"/>
                  <w:vAlign w:val="center"/>
                </w:tcPr>
                <w:p w14:paraId="53AE40DA">
                  <w:pPr>
                    <w:spacing w:line="240" w:lineRule="auto"/>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0.066</w:t>
                  </w:r>
                  <w:r>
                    <w:rPr>
                      <w:rFonts w:hint="default" w:ascii="Times New Roman" w:hAnsi="Times New Roman" w:eastAsia="宋体" w:cs="Times New Roman"/>
                      <w:b w:val="0"/>
                      <w:bCs w:val="0"/>
                      <w:color w:val="000000" w:themeColor="text1"/>
                      <w:sz w:val="21"/>
                      <w:szCs w:val="21"/>
                    </w:rPr>
                    <w:t>（t/a）</w:t>
                  </w:r>
                </w:p>
              </w:tc>
              <w:tc>
                <w:tcPr>
                  <w:tcW w:w="1899" w:type="dxa"/>
                  <w:vAlign w:val="center"/>
                </w:tcPr>
                <w:p w14:paraId="7973FF73">
                  <w:pPr>
                    <w:spacing w:line="240" w:lineRule="auto"/>
                    <w:jc w:val="center"/>
                    <w:rPr>
                      <w:rFonts w:hint="default" w:ascii="Times New Roman" w:hAnsi="Times New Roman" w:eastAsia="宋体" w:cs="Times New Roman"/>
                      <w:color w:val="000000" w:themeColor="text1"/>
                      <w:sz w:val="21"/>
                      <w:szCs w:val="21"/>
                    </w:rPr>
                  </w:pPr>
                  <w:r>
                    <w:rPr>
                      <w:rFonts w:hint="eastAsia" w:ascii="Times New Roman" w:hAnsi="Times New Roman" w:cs="Times New Roman"/>
                      <w:color w:val="000000" w:themeColor="text1"/>
                      <w:sz w:val="21"/>
                      <w:szCs w:val="21"/>
                      <w:lang w:val="en-US" w:eastAsia="zh-CN"/>
                    </w:rPr>
                    <w:t>0.066</w:t>
                  </w:r>
                  <w:r>
                    <w:rPr>
                      <w:rFonts w:hint="default" w:ascii="Times New Roman" w:hAnsi="Times New Roman" w:eastAsia="宋体" w:cs="Times New Roman"/>
                      <w:b w:val="0"/>
                      <w:bCs w:val="0"/>
                      <w:color w:val="000000" w:themeColor="text1"/>
                      <w:sz w:val="21"/>
                      <w:szCs w:val="21"/>
                    </w:rPr>
                    <w:t>（t/a</w:t>
                  </w:r>
                  <w:r>
                    <w:rPr>
                      <w:rFonts w:hint="eastAsia" w:ascii="Times New Roman" w:hAnsi="Times New Roman" w:cs="Times New Roman"/>
                      <w:b w:val="0"/>
                      <w:bCs w:val="0"/>
                      <w:color w:val="000000" w:themeColor="text1"/>
                      <w:sz w:val="21"/>
                      <w:szCs w:val="21"/>
                      <w:lang w:eastAsia="zh-CN"/>
                    </w:rPr>
                    <w:t>）</w:t>
                  </w:r>
                </w:p>
              </w:tc>
            </w:tr>
            <w:tr w14:paraId="739263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423" w:type="dxa"/>
                  <w:gridSpan w:val="3"/>
                  <w:vAlign w:val="center"/>
                </w:tcPr>
                <w:p w14:paraId="703EE4D2">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合计（非甲烷总烃）</w:t>
                  </w:r>
                </w:p>
              </w:tc>
              <w:tc>
                <w:tcPr>
                  <w:tcW w:w="1898" w:type="dxa"/>
                  <w:vAlign w:val="center"/>
                </w:tcPr>
                <w:p w14:paraId="2187FEFC">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11.066</w:t>
                  </w:r>
                  <w:r>
                    <w:rPr>
                      <w:rFonts w:hint="default" w:ascii="Times New Roman" w:hAnsi="Times New Roman" w:eastAsia="宋体" w:cs="Times New Roman"/>
                      <w:b w:val="0"/>
                      <w:bCs w:val="0"/>
                      <w:color w:val="000000" w:themeColor="text1"/>
                      <w:sz w:val="21"/>
                      <w:szCs w:val="21"/>
                    </w:rPr>
                    <w:t>（t/a</w:t>
                  </w:r>
                  <w:r>
                    <w:rPr>
                      <w:rFonts w:hint="eastAsia" w:ascii="Times New Roman" w:hAnsi="Times New Roman" w:cs="Times New Roman"/>
                      <w:b w:val="0"/>
                      <w:bCs w:val="0"/>
                      <w:color w:val="000000" w:themeColor="text1"/>
                      <w:sz w:val="21"/>
                      <w:szCs w:val="21"/>
                      <w:lang w:eastAsia="zh-CN"/>
                    </w:rPr>
                    <w:t>）</w:t>
                  </w:r>
                </w:p>
              </w:tc>
              <w:tc>
                <w:tcPr>
                  <w:tcW w:w="1899" w:type="dxa"/>
                  <w:vAlign w:val="center"/>
                </w:tcPr>
                <w:p w14:paraId="1BEC18C7">
                  <w:pPr>
                    <w:spacing w:line="240" w:lineRule="auto"/>
                    <w:jc w:val="center"/>
                    <w:rPr>
                      <w:rFonts w:hint="eastAsia" w:ascii="Times New Roman" w:hAnsi="Times New Roman"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1.1</w:t>
                  </w:r>
                  <w:r>
                    <w:rPr>
                      <w:rFonts w:hint="default" w:ascii="Times New Roman" w:hAnsi="Times New Roman" w:eastAsia="宋体" w:cs="Times New Roman"/>
                      <w:b w:val="0"/>
                      <w:bCs w:val="0"/>
                      <w:color w:val="000000" w:themeColor="text1"/>
                      <w:sz w:val="21"/>
                      <w:szCs w:val="21"/>
                    </w:rPr>
                    <w:t>（t/a</w:t>
                  </w:r>
                  <w:r>
                    <w:rPr>
                      <w:rFonts w:hint="eastAsia" w:ascii="Times New Roman" w:hAnsi="Times New Roman" w:cs="Times New Roman"/>
                      <w:b w:val="0"/>
                      <w:bCs w:val="0"/>
                      <w:color w:val="000000" w:themeColor="text1"/>
                      <w:sz w:val="21"/>
                      <w:szCs w:val="21"/>
                      <w:lang w:eastAsia="zh-CN"/>
                    </w:rPr>
                    <w:t>）</w:t>
                  </w:r>
                </w:p>
              </w:tc>
            </w:tr>
          </w:tbl>
          <w:p w14:paraId="14910DBB">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废气治理措施</w:t>
            </w:r>
            <w:r>
              <w:rPr>
                <w:rFonts w:hint="default" w:ascii="Times New Roman" w:hAnsi="Times New Roman" w:eastAsia="宋体" w:cs="Times New Roman"/>
                <w:color w:val="000000" w:themeColor="text1"/>
                <w:sz w:val="24"/>
                <w:szCs w:val="24"/>
                <w:lang w:eastAsia="zh-CN"/>
              </w:rPr>
              <w:t>：</w:t>
            </w:r>
          </w:p>
          <w:p w14:paraId="3679DBEF">
            <w:pPr>
              <w:pStyle w:val="5"/>
              <w:tabs>
                <w:tab w:val="left" w:pos="1121"/>
              </w:tabs>
              <w:spacing w:line="360" w:lineRule="auto"/>
              <w:ind w:firstLine="524" w:firstLineChars="200"/>
              <w:rPr>
                <w:rFonts w:hint="default" w:ascii="Times New Roman" w:hAnsi="Times New Roman" w:eastAsia="宋体" w:cs="Times New Roman"/>
                <w:color w:val="000000" w:themeColor="text1"/>
                <w:spacing w:val="11"/>
                <w:sz w:val="24"/>
                <w:szCs w:val="24"/>
              </w:rPr>
            </w:pPr>
            <w:r>
              <w:rPr>
                <w:rFonts w:hint="default" w:ascii="Times New Roman" w:hAnsi="Times New Roman" w:eastAsia="宋体" w:cs="Times New Roman"/>
                <w:color w:val="000000" w:themeColor="text1"/>
                <w:spacing w:val="11"/>
                <w:sz w:val="24"/>
                <w:szCs w:val="24"/>
              </w:rPr>
              <w:t>根据《汽车加油加气站设计与施工规范》的要求：</w:t>
            </w:r>
          </w:p>
          <w:p w14:paraId="19DE0460">
            <w:pPr>
              <w:pStyle w:val="5"/>
              <w:tabs>
                <w:tab w:val="left" w:pos="1121"/>
              </w:tabs>
              <w:spacing w:line="360" w:lineRule="auto"/>
              <w:ind w:firstLine="480" w:firstLineChars="200"/>
              <w:rPr>
                <w:rFonts w:hint="default" w:ascii="Times New Roman" w:hAnsi="Times New Roman" w:eastAsia="宋体" w:cs="Times New Roman"/>
                <w:color w:val="000000" w:themeColor="text1"/>
                <w:spacing w:val="12"/>
                <w:sz w:val="24"/>
                <w:szCs w:val="24"/>
              </w:rPr>
            </w:pPr>
            <w:r>
              <w:rPr>
                <w:rFonts w:hint="default" w:ascii="Times New Roman" w:hAnsi="Times New Roman" w:eastAsia="宋体" w:cs="Times New Roman"/>
                <w:color w:val="000000" w:themeColor="text1"/>
                <w:sz w:val="24"/>
                <w:szCs w:val="24"/>
                <w:lang w:eastAsia="zh-CN"/>
              </w:rPr>
              <w:t>（</w:t>
            </w:r>
            <w:r>
              <w:rPr>
                <w:rFonts w:hint="default" w:ascii="Times New Roman" w:hAnsi="Times New Roman" w:eastAsia="宋体" w:cs="Times New Roman"/>
                <w:color w:val="000000" w:themeColor="text1"/>
                <w:sz w:val="24"/>
                <w:szCs w:val="24"/>
                <w:lang w:val="en-US" w:eastAsia="zh-CN"/>
              </w:rPr>
              <w:t>1</w:t>
            </w:r>
            <w:r>
              <w:rPr>
                <w:rFonts w:hint="default" w:ascii="Times New Roman" w:hAnsi="Times New Roman" w:eastAsia="宋体" w:cs="Times New Roman"/>
                <w:color w:val="000000" w:themeColor="text1"/>
                <w:sz w:val="24"/>
                <w:szCs w:val="24"/>
                <w:lang w:eastAsia="zh-CN"/>
              </w:rPr>
              <w:t>）</w:t>
            </w:r>
            <w:r>
              <w:rPr>
                <w:rFonts w:hint="default" w:ascii="Times New Roman" w:hAnsi="Times New Roman" w:eastAsia="宋体" w:cs="Times New Roman"/>
                <w:color w:val="000000" w:themeColor="text1"/>
                <w:spacing w:val="12"/>
                <w:sz w:val="24"/>
                <w:szCs w:val="24"/>
              </w:rPr>
              <w:t>新建储油库、加油站和新配置的油罐车，必须同步配备油气回收装置。</w:t>
            </w:r>
          </w:p>
          <w:p w14:paraId="65214D39">
            <w:pPr>
              <w:pStyle w:val="5"/>
              <w:tabs>
                <w:tab w:val="left" w:pos="1121"/>
              </w:tabs>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lang w:eastAsia="zh-CN"/>
              </w:rPr>
              <w:t>（</w:t>
            </w:r>
            <w:r>
              <w:rPr>
                <w:rFonts w:hint="default" w:ascii="Times New Roman" w:hAnsi="Times New Roman" w:eastAsia="宋体" w:cs="Times New Roman"/>
                <w:color w:val="000000" w:themeColor="text1"/>
                <w:sz w:val="24"/>
                <w:szCs w:val="24"/>
                <w:lang w:val="en-US" w:eastAsia="zh-CN"/>
              </w:rPr>
              <w:t>2</w:t>
            </w:r>
            <w:r>
              <w:rPr>
                <w:rFonts w:hint="default" w:ascii="Times New Roman" w:hAnsi="Times New Roman" w:eastAsia="宋体" w:cs="Times New Roman"/>
                <w:color w:val="000000" w:themeColor="text1"/>
                <w:sz w:val="24"/>
                <w:szCs w:val="24"/>
                <w:lang w:eastAsia="zh-CN"/>
              </w:rPr>
              <w:t>）</w:t>
            </w:r>
            <w:r>
              <w:rPr>
                <w:rFonts w:hint="default" w:ascii="Times New Roman" w:hAnsi="Times New Roman" w:eastAsia="宋体" w:cs="Times New Roman"/>
                <w:color w:val="000000" w:themeColor="text1"/>
                <w:spacing w:val="12"/>
                <w:sz w:val="24"/>
                <w:szCs w:val="24"/>
              </w:rPr>
              <w:t>对加油站的治理措施主要为铺设油气回收管线和采用油气回收性的加油</w:t>
            </w:r>
            <w:r>
              <w:rPr>
                <w:rFonts w:hint="default" w:ascii="Times New Roman" w:hAnsi="Times New Roman" w:eastAsia="宋体" w:cs="Times New Roman"/>
                <w:color w:val="000000" w:themeColor="text1"/>
                <w:sz w:val="24"/>
                <w:szCs w:val="24"/>
              </w:rPr>
              <w:t>枪，安装一次、二次油气回收装置。本项目采取的治理措施为：铺设油气回收管线；采用油气回收性的加油枪；安装一次和二次油气回收装置。 一次油气回收阶段（即卸油油气回收系统）是通过压力平衡原理，将在卸油过程中挥发的油气收集到油罐车内，运回储油库进行油气回收处理的过程。卸油和油气回收接口安装有节流阀、密封式快速接头盒冒盖，以防止油气挥发泄露。</w:t>
            </w:r>
          </w:p>
          <w:p w14:paraId="5AEA945F">
            <w:pPr>
              <w:pStyle w:val="5"/>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二次油气回收阶段（即加油过程油气回收系统）在加油站为汽车加油过程中，通过真空泵产生一定真空度，经过加油枪、油气回收管、真空泵等油气回收设备，按照气液比控制在1.0~1.2</w:t>
            </w:r>
            <w:r>
              <w:rPr>
                <w:rFonts w:hint="default" w:ascii="Times New Roman" w:hAnsi="Times New Roman" w:eastAsia="宋体" w:cs="Times New Roman"/>
                <w:color w:val="000000" w:themeColor="text1"/>
                <w:spacing w:val="-4"/>
                <w:sz w:val="24"/>
                <w:szCs w:val="24"/>
              </w:rPr>
              <w:t>之间的要求，将加油过程中挥发的油气回收到油罐内。</w:t>
            </w:r>
          </w:p>
          <w:p w14:paraId="031A3968">
            <w:pPr>
              <w:pStyle w:val="5"/>
              <w:tabs>
                <w:tab w:val="left" w:pos="1121"/>
              </w:tabs>
              <w:spacing w:line="360" w:lineRule="auto"/>
              <w:ind w:firstLine="472"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pacing w:val="-2"/>
                <w:sz w:val="24"/>
                <w:szCs w:val="24"/>
              </w:rPr>
              <w:t>根据《加油站大气污染物排放标准》（GB20952-2007）的相关要求，本项目</w:t>
            </w:r>
            <w:r>
              <w:rPr>
                <w:rFonts w:hint="default" w:ascii="Times New Roman" w:hAnsi="Times New Roman" w:eastAsia="宋体" w:cs="Times New Roman"/>
                <w:color w:val="000000" w:themeColor="text1"/>
                <w:sz w:val="24"/>
                <w:szCs w:val="24"/>
              </w:rPr>
              <w:t>废气处理应采</w:t>
            </w:r>
            <w:r>
              <w:rPr>
                <w:rFonts w:hint="eastAsia" w:cs="Times New Roman"/>
                <w:color w:val="000000" w:themeColor="text1"/>
                <w:sz w:val="24"/>
                <w:szCs w:val="24"/>
                <w:lang w:val="en-US" w:eastAsia="zh-CN"/>
              </w:rPr>
              <w:t>取</w:t>
            </w:r>
            <w:r>
              <w:rPr>
                <w:rFonts w:hint="default" w:ascii="Times New Roman" w:hAnsi="Times New Roman" w:eastAsia="宋体" w:cs="Times New Roman"/>
                <w:color w:val="000000" w:themeColor="text1"/>
                <w:sz w:val="24"/>
                <w:szCs w:val="24"/>
              </w:rPr>
              <w:t>以下措施：</w:t>
            </w:r>
          </w:p>
          <w:p w14:paraId="729AF310">
            <w:pPr>
              <w:pStyle w:val="5"/>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lang w:val="en-US" w:eastAsia="zh-CN"/>
              </w:rPr>
              <w:t>①</w:t>
            </w:r>
            <w:r>
              <w:rPr>
                <w:rFonts w:hint="default" w:ascii="Times New Roman" w:hAnsi="Times New Roman" w:eastAsia="宋体" w:cs="Times New Roman"/>
                <w:color w:val="000000" w:themeColor="text1"/>
                <w:sz w:val="24"/>
                <w:szCs w:val="24"/>
              </w:rPr>
              <w:t>保持油品灌装率处于较高值，减少储罐中的油气空间，起到降低油蒸气损耗的目的。</w:t>
            </w:r>
          </w:p>
          <w:p w14:paraId="11BC2A52">
            <w:pPr>
              <w:pStyle w:val="5"/>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lang w:val="en-US" w:eastAsia="zh-CN"/>
              </w:rPr>
              <w:t>②</w:t>
            </w:r>
            <w:r>
              <w:rPr>
                <w:rFonts w:hint="default" w:ascii="Times New Roman" w:hAnsi="Times New Roman" w:eastAsia="宋体" w:cs="Times New Roman"/>
                <w:color w:val="000000" w:themeColor="text1"/>
                <w:sz w:val="24"/>
                <w:szCs w:val="24"/>
              </w:rPr>
              <w:t>油罐车卸油必须采用密闭卸油方式，并对卸油及充装采取油气回收系统，储罐通气管管口应安装机械呼吸阀，以减少油料进出时的挠动蒸发。采用密闭式量油（液位仪）工艺。</w:t>
            </w:r>
          </w:p>
          <w:p w14:paraId="5054AC11">
            <w:pPr>
              <w:pStyle w:val="5"/>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lang w:val="en-US" w:eastAsia="zh-CN"/>
              </w:rPr>
              <w:t>③</w:t>
            </w:r>
            <w:r>
              <w:rPr>
                <w:rFonts w:hint="default" w:ascii="Times New Roman" w:hAnsi="Times New Roman" w:eastAsia="宋体" w:cs="Times New Roman"/>
                <w:color w:val="000000" w:themeColor="text1"/>
                <w:sz w:val="24"/>
                <w:szCs w:val="24"/>
              </w:rPr>
              <w:t>输油管线采用“耐油、耐土壤腐蚀、导静电”的非金属环保地下输油管道。</w:t>
            </w:r>
          </w:p>
          <w:p w14:paraId="704EC2DD">
            <w:pPr>
              <w:pStyle w:val="5"/>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lang w:val="en-US" w:eastAsia="zh-CN"/>
              </w:rPr>
              <w:t>④</w:t>
            </w:r>
            <w:r>
              <w:rPr>
                <w:rFonts w:hint="default" w:ascii="Times New Roman" w:hAnsi="Times New Roman" w:eastAsia="宋体" w:cs="Times New Roman"/>
                <w:color w:val="000000" w:themeColor="text1"/>
                <w:sz w:val="24"/>
                <w:szCs w:val="24"/>
              </w:rPr>
              <w:t>进液管、液相回流管和气相回管上设止回阀，出液管和卸车用的气相平衡管上设过流阀，防止管道发生意外泄漏。</w:t>
            </w:r>
          </w:p>
          <w:p w14:paraId="6FDA5931">
            <w:pPr>
              <w:pStyle w:val="5"/>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lang w:val="en-US" w:eastAsia="zh-CN"/>
              </w:rPr>
              <w:t>⑤</w:t>
            </w:r>
            <w:r>
              <w:rPr>
                <w:rFonts w:hint="default" w:ascii="Times New Roman" w:hAnsi="Times New Roman" w:eastAsia="宋体" w:cs="Times New Roman"/>
                <w:color w:val="000000" w:themeColor="text1"/>
                <w:sz w:val="24"/>
                <w:szCs w:val="24"/>
              </w:rPr>
              <w:t>分别在罐区、充卸台设置可燃气体检测报警系统，密切监控危险区域气体浓度，控制污染物的不正常排放，报警器宜集中设置于值班室。</w:t>
            </w:r>
          </w:p>
          <w:p w14:paraId="551C3A8B">
            <w:pPr>
              <w:pStyle w:val="5"/>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lang w:val="en-US" w:eastAsia="zh-CN"/>
              </w:rPr>
              <w:t>⑥</w:t>
            </w:r>
            <w:r>
              <w:rPr>
                <w:rFonts w:hint="default" w:ascii="Times New Roman" w:hAnsi="Times New Roman" w:eastAsia="宋体" w:cs="Times New Roman"/>
                <w:color w:val="000000" w:themeColor="text1"/>
                <w:sz w:val="24"/>
                <w:szCs w:val="24"/>
              </w:rPr>
              <w:t>储油罐通气管口高出地</w:t>
            </w:r>
            <w:r>
              <w:rPr>
                <w:rFonts w:hint="eastAsia" w:ascii="Times New Roman" w:hAnsi="Times New Roman" w:cs="Times New Roman"/>
                <w:color w:val="000000" w:themeColor="text1"/>
                <w:sz w:val="24"/>
                <w:szCs w:val="24"/>
                <w:lang w:val="en-US" w:eastAsia="zh-CN"/>
              </w:rPr>
              <w:t>面4m</w:t>
            </w:r>
            <w:r>
              <w:rPr>
                <w:rFonts w:hint="default" w:ascii="Times New Roman" w:hAnsi="Times New Roman" w:eastAsia="宋体" w:cs="Times New Roman"/>
                <w:color w:val="000000" w:themeColor="text1"/>
                <w:sz w:val="24"/>
                <w:szCs w:val="24"/>
              </w:rPr>
              <w:t>及以上，并安装阻火器。</w:t>
            </w:r>
          </w:p>
          <w:p w14:paraId="18F497FC">
            <w:pPr>
              <w:pStyle w:val="5"/>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lang w:val="en-US" w:eastAsia="zh-CN"/>
              </w:rPr>
              <w:t>⑦</w:t>
            </w:r>
            <w:r>
              <w:rPr>
                <w:rFonts w:hint="default" w:ascii="Times New Roman" w:hAnsi="Times New Roman" w:eastAsia="宋体" w:cs="Times New Roman"/>
                <w:color w:val="000000" w:themeColor="text1"/>
                <w:sz w:val="24"/>
                <w:szCs w:val="24"/>
              </w:rPr>
              <w:t>选择质量优良、密封性能好的管道、阀体、法兰、垫片和设备，并注重设备 维护、检修，每天每班检查一次，可有效减少废气的泄漏。</w:t>
            </w:r>
          </w:p>
          <w:p w14:paraId="035DDC25">
            <w:pPr>
              <w:pStyle w:val="5"/>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lang w:val="en-US" w:eastAsia="zh-CN"/>
              </w:rPr>
              <w:t>⑧</w:t>
            </w:r>
            <w:r>
              <w:rPr>
                <w:rFonts w:hint="default" w:ascii="Times New Roman" w:hAnsi="Times New Roman" w:eastAsia="宋体" w:cs="Times New Roman"/>
                <w:color w:val="000000" w:themeColor="text1"/>
                <w:sz w:val="24"/>
                <w:szCs w:val="24"/>
              </w:rPr>
              <w:t>卸油过程：设计采用密闭卸油方式卸油。汽车油罐车将汽油或者柴油运到加</w:t>
            </w:r>
            <w:r>
              <w:rPr>
                <w:rFonts w:hint="default" w:ascii="Times New Roman" w:hAnsi="Times New Roman" w:eastAsia="宋体" w:cs="Times New Roman"/>
                <w:color w:val="000000" w:themeColor="text1"/>
                <w:spacing w:val="-6"/>
                <w:sz w:val="24"/>
                <w:szCs w:val="24"/>
              </w:rPr>
              <w:t>油站，先将油罐车进行接地，经静停、计量确认后专用卸油管道（带防静电接地线）</w:t>
            </w:r>
            <w:r>
              <w:rPr>
                <w:rFonts w:hint="default" w:ascii="Times New Roman" w:hAnsi="Times New Roman" w:eastAsia="宋体" w:cs="Times New Roman"/>
                <w:color w:val="000000" w:themeColor="text1"/>
                <w:sz w:val="24"/>
                <w:szCs w:val="24"/>
              </w:rPr>
              <w:t>连接油罐及卸油口，经检查后将油料经卸油管道自留放入油罐（卸油管安装时伸至距罐底</w:t>
            </w:r>
            <w:r>
              <w:rPr>
                <w:rFonts w:hint="eastAsia" w:ascii="Times New Roman" w:hAnsi="Times New Roman" w:cs="Times New Roman"/>
                <w:color w:val="000000" w:themeColor="text1"/>
                <w:sz w:val="24"/>
                <w:szCs w:val="24"/>
                <w:lang w:val="en-US" w:eastAsia="zh-CN"/>
              </w:rPr>
              <w:t>200mm</w:t>
            </w:r>
            <w:r>
              <w:rPr>
                <w:rFonts w:hint="default" w:ascii="Times New Roman" w:hAnsi="Times New Roman" w:eastAsia="宋体" w:cs="Times New Roman"/>
                <w:color w:val="000000" w:themeColor="text1"/>
                <w:sz w:val="24"/>
                <w:szCs w:val="24"/>
              </w:rPr>
              <w:t>左右</w:t>
            </w:r>
            <w:r>
              <w:rPr>
                <w:rFonts w:hint="eastAsia" w:ascii="Times New Roman" w:hAnsi="Times New Roman" w:cs="Times New Roman"/>
                <w:color w:val="000000" w:themeColor="text1"/>
                <w:sz w:val="24"/>
                <w:szCs w:val="24"/>
                <w:lang w:eastAsia="zh-CN"/>
              </w:rPr>
              <w:t>）</w:t>
            </w:r>
          </w:p>
          <w:p w14:paraId="2148A5AC">
            <w:pPr>
              <w:pStyle w:val="5"/>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lang w:val="en-US" w:eastAsia="zh-CN"/>
              </w:rPr>
              <w:t>⑨</w:t>
            </w:r>
            <w:r>
              <w:rPr>
                <w:rFonts w:hint="default" w:ascii="Times New Roman" w:hAnsi="Times New Roman" w:eastAsia="宋体" w:cs="Times New Roman"/>
                <w:color w:val="000000" w:themeColor="text1"/>
                <w:sz w:val="24"/>
                <w:szCs w:val="24"/>
              </w:rPr>
              <w:t>加油过程：加油时将加油枪插入油箱，经检查无误后，通过微机控制器启动</w:t>
            </w:r>
            <w:r>
              <w:rPr>
                <w:rFonts w:hint="default" w:ascii="Times New Roman" w:hAnsi="Times New Roman" w:eastAsia="宋体" w:cs="Times New Roman"/>
                <w:color w:val="000000" w:themeColor="text1"/>
                <w:spacing w:val="-3"/>
                <w:sz w:val="24"/>
                <w:szCs w:val="24"/>
              </w:rPr>
              <w:t>潜油泵，将油料从油罐抽到加油机，经计量后加入汽车油箱。整个过程全部由微机自动控制，可提前输入加油量（或购油金额）后启动加油机，待加足预设油量后自</w:t>
            </w:r>
            <w:r>
              <w:rPr>
                <w:rFonts w:hint="default" w:ascii="Times New Roman" w:hAnsi="Times New Roman" w:eastAsia="宋体" w:cs="Times New Roman"/>
                <w:color w:val="000000" w:themeColor="text1"/>
                <w:sz w:val="24"/>
                <w:szCs w:val="24"/>
              </w:rPr>
              <w:t>动停机。</w:t>
            </w:r>
          </w:p>
          <w:p w14:paraId="3ACC967D">
            <w:pPr>
              <w:pStyle w:val="5"/>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482" w:firstLineChars="200"/>
              <w:jc w:val="both"/>
              <w:textAlignment w:val="auto"/>
              <w:outlineLvl w:val="9"/>
              <w:rPr>
                <w:rFonts w:hint="eastAsia" w:cs="Times New Roman"/>
                <w:b/>
                <w:bCs/>
                <w:color w:val="000000" w:themeColor="text1"/>
                <w:sz w:val="24"/>
                <w:szCs w:val="24"/>
                <w:lang w:val="en-US" w:eastAsia="zh-CN"/>
              </w:rPr>
            </w:pPr>
            <w:r>
              <w:rPr>
                <w:rFonts w:hint="eastAsia" w:cs="Times New Roman"/>
                <w:b/>
                <w:bCs/>
                <w:color w:val="000000" w:themeColor="text1"/>
                <w:sz w:val="24"/>
                <w:szCs w:val="24"/>
                <w:lang w:val="en-US" w:eastAsia="zh-CN"/>
              </w:rPr>
              <w:t>大气环境防护距离核算：</w:t>
            </w:r>
          </w:p>
          <w:p w14:paraId="299C2792">
            <w:pPr>
              <w:pStyle w:val="5"/>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rFonts w:hint="eastAsia" w:cs="Times New Roman"/>
                <w:color w:val="000000" w:themeColor="text1"/>
                <w:sz w:val="24"/>
                <w:szCs w:val="24"/>
                <w:lang w:val="en-US" w:eastAsia="zh-CN"/>
              </w:rPr>
            </w:pPr>
            <w:r>
              <w:rPr>
                <w:rFonts w:hint="eastAsia" w:cs="Times New Roman"/>
                <w:color w:val="000000" w:themeColor="text1"/>
                <w:sz w:val="24"/>
                <w:szCs w:val="24"/>
                <w:lang w:val="en-US" w:eastAsia="zh-CN"/>
              </w:rPr>
              <w:t>计算参数如下：</w:t>
            </w:r>
          </w:p>
          <w:p w14:paraId="7164475C">
            <w:pPr>
              <w:pStyle w:val="5"/>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rFonts w:hint="eastAsia" w:cs="Times New Roman"/>
                <w:color w:val="000000" w:themeColor="text1"/>
                <w:sz w:val="24"/>
                <w:szCs w:val="24"/>
                <w:lang w:val="en-US" w:eastAsia="zh-CN"/>
              </w:rPr>
            </w:pPr>
            <w:r>
              <w:rPr>
                <w:rFonts w:hint="eastAsia" w:cs="Times New Roman"/>
                <w:color w:val="000000" w:themeColor="text1"/>
                <w:sz w:val="24"/>
                <w:szCs w:val="24"/>
                <w:lang w:val="en-US" w:eastAsia="zh-CN"/>
              </w:rPr>
              <w:t>排放速率为1.1t/a，面源排放高度为3m，面源长度为15m，面源宽度为10m。</w:t>
            </w:r>
          </w:p>
          <w:p w14:paraId="761CD9F9">
            <w:pPr>
              <w:pStyle w:val="5"/>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480" w:firstLineChars="200"/>
              <w:jc w:val="both"/>
              <w:textAlignment w:val="auto"/>
              <w:outlineLvl w:val="9"/>
              <w:rPr>
                <w:rFonts w:hint="eastAsia" w:cs="Times New Roman"/>
                <w:color w:val="000000" w:themeColor="text1"/>
                <w:sz w:val="24"/>
                <w:szCs w:val="24"/>
                <w:lang w:val="en-US" w:eastAsia="zh-CN"/>
              </w:rPr>
            </w:pPr>
            <w:r>
              <w:rPr>
                <w:rFonts w:hint="eastAsia" w:cs="Times New Roman"/>
                <w:color w:val="000000" w:themeColor="text1"/>
                <w:sz w:val="24"/>
                <w:szCs w:val="24"/>
                <w:lang w:val="en-US" w:eastAsia="zh-CN"/>
              </w:rPr>
              <w:t>经计算，本项目大气防护距离无超标点，故不设置大气环境防护距离。</w:t>
            </w:r>
          </w:p>
          <w:p w14:paraId="5461D44C">
            <w:pPr>
              <w:pStyle w:val="5"/>
              <w:keepNext w:val="0"/>
              <w:keepLines w:val="0"/>
              <w:pageBreakBefore w:val="0"/>
              <w:widowControl w:val="0"/>
              <w:kinsoku/>
              <w:wordWrap/>
              <w:overflowPunct/>
              <w:topLinePunct w:val="0"/>
              <w:autoSpaceDE/>
              <w:autoSpaceDN/>
              <w:bidi w:val="0"/>
              <w:adjustRightInd/>
              <w:snapToGrid/>
              <w:spacing w:after="0" w:line="360" w:lineRule="auto"/>
              <w:ind w:left="0" w:leftChars="0" w:right="0" w:rightChars="0" w:firstLine="482" w:firstLineChars="200"/>
              <w:jc w:val="both"/>
              <w:textAlignment w:val="auto"/>
              <w:outlineLvl w:val="9"/>
              <w:rPr>
                <w:rFonts w:hint="eastAsia" w:cs="Times New Roman"/>
                <w:b/>
                <w:bCs/>
                <w:color w:val="000000" w:themeColor="text1"/>
                <w:sz w:val="24"/>
                <w:szCs w:val="24"/>
                <w:lang w:val="en-US" w:eastAsia="zh-CN"/>
              </w:rPr>
            </w:pPr>
            <w:r>
              <w:rPr>
                <w:rFonts w:hint="eastAsia" w:cs="Times New Roman"/>
                <w:b/>
                <w:bCs/>
                <w:color w:val="000000" w:themeColor="text1"/>
                <w:sz w:val="24"/>
                <w:szCs w:val="24"/>
                <w:lang w:val="en-US" w:eastAsia="zh-CN"/>
              </w:rPr>
              <w:t>卫生防护距离核算：</w:t>
            </w:r>
          </w:p>
          <w:p w14:paraId="693FB80D">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eastAsia" w:ascii="Times New Roman" w:hAnsi="Times New Roman"/>
                <w:bCs/>
                <w:color w:val="000000" w:themeColor="text1"/>
                <w:kern w:val="0"/>
                <w:sz w:val="24"/>
                <w:szCs w:val="24"/>
                <w:lang w:val="en-US" w:eastAsia="zh-CN"/>
              </w:rPr>
              <w:t>根据《制定地方大气污染物排放标准的技术方法》（GB/T13201-91）中卫生防护距离计算公式计算本项目无组织排放的废气卫生防护距离，其余有组织排放源不考虑卫生防护距离。</w:t>
            </w:r>
          </w:p>
          <w:p w14:paraId="7517F3CA">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eastAsia" w:ascii="Times New Roman" w:hAnsi="Times New Roman"/>
                <w:bCs/>
                <w:color w:val="000000" w:themeColor="text1"/>
                <w:kern w:val="0"/>
                <w:sz w:val="24"/>
                <w:szCs w:val="24"/>
                <w:lang w:val="en-US" w:eastAsia="zh-CN"/>
              </w:rPr>
              <w:t>卫生防护距离L按下式计算：</w:t>
            </w:r>
          </w:p>
          <w:p w14:paraId="48E8A099">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eastAsia" w:ascii="Times New Roman" w:hAnsi="Times New Roman"/>
                <w:bCs/>
                <w:color w:val="000000" w:themeColor="text1"/>
                <w:kern w:val="0"/>
                <w:sz w:val="24"/>
                <w:szCs w:val="24"/>
                <w:lang w:val="en-US" w:eastAsia="zh-CN"/>
              </w:rPr>
              <w:object>
                <v:shape id="_x0000_i1031" o:spt="75" type="#_x0000_t75" style="height:34.55pt;width:145.15pt;" o:ole="t" filled="f" o:preferrelative="t" stroked="f" coordsize="21600,21600">
                  <v:path/>
                  <v:fill on="f" focussize="0,0"/>
                  <v:stroke on="f" joinstyle="miter"/>
                  <v:imagedata r:id="rId15" o:title=""/>
                  <o:lock v:ext="edit" aspectratio="t"/>
                  <w10:wrap type="none"/>
                  <w10:anchorlock/>
                </v:shape>
                <o:OLEObject Type="Embed" ProgID="Equation.3" ShapeID="_x0000_i1031" DrawAspect="Content" ObjectID="_1468075727" r:id="rId14">
                  <o:LockedField>false</o:LockedField>
                </o:OLEObject>
              </w:object>
            </w:r>
          </w:p>
          <w:p w14:paraId="41688FBC">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eastAsia" w:ascii="Times New Roman" w:hAnsi="Times New Roman"/>
                <w:bCs/>
                <w:color w:val="000000" w:themeColor="text1"/>
                <w:kern w:val="0"/>
                <w:sz w:val="24"/>
                <w:szCs w:val="24"/>
                <w:lang w:val="en-US" w:eastAsia="zh-CN"/>
              </w:rPr>
              <w:t>式中：Cm——标准浓度限值（mg/m</w:t>
            </w:r>
            <w:r>
              <w:rPr>
                <w:rFonts w:hint="eastAsia" w:ascii="Times New Roman" w:hAnsi="Times New Roman"/>
                <w:bCs/>
                <w:color w:val="000000" w:themeColor="text1"/>
                <w:kern w:val="0"/>
                <w:sz w:val="24"/>
                <w:szCs w:val="24"/>
                <w:vertAlign w:val="superscript"/>
                <w:lang w:val="en-US" w:eastAsia="zh-CN"/>
              </w:rPr>
              <w:t>3</w:t>
            </w:r>
            <w:r>
              <w:rPr>
                <w:rFonts w:hint="eastAsia" w:ascii="Times New Roman" w:hAnsi="Times New Roman"/>
                <w:bCs/>
                <w:color w:val="000000" w:themeColor="text1"/>
                <w:kern w:val="0"/>
                <w:sz w:val="24"/>
                <w:szCs w:val="24"/>
                <w:lang w:val="en-US" w:eastAsia="zh-CN"/>
              </w:rPr>
              <w:t>）；</w:t>
            </w:r>
          </w:p>
          <w:p w14:paraId="2387BEAA">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eastAsia" w:ascii="Times New Roman" w:hAnsi="Times New Roman"/>
                <w:bCs/>
                <w:color w:val="000000" w:themeColor="text1"/>
                <w:kern w:val="0"/>
                <w:sz w:val="24"/>
                <w:szCs w:val="24"/>
                <w:lang w:val="en-US" w:eastAsia="zh-CN"/>
              </w:rPr>
              <w:t xml:space="preserve">      Qc——工业企业有害气体无组织排放量可以达到的控制水平（kg/h）；</w:t>
            </w:r>
          </w:p>
          <w:p w14:paraId="2A2CE788">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eastAsia" w:ascii="Times New Roman" w:hAnsi="Times New Roman"/>
                <w:bCs/>
                <w:color w:val="000000" w:themeColor="text1"/>
                <w:kern w:val="0"/>
                <w:sz w:val="24"/>
                <w:szCs w:val="24"/>
                <w:lang w:val="en-US" w:eastAsia="zh-CN"/>
              </w:rPr>
              <w:t xml:space="preserve">      r——有害气体无组织排放源所在生产单元的等效半径（m）；</w:t>
            </w:r>
          </w:p>
          <w:p w14:paraId="05217E6B">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eastAsia" w:ascii="Times New Roman" w:hAnsi="Times New Roman"/>
                <w:bCs/>
                <w:color w:val="000000" w:themeColor="text1"/>
                <w:kern w:val="0"/>
                <w:sz w:val="24"/>
                <w:szCs w:val="24"/>
                <w:lang w:val="en-US" w:eastAsia="zh-CN"/>
              </w:rPr>
              <w:t xml:space="preserve">      L——工业企业所需的卫生防护距离（m）；</w:t>
            </w:r>
          </w:p>
          <w:p w14:paraId="228E8F8D">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eastAsia" w:ascii="Times New Roman" w:hAnsi="Times New Roman"/>
                <w:bCs/>
                <w:color w:val="000000" w:themeColor="text1"/>
                <w:kern w:val="0"/>
                <w:sz w:val="24"/>
                <w:szCs w:val="24"/>
                <w:lang w:val="en-US" w:eastAsia="zh-CN"/>
              </w:rPr>
              <w:t xml:space="preserve">      A、B、C、D——卫生防护距离计算系数。</w:t>
            </w:r>
          </w:p>
          <w:p w14:paraId="6E8C0860">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eastAsia" w:ascii="Times New Roman" w:hAnsi="Times New Roman"/>
                <w:bCs/>
                <w:color w:val="000000" w:themeColor="text1"/>
                <w:kern w:val="0"/>
                <w:sz w:val="24"/>
                <w:szCs w:val="24"/>
                <w:lang w:val="en-US" w:eastAsia="zh-CN"/>
              </w:rPr>
              <w:t>根据工业企业所在地区近五年平均风速及《制定地方大气污染物排放标准原则与方法》的规定，选择的参数为：A=470、B=0.021、C=1.85、D=0.84。</w:t>
            </w:r>
          </w:p>
          <w:p w14:paraId="151744C6">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eastAsia" w:ascii="Times New Roman" w:hAnsi="Times New Roman"/>
                <w:bCs/>
                <w:color w:val="000000" w:themeColor="text1"/>
                <w:kern w:val="0"/>
                <w:sz w:val="24"/>
                <w:szCs w:val="24"/>
                <w:lang w:val="en-US" w:eastAsia="zh-CN"/>
              </w:rPr>
              <w:t>按照最不利情况选定参数，具体数值见表36。</w:t>
            </w:r>
          </w:p>
          <w:p w14:paraId="4042627F">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422" w:firstLineChars="200"/>
              <w:jc w:val="left"/>
              <w:textAlignment w:val="auto"/>
              <w:outlineLvl w:val="9"/>
              <w:rPr>
                <w:rFonts w:hint="eastAsia" w:ascii="黑体" w:hAnsi="黑体" w:eastAsia="黑体" w:cs="黑体"/>
                <w:b/>
                <w:color w:val="000000" w:themeColor="text1"/>
                <w:sz w:val="21"/>
                <w:szCs w:val="21"/>
              </w:rPr>
            </w:pPr>
            <w:r>
              <w:rPr>
                <w:rFonts w:hint="eastAsia" w:ascii="黑体" w:hAnsi="黑体" w:eastAsia="黑体" w:cs="黑体"/>
                <w:b/>
                <w:color w:val="000000" w:themeColor="text1"/>
                <w:sz w:val="21"/>
                <w:szCs w:val="21"/>
              </w:rPr>
              <w:t>表</w:t>
            </w:r>
            <w:r>
              <w:rPr>
                <w:rFonts w:hint="eastAsia" w:ascii="黑体" w:hAnsi="黑体" w:eastAsia="黑体" w:cs="黑体"/>
                <w:b/>
                <w:color w:val="000000" w:themeColor="text1"/>
                <w:sz w:val="21"/>
                <w:szCs w:val="21"/>
                <w:lang w:val="en-US" w:eastAsia="zh-CN"/>
              </w:rPr>
              <w:t>36</w:t>
            </w:r>
            <w:r>
              <w:rPr>
                <w:rFonts w:hint="eastAsia" w:ascii="黑体" w:hAnsi="黑体" w:eastAsia="黑体" w:cs="黑体"/>
                <w:b/>
                <w:color w:val="000000" w:themeColor="text1"/>
                <w:sz w:val="21"/>
                <w:szCs w:val="21"/>
              </w:rPr>
              <w:t xml:space="preserve">      </w:t>
            </w:r>
            <w:r>
              <w:rPr>
                <w:rFonts w:hint="eastAsia" w:ascii="黑体" w:hAnsi="黑体" w:eastAsia="黑体" w:cs="黑体"/>
                <w:b/>
                <w:color w:val="000000" w:themeColor="text1"/>
                <w:sz w:val="21"/>
                <w:szCs w:val="21"/>
                <w:lang w:val="en-US" w:eastAsia="zh-CN"/>
              </w:rPr>
              <w:t xml:space="preserve">             </w:t>
            </w:r>
            <w:r>
              <w:rPr>
                <w:rFonts w:hint="eastAsia" w:ascii="黑体" w:hAnsi="黑体" w:eastAsia="黑体" w:cs="黑体"/>
                <w:b/>
                <w:color w:val="000000" w:themeColor="text1"/>
                <w:sz w:val="21"/>
                <w:szCs w:val="21"/>
              </w:rPr>
              <w:t xml:space="preserve">   卫生防护距离计算结果</w:t>
            </w:r>
          </w:p>
          <w:tbl>
            <w:tblPr>
              <w:tblStyle w:val="19"/>
              <w:tblW w:w="8220" w:type="dxa"/>
              <w:jc w:val="center"/>
              <w:tblLayout w:type="fixed"/>
              <w:tblCellMar>
                <w:top w:w="0" w:type="dxa"/>
                <w:left w:w="28" w:type="dxa"/>
                <w:bottom w:w="0" w:type="dxa"/>
                <w:right w:w="28" w:type="dxa"/>
              </w:tblCellMar>
            </w:tblPr>
            <w:tblGrid>
              <w:gridCol w:w="718"/>
              <w:gridCol w:w="1103"/>
              <w:gridCol w:w="1204"/>
              <w:gridCol w:w="1027"/>
              <w:gridCol w:w="1026"/>
              <w:gridCol w:w="555"/>
              <w:gridCol w:w="649"/>
              <w:gridCol w:w="482"/>
              <w:gridCol w:w="561"/>
              <w:gridCol w:w="895"/>
            </w:tblGrid>
            <w:tr w14:paraId="1E8EB542">
              <w:trPr>
                <w:cantSplit/>
                <w:jc w:val="center"/>
              </w:trPr>
              <w:tc>
                <w:tcPr>
                  <w:tcW w:w="718" w:type="dxa"/>
                  <w:vMerge w:val="restart"/>
                  <w:tcBorders>
                    <w:top w:val="single" w:color="000000" w:sz="12" w:space="0"/>
                    <w:left w:val="nil"/>
                    <w:bottom w:val="single" w:color="000000" w:sz="4" w:space="0"/>
                    <w:right w:val="single" w:color="000000" w:sz="4" w:space="0"/>
                  </w:tcBorders>
                  <w:vAlign w:val="center"/>
                </w:tcPr>
                <w:p w14:paraId="76530CE9">
                  <w:pPr>
                    <w:spacing w:line="360" w:lineRule="exact"/>
                    <w:jc w:val="center"/>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污染源</w:t>
                  </w:r>
                </w:p>
              </w:tc>
              <w:tc>
                <w:tcPr>
                  <w:tcW w:w="1103" w:type="dxa"/>
                  <w:vMerge w:val="restart"/>
                  <w:tcBorders>
                    <w:top w:val="single" w:color="000000" w:sz="12" w:space="0"/>
                    <w:left w:val="single" w:color="000000" w:sz="4" w:space="0"/>
                    <w:bottom w:val="single" w:color="000000" w:sz="4" w:space="0"/>
                    <w:right w:val="single" w:color="000000" w:sz="4" w:space="0"/>
                  </w:tcBorders>
                  <w:vAlign w:val="center"/>
                </w:tcPr>
                <w:p w14:paraId="4678942C">
                  <w:pPr>
                    <w:spacing w:line="360" w:lineRule="exact"/>
                    <w:jc w:val="center"/>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污染因子</w:t>
                  </w:r>
                </w:p>
              </w:tc>
              <w:tc>
                <w:tcPr>
                  <w:tcW w:w="1204" w:type="dxa"/>
                  <w:vMerge w:val="restart"/>
                  <w:tcBorders>
                    <w:top w:val="single" w:color="000000" w:sz="12" w:space="0"/>
                    <w:left w:val="single" w:color="000000" w:sz="4" w:space="0"/>
                    <w:bottom w:val="single" w:color="000000" w:sz="4" w:space="0"/>
                    <w:right w:val="single" w:color="000000" w:sz="4" w:space="0"/>
                  </w:tcBorders>
                  <w:vAlign w:val="center"/>
                </w:tcPr>
                <w:p w14:paraId="1CAD9C1E">
                  <w:pPr>
                    <w:spacing w:line="360" w:lineRule="exact"/>
                    <w:jc w:val="center"/>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排放量（</w:t>
                  </w:r>
                  <w:r>
                    <w:rPr>
                      <w:rFonts w:hint="eastAsia" w:ascii="Times New Roman" w:hAnsi="Times New Roman" w:eastAsia="宋体" w:cs="Times New Roman"/>
                      <w:b/>
                      <w:bCs w:val="0"/>
                      <w:color w:val="000000" w:themeColor="text1"/>
                      <w:sz w:val="21"/>
                      <w:szCs w:val="21"/>
                      <w:lang w:val="en-US" w:eastAsia="zh-CN"/>
                    </w:rPr>
                    <w:t>t</w:t>
                  </w:r>
                  <w:r>
                    <w:rPr>
                      <w:rFonts w:hint="default" w:ascii="Times New Roman" w:hAnsi="Times New Roman" w:eastAsia="宋体" w:cs="Times New Roman"/>
                      <w:b/>
                      <w:bCs w:val="0"/>
                      <w:color w:val="000000" w:themeColor="text1"/>
                      <w:sz w:val="21"/>
                      <w:szCs w:val="21"/>
                    </w:rPr>
                    <w:t>/</w:t>
                  </w:r>
                  <w:r>
                    <w:rPr>
                      <w:rFonts w:hint="eastAsia" w:ascii="Times New Roman" w:hAnsi="Times New Roman" w:eastAsia="宋体" w:cs="Times New Roman"/>
                      <w:b/>
                      <w:bCs w:val="0"/>
                      <w:color w:val="000000" w:themeColor="text1"/>
                      <w:sz w:val="21"/>
                      <w:szCs w:val="21"/>
                      <w:lang w:val="en-US" w:eastAsia="zh-CN"/>
                    </w:rPr>
                    <w:t>a</w:t>
                  </w:r>
                  <w:r>
                    <w:rPr>
                      <w:rFonts w:hint="default" w:ascii="Times New Roman" w:hAnsi="Times New Roman" w:eastAsia="宋体" w:cs="Times New Roman"/>
                      <w:b/>
                      <w:bCs w:val="0"/>
                      <w:color w:val="000000" w:themeColor="text1"/>
                      <w:sz w:val="21"/>
                      <w:szCs w:val="21"/>
                    </w:rPr>
                    <w:t>）</w:t>
                  </w:r>
                </w:p>
              </w:tc>
              <w:tc>
                <w:tcPr>
                  <w:tcW w:w="1027" w:type="dxa"/>
                  <w:vMerge w:val="restart"/>
                  <w:tcBorders>
                    <w:top w:val="single" w:color="000000" w:sz="12" w:space="0"/>
                    <w:left w:val="single" w:color="000000" w:sz="4" w:space="0"/>
                    <w:bottom w:val="single" w:color="000000" w:sz="4" w:space="0"/>
                    <w:right w:val="single" w:color="000000" w:sz="4" w:space="0"/>
                  </w:tcBorders>
                  <w:vAlign w:val="center"/>
                </w:tcPr>
                <w:p w14:paraId="1FE64834">
                  <w:pPr>
                    <w:spacing w:line="360" w:lineRule="exact"/>
                    <w:jc w:val="center"/>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标准限值（mg/m</w:t>
                  </w:r>
                  <w:r>
                    <w:rPr>
                      <w:rFonts w:hint="default" w:ascii="Times New Roman" w:hAnsi="Times New Roman" w:eastAsia="宋体" w:cs="Times New Roman"/>
                      <w:b/>
                      <w:bCs w:val="0"/>
                      <w:color w:val="000000" w:themeColor="text1"/>
                      <w:sz w:val="21"/>
                      <w:szCs w:val="21"/>
                      <w:vertAlign w:val="superscript"/>
                    </w:rPr>
                    <w:t>3</w:t>
                  </w:r>
                  <w:r>
                    <w:rPr>
                      <w:rFonts w:hint="default" w:ascii="Times New Roman" w:hAnsi="Times New Roman" w:eastAsia="宋体" w:cs="Times New Roman"/>
                      <w:b/>
                      <w:bCs w:val="0"/>
                      <w:color w:val="000000" w:themeColor="text1"/>
                      <w:sz w:val="21"/>
                      <w:szCs w:val="21"/>
                    </w:rPr>
                    <w:t>）</w:t>
                  </w:r>
                </w:p>
              </w:tc>
              <w:tc>
                <w:tcPr>
                  <w:tcW w:w="1026" w:type="dxa"/>
                  <w:vMerge w:val="restart"/>
                  <w:tcBorders>
                    <w:top w:val="single" w:color="000000" w:sz="12" w:space="0"/>
                    <w:left w:val="single" w:color="000000" w:sz="4" w:space="0"/>
                    <w:bottom w:val="single" w:color="000000" w:sz="4" w:space="0"/>
                    <w:right w:val="single" w:color="000000" w:sz="4" w:space="0"/>
                  </w:tcBorders>
                  <w:vAlign w:val="center"/>
                </w:tcPr>
                <w:p w14:paraId="008B3C7A">
                  <w:pPr>
                    <w:spacing w:line="360" w:lineRule="exact"/>
                    <w:jc w:val="center"/>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平均风速（mg/m</w:t>
                  </w:r>
                  <w:r>
                    <w:rPr>
                      <w:rFonts w:hint="default" w:ascii="Times New Roman" w:hAnsi="Times New Roman" w:eastAsia="宋体" w:cs="Times New Roman"/>
                      <w:b/>
                      <w:bCs w:val="0"/>
                      <w:color w:val="000000" w:themeColor="text1"/>
                      <w:sz w:val="21"/>
                      <w:szCs w:val="21"/>
                      <w:vertAlign w:val="superscript"/>
                    </w:rPr>
                    <w:t>3</w:t>
                  </w:r>
                  <w:r>
                    <w:rPr>
                      <w:rFonts w:hint="default" w:ascii="Times New Roman" w:hAnsi="Times New Roman" w:eastAsia="宋体" w:cs="Times New Roman"/>
                      <w:b/>
                      <w:bCs w:val="0"/>
                      <w:color w:val="000000" w:themeColor="text1"/>
                      <w:sz w:val="21"/>
                      <w:szCs w:val="21"/>
                    </w:rPr>
                    <w:t>）</w:t>
                  </w:r>
                </w:p>
              </w:tc>
              <w:tc>
                <w:tcPr>
                  <w:tcW w:w="2247" w:type="dxa"/>
                  <w:gridSpan w:val="4"/>
                  <w:tcBorders>
                    <w:top w:val="single" w:color="000000" w:sz="12" w:space="0"/>
                    <w:left w:val="single" w:color="000000" w:sz="4" w:space="0"/>
                    <w:bottom w:val="single" w:color="000000" w:sz="4" w:space="0"/>
                    <w:right w:val="single" w:color="000000" w:sz="4" w:space="0"/>
                  </w:tcBorders>
                  <w:vAlign w:val="center"/>
                </w:tcPr>
                <w:p w14:paraId="5D52E520">
                  <w:pPr>
                    <w:spacing w:line="360" w:lineRule="exact"/>
                    <w:jc w:val="center"/>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计算系数</w:t>
                  </w:r>
                </w:p>
              </w:tc>
              <w:tc>
                <w:tcPr>
                  <w:tcW w:w="895" w:type="dxa"/>
                  <w:tcBorders>
                    <w:top w:val="single" w:color="000000" w:sz="12" w:space="0"/>
                    <w:left w:val="single" w:color="000000" w:sz="4" w:space="0"/>
                    <w:bottom w:val="single" w:color="000000" w:sz="4" w:space="0"/>
                    <w:right w:val="nil"/>
                  </w:tcBorders>
                  <w:vAlign w:val="center"/>
                </w:tcPr>
                <w:p w14:paraId="600D9DB5">
                  <w:pPr>
                    <w:spacing w:line="360" w:lineRule="exact"/>
                    <w:jc w:val="center"/>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L（m）</w:t>
                  </w:r>
                </w:p>
              </w:tc>
            </w:tr>
            <w:tr w14:paraId="3DBCC71B">
              <w:tblPrEx>
                <w:tblCellMar>
                  <w:top w:w="0" w:type="dxa"/>
                  <w:left w:w="28" w:type="dxa"/>
                  <w:bottom w:w="0" w:type="dxa"/>
                  <w:right w:w="28" w:type="dxa"/>
                </w:tblCellMar>
              </w:tblPrEx>
              <w:trPr>
                <w:cantSplit/>
                <w:trHeight w:val="222" w:hRule="atLeast"/>
                <w:jc w:val="center"/>
              </w:trPr>
              <w:tc>
                <w:tcPr>
                  <w:tcW w:w="718" w:type="dxa"/>
                  <w:vMerge w:val="continue"/>
                  <w:tcBorders>
                    <w:top w:val="single" w:color="000000" w:sz="4" w:space="0"/>
                    <w:left w:val="nil"/>
                    <w:bottom w:val="single" w:color="000000" w:sz="12" w:space="0"/>
                    <w:right w:val="single" w:color="000000" w:sz="4" w:space="0"/>
                  </w:tcBorders>
                  <w:vAlign w:val="center"/>
                </w:tcPr>
                <w:p w14:paraId="7F436D46">
                  <w:pPr>
                    <w:widowControl/>
                    <w:jc w:val="left"/>
                    <w:rPr>
                      <w:rFonts w:hint="default" w:ascii="Times New Roman" w:hAnsi="Times New Roman" w:eastAsia="宋体" w:cs="Times New Roman"/>
                      <w:b/>
                      <w:bCs w:val="0"/>
                      <w:color w:val="000000" w:themeColor="text1"/>
                      <w:sz w:val="21"/>
                      <w:szCs w:val="21"/>
                    </w:rPr>
                  </w:pPr>
                </w:p>
              </w:tc>
              <w:tc>
                <w:tcPr>
                  <w:tcW w:w="1103" w:type="dxa"/>
                  <w:vMerge w:val="continue"/>
                  <w:tcBorders>
                    <w:top w:val="single" w:color="000000" w:sz="4" w:space="0"/>
                    <w:left w:val="single" w:color="000000" w:sz="4" w:space="0"/>
                    <w:bottom w:val="single" w:color="000000" w:sz="12" w:space="0"/>
                    <w:right w:val="single" w:color="000000" w:sz="4" w:space="0"/>
                  </w:tcBorders>
                  <w:vAlign w:val="center"/>
                </w:tcPr>
                <w:p w14:paraId="4C26731D">
                  <w:pPr>
                    <w:widowControl/>
                    <w:jc w:val="left"/>
                    <w:rPr>
                      <w:rFonts w:hint="default" w:ascii="Times New Roman" w:hAnsi="Times New Roman" w:eastAsia="宋体" w:cs="Times New Roman"/>
                      <w:b/>
                      <w:bCs w:val="0"/>
                      <w:color w:val="000000" w:themeColor="text1"/>
                      <w:sz w:val="21"/>
                      <w:szCs w:val="21"/>
                    </w:rPr>
                  </w:pPr>
                </w:p>
              </w:tc>
              <w:tc>
                <w:tcPr>
                  <w:tcW w:w="1204" w:type="dxa"/>
                  <w:vMerge w:val="continue"/>
                  <w:tcBorders>
                    <w:top w:val="single" w:color="000000" w:sz="4" w:space="0"/>
                    <w:left w:val="single" w:color="000000" w:sz="4" w:space="0"/>
                    <w:bottom w:val="single" w:color="000000" w:sz="12" w:space="0"/>
                    <w:right w:val="single" w:color="000000" w:sz="4" w:space="0"/>
                  </w:tcBorders>
                  <w:vAlign w:val="center"/>
                </w:tcPr>
                <w:p w14:paraId="236A3D57">
                  <w:pPr>
                    <w:widowControl/>
                    <w:jc w:val="left"/>
                    <w:rPr>
                      <w:rFonts w:hint="default" w:ascii="Times New Roman" w:hAnsi="Times New Roman" w:eastAsia="宋体" w:cs="Times New Roman"/>
                      <w:b/>
                      <w:bCs w:val="0"/>
                      <w:color w:val="000000" w:themeColor="text1"/>
                      <w:sz w:val="21"/>
                      <w:szCs w:val="21"/>
                    </w:rPr>
                  </w:pPr>
                </w:p>
              </w:tc>
              <w:tc>
                <w:tcPr>
                  <w:tcW w:w="1027" w:type="dxa"/>
                  <w:vMerge w:val="continue"/>
                  <w:tcBorders>
                    <w:top w:val="single" w:color="000000" w:sz="4" w:space="0"/>
                    <w:left w:val="single" w:color="000000" w:sz="4" w:space="0"/>
                    <w:bottom w:val="single" w:color="000000" w:sz="12" w:space="0"/>
                    <w:right w:val="single" w:color="000000" w:sz="4" w:space="0"/>
                  </w:tcBorders>
                  <w:vAlign w:val="center"/>
                </w:tcPr>
                <w:p w14:paraId="26963A81">
                  <w:pPr>
                    <w:widowControl/>
                    <w:jc w:val="left"/>
                    <w:rPr>
                      <w:rFonts w:hint="default" w:ascii="Times New Roman" w:hAnsi="Times New Roman" w:eastAsia="宋体" w:cs="Times New Roman"/>
                      <w:b/>
                      <w:bCs w:val="0"/>
                      <w:color w:val="000000" w:themeColor="text1"/>
                      <w:sz w:val="21"/>
                      <w:szCs w:val="21"/>
                    </w:rPr>
                  </w:pPr>
                </w:p>
              </w:tc>
              <w:tc>
                <w:tcPr>
                  <w:tcW w:w="1026" w:type="dxa"/>
                  <w:vMerge w:val="continue"/>
                  <w:tcBorders>
                    <w:top w:val="single" w:color="000000" w:sz="4" w:space="0"/>
                    <w:left w:val="single" w:color="000000" w:sz="4" w:space="0"/>
                    <w:bottom w:val="single" w:color="000000" w:sz="12" w:space="0"/>
                    <w:right w:val="single" w:color="000000" w:sz="4" w:space="0"/>
                  </w:tcBorders>
                  <w:vAlign w:val="center"/>
                </w:tcPr>
                <w:p w14:paraId="19572E1B">
                  <w:pPr>
                    <w:widowControl/>
                    <w:jc w:val="left"/>
                    <w:rPr>
                      <w:rFonts w:hint="default" w:ascii="Times New Roman" w:hAnsi="Times New Roman" w:eastAsia="宋体" w:cs="Times New Roman"/>
                      <w:b/>
                      <w:bCs w:val="0"/>
                      <w:color w:val="000000" w:themeColor="text1"/>
                      <w:sz w:val="21"/>
                      <w:szCs w:val="21"/>
                    </w:rPr>
                  </w:pPr>
                </w:p>
              </w:tc>
              <w:tc>
                <w:tcPr>
                  <w:tcW w:w="555" w:type="dxa"/>
                  <w:tcBorders>
                    <w:top w:val="single" w:color="000000" w:sz="4" w:space="0"/>
                    <w:left w:val="single" w:color="000000" w:sz="4" w:space="0"/>
                    <w:bottom w:val="single" w:color="000000" w:sz="12" w:space="0"/>
                    <w:right w:val="single" w:color="000000" w:sz="4" w:space="0"/>
                  </w:tcBorders>
                  <w:vAlign w:val="center"/>
                </w:tcPr>
                <w:p w14:paraId="765C1B98">
                  <w:pPr>
                    <w:spacing w:line="360" w:lineRule="exact"/>
                    <w:jc w:val="center"/>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A</w:t>
                  </w:r>
                </w:p>
              </w:tc>
              <w:tc>
                <w:tcPr>
                  <w:tcW w:w="649" w:type="dxa"/>
                  <w:tcBorders>
                    <w:top w:val="single" w:color="000000" w:sz="4" w:space="0"/>
                    <w:left w:val="single" w:color="000000" w:sz="4" w:space="0"/>
                    <w:bottom w:val="single" w:color="000000" w:sz="12" w:space="0"/>
                    <w:right w:val="single" w:color="000000" w:sz="4" w:space="0"/>
                  </w:tcBorders>
                  <w:vAlign w:val="center"/>
                </w:tcPr>
                <w:p w14:paraId="432C536F">
                  <w:pPr>
                    <w:spacing w:line="360" w:lineRule="exact"/>
                    <w:jc w:val="center"/>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B</w:t>
                  </w:r>
                </w:p>
              </w:tc>
              <w:tc>
                <w:tcPr>
                  <w:tcW w:w="482" w:type="dxa"/>
                  <w:tcBorders>
                    <w:top w:val="single" w:color="000000" w:sz="4" w:space="0"/>
                    <w:left w:val="single" w:color="000000" w:sz="4" w:space="0"/>
                    <w:bottom w:val="single" w:color="000000" w:sz="12" w:space="0"/>
                    <w:right w:val="single" w:color="000000" w:sz="4" w:space="0"/>
                  </w:tcBorders>
                  <w:vAlign w:val="center"/>
                </w:tcPr>
                <w:p w14:paraId="0BC4E4B8">
                  <w:pPr>
                    <w:spacing w:line="360" w:lineRule="exact"/>
                    <w:jc w:val="center"/>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C</w:t>
                  </w:r>
                </w:p>
              </w:tc>
              <w:tc>
                <w:tcPr>
                  <w:tcW w:w="561" w:type="dxa"/>
                  <w:tcBorders>
                    <w:top w:val="single" w:color="000000" w:sz="4" w:space="0"/>
                    <w:left w:val="single" w:color="000000" w:sz="4" w:space="0"/>
                    <w:bottom w:val="single" w:color="000000" w:sz="12" w:space="0"/>
                    <w:right w:val="single" w:color="000000" w:sz="4" w:space="0"/>
                  </w:tcBorders>
                  <w:vAlign w:val="center"/>
                </w:tcPr>
                <w:p w14:paraId="3D9D8104">
                  <w:pPr>
                    <w:spacing w:line="360" w:lineRule="exact"/>
                    <w:jc w:val="center"/>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D</w:t>
                  </w:r>
                </w:p>
              </w:tc>
              <w:tc>
                <w:tcPr>
                  <w:tcW w:w="895" w:type="dxa"/>
                  <w:tcBorders>
                    <w:top w:val="single" w:color="000000" w:sz="4" w:space="0"/>
                    <w:left w:val="single" w:color="000000" w:sz="4" w:space="0"/>
                    <w:bottom w:val="single" w:color="000000" w:sz="12" w:space="0"/>
                    <w:right w:val="nil"/>
                  </w:tcBorders>
                  <w:vAlign w:val="center"/>
                </w:tcPr>
                <w:p w14:paraId="7E0AF916">
                  <w:pPr>
                    <w:spacing w:line="360" w:lineRule="exact"/>
                    <w:jc w:val="center"/>
                    <w:rPr>
                      <w:rFonts w:hint="default" w:ascii="Times New Roman" w:hAnsi="Times New Roman" w:eastAsia="宋体" w:cs="Times New Roman"/>
                      <w:b/>
                      <w:bCs w:val="0"/>
                      <w:color w:val="000000" w:themeColor="text1"/>
                      <w:sz w:val="21"/>
                      <w:szCs w:val="21"/>
                    </w:rPr>
                  </w:pPr>
                  <w:r>
                    <w:rPr>
                      <w:rFonts w:hint="default" w:ascii="Times New Roman" w:hAnsi="Times New Roman" w:eastAsia="宋体" w:cs="Times New Roman"/>
                      <w:b/>
                      <w:bCs w:val="0"/>
                      <w:color w:val="000000" w:themeColor="text1"/>
                      <w:sz w:val="21"/>
                      <w:szCs w:val="21"/>
                    </w:rPr>
                    <w:t>计算值</w:t>
                  </w:r>
                </w:p>
              </w:tc>
            </w:tr>
            <w:tr w14:paraId="585B6909">
              <w:tblPrEx>
                <w:tblCellMar>
                  <w:top w:w="0" w:type="dxa"/>
                  <w:left w:w="28" w:type="dxa"/>
                  <w:bottom w:w="0" w:type="dxa"/>
                  <w:right w:w="28" w:type="dxa"/>
                </w:tblCellMar>
              </w:tblPrEx>
              <w:trPr>
                <w:cantSplit/>
                <w:trHeight w:val="730" w:hRule="atLeast"/>
                <w:jc w:val="center"/>
              </w:trPr>
              <w:tc>
                <w:tcPr>
                  <w:tcW w:w="718" w:type="dxa"/>
                  <w:tcBorders>
                    <w:top w:val="single" w:color="000000" w:sz="12" w:space="0"/>
                    <w:left w:val="nil"/>
                    <w:bottom w:val="single" w:color="000000" w:sz="12" w:space="0"/>
                    <w:right w:val="single" w:color="auto" w:sz="4" w:space="0"/>
                  </w:tcBorders>
                  <w:vAlign w:val="center"/>
                </w:tcPr>
                <w:p w14:paraId="00987B04">
                  <w:pPr>
                    <w:spacing w:line="360" w:lineRule="exact"/>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eastAsia="宋体" w:cs="Times New Roman"/>
                      <w:color w:val="000000" w:themeColor="text1"/>
                      <w:sz w:val="21"/>
                      <w:szCs w:val="21"/>
                      <w:lang w:val="en-US" w:eastAsia="zh-CN"/>
                    </w:rPr>
                    <w:t>加油岛</w:t>
                  </w:r>
                </w:p>
              </w:tc>
              <w:tc>
                <w:tcPr>
                  <w:tcW w:w="1103" w:type="dxa"/>
                  <w:tcBorders>
                    <w:top w:val="single" w:color="000000" w:sz="12" w:space="0"/>
                    <w:left w:val="single" w:color="auto" w:sz="4" w:space="0"/>
                    <w:bottom w:val="single" w:color="000000" w:sz="12" w:space="0"/>
                    <w:right w:val="single" w:color="auto" w:sz="4" w:space="0"/>
                  </w:tcBorders>
                  <w:vAlign w:val="center"/>
                </w:tcPr>
                <w:p w14:paraId="0C65444E">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非甲烷总烃</w:t>
                  </w:r>
                </w:p>
              </w:tc>
              <w:tc>
                <w:tcPr>
                  <w:tcW w:w="1204" w:type="dxa"/>
                  <w:tcBorders>
                    <w:top w:val="single" w:color="000000" w:sz="12" w:space="0"/>
                    <w:left w:val="single" w:color="auto" w:sz="4" w:space="0"/>
                    <w:bottom w:val="single" w:color="000000" w:sz="12" w:space="0"/>
                    <w:right w:val="single" w:color="auto" w:sz="4" w:space="0"/>
                  </w:tcBorders>
                  <w:vAlign w:val="center"/>
                </w:tcPr>
                <w:p w14:paraId="3DD73210">
                  <w:pPr>
                    <w:adjustRightInd w:val="0"/>
                    <w:snapToGrid w:val="0"/>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eastAsia="宋体" w:cs="Times New Roman"/>
                      <w:color w:val="000000" w:themeColor="text1"/>
                      <w:sz w:val="21"/>
                      <w:szCs w:val="21"/>
                      <w:lang w:val="en-US" w:eastAsia="zh-CN"/>
                    </w:rPr>
                    <w:t>1.1</w:t>
                  </w:r>
                </w:p>
              </w:tc>
              <w:tc>
                <w:tcPr>
                  <w:tcW w:w="1027" w:type="dxa"/>
                  <w:tcBorders>
                    <w:top w:val="single" w:color="000000" w:sz="12" w:space="0"/>
                    <w:left w:val="single" w:color="auto" w:sz="4" w:space="0"/>
                    <w:bottom w:val="single" w:color="000000" w:sz="12" w:space="0"/>
                    <w:right w:val="single" w:color="auto" w:sz="4" w:space="0"/>
                  </w:tcBorders>
                  <w:vAlign w:val="center"/>
                </w:tcPr>
                <w:p w14:paraId="1F54EC40">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4.0</w:t>
                  </w:r>
                </w:p>
              </w:tc>
              <w:tc>
                <w:tcPr>
                  <w:tcW w:w="1026" w:type="dxa"/>
                  <w:tcBorders>
                    <w:top w:val="single" w:color="000000" w:sz="12" w:space="0"/>
                    <w:left w:val="single" w:color="auto" w:sz="4" w:space="0"/>
                    <w:bottom w:val="single" w:color="000000" w:sz="12" w:space="0"/>
                    <w:right w:val="single" w:color="auto" w:sz="4" w:space="0"/>
                  </w:tcBorders>
                  <w:vAlign w:val="center"/>
                </w:tcPr>
                <w:p w14:paraId="73FC07EA">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w:t>
                  </w:r>
                  <w:r>
                    <w:rPr>
                      <w:rFonts w:hint="eastAsia" w:ascii="Times New Roman" w:hAnsi="Times New Roman" w:cs="Times New Roman"/>
                      <w:color w:val="000000" w:themeColor="text1"/>
                      <w:sz w:val="21"/>
                      <w:szCs w:val="21"/>
                      <w:lang w:val="en-US" w:eastAsia="zh-CN"/>
                    </w:rPr>
                    <w:t>1</w:t>
                  </w:r>
                </w:p>
              </w:tc>
              <w:tc>
                <w:tcPr>
                  <w:tcW w:w="555" w:type="dxa"/>
                  <w:tcBorders>
                    <w:top w:val="single" w:color="000000" w:sz="12" w:space="0"/>
                    <w:left w:val="single" w:color="auto" w:sz="4" w:space="0"/>
                    <w:bottom w:val="single" w:color="000000" w:sz="12" w:space="0"/>
                    <w:right w:val="single" w:color="auto" w:sz="4" w:space="0"/>
                  </w:tcBorders>
                  <w:vAlign w:val="center"/>
                </w:tcPr>
                <w:p w14:paraId="0E0A2CEC">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470</w:t>
                  </w:r>
                </w:p>
              </w:tc>
              <w:tc>
                <w:tcPr>
                  <w:tcW w:w="649" w:type="dxa"/>
                  <w:tcBorders>
                    <w:top w:val="single" w:color="000000" w:sz="12" w:space="0"/>
                    <w:left w:val="single" w:color="auto" w:sz="4" w:space="0"/>
                    <w:bottom w:val="single" w:color="000000" w:sz="12" w:space="0"/>
                    <w:right w:val="single" w:color="auto" w:sz="4" w:space="0"/>
                  </w:tcBorders>
                  <w:vAlign w:val="center"/>
                </w:tcPr>
                <w:p w14:paraId="17181662">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0.021</w:t>
                  </w:r>
                </w:p>
              </w:tc>
              <w:tc>
                <w:tcPr>
                  <w:tcW w:w="482" w:type="dxa"/>
                  <w:tcBorders>
                    <w:top w:val="single" w:color="000000" w:sz="12" w:space="0"/>
                    <w:left w:val="single" w:color="auto" w:sz="4" w:space="0"/>
                    <w:bottom w:val="single" w:color="000000" w:sz="12" w:space="0"/>
                    <w:right w:val="single" w:color="auto" w:sz="4" w:space="0"/>
                  </w:tcBorders>
                  <w:vAlign w:val="center"/>
                </w:tcPr>
                <w:p w14:paraId="68DCC72E">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1.85</w:t>
                  </w:r>
                </w:p>
              </w:tc>
              <w:tc>
                <w:tcPr>
                  <w:tcW w:w="561" w:type="dxa"/>
                  <w:tcBorders>
                    <w:top w:val="single" w:color="000000" w:sz="12" w:space="0"/>
                    <w:left w:val="single" w:color="auto" w:sz="4" w:space="0"/>
                    <w:bottom w:val="single" w:color="000000" w:sz="12" w:space="0"/>
                    <w:right w:val="single" w:color="auto" w:sz="4" w:space="0"/>
                  </w:tcBorders>
                  <w:vAlign w:val="center"/>
                </w:tcPr>
                <w:p w14:paraId="2670D44C">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0.84</w:t>
                  </w:r>
                </w:p>
              </w:tc>
              <w:tc>
                <w:tcPr>
                  <w:tcW w:w="895" w:type="dxa"/>
                  <w:tcBorders>
                    <w:top w:val="single" w:color="000000" w:sz="12" w:space="0"/>
                    <w:left w:val="single" w:color="auto" w:sz="4" w:space="0"/>
                    <w:bottom w:val="single" w:color="000000" w:sz="12" w:space="0"/>
                    <w:right w:val="nil"/>
                  </w:tcBorders>
                  <w:vAlign w:val="center"/>
                </w:tcPr>
                <w:p w14:paraId="07B9CCDB">
                  <w:pPr>
                    <w:spacing w:line="360" w:lineRule="exact"/>
                    <w:jc w:val="center"/>
                    <w:rPr>
                      <w:rFonts w:hint="eastAsia" w:ascii="Times New Roman" w:hAnsi="Times New Roman" w:eastAsia="宋体" w:cs="Times New Roman"/>
                      <w:color w:val="000000" w:themeColor="text1"/>
                      <w:sz w:val="21"/>
                      <w:szCs w:val="21"/>
                      <w:lang w:eastAsia="zh-CN"/>
                    </w:rPr>
                  </w:pPr>
                  <w:r>
                    <w:rPr>
                      <w:rFonts w:hint="eastAsia" w:ascii="Times New Roman" w:hAnsi="Times New Roman" w:eastAsia="宋体" w:cs="Times New Roman"/>
                      <w:color w:val="000000" w:themeColor="text1"/>
                      <w:sz w:val="21"/>
                      <w:szCs w:val="21"/>
                      <w:lang w:val="en-US" w:eastAsia="zh-CN"/>
                    </w:rPr>
                    <w:t>50</w:t>
                  </w:r>
                </w:p>
              </w:tc>
            </w:tr>
          </w:tbl>
          <w:p w14:paraId="24852F3F">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根据计算结果，本项目废气卫生防护距离为50m。</w:t>
            </w:r>
          </w:p>
          <w:p w14:paraId="1D4A85E6">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color w:val="000000" w:themeColor="text1"/>
                <w:sz w:val="24"/>
                <w:szCs w:val="24"/>
                <w:lang w:val="en-US" w:eastAsia="zh-CN"/>
              </w:rPr>
              <w:t>根据现场调查，本项目西侧120m为榆树沟小康村（原名回民新村）</w:t>
            </w:r>
            <w:r>
              <w:rPr>
                <w:rFonts w:hint="eastAsia" w:ascii="Times New Roman" w:hAnsi="Times New Roman"/>
                <w:snapToGrid w:val="0"/>
                <w:color w:val="000000" w:themeColor="text1"/>
                <w:sz w:val="24"/>
                <w:szCs w:val="24"/>
                <w:lang w:val="en-US" w:eastAsia="zh-CN"/>
              </w:rPr>
              <w:t>。位于本项目卫生防护距离以外，故本项目有机废气对周围敏感点的影响不大。</w:t>
            </w:r>
          </w:p>
          <w:p w14:paraId="41444E53">
            <w:pPr>
              <w:spacing w:line="360" w:lineRule="auto"/>
              <w:ind w:firstLine="480" w:firstLineChars="200"/>
              <w:rPr>
                <w:rFonts w:ascii="Times New Roman" w:hAnsi="Times New Roman"/>
                <w:color w:val="000000" w:themeColor="text1"/>
                <w:sz w:val="24"/>
                <w:szCs w:val="24"/>
              </w:rPr>
            </w:pPr>
            <w:r>
              <w:rPr>
                <w:rFonts w:hint="eastAsia" w:ascii="Times New Roman" w:hAnsi="Times New Roman"/>
                <w:snapToGrid w:val="0"/>
                <w:color w:val="000000" w:themeColor="text1"/>
                <w:sz w:val="24"/>
                <w:szCs w:val="24"/>
                <w:lang w:val="en-US" w:eastAsia="zh-CN"/>
              </w:rPr>
              <w:t>综上，本项目产生的废气经有效处理后能达标排放，对周边环境影响较小。</w:t>
            </w:r>
          </w:p>
          <w:p w14:paraId="56C70545">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ascii="Times New Roman" w:hAnsi="Times New Roman"/>
                <w:b/>
                <w:bCs/>
                <w:color w:val="000000" w:themeColor="text1"/>
                <w:sz w:val="24"/>
                <w:szCs w:val="24"/>
              </w:rPr>
            </w:pPr>
            <w:r>
              <w:rPr>
                <w:rFonts w:ascii="Times New Roman" w:hAnsi="Times New Roman"/>
                <w:b/>
                <w:bCs/>
                <w:color w:val="000000" w:themeColor="text1"/>
                <w:sz w:val="24"/>
                <w:szCs w:val="24"/>
              </w:rPr>
              <w:t>2</w:t>
            </w:r>
            <w:r>
              <w:rPr>
                <w:rFonts w:hint="eastAsia" w:ascii="Times New Roman" w:hAnsi="Times New Roman"/>
                <w:b/>
                <w:bCs/>
                <w:color w:val="000000" w:themeColor="text1"/>
                <w:sz w:val="24"/>
                <w:szCs w:val="24"/>
              </w:rPr>
              <w:t>、水环境影响分析</w:t>
            </w:r>
          </w:p>
          <w:p w14:paraId="7656006F">
            <w:pPr>
              <w:spacing w:line="360" w:lineRule="auto"/>
              <w:ind w:firstLine="480" w:firstLineChars="200"/>
              <w:rPr>
                <w:rFonts w:hint="eastAsia" w:ascii="Times New Roman" w:hAnsi="Times New Roman"/>
                <w:color w:val="000000" w:themeColor="text1"/>
                <w:sz w:val="24"/>
                <w:szCs w:val="24"/>
              </w:rPr>
            </w:pPr>
            <w:r>
              <w:rPr>
                <w:rFonts w:hint="eastAsia" w:ascii="Times New Roman" w:hAnsi="Times New Roman"/>
                <w:color w:val="000000" w:themeColor="text1"/>
                <w:sz w:val="24"/>
                <w:szCs w:val="24"/>
              </w:rPr>
              <w:t>根据建设单位提供资料，</w:t>
            </w:r>
            <w:r>
              <w:rPr>
                <w:rFonts w:hint="eastAsia" w:ascii="Times New Roman" w:hAnsi="Times New Roman"/>
                <w:color w:val="000000" w:themeColor="text1"/>
                <w:sz w:val="24"/>
                <w:szCs w:val="24"/>
                <w:lang w:val="en-US" w:eastAsia="zh-CN"/>
              </w:rPr>
              <w:t>通过工程分析可知，本项目生产过程不产生外排废水。</w:t>
            </w:r>
          </w:p>
          <w:p w14:paraId="482DC336">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2.1、生活污水环境影响分析</w:t>
            </w:r>
          </w:p>
          <w:p w14:paraId="6583C841">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项目建成后，</w:t>
            </w:r>
            <w:r>
              <w:rPr>
                <w:rFonts w:hint="eastAsia" w:ascii="Times New Roman" w:hAnsi="Times New Roman"/>
                <w:color w:val="000000" w:themeColor="text1"/>
                <w:sz w:val="24"/>
                <w:szCs w:val="24"/>
                <w:lang w:val="en-US" w:eastAsia="zh-CN"/>
              </w:rPr>
              <w:t>新增</w:t>
            </w:r>
            <w:r>
              <w:rPr>
                <w:rFonts w:hint="eastAsia" w:ascii="Times New Roman" w:hAnsi="Times New Roman"/>
                <w:color w:val="000000" w:themeColor="text1"/>
                <w:sz w:val="24"/>
                <w:szCs w:val="24"/>
              </w:rPr>
              <w:t>职工人数为</w:t>
            </w:r>
            <w:r>
              <w:rPr>
                <w:rFonts w:hint="eastAsia" w:ascii="Times New Roman" w:hAnsi="Times New Roman"/>
                <w:color w:val="000000" w:themeColor="text1"/>
                <w:sz w:val="24"/>
                <w:szCs w:val="24"/>
                <w:lang w:val="en-US" w:eastAsia="zh-CN"/>
              </w:rPr>
              <w:t>16</w:t>
            </w:r>
            <w:r>
              <w:rPr>
                <w:rFonts w:hint="eastAsia" w:ascii="Times New Roman" w:hAnsi="Times New Roman"/>
                <w:color w:val="000000" w:themeColor="text1"/>
                <w:sz w:val="24"/>
                <w:szCs w:val="24"/>
              </w:rPr>
              <w:t>人，职工</w:t>
            </w:r>
            <w:r>
              <w:rPr>
                <w:rFonts w:hint="eastAsia" w:ascii="Times New Roman" w:hAnsi="Times New Roman"/>
                <w:color w:val="000000" w:themeColor="text1"/>
                <w:sz w:val="24"/>
                <w:szCs w:val="24"/>
                <w:lang w:eastAsia="zh-CN"/>
              </w:rPr>
              <w:t>生活设施依托厂区现有的职工生活设施</w:t>
            </w:r>
            <w:r>
              <w:rPr>
                <w:rFonts w:hint="eastAsia" w:ascii="Times New Roman" w:hAnsi="Times New Roman"/>
                <w:color w:val="000000" w:themeColor="text1"/>
                <w:sz w:val="24"/>
                <w:szCs w:val="24"/>
              </w:rPr>
              <w:t>，按每人每天用水量</w:t>
            </w:r>
            <w:r>
              <w:rPr>
                <w:rFonts w:hint="eastAsia" w:ascii="Times New Roman" w:hAnsi="Times New Roman"/>
                <w:color w:val="000000" w:themeColor="text1"/>
                <w:sz w:val="24"/>
                <w:szCs w:val="24"/>
                <w:lang w:val="en-US" w:eastAsia="zh-CN"/>
              </w:rPr>
              <w:t>100</w:t>
            </w:r>
            <w:r>
              <w:rPr>
                <w:rFonts w:ascii="Times New Roman" w:hAnsi="Times New Roman"/>
                <w:color w:val="000000" w:themeColor="text1"/>
                <w:sz w:val="24"/>
                <w:szCs w:val="24"/>
              </w:rPr>
              <w:t>L</w:t>
            </w:r>
            <w:r>
              <w:rPr>
                <w:rFonts w:hint="eastAsia" w:ascii="Times New Roman" w:hAnsi="Times New Roman"/>
                <w:color w:val="000000" w:themeColor="text1"/>
                <w:sz w:val="24"/>
                <w:szCs w:val="24"/>
              </w:rPr>
              <w:t>计，</w:t>
            </w:r>
            <w:r>
              <w:rPr>
                <w:rFonts w:hint="eastAsia" w:ascii="Times New Roman" w:hAnsi="Times New Roman"/>
                <w:color w:val="000000" w:themeColor="text1"/>
                <w:sz w:val="24"/>
                <w:szCs w:val="24"/>
                <w:lang w:val="en-US" w:eastAsia="zh-CN"/>
              </w:rPr>
              <w:t>新增</w:t>
            </w:r>
            <w:r>
              <w:rPr>
                <w:rFonts w:hint="eastAsia" w:ascii="Times New Roman" w:hAnsi="Times New Roman"/>
                <w:color w:val="000000" w:themeColor="text1"/>
                <w:sz w:val="24"/>
                <w:szCs w:val="24"/>
              </w:rPr>
              <w:t>生活用水的总用水量为</w:t>
            </w:r>
            <w:r>
              <w:rPr>
                <w:rFonts w:hint="eastAsia" w:ascii="Times New Roman" w:hAnsi="Times New Roman"/>
                <w:color w:val="000000" w:themeColor="text1"/>
                <w:sz w:val="24"/>
                <w:szCs w:val="24"/>
                <w:lang w:val="en-US" w:eastAsia="zh-CN"/>
              </w:rPr>
              <w:t>1.6</w:t>
            </w:r>
            <w:r>
              <w:rPr>
                <w:rFonts w:ascii="Times New Roman" w:hAnsi="Times New Roman"/>
                <w:color w:val="000000" w:themeColor="text1"/>
                <w:sz w:val="24"/>
                <w:szCs w:val="24"/>
              </w:rPr>
              <w:t>m</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/d</w:t>
            </w:r>
            <w:r>
              <w:rPr>
                <w:rFonts w:hint="eastAsia" w:ascii="Times New Roman" w:hAnsi="Times New Roman"/>
                <w:color w:val="000000" w:themeColor="text1"/>
                <w:sz w:val="24"/>
                <w:szCs w:val="24"/>
              </w:rPr>
              <w:t>，即</w:t>
            </w:r>
            <w:r>
              <w:rPr>
                <w:rFonts w:hint="eastAsia" w:ascii="Times New Roman" w:hAnsi="Times New Roman"/>
                <w:color w:val="000000" w:themeColor="text1"/>
                <w:sz w:val="24"/>
                <w:szCs w:val="24"/>
                <w:lang w:val="en-US" w:eastAsia="zh-CN"/>
              </w:rPr>
              <w:t>584</w:t>
            </w:r>
            <w:r>
              <w:rPr>
                <w:rFonts w:ascii="Times New Roman" w:hAnsi="Times New Roman"/>
                <w:color w:val="000000" w:themeColor="text1"/>
                <w:sz w:val="24"/>
                <w:szCs w:val="24"/>
              </w:rPr>
              <w:t>m</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/a</w:t>
            </w:r>
            <w:r>
              <w:rPr>
                <w:rFonts w:hint="eastAsia" w:ascii="Times New Roman" w:hAnsi="Times New Roman"/>
                <w:color w:val="000000" w:themeColor="text1"/>
                <w:sz w:val="24"/>
                <w:szCs w:val="24"/>
              </w:rPr>
              <w:t>。生活污水的</w:t>
            </w:r>
            <w:r>
              <w:rPr>
                <w:rFonts w:hint="eastAsia" w:ascii="Times New Roman" w:hAnsi="Times New Roman"/>
                <w:color w:val="000000" w:themeColor="text1"/>
                <w:sz w:val="24"/>
                <w:szCs w:val="24"/>
                <w:lang w:eastAsia="zh-CN"/>
              </w:rPr>
              <w:t>产生</w:t>
            </w:r>
            <w:r>
              <w:rPr>
                <w:rFonts w:hint="eastAsia" w:ascii="Times New Roman" w:hAnsi="Times New Roman"/>
                <w:color w:val="000000" w:themeColor="text1"/>
                <w:sz w:val="24"/>
                <w:szCs w:val="24"/>
              </w:rPr>
              <w:t>量按用水量的</w:t>
            </w:r>
            <w:r>
              <w:rPr>
                <w:rFonts w:ascii="Times New Roman" w:hAnsi="Times New Roman"/>
                <w:color w:val="000000" w:themeColor="text1"/>
                <w:sz w:val="24"/>
                <w:szCs w:val="24"/>
              </w:rPr>
              <w:t>80%</w:t>
            </w:r>
            <w:r>
              <w:rPr>
                <w:rFonts w:hint="eastAsia" w:ascii="Times New Roman" w:hAnsi="Times New Roman"/>
                <w:color w:val="000000" w:themeColor="text1"/>
                <w:sz w:val="24"/>
                <w:szCs w:val="24"/>
              </w:rPr>
              <w:t>计，则</w:t>
            </w:r>
            <w:r>
              <w:rPr>
                <w:rFonts w:hint="eastAsia" w:ascii="Times New Roman" w:hAnsi="Times New Roman"/>
                <w:color w:val="000000" w:themeColor="text1"/>
                <w:sz w:val="24"/>
                <w:szCs w:val="24"/>
                <w:lang w:val="en-US" w:eastAsia="zh-CN"/>
              </w:rPr>
              <w:t>新增</w:t>
            </w:r>
            <w:r>
              <w:rPr>
                <w:rFonts w:hint="eastAsia" w:ascii="Times New Roman" w:hAnsi="Times New Roman"/>
                <w:color w:val="000000" w:themeColor="text1"/>
                <w:sz w:val="24"/>
                <w:szCs w:val="24"/>
              </w:rPr>
              <w:t>生活污水</w:t>
            </w:r>
            <w:r>
              <w:rPr>
                <w:rFonts w:hint="eastAsia" w:ascii="Times New Roman" w:hAnsi="Times New Roman"/>
                <w:color w:val="000000" w:themeColor="text1"/>
                <w:sz w:val="24"/>
                <w:szCs w:val="24"/>
                <w:lang w:eastAsia="zh-CN"/>
              </w:rPr>
              <w:t>产生</w:t>
            </w:r>
            <w:r>
              <w:rPr>
                <w:rFonts w:hint="eastAsia" w:ascii="Times New Roman" w:hAnsi="Times New Roman"/>
                <w:color w:val="000000" w:themeColor="text1"/>
                <w:sz w:val="24"/>
                <w:szCs w:val="24"/>
              </w:rPr>
              <w:t>量为</w:t>
            </w:r>
            <w:r>
              <w:rPr>
                <w:rFonts w:hint="eastAsia" w:ascii="Times New Roman" w:hAnsi="Times New Roman"/>
                <w:color w:val="000000" w:themeColor="text1"/>
                <w:sz w:val="24"/>
                <w:szCs w:val="24"/>
                <w:lang w:val="en-US" w:eastAsia="zh-CN"/>
              </w:rPr>
              <w:t>467.2</w:t>
            </w:r>
            <w:r>
              <w:rPr>
                <w:rFonts w:ascii="Times New Roman" w:hAnsi="Times New Roman"/>
                <w:color w:val="000000" w:themeColor="text1"/>
                <w:sz w:val="24"/>
                <w:szCs w:val="24"/>
              </w:rPr>
              <w:t>m</w:t>
            </w:r>
            <w:r>
              <w:rPr>
                <w:rFonts w:ascii="Times New Roman" w:hAnsi="Times New Roman"/>
                <w:color w:val="000000" w:themeColor="text1"/>
                <w:sz w:val="24"/>
                <w:szCs w:val="24"/>
                <w:vertAlign w:val="superscript"/>
              </w:rPr>
              <w:t>3</w:t>
            </w:r>
            <w:r>
              <w:rPr>
                <w:rFonts w:ascii="Times New Roman" w:hAnsi="Times New Roman"/>
                <w:color w:val="000000" w:themeColor="text1"/>
                <w:sz w:val="24"/>
                <w:szCs w:val="24"/>
              </w:rPr>
              <w:t>/a</w:t>
            </w:r>
            <w:r>
              <w:rPr>
                <w:rFonts w:hint="eastAsia" w:ascii="Times New Roman" w:hAnsi="Times New Roman"/>
                <w:color w:val="000000" w:themeColor="text1"/>
                <w:sz w:val="24"/>
                <w:szCs w:val="24"/>
              </w:rPr>
              <w:t>。（本项目全年工作</w:t>
            </w:r>
            <w:r>
              <w:rPr>
                <w:rFonts w:hint="eastAsia" w:ascii="Times New Roman" w:hAnsi="Times New Roman"/>
                <w:color w:val="000000" w:themeColor="text1"/>
                <w:sz w:val="24"/>
                <w:szCs w:val="24"/>
                <w:lang w:val="en-US" w:eastAsia="zh-CN"/>
              </w:rPr>
              <w:t>365</w:t>
            </w:r>
            <w:r>
              <w:rPr>
                <w:rFonts w:hint="eastAsia" w:ascii="Times New Roman" w:hAnsi="Times New Roman"/>
                <w:color w:val="000000" w:themeColor="text1"/>
                <w:sz w:val="24"/>
                <w:szCs w:val="24"/>
              </w:rPr>
              <w:t>天）。</w:t>
            </w:r>
            <w:r>
              <w:rPr>
                <w:rFonts w:hint="eastAsia" w:hAnsiTheme="minorEastAsia" w:eastAsiaTheme="minorEastAsia"/>
                <w:color w:val="000000" w:themeColor="text1"/>
                <w:sz w:val="24"/>
              </w:rPr>
              <w:t>生活污水排入</w:t>
            </w:r>
            <w:r>
              <w:rPr>
                <w:rFonts w:hint="eastAsia" w:hAnsiTheme="minorEastAsia" w:eastAsiaTheme="minorEastAsia"/>
                <w:color w:val="000000" w:themeColor="text1"/>
                <w:sz w:val="24"/>
                <w:lang w:val="en-US" w:eastAsia="zh-CN"/>
              </w:rPr>
              <w:t>厂区园区污水管网</w:t>
            </w:r>
            <w:r>
              <w:rPr>
                <w:rFonts w:hint="eastAsia" w:hAnsiTheme="minorEastAsia" w:eastAsiaTheme="minorEastAsia"/>
                <w:color w:val="000000" w:themeColor="text1"/>
                <w:sz w:val="24"/>
              </w:rPr>
              <w:t>，</w:t>
            </w:r>
            <w:r>
              <w:rPr>
                <w:rFonts w:hint="eastAsia" w:hAnsiTheme="minorEastAsia" w:eastAsiaTheme="minorEastAsia"/>
                <w:color w:val="000000" w:themeColor="text1"/>
                <w:sz w:val="24"/>
                <w:lang w:eastAsia="zh-CN"/>
              </w:rPr>
              <w:t>汇集至污水处理厂进行后续处理。</w:t>
            </w:r>
            <w:r>
              <w:rPr>
                <w:rFonts w:hint="eastAsia" w:hAnsiTheme="minorEastAsia" w:eastAsiaTheme="minorEastAsia"/>
                <w:color w:val="000000" w:themeColor="text1"/>
                <w:sz w:val="24"/>
                <w:lang w:val="en-US" w:eastAsia="zh-CN"/>
              </w:rPr>
              <w:t>昌吉高新技术产业开发区污水接管标准为</w:t>
            </w:r>
            <w:r>
              <w:rPr>
                <w:rFonts w:hint="eastAsia" w:ascii="Times New Roman" w:hAnsi="Times New Roman"/>
                <w:bCs/>
                <w:color w:val="000000" w:themeColor="text1"/>
                <w:kern w:val="0"/>
                <w:sz w:val="24"/>
                <w:szCs w:val="24"/>
                <w:lang w:val="en-US" w:eastAsia="zh-CN"/>
              </w:rPr>
              <w:t>《污水综合排放标准》（GB8978-1996）三级标准，</w:t>
            </w:r>
            <w:r>
              <w:rPr>
                <w:rFonts w:hint="default" w:ascii="Times New Roman" w:hAnsi="Times New Roman" w:cs="Times New Roman" w:eastAsiaTheme="minorEastAsia"/>
                <w:color w:val="000000" w:themeColor="text1"/>
                <w:sz w:val="24"/>
                <w:lang w:val="en-US" w:eastAsia="zh-CN"/>
              </w:rPr>
              <w:t>故本项目污水排放执行</w:t>
            </w:r>
            <w:r>
              <w:rPr>
                <w:rFonts w:hint="eastAsia" w:ascii="Times New Roman" w:hAnsi="Times New Roman" w:cs="Times New Roman" w:eastAsiaTheme="minorEastAsia"/>
                <w:color w:val="000000" w:themeColor="text1"/>
                <w:sz w:val="24"/>
                <w:lang w:val="en-US" w:eastAsia="zh-CN"/>
              </w:rPr>
              <w:t>《</w:t>
            </w:r>
            <w:r>
              <w:rPr>
                <w:rFonts w:hint="eastAsia" w:ascii="Times New Roman" w:hAnsi="Times New Roman"/>
                <w:bCs/>
                <w:color w:val="000000" w:themeColor="text1"/>
                <w:kern w:val="0"/>
                <w:sz w:val="24"/>
                <w:szCs w:val="24"/>
                <w:lang w:val="en-US" w:eastAsia="zh-CN"/>
              </w:rPr>
              <w:t>污水综合排放标准》（GB8978-1996）三级标准限值要求</w:t>
            </w:r>
            <w:r>
              <w:rPr>
                <w:rFonts w:hint="default" w:ascii="Times New Roman" w:hAnsi="Times New Roman" w:cs="Times New Roman" w:eastAsiaTheme="minorEastAsia"/>
                <w:color w:val="000000" w:themeColor="text1"/>
                <w:sz w:val="24"/>
                <w:lang w:val="en-US" w:eastAsia="zh-CN"/>
              </w:rPr>
              <w:t>。</w:t>
            </w:r>
          </w:p>
          <w:p w14:paraId="24221F24">
            <w:pPr>
              <w:spacing w:line="360" w:lineRule="auto"/>
              <w:ind w:firstLine="422" w:firstLineChars="200"/>
              <w:rPr>
                <w:rFonts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37</w:t>
            </w:r>
            <w:r>
              <w:rPr>
                <w:rFonts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rPr>
              <w:t>建设项目</w:t>
            </w:r>
            <w:r>
              <w:rPr>
                <w:rFonts w:hint="eastAsia" w:ascii="黑体" w:hAnsi="黑体" w:eastAsia="黑体" w:cs="黑体"/>
                <w:b/>
                <w:bCs/>
                <w:color w:val="000000" w:themeColor="text1"/>
                <w:sz w:val="21"/>
                <w:szCs w:val="21"/>
                <w:lang w:eastAsia="zh-CN"/>
              </w:rPr>
              <w:t>生活</w:t>
            </w:r>
            <w:r>
              <w:rPr>
                <w:rFonts w:hint="eastAsia" w:ascii="黑体" w:hAnsi="黑体" w:eastAsia="黑体" w:cs="黑体"/>
                <w:b/>
                <w:bCs/>
                <w:color w:val="000000" w:themeColor="text1"/>
                <w:sz w:val="21"/>
                <w:szCs w:val="21"/>
              </w:rPr>
              <w:t>污水水质情况</w:t>
            </w:r>
          </w:p>
          <w:tbl>
            <w:tblPr>
              <w:tblStyle w:val="19"/>
              <w:tblW w:w="828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86"/>
              <w:gridCol w:w="960"/>
              <w:gridCol w:w="975"/>
              <w:gridCol w:w="930"/>
              <w:gridCol w:w="798"/>
              <w:gridCol w:w="1039"/>
            </w:tblGrid>
            <w:tr w14:paraId="405779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586" w:type="dxa"/>
                  <w:tcBorders>
                    <w:top w:val="single" w:color="auto" w:sz="12" w:space="0"/>
                    <w:bottom w:val="single" w:color="auto" w:sz="12" w:space="0"/>
                    <w:right w:val="single" w:color="auto" w:sz="4" w:space="0"/>
                  </w:tcBorders>
                  <w:vAlign w:val="center"/>
                </w:tcPr>
                <w:p w14:paraId="6504DEDC">
                  <w:pPr>
                    <w:jc w:val="center"/>
                    <w:rPr>
                      <w:rFonts w:ascii="Times New Roman" w:hAnsi="Times New Roman"/>
                      <w:b/>
                      <w:bCs/>
                      <w:color w:val="000000" w:themeColor="text1"/>
                      <w:sz w:val="21"/>
                      <w:szCs w:val="21"/>
                    </w:rPr>
                  </w:pPr>
                  <w:r>
                    <w:rPr>
                      <w:rFonts w:hint="eastAsia" w:ascii="Times New Roman" w:hAnsi="Times New Roman"/>
                      <w:b/>
                      <w:bCs/>
                      <w:color w:val="000000" w:themeColor="text1"/>
                      <w:sz w:val="21"/>
                      <w:szCs w:val="21"/>
                    </w:rPr>
                    <w:t>项目</w:t>
                  </w:r>
                </w:p>
              </w:tc>
              <w:tc>
                <w:tcPr>
                  <w:tcW w:w="960" w:type="dxa"/>
                  <w:tcBorders>
                    <w:top w:val="single" w:color="auto" w:sz="12" w:space="0"/>
                    <w:left w:val="single" w:color="auto" w:sz="4" w:space="0"/>
                    <w:bottom w:val="single" w:color="auto" w:sz="12" w:space="0"/>
                    <w:right w:val="single" w:color="auto" w:sz="4" w:space="0"/>
                  </w:tcBorders>
                  <w:vAlign w:val="center"/>
                </w:tcPr>
                <w:p w14:paraId="4510A8AC">
                  <w:pPr>
                    <w:jc w:val="center"/>
                    <w:rPr>
                      <w:rFonts w:ascii="Times New Roman" w:hAnsi="Times New Roman"/>
                      <w:b/>
                      <w:bCs/>
                      <w:color w:val="000000" w:themeColor="text1"/>
                      <w:sz w:val="21"/>
                      <w:szCs w:val="21"/>
                    </w:rPr>
                  </w:pPr>
                  <w:r>
                    <w:rPr>
                      <w:rFonts w:hint="eastAsia" w:ascii="Times New Roman" w:hAnsi="Times New Roman"/>
                      <w:b/>
                      <w:bCs/>
                      <w:color w:val="000000" w:themeColor="text1"/>
                      <w:sz w:val="21"/>
                      <w:szCs w:val="21"/>
                    </w:rPr>
                    <w:t>废水量</w:t>
                  </w:r>
                </w:p>
              </w:tc>
              <w:tc>
                <w:tcPr>
                  <w:tcW w:w="975" w:type="dxa"/>
                  <w:tcBorders>
                    <w:top w:val="single" w:color="auto" w:sz="12" w:space="0"/>
                    <w:left w:val="single" w:color="auto" w:sz="4" w:space="0"/>
                    <w:bottom w:val="single" w:color="auto" w:sz="12" w:space="0"/>
                    <w:right w:val="single" w:color="auto" w:sz="4" w:space="0"/>
                  </w:tcBorders>
                  <w:vAlign w:val="center"/>
                </w:tcPr>
                <w:p w14:paraId="50D2F0E4">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COD</w:t>
                  </w:r>
                </w:p>
              </w:tc>
              <w:tc>
                <w:tcPr>
                  <w:tcW w:w="930" w:type="dxa"/>
                  <w:tcBorders>
                    <w:top w:val="single" w:color="auto" w:sz="12" w:space="0"/>
                    <w:left w:val="single" w:color="auto" w:sz="4" w:space="0"/>
                    <w:bottom w:val="single" w:color="auto" w:sz="12" w:space="0"/>
                    <w:right w:val="single" w:color="auto" w:sz="4" w:space="0"/>
                  </w:tcBorders>
                  <w:vAlign w:val="center"/>
                </w:tcPr>
                <w:p w14:paraId="4A6EE357">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BOD</w:t>
                  </w:r>
                  <w:r>
                    <w:rPr>
                      <w:rFonts w:ascii="Times New Roman" w:hAnsi="Times New Roman"/>
                      <w:b/>
                      <w:bCs/>
                      <w:color w:val="000000" w:themeColor="text1"/>
                      <w:sz w:val="21"/>
                      <w:szCs w:val="21"/>
                      <w:vertAlign w:val="subscript"/>
                    </w:rPr>
                    <w:t>5</w:t>
                  </w:r>
                </w:p>
              </w:tc>
              <w:tc>
                <w:tcPr>
                  <w:tcW w:w="798" w:type="dxa"/>
                  <w:tcBorders>
                    <w:top w:val="single" w:color="auto" w:sz="12" w:space="0"/>
                    <w:left w:val="single" w:color="auto" w:sz="4" w:space="0"/>
                    <w:bottom w:val="single" w:color="auto" w:sz="12" w:space="0"/>
                    <w:right w:val="single" w:color="auto" w:sz="4" w:space="0"/>
                  </w:tcBorders>
                  <w:vAlign w:val="center"/>
                </w:tcPr>
                <w:p w14:paraId="5F75EC1A">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SS</w:t>
                  </w:r>
                </w:p>
              </w:tc>
              <w:tc>
                <w:tcPr>
                  <w:tcW w:w="1039" w:type="dxa"/>
                  <w:tcBorders>
                    <w:top w:val="single" w:color="auto" w:sz="12" w:space="0"/>
                    <w:left w:val="single" w:color="auto" w:sz="4" w:space="0"/>
                    <w:bottom w:val="single" w:color="auto" w:sz="12" w:space="0"/>
                  </w:tcBorders>
                  <w:vAlign w:val="center"/>
                </w:tcPr>
                <w:p w14:paraId="5BD22B7F">
                  <w:pPr>
                    <w:jc w:val="center"/>
                    <w:rPr>
                      <w:rFonts w:ascii="Times New Roman" w:hAnsi="Times New Roman"/>
                      <w:b/>
                      <w:bCs/>
                      <w:color w:val="000000" w:themeColor="text1"/>
                      <w:sz w:val="21"/>
                      <w:szCs w:val="21"/>
                    </w:rPr>
                  </w:pPr>
                  <w:r>
                    <w:rPr>
                      <w:rFonts w:ascii="Times New Roman" w:hAnsi="Times New Roman"/>
                      <w:b/>
                      <w:bCs/>
                      <w:color w:val="000000" w:themeColor="text1"/>
                      <w:sz w:val="21"/>
                      <w:szCs w:val="21"/>
                    </w:rPr>
                    <w:t>NH</w:t>
                  </w:r>
                  <w:r>
                    <w:rPr>
                      <w:rFonts w:ascii="Times New Roman" w:hAnsi="Times New Roman"/>
                      <w:b/>
                      <w:bCs/>
                      <w:color w:val="000000" w:themeColor="text1"/>
                      <w:sz w:val="21"/>
                      <w:szCs w:val="21"/>
                      <w:vertAlign w:val="subscript"/>
                    </w:rPr>
                    <w:t>3</w:t>
                  </w:r>
                  <w:r>
                    <w:rPr>
                      <w:rFonts w:ascii="Times New Roman" w:hAnsi="Times New Roman"/>
                      <w:b/>
                      <w:bCs/>
                      <w:color w:val="000000" w:themeColor="text1"/>
                      <w:sz w:val="21"/>
                      <w:szCs w:val="21"/>
                    </w:rPr>
                    <w:t>-H</w:t>
                  </w:r>
                </w:p>
              </w:tc>
            </w:tr>
            <w:tr w14:paraId="7C3BA8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288" w:type="dxa"/>
                  <w:gridSpan w:val="6"/>
                  <w:tcBorders>
                    <w:top w:val="single" w:color="auto" w:sz="12" w:space="0"/>
                    <w:bottom w:val="single" w:color="auto" w:sz="4" w:space="0"/>
                  </w:tcBorders>
                  <w:vAlign w:val="center"/>
                </w:tcPr>
                <w:p w14:paraId="2CFE0BA5">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生活污水</w:t>
                  </w:r>
                </w:p>
              </w:tc>
            </w:tr>
            <w:tr w14:paraId="7C18C7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586" w:type="dxa"/>
                  <w:tcBorders>
                    <w:top w:val="single" w:color="auto" w:sz="4" w:space="0"/>
                    <w:bottom w:val="single" w:color="auto" w:sz="4" w:space="0"/>
                    <w:right w:val="single" w:color="auto" w:sz="4" w:space="0"/>
                  </w:tcBorders>
                  <w:vAlign w:val="center"/>
                </w:tcPr>
                <w:p w14:paraId="435AD738">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生活污水产生浓度（</w:t>
                  </w:r>
                  <w:r>
                    <w:rPr>
                      <w:rFonts w:ascii="Times New Roman" w:hAnsi="Times New Roman"/>
                      <w:color w:val="000000" w:themeColor="text1"/>
                      <w:sz w:val="21"/>
                      <w:szCs w:val="21"/>
                    </w:rPr>
                    <w:t>mg/L</w:t>
                  </w:r>
                  <w:r>
                    <w:rPr>
                      <w:rFonts w:hint="eastAsia" w:ascii="Times New Roman" w:hAnsi="Times New Roman"/>
                      <w:color w:val="000000" w:themeColor="text1"/>
                      <w:sz w:val="21"/>
                      <w:szCs w:val="21"/>
                    </w:rPr>
                    <w:t>）</w:t>
                  </w:r>
                </w:p>
              </w:tc>
              <w:tc>
                <w:tcPr>
                  <w:tcW w:w="960" w:type="dxa"/>
                  <w:tcBorders>
                    <w:top w:val="single" w:color="auto" w:sz="4" w:space="0"/>
                    <w:left w:val="single" w:color="auto" w:sz="4" w:space="0"/>
                    <w:bottom w:val="single" w:color="auto" w:sz="4" w:space="0"/>
                    <w:right w:val="single" w:color="auto" w:sz="4" w:space="0"/>
                  </w:tcBorders>
                  <w:vAlign w:val="center"/>
                </w:tcPr>
                <w:p w14:paraId="595A2D93">
                  <w:pPr>
                    <w:jc w:val="center"/>
                    <w:rPr>
                      <w:rFonts w:ascii="Times New Roman" w:hAnsi="Times New Roman"/>
                      <w:color w:val="000000" w:themeColor="text1"/>
                      <w:sz w:val="21"/>
                      <w:szCs w:val="21"/>
                    </w:rPr>
                  </w:pPr>
                  <w:r>
                    <w:rPr>
                      <w:rFonts w:ascii="Times New Roman" w:hAnsi="Times New Roman"/>
                      <w:color w:val="000000" w:themeColor="text1"/>
                      <w:sz w:val="21"/>
                      <w:szCs w:val="21"/>
                    </w:rPr>
                    <w:t>/</w:t>
                  </w:r>
                </w:p>
              </w:tc>
              <w:tc>
                <w:tcPr>
                  <w:tcW w:w="975" w:type="dxa"/>
                  <w:tcBorders>
                    <w:top w:val="single" w:color="auto" w:sz="4" w:space="0"/>
                    <w:left w:val="single" w:color="auto" w:sz="4" w:space="0"/>
                    <w:bottom w:val="single" w:color="auto" w:sz="4" w:space="0"/>
                    <w:right w:val="single" w:color="auto" w:sz="4" w:space="0"/>
                  </w:tcBorders>
                  <w:vAlign w:val="center"/>
                </w:tcPr>
                <w:p w14:paraId="5311826A">
                  <w:pPr>
                    <w:jc w:val="center"/>
                    <w:rPr>
                      <w:rFonts w:ascii="Times New Roman" w:hAnsi="Times New Roman"/>
                      <w:color w:val="000000" w:themeColor="text1"/>
                      <w:sz w:val="21"/>
                      <w:szCs w:val="21"/>
                    </w:rPr>
                  </w:pPr>
                  <w:r>
                    <w:rPr>
                      <w:rFonts w:ascii="Times New Roman" w:hAnsi="Times New Roman"/>
                      <w:color w:val="000000" w:themeColor="text1"/>
                      <w:sz w:val="21"/>
                      <w:szCs w:val="21"/>
                    </w:rPr>
                    <w:t>350</w:t>
                  </w:r>
                </w:p>
              </w:tc>
              <w:tc>
                <w:tcPr>
                  <w:tcW w:w="930" w:type="dxa"/>
                  <w:tcBorders>
                    <w:top w:val="single" w:color="auto" w:sz="4" w:space="0"/>
                    <w:left w:val="single" w:color="auto" w:sz="4" w:space="0"/>
                    <w:bottom w:val="single" w:color="auto" w:sz="4" w:space="0"/>
                    <w:right w:val="single" w:color="auto" w:sz="4" w:space="0"/>
                  </w:tcBorders>
                  <w:vAlign w:val="center"/>
                </w:tcPr>
                <w:p w14:paraId="13198B86">
                  <w:pPr>
                    <w:jc w:val="center"/>
                    <w:rPr>
                      <w:rFonts w:ascii="Times New Roman" w:hAnsi="Times New Roman"/>
                      <w:color w:val="000000" w:themeColor="text1"/>
                      <w:sz w:val="21"/>
                      <w:szCs w:val="21"/>
                    </w:rPr>
                  </w:pPr>
                  <w:r>
                    <w:rPr>
                      <w:rFonts w:ascii="Times New Roman" w:hAnsi="Times New Roman"/>
                      <w:color w:val="000000" w:themeColor="text1"/>
                      <w:sz w:val="21"/>
                      <w:szCs w:val="21"/>
                    </w:rPr>
                    <w:t>180</w:t>
                  </w:r>
                </w:p>
              </w:tc>
              <w:tc>
                <w:tcPr>
                  <w:tcW w:w="798" w:type="dxa"/>
                  <w:tcBorders>
                    <w:top w:val="single" w:color="auto" w:sz="4" w:space="0"/>
                    <w:left w:val="single" w:color="auto" w:sz="4" w:space="0"/>
                    <w:bottom w:val="single" w:color="auto" w:sz="4" w:space="0"/>
                    <w:right w:val="single" w:color="auto" w:sz="4" w:space="0"/>
                  </w:tcBorders>
                  <w:vAlign w:val="center"/>
                </w:tcPr>
                <w:p w14:paraId="4C2FD756">
                  <w:pPr>
                    <w:jc w:val="center"/>
                    <w:rPr>
                      <w:rFonts w:ascii="Times New Roman" w:hAnsi="Times New Roman"/>
                      <w:color w:val="000000" w:themeColor="text1"/>
                      <w:sz w:val="21"/>
                      <w:szCs w:val="21"/>
                    </w:rPr>
                  </w:pPr>
                  <w:r>
                    <w:rPr>
                      <w:rFonts w:ascii="Times New Roman" w:hAnsi="Times New Roman"/>
                      <w:color w:val="000000" w:themeColor="text1"/>
                      <w:sz w:val="21"/>
                      <w:szCs w:val="21"/>
                    </w:rPr>
                    <w:t>200</w:t>
                  </w:r>
                </w:p>
              </w:tc>
              <w:tc>
                <w:tcPr>
                  <w:tcW w:w="1039" w:type="dxa"/>
                  <w:tcBorders>
                    <w:top w:val="single" w:color="auto" w:sz="4" w:space="0"/>
                    <w:left w:val="single" w:color="auto" w:sz="4" w:space="0"/>
                    <w:bottom w:val="single" w:color="auto" w:sz="4" w:space="0"/>
                  </w:tcBorders>
                  <w:vAlign w:val="center"/>
                </w:tcPr>
                <w:p w14:paraId="714E31B8">
                  <w:pPr>
                    <w:jc w:val="center"/>
                    <w:rPr>
                      <w:rFonts w:ascii="Times New Roman" w:hAnsi="Times New Roman"/>
                      <w:color w:val="000000" w:themeColor="text1"/>
                      <w:sz w:val="21"/>
                      <w:szCs w:val="21"/>
                    </w:rPr>
                  </w:pPr>
                  <w:r>
                    <w:rPr>
                      <w:rFonts w:ascii="Times New Roman" w:hAnsi="Times New Roman"/>
                      <w:color w:val="000000" w:themeColor="text1"/>
                      <w:sz w:val="21"/>
                      <w:szCs w:val="21"/>
                    </w:rPr>
                    <w:t>30</w:t>
                  </w:r>
                </w:p>
              </w:tc>
            </w:tr>
            <w:tr w14:paraId="7DEC19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586" w:type="dxa"/>
                  <w:tcBorders>
                    <w:top w:val="single" w:color="auto" w:sz="4" w:space="0"/>
                    <w:bottom w:val="single" w:color="auto" w:sz="12" w:space="0"/>
                    <w:right w:val="single" w:color="auto" w:sz="4" w:space="0"/>
                  </w:tcBorders>
                  <w:vAlign w:val="center"/>
                </w:tcPr>
                <w:p w14:paraId="48C15083">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产生量（</w:t>
                  </w:r>
                  <w:r>
                    <w:rPr>
                      <w:rFonts w:ascii="Times New Roman" w:hAnsi="Times New Roman"/>
                      <w:color w:val="000000" w:themeColor="text1"/>
                      <w:sz w:val="21"/>
                      <w:szCs w:val="21"/>
                    </w:rPr>
                    <w:t>t/a</w:t>
                  </w:r>
                  <w:r>
                    <w:rPr>
                      <w:rFonts w:hint="eastAsia" w:ascii="Times New Roman" w:hAnsi="Times New Roman"/>
                      <w:color w:val="000000" w:themeColor="text1"/>
                      <w:sz w:val="21"/>
                      <w:szCs w:val="21"/>
                    </w:rPr>
                    <w:t>）</w:t>
                  </w:r>
                </w:p>
              </w:tc>
              <w:tc>
                <w:tcPr>
                  <w:tcW w:w="960" w:type="dxa"/>
                  <w:tcBorders>
                    <w:top w:val="single" w:color="auto" w:sz="4" w:space="0"/>
                    <w:left w:val="single" w:color="auto" w:sz="4" w:space="0"/>
                    <w:bottom w:val="single" w:color="auto" w:sz="12" w:space="0"/>
                    <w:right w:val="single" w:color="auto" w:sz="4" w:space="0"/>
                  </w:tcBorders>
                  <w:vAlign w:val="center"/>
                </w:tcPr>
                <w:p w14:paraId="4E1EEC72">
                  <w:pPr>
                    <w:jc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467.2</w:t>
                  </w:r>
                </w:p>
              </w:tc>
              <w:tc>
                <w:tcPr>
                  <w:tcW w:w="975" w:type="dxa"/>
                  <w:tcBorders>
                    <w:top w:val="single" w:color="auto" w:sz="4" w:space="0"/>
                    <w:left w:val="single" w:color="auto" w:sz="4" w:space="0"/>
                    <w:bottom w:val="single" w:color="auto" w:sz="12" w:space="0"/>
                    <w:right w:val="single" w:color="auto" w:sz="4" w:space="0"/>
                  </w:tcBorders>
                  <w:vAlign w:val="center"/>
                </w:tcPr>
                <w:p w14:paraId="55D01D52">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lang w:val="en-US" w:eastAsia="zh-CN"/>
                    </w:rPr>
                    <w:t>0.164</w:t>
                  </w:r>
                </w:p>
              </w:tc>
              <w:tc>
                <w:tcPr>
                  <w:tcW w:w="930" w:type="dxa"/>
                  <w:tcBorders>
                    <w:top w:val="single" w:color="auto" w:sz="4" w:space="0"/>
                    <w:left w:val="single" w:color="auto" w:sz="4" w:space="0"/>
                    <w:bottom w:val="single" w:color="auto" w:sz="12" w:space="0"/>
                    <w:right w:val="single" w:color="auto" w:sz="4" w:space="0"/>
                  </w:tcBorders>
                  <w:vAlign w:val="center"/>
                </w:tcPr>
                <w:p w14:paraId="446BCFBB">
                  <w:pPr>
                    <w:jc w:val="center"/>
                    <w:rPr>
                      <w:rFonts w:ascii="Times New Roman" w:hAnsi="Times New Roman"/>
                      <w:color w:val="000000" w:themeColor="text1"/>
                      <w:sz w:val="21"/>
                      <w:szCs w:val="21"/>
                    </w:rPr>
                  </w:pPr>
                  <w:r>
                    <w:rPr>
                      <w:rFonts w:ascii="Times New Roman" w:hAnsi="Times New Roman"/>
                      <w:color w:val="000000" w:themeColor="text1"/>
                      <w:sz w:val="21"/>
                      <w:szCs w:val="21"/>
                    </w:rPr>
                    <w:t>0.</w:t>
                  </w:r>
                  <w:r>
                    <w:rPr>
                      <w:rFonts w:hint="eastAsia" w:ascii="Times New Roman" w:hAnsi="Times New Roman"/>
                      <w:color w:val="000000" w:themeColor="text1"/>
                      <w:sz w:val="21"/>
                      <w:szCs w:val="21"/>
                      <w:lang w:val="en-US" w:eastAsia="zh-CN"/>
                    </w:rPr>
                    <w:t>084</w:t>
                  </w:r>
                </w:p>
              </w:tc>
              <w:tc>
                <w:tcPr>
                  <w:tcW w:w="798" w:type="dxa"/>
                  <w:tcBorders>
                    <w:top w:val="single" w:color="auto" w:sz="4" w:space="0"/>
                    <w:left w:val="single" w:color="auto" w:sz="4" w:space="0"/>
                    <w:bottom w:val="single" w:color="auto" w:sz="12" w:space="0"/>
                    <w:right w:val="single" w:color="auto" w:sz="4" w:space="0"/>
                  </w:tcBorders>
                  <w:vAlign w:val="center"/>
                </w:tcPr>
                <w:p w14:paraId="148F6A98">
                  <w:pPr>
                    <w:jc w:val="center"/>
                    <w:rPr>
                      <w:rFonts w:ascii="Times New Roman" w:hAnsi="Times New Roman"/>
                      <w:color w:val="000000" w:themeColor="text1"/>
                      <w:sz w:val="21"/>
                      <w:szCs w:val="21"/>
                    </w:rPr>
                  </w:pPr>
                  <w:r>
                    <w:rPr>
                      <w:rFonts w:ascii="Times New Roman" w:hAnsi="Times New Roman"/>
                      <w:color w:val="000000" w:themeColor="text1"/>
                      <w:sz w:val="21"/>
                      <w:szCs w:val="21"/>
                    </w:rPr>
                    <w:t>0.</w:t>
                  </w:r>
                  <w:r>
                    <w:rPr>
                      <w:rFonts w:hint="eastAsia" w:ascii="Times New Roman" w:hAnsi="Times New Roman"/>
                      <w:color w:val="000000" w:themeColor="text1"/>
                      <w:sz w:val="21"/>
                      <w:szCs w:val="21"/>
                      <w:lang w:val="en-US" w:eastAsia="zh-CN"/>
                    </w:rPr>
                    <w:t>093</w:t>
                  </w:r>
                </w:p>
              </w:tc>
              <w:tc>
                <w:tcPr>
                  <w:tcW w:w="1039" w:type="dxa"/>
                  <w:tcBorders>
                    <w:top w:val="single" w:color="auto" w:sz="4" w:space="0"/>
                    <w:left w:val="single" w:color="auto" w:sz="4" w:space="0"/>
                    <w:bottom w:val="single" w:color="auto" w:sz="12" w:space="0"/>
                  </w:tcBorders>
                  <w:vAlign w:val="center"/>
                </w:tcPr>
                <w:p w14:paraId="38A0B7F7">
                  <w:pPr>
                    <w:jc w:val="center"/>
                    <w:rPr>
                      <w:rFonts w:ascii="Times New Roman" w:hAnsi="Times New Roman"/>
                      <w:color w:val="000000" w:themeColor="text1"/>
                      <w:sz w:val="21"/>
                      <w:szCs w:val="21"/>
                    </w:rPr>
                  </w:pPr>
                  <w:r>
                    <w:rPr>
                      <w:rFonts w:ascii="Times New Roman" w:hAnsi="Times New Roman"/>
                      <w:color w:val="000000" w:themeColor="text1"/>
                      <w:sz w:val="21"/>
                      <w:szCs w:val="21"/>
                    </w:rPr>
                    <w:t>0.</w:t>
                  </w:r>
                  <w:r>
                    <w:rPr>
                      <w:rFonts w:hint="eastAsia" w:ascii="Times New Roman" w:hAnsi="Times New Roman"/>
                      <w:color w:val="000000" w:themeColor="text1"/>
                      <w:sz w:val="21"/>
                      <w:szCs w:val="21"/>
                      <w:lang w:val="en-US" w:eastAsia="zh-CN"/>
                    </w:rPr>
                    <w:t>014</w:t>
                  </w:r>
                </w:p>
              </w:tc>
            </w:tr>
          </w:tbl>
          <w:p w14:paraId="77124CD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rPr>
            </w:pPr>
            <w:r>
              <w:rPr>
                <w:rFonts w:hint="eastAsia" w:ascii="Times New Roman" w:hAnsi="Times New Roman"/>
                <w:color w:val="000000" w:themeColor="text1"/>
                <w:sz w:val="24"/>
                <w:szCs w:val="24"/>
              </w:rPr>
              <w:t>本项目污水水质较为简单，</w:t>
            </w:r>
            <w:r>
              <w:rPr>
                <w:rFonts w:hint="eastAsia" w:ascii="Times New Roman" w:hAnsi="Times New Roman"/>
                <w:color w:val="000000" w:themeColor="text1"/>
                <w:sz w:val="24"/>
                <w:szCs w:val="24"/>
                <w:lang w:val="en-US" w:eastAsia="zh-CN"/>
              </w:rPr>
              <w:t>生活污水可直接排入园区污水管网，汇集至园区污水处理厂进行后续处理</w:t>
            </w:r>
            <w:r>
              <w:rPr>
                <w:rFonts w:hint="eastAsia" w:ascii="Times New Roman" w:hAnsi="Times New Roman" w:cs="Times New Roman"/>
                <w:color w:val="000000" w:themeColor="text1"/>
                <w:sz w:val="24"/>
                <w:szCs w:val="24"/>
                <w:vertAlign w:val="baseline"/>
                <w:lang w:val="en-US" w:eastAsia="zh-CN"/>
              </w:rPr>
              <w:t>，基本对当地水环境不造成影响。</w:t>
            </w:r>
          </w:p>
          <w:p w14:paraId="1C7A630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2.2、油罐对地下水环境影响分析</w:t>
            </w:r>
          </w:p>
          <w:p w14:paraId="2C3380B9">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油罐对地下水的影响形式为油品泄露下渗污染地下水，现对其影响做出具体分析。</w:t>
            </w:r>
          </w:p>
          <w:p w14:paraId="52D0B684">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（1）评价等级</w:t>
            </w:r>
          </w:p>
          <w:p w14:paraId="7B4615BA">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根据《环境影响评价技术导则-地下水环境》（HJ610-2016）附录A（规范性附录）地下水环境影响评价行业分类表182、加油、加气站，本项目属于Ⅱ类项目，本项目不属于集中式饮用水水源准保护区、补给径流区、国家或地方政府设定的与地下水环境相关的其它保护区、未划定准保护区的集中水式饮用水水源、其保护区以外的补给径流区、分散式饮用水水源地、特殊地下水资源、保护区以外的分布区等其他未列入上述敏感分级的环境敏感区，地下水环境敏感特征为不敏感。</w:t>
            </w:r>
          </w:p>
          <w:p w14:paraId="78C87BA6">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地下水评价工作等级分级表见</w:t>
            </w:r>
            <w:r>
              <w:rPr>
                <w:rFonts w:hint="eastAsia" w:ascii="Times New Roman" w:hAnsi="Times New Roman" w:cs="Times New Roman"/>
                <w:color w:val="000000" w:themeColor="text1"/>
                <w:sz w:val="24"/>
                <w:szCs w:val="24"/>
                <w:lang w:val="en-US" w:eastAsia="zh-CN"/>
              </w:rPr>
              <w:t>下表</w:t>
            </w:r>
            <w:r>
              <w:rPr>
                <w:rFonts w:hint="default" w:ascii="Times New Roman" w:hAnsi="Times New Roman" w:eastAsia="宋体" w:cs="Times New Roman"/>
                <w:color w:val="000000" w:themeColor="text1"/>
                <w:sz w:val="24"/>
                <w:szCs w:val="24"/>
              </w:rPr>
              <w:t>。</w:t>
            </w:r>
          </w:p>
          <w:p w14:paraId="6ABD3E3A">
            <w:pPr>
              <w:ind w:firstLine="620" w:firstLineChars="294"/>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38</w:t>
            </w:r>
            <w:r>
              <w:rPr>
                <w:rFonts w:hint="eastAsia"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 xml:space="preserve">     </w:t>
            </w:r>
            <w:r>
              <w:rPr>
                <w:rFonts w:hint="eastAsia" w:ascii="黑体" w:hAnsi="黑体" w:eastAsia="黑体" w:cs="黑体"/>
                <w:b/>
                <w:bCs/>
                <w:color w:val="000000" w:themeColor="text1"/>
                <w:sz w:val="21"/>
                <w:szCs w:val="21"/>
              </w:rPr>
              <w:t xml:space="preserve">         评价工作等级分级表</w:t>
            </w:r>
          </w:p>
          <w:tbl>
            <w:tblPr>
              <w:tblStyle w:val="19"/>
              <w:tblW w:w="8220" w:type="dxa"/>
              <w:jc w:val="center"/>
              <w:tblBorders>
                <w:top w:val="single" w:color="auto" w:sz="12" w:space="0"/>
                <w:left w:val="none" w:color="auto" w:sz="0" w:space="0"/>
                <w:bottom w:val="single" w:color="auto" w:sz="12"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3453"/>
              <w:gridCol w:w="1708"/>
              <w:gridCol w:w="1530"/>
              <w:gridCol w:w="1529"/>
            </w:tblGrid>
            <w:tr w14:paraId="053AFACD">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23" w:hRule="atLeast"/>
                <w:jc w:val="center"/>
              </w:trPr>
              <w:tc>
                <w:tcPr>
                  <w:tcW w:w="3453" w:type="dxa"/>
                  <w:tcBorders>
                    <w:bottom w:val="single" w:color="auto" w:sz="12" w:space="0"/>
                  </w:tcBorders>
                  <w:vAlign w:val="center"/>
                </w:tcPr>
                <w:p w14:paraId="25B2EBEB">
                  <w:pPr>
                    <w:tabs>
                      <w:tab w:val="left" w:pos="600"/>
                    </w:tabs>
                    <w:ind w:firstLine="617" w:firstLineChars="294"/>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pict>
                      <v:line id="_x0000_s1026" o:spid="_x0000_s1026" o:spt="20" style="position:absolute;left:0pt;margin-left:-4.8pt;margin-top:-0.45pt;height:31.35pt;width:171.9pt;z-index:251660288;mso-width-relative:page;mso-height-relative:page;" fillcolor="#FFFFFF" filled="t" stroked="t" coordsize="21600,21600">
                        <v:path arrowok="t"/>
                        <v:fill on="t" color2="#FFFFFF" focussize="0,0"/>
                        <v:stroke color="#000000"/>
                        <v:imagedata o:title=""/>
                        <o:lock v:ext="edit" aspectratio="f"/>
                      </v:line>
                    </w:pict>
                  </w:r>
                  <w:r>
                    <w:rPr>
                      <w:rFonts w:hint="default" w:ascii="Times New Roman" w:hAnsi="Times New Roman" w:eastAsia="宋体" w:cs="Times New Roman"/>
                      <w:color w:val="000000" w:themeColor="text1"/>
                      <w:sz w:val="21"/>
                      <w:szCs w:val="21"/>
                    </w:rPr>
                    <w:t xml:space="preserve">      项目类别</w:t>
                  </w:r>
                </w:p>
                <w:p w14:paraId="3AF2EC27">
                  <w:pPr>
                    <w:tabs>
                      <w:tab w:val="left" w:pos="600"/>
                    </w:tabs>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环境敏感程度</w:t>
                  </w:r>
                </w:p>
              </w:tc>
              <w:tc>
                <w:tcPr>
                  <w:tcW w:w="1708" w:type="dxa"/>
                  <w:tcBorders>
                    <w:bottom w:val="single" w:color="auto" w:sz="12" w:space="0"/>
                  </w:tcBorders>
                  <w:vAlign w:val="center"/>
                </w:tcPr>
                <w:p w14:paraId="0F140987">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Ⅰ 类项目</w:t>
                  </w:r>
                </w:p>
              </w:tc>
              <w:tc>
                <w:tcPr>
                  <w:tcW w:w="1530" w:type="dxa"/>
                  <w:tcBorders>
                    <w:bottom w:val="single" w:color="auto" w:sz="12" w:space="0"/>
                  </w:tcBorders>
                  <w:vAlign w:val="center"/>
                </w:tcPr>
                <w:p w14:paraId="108D1F79">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Ⅱ类项目</w:t>
                  </w:r>
                </w:p>
              </w:tc>
              <w:tc>
                <w:tcPr>
                  <w:tcW w:w="1529" w:type="dxa"/>
                  <w:tcBorders>
                    <w:bottom w:val="single" w:color="auto" w:sz="12" w:space="0"/>
                  </w:tcBorders>
                  <w:vAlign w:val="center"/>
                </w:tcPr>
                <w:p w14:paraId="659A31D2">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Ⅲ类项目</w:t>
                  </w:r>
                </w:p>
              </w:tc>
            </w:tr>
            <w:tr w14:paraId="0965D2C8">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23" w:hRule="atLeast"/>
                <w:jc w:val="center"/>
              </w:trPr>
              <w:tc>
                <w:tcPr>
                  <w:tcW w:w="3453" w:type="dxa"/>
                  <w:tcBorders>
                    <w:top w:val="single" w:color="auto" w:sz="12" w:space="0"/>
                    <w:bottom w:val="single" w:color="auto" w:sz="4" w:space="0"/>
                  </w:tcBorders>
                  <w:vAlign w:val="center"/>
                </w:tcPr>
                <w:p w14:paraId="08259EEE">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敏感</w:t>
                  </w:r>
                </w:p>
              </w:tc>
              <w:tc>
                <w:tcPr>
                  <w:tcW w:w="1708" w:type="dxa"/>
                  <w:tcBorders>
                    <w:top w:val="single" w:color="auto" w:sz="12" w:space="0"/>
                    <w:bottom w:val="single" w:color="auto" w:sz="4" w:space="0"/>
                  </w:tcBorders>
                  <w:vAlign w:val="center"/>
                </w:tcPr>
                <w:p w14:paraId="6A29F7ED">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一</w:t>
                  </w:r>
                </w:p>
              </w:tc>
              <w:tc>
                <w:tcPr>
                  <w:tcW w:w="1530" w:type="dxa"/>
                  <w:tcBorders>
                    <w:top w:val="single" w:color="auto" w:sz="12" w:space="0"/>
                    <w:bottom w:val="single" w:color="auto" w:sz="4" w:space="0"/>
                  </w:tcBorders>
                  <w:vAlign w:val="center"/>
                </w:tcPr>
                <w:p w14:paraId="68811371">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一</w:t>
                  </w:r>
                </w:p>
              </w:tc>
              <w:tc>
                <w:tcPr>
                  <w:tcW w:w="1529" w:type="dxa"/>
                  <w:tcBorders>
                    <w:top w:val="single" w:color="auto" w:sz="12" w:space="0"/>
                    <w:bottom w:val="single" w:color="auto" w:sz="4" w:space="0"/>
                  </w:tcBorders>
                  <w:vAlign w:val="center"/>
                </w:tcPr>
                <w:p w14:paraId="241D138E">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二</w:t>
                  </w:r>
                </w:p>
              </w:tc>
            </w:tr>
            <w:tr w14:paraId="01F846F6">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23" w:hRule="atLeast"/>
                <w:jc w:val="center"/>
              </w:trPr>
              <w:tc>
                <w:tcPr>
                  <w:tcW w:w="3453" w:type="dxa"/>
                  <w:tcBorders>
                    <w:top w:val="single" w:color="auto" w:sz="4" w:space="0"/>
                    <w:bottom w:val="single" w:color="auto" w:sz="4" w:space="0"/>
                  </w:tcBorders>
                  <w:vAlign w:val="center"/>
                </w:tcPr>
                <w:p w14:paraId="7C07513A">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较敏感</w:t>
                  </w:r>
                </w:p>
              </w:tc>
              <w:tc>
                <w:tcPr>
                  <w:tcW w:w="1708" w:type="dxa"/>
                  <w:tcBorders>
                    <w:top w:val="single" w:color="auto" w:sz="4" w:space="0"/>
                    <w:bottom w:val="single" w:color="auto" w:sz="4" w:space="0"/>
                  </w:tcBorders>
                  <w:vAlign w:val="center"/>
                </w:tcPr>
                <w:p w14:paraId="109398C6">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一</w:t>
                  </w:r>
                </w:p>
              </w:tc>
              <w:tc>
                <w:tcPr>
                  <w:tcW w:w="1530" w:type="dxa"/>
                  <w:tcBorders>
                    <w:top w:val="single" w:color="auto" w:sz="4" w:space="0"/>
                    <w:bottom w:val="single" w:color="auto" w:sz="4" w:space="0"/>
                  </w:tcBorders>
                  <w:vAlign w:val="center"/>
                </w:tcPr>
                <w:p w14:paraId="6D4DD1DE">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二</w:t>
                  </w:r>
                </w:p>
              </w:tc>
              <w:tc>
                <w:tcPr>
                  <w:tcW w:w="1529" w:type="dxa"/>
                  <w:tcBorders>
                    <w:top w:val="single" w:color="auto" w:sz="4" w:space="0"/>
                    <w:bottom w:val="single" w:color="auto" w:sz="4" w:space="0"/>
                  </w:tcBorders>
                  <w:vAlign w:val="center"/>
                </w:tcPr>
                <w:p w14:paraId="01E22D66">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三</w:t>
                  </w:r>
                </w:p>
              </w:tc>
            </w:tr>
            <w:tr w14:paraId="15666FF3">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23" w:hRule="atLeast"/>
                <w:jc w:val="center"/>
              </w:trPr>
              <w:tc>
                <w:tcPr>
                  <w:tcW w:w="3453" w:type="dxa"/>
                  <w:tcBorders>
                    <w:top w:val="single" w:color="auto" w:sz="4" w:space="0"/>
                  </w:tcBorders>
                  <w:vAlign w:val="center"/>
                </w:tcPr>
                <w:p w14:paraId="1944100D">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不敏感</w:t>
                  </w:r>
                </w:p>
              </w:tc>
              <w:tc>
                <w:tcPr>
                  <w:tcW w:w="1708" w:type="dxa"/>
                  <w:tcBorders>
                    <w:top w:val="single" w:color="auto" w:sz="4" w:space="0"/>
                  </w:tcBorders>
                  <w:vAlign w:val="center"/>
                </w:tcPr>
                <w:p w14:paraId="09768041">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二</w:t>
                  </w:r>
                </w:p>
              </w:tc>
              <w:tc>
                <w:tcPr>
                  <w:tcW w:w="1530" w:type="dxa"/>
                  <w:tcBorders>
                    <w:top w:val="single" w:color="auto" w:sz="4" w:space="0"/>
                  </w:tcBorders>
                  <w:vAlign w:val="center"/>
                </w:tcPr>
                <w:p w14:paraId="67217D78">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三</w:t>
                  </w:r>
                </w:p>
              </w:tc>
              <w:tc>
                <w:tcPr>
                  <w:tcW w:w="1529" w:type="dxa"/>
                  <w:tcBorders>
                    <w:top w:val="single" w:color="auto" w:sz="4" w:space="0"/>
                  </w:tcBorders>
                  <w:vAlign w:val="center"/>
                </w:tcPr>
                <w:p w14:paraId="70ADEC8C">
                  <w:pPr>
                    <w:tabs>
                      <w:tab w:val="left" w:pos="600"/>
                    </w:tabs>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三</w:t>
                  </w:r>
                </w:p>
              </w:tc>
            </w:tr>
          </w:tbl>
          <w:p w14:paraId="02F882D6">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根据</w:t>
            </w:r>
            <w:r>
              <w:rPr>
                <w:rFonts w:hint="eastAsia" w:ascii="Times New Roman" w:hAnsi="Times New Roman" w:cs="Times New Roman"/>
                <w:color w:val="000000" w:themeColor="text1"/>
                <w:sz w:val="24"/>
                <w:szCs w:val="24"/>
                <w:lang w:val="en-US" w:eastAsia="zh-CN"/>
              </w:rPr>
              <w:t>上表</w:t>
            </w:r>
            <w:r>
              <w:rPr>
                <w:rFonts w:hint="default" w:ascii="Times New Roman" w:hAnsi="Times New Roman" w:eastAsia="宋体" w:cs="Times New Roman"/>
                <w:color w:val="000000" w:themeColor="text1"/>
                <w:sz w:val="24"/>
                <w:szCs w:val="24"/>
              </w:rPr>
              <w:t>，确定本项目地下水评价等级为三级。</w:t>
            </w:r>
          </w:p>
          <w:p w14:paraId="1C877C1E">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（2）地下水评价范围</w:t>
            </w:r>
          </w:p>
          <w:p w14:paraId="293D00DD">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根据地下水调查评价范围确定查表法见表</w:t>
            </w:r>
            <w:r>
              <w:rPr>
                <w:rFonts w:hint="eastAsia" w:ascii="Times New Roman" w:hAnsi="Times New Roman" w:cs="Times New Roman"/>
                <w:color w:val="000000" w:themeColor="text1"/>
                <w:sz w:val="24"/>
                <w:szCs w:val="24"/>
                <w:lang w:val="en-US" w:eastAsia="zh-CN"/>
              </w:rPr>
              <w:t>39</w:t>
            </w:r>
            <w:r>
              <w:rPr>
                <w:rFonts w:hint="default" w:ascii="Times New Roman" w:hAnsi="Times New Roman" w:eastAsia="宋体" w:cs="Times New Roman"/>
                <w:color w:val="000000" w:themeColor="text1"/>
                <w:sz w:val="24"/>
                <w:szCs w:val="24"/>
              </w:rPr>
              <w:t>。</w:t>
            </w:r>
          </w:p>
          <w:p w14:paraId="05D3884E">
            <w:pPr>
              <w:ind w:firstLine="620" w:firstLineChars="294"/>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39</w:t>
            </w:r>
            <w:r>
              <w:rPr>
                <w:rFonts w:hint="eastAsia" w:ascii="黑体" w:hAnsi="黑体" w:eastAsia="黑体" w:cs="黑体"/>
                <w:b/>
                <w:bCs/>
                <w:color w:val="000000" w:themeColor="text1"/>
                <w:sz w:val="21"/>
                <w:szCs w:val="21"/>
              </w:rPr>
              <w:t xml:space="preserve">             地下水环境现状调查评价范围参照表</w:t>
            </w:r>
          </w:p>
          <w:tbl>
            <w:tblPr>
              <w:tblStyle w:val="19"/>
              <w:tblW w:w="8220"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130"/>
              <w:gridCol w:w="3287"/>
              <w:gridCol w:w="2803"/>
            </w:tblGrid>
            <w:tr w14:paraId="55F8FC6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130" w:type="dxa"/>
                  <w:tcBorders>
                    <w:bottom w:val="single" w:color="auto" w:sz="12" w:space="0"/>
                  </w:tcBorders>
                  <w:vAlign w:val="center"/>
                </w:tcPr>
                <w:p w14:paraId="2F582CC4">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评价等级</w:t>
                  </w:r>
                </w:p>
              </w:tc>
              <w:tc>
                <w:tcPr>
                  <w:tcW w:w="3287" w:type="dxa"/>
                  <w:tcBorders>
                    <w:bottom w:val="single" w:color="auto" w:sz="12" w:space="0"/>
                  </w:tcBorders>
                  <w:vAlign w:val="center"/>
                </w:tcPr>
                <w:p w14:paraId="111A6877">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调查评价面积（km）</w:t>
                  </w:r>
                </w:p>
              </w:tc>
              <w:tc>
                <w:tcPr>
                  <w:tcW w:w="2803" w:type="dxa"/>
                  <w:tcBorders>
                    <w:bottom w:val="single" w:color="auto" w:sz="12" w:space="0"/>
                  </w:tcBorders>
                  <w:vAlign w:val="center"/>
                </w:tcPr>
                <w:p w14:paraId="41F3D9C3">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备注</w:t>
                  </w:r>
                </w:p>
              </w:tc>
            </w:tr>
            <w:tr w14:paraId="1C80F9C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130" w:type="dxa"/>
                  <w:tcBorders>
                    <w:top w:val="single" w:color="auto" w:sz="12" w:space="0"/>
                  </w:tcBorders>
                  <w:vAlign w:val="center"/>
                </w:tcPr>
                <w:p w14:paraId="1B38E642">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一级</w:t>
                  </w:r>
                </w:p>
              </w:tc>
              <w:tc>
                <w:tcPr>
                  <w:tcW w:w="3287" w:type="dxa"/>
                  <w:tcBorders>
                    <w:top w:val="single" w:color="auto" w:sz="12" w:space="0"/>
                  </w:tcBorders>
                  <w:vAlign w:val="center"/>
                </w:tcPr>
                <w:p w14:paraId="2FD72AD6">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≥20</w:t>
                  </w:r>
                </w:p>
              </w:tc>
              <w:tc>
                <w:tcPr>
                  <w:tcW w:w="2803" w:type="dxa"/>
                  <w:vMerge w:val="restart"/>
                  <w:tcBorders>
                    <w:top w:val="single" w:color="auto" w:sz="12" w:space="0"/>
                  </w:tcBorders>
                  <w:vAlign w:val="center"/>
                </w:tcPr>
                <w:p w14:paraId="63DB99B0">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应包括重要的地下水环境保护目标，必要时适当扩大范围。</w:t>
                  </w:r>
                </w:p>
              </w:tc>
            </w:tr>
            <w:tr w14:paraId="556B7A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130" w:type="dxa"/>
                  <w:vAlign w:val="center"/>
                </w:tcPr>
                <w:p w14:paraId="6C786982">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二级</w:t>
                  </w:r>
                </w:p>
              </w:tc>
              <w:tc>
                <w:tcPr>
                  <w:tcW w:w="3287" w:type="dxa"/>
                  <w:vAlign w:val="center"/>
                </w:tcPr>
                <w:p w14:paraId="187C8893">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6～20</w:t>
                  </w:r>
                </w:p>
              </w:tc>
              <w:tc>
                <w:tcPr>
                  <w:tcW w:w="2803" w:type="dxa"/>
                  <w:vMerge w:val="continue"/>
                  <w:vAlign w:val="center"/>
                </w:tcPr>
                <w:p w14:paraId="4819F9A6">
                  <w:pPr>
                    <w:spacing w:line="360" w:lineRule="exact"/>
                    <w:jc w:val="center"/>
                    <w:rPr>
                      <w:rFonts w:hint="default" w:ascii="Times New Roman" w:hAnsi="Times New Roman" w:eastAsia="宋体" w:cs="Times New Roman"/>
                      <w:color w:val="000000" w:themeColor="text1"/>
                      <w:sz w:val="21"/>
                      <w:szCs w:val="21"/>
                    </w:rPr>
                  </w:pPr>
                </w:p>
              </w:tc>
            </w:tr>
            <w:tr w14:paraId="4E1E80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trPr>
              <w:tc>
                <w:tcPr>
                  <w:tcW w:w="2130" w:type="dxa"/>
                  <w:vAlign w:val="center"/>
                </w:tcPr>
                <w:p w14:paraId="72FF0B5E">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三级</w:t>
                  </w:r>
                </w:p>
              </w:tc>
              <w:tc>
                <w:tcPr>
                  <w:tcW w:w="3287" w:type="dxa"/>
                  <w:vAlign w:val="center"/>
                </w:tcPr>
                <w:p w14:paraId="28E71343">
                  <w:pPr>
                    <w:spacing w:line="36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≤6</w:t>
                  </w:r>
                </w:p>
              </w:tc>
              <w:tc>
                <w:tcPr>
                  <w:tcW w:w="2803" w:type="dxa"/>
                  <w:vMerge w:val="continue"/>
                  <w:vAlign w:val="center"/>
                </w:tcPr>
                <w:p w14:paraId="3CAB4D0E">
                  <w:pPr>
                    <w:spacing w:line="360" w:lineRule="exact"/>
                    <w:jc w:val="center"/>
                    <w:rPr>
                      <w:rFonts w:hint="default" w:ascii="Times New Roman" w:hAnsi="Times New Roman" w:eastAsia="宋体" w:cs="Times New Roman"/>
                      <w:color w:val="000000" w:themeColor="text1"/>
                      <w:sz w:val="21"/>
                      <w:szCs w:val="21"/>
                    </w:rPr>
                  </w:pPr>
                </w:p>
              </w:tc>
            </w:tr>
          </w:tbl>
          <w:p w14:paraId="12493F2C">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本项目地下水评价为三级评价，地下水评价范围为：以站区为中心，上游1km至下游3km、侧向1.5km的水文地质单元，总调查评价面积为6km</w:t>
            </w:r>
            <w:r>
              <w:rPr>
                <w:rFonts w:hint="default" w:ascii="Times New Roman" w:hAnsi="Times New Roman" w:eastAsia="宋体" w:cs="Times New Roman"/>
                <w:color w:val="000000" w:themeColor="text1"/>
                <w:sz w:val="24"/>
                <w:szCs w:val="24"/>
                <w:vertAlign w:val="superscript"/>
              </w:rPr>
              <w:t>2</w:t>
            </w:r>
            <w:r>
              <w:rPr>
                <w:rFonts w:hint="default" w:ascii="Times New Roman" w:hAnsi="Times New Roman" w:eastAsia="宋体" w:cs="Times New Roman"/>
                <w:color w:val="000000" w:themeColor="text1"/>
                <w:sz w:val="24"/>
                <w:szCs w:val="24"/>
              </w:rPr>
              <w:t>。</w:t>
            </w:r>
          </w:p>
          <w:p w14:paraId="32CAF534">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（3）项目区域地质环境条件概况</w:t>
            </w:r>
          </w:p>
          <w:p w14:paraId="48F93778">
            <w:pPr>
              <w:pStyle w:val="44"/>
              <w:ind w:firstLine="480"/>
              <w:rPr>
                <w:rFonts w:hint="default" w:ascii="Times New Roman" w:hAnsi="Times New Roman" w:eastAsia="宋体" w:cs="Times New Roman"/>
                <w:color w:val="000000" w:themeColor="text1"/>
                <w:kern w:val="72"/>
              </w:rPr>
            </w:pPr>
            <w:r>
              <w:rPr>
                <w:rFonts w:hint="eastAsia" w:ascii="Times New Roman" w:hAnsi="Times New Roman"/>
                <w:snapToGrid w:val="0"/>
                <w:color w:val="000000" w:themeColor="text1"/>
                <w:sz w:val="24"/>
                <w:szCs w:val="24"/>
                <w:lang w:val="en-US" w:eastAsia="zh-CN"/>
              </w:rPr>
              <w:t>高新区位于三屯河与呼图壁河之间、冲洪积扇中部，处于砾石带和细土带交接部位，故地质结构、地层岩性及水文地质条件均有较大和较快的变化。高新区工程地质条件为：高新区东部与南部覆盖着10~30m的具有大孔性的黄土状亚粘土，属I（轻微）级非自重湿陷性土，中间夹有小于1m的细砂带或细砂透镜体，该区域地面平整，由南向北倾斜，平均坡度为1%，地下水位埋深大于20m，承载力为150~180KPa。高新区西北部地形起伏较大，大孔性的黄土状非自重湿陷性亚粘土厚度在几十公分至10m之间，个别地段砾砂、圆砂及卵砾石等直接出露地表，地基的强度在180~300KPa之间。</w:t>
            </w:r>
          </w:p>
          <w:p w14:paraId="2F611297">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（4）水文地质条件</w:t>
            </w:r>
          </w:p>
          <w:p w14:paraId="30BA0B54">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高新区内大厚度的第四纪堆积物，为地下水的贮存、运移提供了良好的空间，其中埋藏着丰富的孔隙潜水和承压水，其地下水的形成及埋藏分布规律，受控于该区地质构造，第四纪地层、地貌、岩性及气象水文条件。高新区座落于三屯河冲洪积扇中下部，为多层结构的混合水含水层分布区。</w:t>
            </w:r>
          </w:p>
          <w:p w14:paraId="0D27979F">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三屯河冲洪积扇区自扇顶到扇缘水文地质分带规律很明显，地下水的埋藏及含水层分布有明显的纵向递变规律，山前隐伏断裂构造控制和影响着出山口后地下水的埋藏深度。地下潜水的埋深自扇顶向扇缘方向逐渐变浅；含水层也由单一结构的大厚度结构松散的卵砾石、砂卵砾石潜水含水层过渡为多层结构中厚度结构较致密、含不连续亚砂土、亚粘土隔水地层的混合含水层；到冲洪积扇中下部，含水层厚度向扇缘方向继续变薄，隔水层增多，且结构致密、岩层连续，该处含水层以承压含水层为主。</w:t>
            </w:r>
          </w:p>
          <w:p w14:paraId="40D41AC0">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根据《新疆昌吉工业高新区水资源调查评价报告》规划区地下水埋深在23～36m之间，西南部埋深较小，东北部埋深较大，中部埋深也较大，地层深度200m以内含水层厚度大于40m，少于120m，含水层岩性以砂砾石为主，多层结构，富含潜水及承压水，属混合型含水层组。根据计算，规划区地下水水源可开采量为1000×104m</w:t>
            </w:r>
            <w:r>
              <w:rPr>
                <w:rFonts w:hint="eastAsia" w:ascii="Times New Roman" w:hAnsi="Times New Roman"/>
                <w:snapToGrid w:val="0"/>
                <w:color w:val="000000" w:themeColor="text1"/>
                <w:sz w:val="24"/>
                <w:szCs w:val="24"/>
                <w:vertAlign w:val="superscript"/>
                <w:lang w:val="en-US" w:eastAsia="zh-CN"/>
              </w:rPr>
              <w:t>3</w:t>
            </w:r>
            <w:r>
              <w:rPr>
                <w:rFonts w:hint="eastAsia" w:ascii="Times New Roman" w:hAnsi="Times New Roman"/>
                <w:snapToGrid w:val="0"/>
                <w:color w:val="000000" w:themeColor="text1"/>
                <w:sz w:val="24"/>
                <w:szCs w:val="24"/>
                <w:lang w:val="en-US" w:eastAsia="zh-CN"/>
              </w:rPr>
              <w:t>/年～1200×104m</w:t>
            </w:r>
            <w:r>
              <w:rPr>
                <w:rFonts w:hint="eastAsia" w:ascii="Times New Roman" w:hAnsi="Times New Roman"/>
                <w:snapToGrid w:val="0"/>
                <w:color w:val="000000" w:themeColor="text1"/>
                <w:sz w:val="24"/>
                <w:szCs w:val="24"/>
                <w:vertAlign w:val="superscript"/>
                <w:lang w:val="en-US" w:eastAsia="zh-CN"/>
              </w:rPr>
              <w:t>3</w:t>
            </w:r>
            <w:r>
              <w:rPr>
                <w:rFonts w:hint="eastAsia" w:ascii="Times New Roman" w:hAnsi="Times New Roman"/>
                <w:snapToGrid w:val="0"/>
                <w:color w:val="000000" w:themeColor="text1"/>
                <w:sz w:val="24"/>
                <w:szCs w:val="24"/>
                <w:lang w:val="en-US" w:eastAsia="zh-CN"/>
              </w:rPr>
              <w:t>/a，即2.7×104m</w:t>
            </w:r>
            <w:r>
              <w:rPr>
                <w:rFonts w:hint="eastAsia" w:ascii="Times New Roman" w:hAnsi="Times New Roman"/>
                <w:snapToGrid w:val="0"/>
                <w:color w:val="000000" w:themeColor="text1"/>
                <w:sz w:val="24"/>
                <w:szCs w:val="24"/>
                <w:vertAlign w:val="superscript"/>
                <w:lang w:val="en-US" w:eastAsia="zh-CN"/>
              </w:rPr>
              <w:t>3</w:t>
            </w:r>
            <w:r>
              <w:rPr>
                <w:rFonts w:hint="eastAsia" w:ascii="Times New Roman" w:hAnsi="Times New Roman"/>
                <w:snapToGrid w:val="0"/>
                <w:color w:val="000000" w:themeColor="text1"/>
                <w:sz w:val="24"/>
                <w:szCs w:val="24"/>
                <w:lang w:val="en-US" w:eastAsia="zh-CN"/>
              </w:rPr>
              <w:t>/d～3.3×104m</w:t>
            </w:r>
            <w:r>
              <w:rPr>
                <w:rFonts w:hint="eastAsia" w:ascii="Times New Roman" w:hAnsi="Times New Roman"/>
                <w:snapToGrid w:val="0"/>
                <w:color w:val="000000" w:themeColor="text1"/>
                <w:sz w:val="24"/>
                <w:szCs w:val="24"/>
                <w:vertAlign w:val="superscript"/>
                <w:lang w:val="en-US" w:eastAsia="zh-CN"/>
              </w:rPr>
              <w:t>3</w:t>
            </w:r>
            <w:r>
              <w:rPr>
                <w:rFonts w:hint="eastAsia" w:ascii="Times New Roman" w:hAnsi="Times New Roman"/>
                <w:snapToGrid w:val="0"/>
                <w:color w:val="000000" w:themeColor="text1"/>
                <w:sz w:val="24"/>
                <w:szCs w:val="24"/>
                <w:lang w:val="en-US" w:eastAsia="zh-CN"/>
              </w:rPr>
              <w:t>/d。</w:t>
            </w:r>
          </w:p>
          <w:p w14:paraId="493A8236">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据高新区地下水等水位线图，高新区内地下水流向为SW至NE方向，与高新区南边界基本垂直，区外地下水顺含水层通道，沿地下水流向侧向补给区内地下水。区外地下水补给源及补给方式主要表现为：三屯河、呼图壁河水流经山前第四纪松散沉积物时大量渗漏，成为扇区地下水主要补给来源，其补给有以下三种方式：一是侧向补给：丘陵地带及三屯河、呼图壁河河床中出露中、下更新统半胶结冰水沉积砂岩、砂砾岩与砂质泥岩互层，砂岩、砂砾岩具有一定的透水性，当河水流经该区段时，大量渗漏形成孔隙裂隙水，再通过山前隐伏断裂从深部直接补给扇区地下水；二是垂直补给：从两河山区水库至渠首站之间，河流流经全新统松散的卵石砾石层，以垂直渗漏方式大量补给地下水；三是渠系渗漏：遍布山前倾斜平原的各级引水系统，几乎将两河所有的河水引入各灌区，在引水过程中，渠系的渗漏也是扇区地下水的补给来源之一。</w:t>
            </w:r>
          </w:p>
          <w:p w14:paraId="40FA40C8">
            <w:pPr>
              <w:spacing w:line="360" w:lineRule="auto"/>
              <w:ind w:firstLine="480" w:firstLineChars="200"/>
              <w:rPr>
                <w:rFonts w:hint="eastAsia" w:ascii="Times New Roman" w:hAnsi="Times New Roman"/>
                <w:snapToGrid w:val="0"/>
                <w:color w:val="000000" w:themeColor="text1"/>
                <w:sz w:val="24"/>
                <w:szCs w:val="24"/>
                <w:lang w:val="en-US" w:eastAsia="zh-CN"/>
              </w:rPr>
            </w:pPr>
            <w:r>
              <w:rPr>
                <w:rFonts w:hint="eastAsia" w:ascii="Times New Roman" w:hAnsi="Times New Roman"/>
                <w:snapToGrid w:val="0"/>
                <w:color w:val="000000" w:themeColor="text1"/>
                <w:sz w:val="24"/>
                <w:szCs w:val="24"/>
                <w:lang w:val="en-US" w:eastAsia="zh-CN"/>
              </w:rPr>
              <w:t>本项目所处区内地下水埋深为33.8～36.3m，含水层厚度41～120m，含水层由砾石、砂、卵石组成。</w:t>
            </w:r>
          </w:p>
          <w:p w14:paraId="0B97FB91">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（5）地下水污染途径、影响分析及预防措施</w:t>
            </w:r>
          </w:p>
          <w:p w14:paraId="5F75A907">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fldChar w:fldCharType="begin"/>
            </w:r>
            <w:r>
              <w:rPr>
                <w:rFonts w:hint="default" w:ascii="Times New Roman" w:hAnsi="Times New Roman" w:eastAsia="宋体" w:cs="Times New Roman"/>
                <w:color w:val="000000" w:themeColor="text1"/>
                <w:sz w:val="24"/>
                <w:szCs w:val="24"/>
              </w:rPr>
              <w:instrText xml:space="preserve"> = 1 \* GB3 </w:instrText>
            </w:r>
            <w:r>
              <w:rPr>
                <w:rFonts w:hint="default" w:ascii="Times New Roman" w:hAnsi="Times New Roman" w:eastAsia="宋体" w:cs="Times New Roman"/>
                <w:color w:val="000000" w:themeColor="text1"/>
                <w:sz w:val="24"/>
                <w:szCs w:val="24"/>
              </w:rPr>
              <w:fldChar w:fldCharType="separate"/>
            </w:r>
            <w:r>
              <w:rPr>
                <w:rFonts w:hint="default" w:ascii="Times New Roman" w:hAnsi="Times New Roman" w:eastAsia="宋体" w:cs="Times New Roman"/>
                <w:color w:val="000000" w:themeColor="text1"/>
                <w:sz w:val="24"/>
                <w:szCs w:val="24"/>
              </w:rPr>
              <w:t>①</w:t>
            </w:r>
            <w:r>
              <w:rPr>
                <w:rFonts w:hint="default" w:ascii="Times New Roman" w:hAnsi="Times New Roman" w:eastAsia="宋体" w:cs="Times New Roman"/>
                <w:color w:val="000000" w:themeColor="text1"/>
                <w:sz w:val="24"/>
                <w:szCs w:val="24"/>
              </w:rPr>
              <w:fldChar w:fldCharType="end"/>
            </w:r>
            <w:r>
              <w:rPr>
                <w:rFonts w:hint="default" w:ascii="Times New Roman" w:hAnsi="Times New Roman" w:eastAsia="宋体" w:cs="Times New Roman"/>
                <w:color w:val="000000" w:themeColor="text1"/>
                <w:sz w:val="24"/>
                <w:szCs w:val="24"/>
              </w:rPr>
              <w:t>污染途径</w:t>
            </w:r>
          </w:p>
          <w:p w14:paraId="20FCF4B3">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污染物从污染源进入地下水所经过路径称为地下水污染途径，地下水污染途径是多种多样的。根据工程所处区域的地质情况，本项目可能对下水造成污染的途径为罐区油品泄漏下渗</w:t>
            </w:r>
            <w:r>
              <w:rPr>
                <w:rFonts w:hint="eastAsia" w:ascii="Times New Roman" w:hAnsi="Times New Roman" w:cs="Times New Roman"/>
                <w:color w:val="000000" w:themeColor="text1"/>
                <w:sz w:val="24"/>
                <w:szCs w:val="24"/>
                <w:lang w:val="en-US" w:eastAsia="zh-CN"/>
              </w:rPr>
              <w:t>以及储气罐中废液泄露</w:t>
            </w:r>
            <w:r>
              <w:rPr>
                <w:rFonts w:hint="default" w:ascii="Times New Roman" w:hAnsi="Times New Roman" w:eastAsia="宋体" w:cs="Times New Roman"/>
                <w:color w:val="000000" w:themeColor="text1"/>
                <w:sz w:val="24"/>
                <w:szCs w:val="24"/>
              </w:rPr>
              <w:t>对地下水造成的污染。</w:t>
            </w:r>
          </w:p>
          <w:p w14:paraId="1C996B16">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fldChar w:fldCharType="begin"/>
            </w:r>
            <w:r>
              <w:rPr>
                <w:rFonts w:hint="default" w:ascii="Times New Roman" w:hAnsi="Times New Roman" w:eastAsia="宋体" w:cs="Times New Roman"/>
                <w:color w:val="000000" w:themeColor="text1"/>
                <w:sz w:val="24"/>
                <w:szCs w:val="24"/>
              </w:rPr>
              <w:instrText xml:space="preserve"> = 2 \* GB3 </w:instrText>
            </w:r>
            <w:r>
              <w:rPr>
                <w:rFonts w:hint="default" w:ascii="Times New Roman" w:hAnsi="Times New Roman" w:eastAsia="宋体" w:cs="Times New Roman"/>
                <w:color w:val="000000" w:themeColor="text1"/>
                <w:sz w:val="24"/>
                <w:szCs w:val="24"/>
              </w:rPr>
              <w:fldChar w:fldCharType="separate"/>
            </w:r>
            <w:r>
              <w:rPr>
                <w:rFonts w:hint="default" w:ascii="Times New Roman" w:hAnsi="Times New Roman" w:eastAsia="宋体" w:cs="Times New Roman"/>
                <w:color w:val="000000" w:themeColor="text1"/>
                <w:sz w:val="24"/>
                <w:szCs w:val="24"/>
              </w:rPr>
              <w:t>②</w:t>
            </w:r>
            <w:r>
              <w:rPr>
                <w:rFonts w:hint="default" w:ascii="Times New Roman" w:hAnsi="Times New Roman" w:eastAsia="宋体" w:cs="Times New Roman"/>
                <w:color w:val="000000" w:themeColor="text1"/>
                <w:sz w:val="24"/>
                <w:szCs w:val="24"/>
              </w:rPr>
              <w:fldChar w:fldCharType="end"/>
            </w:r>
            <w:r>
              <w:rPr>
                <w:rFonts w:hint="eastAsia" w:ascii="Times New Roman" w:hAnsi="Times New Roman" w:cs="Times New Roman"/>
                <w:color w:val="000000" w:themeColor="text1"/>
                <w:sz w:val="24"/>
                <w:szCs w:val="24"/>
                <w:lang w:val="en-US" w:eastAsia="zh-CN"/>
              </w:rPr>
              <w:t>地下溶质运移数学模型建立和参数选择</w:t>
            </w:r>
          </w:p>
          <w:p w14:paraId="4B2F3870">
            <w:pPr>
              <w:spacing w:line="360" w:lineRule="auto"/>
              <w:ind w:firstLine="480" w:firstLineChars="200"/>
              <w:rPr>
                <w:rFonts w:hint="eastAsia" w:ascii="Times New Roman" w:hAnsi="Times New Roman"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各污染因子在地下含水层的迁移可概化为示踪剂瞬时注入一维半无限长多孔介质主体的一维稳定流动二维水动力弥散模型，模型选区《环境影响评价技术导则 地下水环境》（HJ610-2016）中附录D中D.3：</w:t>
            </w:r>
          </w:p>
          <w:p w14:paraId="6CEC369F">
            <w:pPr>
              <w:spacing w:line="360" w:lineRule="auto"/>
              <w:ind w:firstLine="480" w:firstLineChars="200"/>
              <w:rPr>
                <w:color w:val="000000" w:themeColor="text1"/>
              </w:rPr>
            </w:pPr>
            <w:r>
              <w:rPr>
                <w:color w:val="000000" w:themeColor="text1"/>
              </w:rPr>
              <w:pict>
                <v:shape id="_x0000_i1032" o:spt="75" type="#_x0000_t75" style="height:30.45pt;width:131.25pt;" filled="f" o:preferrelative="t" stroked="f" coordsize="21600,21600">
                  <v:path/>
                  <v:fill on="f" focussize="0,0"/>
                  <v:stroke on="f"/>
                  <v:imagedata r:id="rId16" o:title=""/>
                  <o:lock v:ext="edit" aspectratio="t"/>
                  <w10:wrap type="none"/>
                  <w10:anchorlock/>
                </v:shape>
              </w:pict>
            </w:r>
          </w:p>
          <w:p w14:paraId="501A2D32">
            <w:pPr>
              <w:spacing w:line="360" w:lineRule="auto"/>
              <w:ind w:firstLine="480" w:firstLineChars="200"/>
              <w:rPr>
                <w:rFonts w:hint="eastAsia" w:ascii="Times New Roman" w:hAnsi="Times New Roman" w:cs="Times New Roman"/>
                <w:color w:val="000000" w:themeColor="text1"/>
                <w:lang w:val="en-US" w:eastAsia="zh-CN"/>
              </w:rPr>
            </w:pPr>
            <w:r>
              <w:rPr>
                <w:rFonts w:hint="default" w:ascii="Times New Roman" w:hAnsi="Times New Roman" w:cs="Times New Roman"/>
                <w:color w:val="000000" w:themeColor="text1"/>
                <w:lang w:val="en-US" w:eastAsia="zh-CN"/>
              </w:rPr>
              <w:t>式中：x,y</w:t>
            </w:r>
            <w:r>
              <w:rPr>
                <w:rFonts w:hint="eastAsia" w:ascii="Times New Roman" w:hAnsi="Times New Roman" w:cs="Times New Roman"/>
                <w:color w:val="000000" w:themeColor="text1"/>
                <w:lang w:val="en-US" w:eastAsia="zh-CN"/>
              </w:rPr>
              <w:t>—计算点处的位置坐标；</w:t>
            </w:r>
          </w:p>
          <w:p w14:paraId="6B92CF2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eastAsia"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t—时间，d；</w:t>
            </w:r>
          </w:p>
          <w:p w14:paraId="5D5D656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eastAsia"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C（x，y，t）—t时刻x，y处的示踪剂质量浓度，mg/L；</w:t>
            </w:r>
          </w:p>
          <w:p w14:paraId="6C9739D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eastAsia" w:ascii="Times New Roman" w:hAnsi="Times New Roman" w:cs="Times New Roman"/>
                <w:color w:val="000000" w:themeColor="text1"/>
                <w:lang w:val="en-US" w:eastAsia="zh-CN"/>
              </w:rPr>
            </w:pPr>
            <w:r>
              <w:rPr>
                <w:rFonts w:hint="eastAsia" w:ascii="Times New Roman" w:hAnsi="Times New Roman" w:cs="Times New Roman"/>
                <w:color w:val="000000" w:themeColor="text1"/>
                <w:lang w:val="en-US" w:eastAsia="zh-CN"/>
              </w:rPr>
              <w:t>M—含水层厚度，m；</w:t>
            </w:r>
          </w:p>
          <w:p w14:paraId="65CED72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eastAsia" w:ascii="Times New Roman" w:hAnsi="Times New Roman" w:cs="Times New Roman"/>
                <w:color w:val="000000" w:themeColor="text1"/>
                <w:vertAlign w:val="baseline"/>
                <w:lang w:val="en-US" w:eastAsia="zh-CN"/>
              </w:rPr>
            </w:pPr>
            <w:r>
              <w:rPr>
                <w:rFonts w:hint="eastAsia" w:ascii="Times New Roman" w:hAnsi="Times New Roman" w:cs="Times New Roman"/>
                <w:color w:val="000000" w:themeColor="text1"/>
                <w:lang w:val="en-US" w:eastAsia="zh-CN"/>
              </w:rPr>
              <w:t>m</w:t>
            </w:r>
            <w:r>
              <w:rPr>
                <w:rFonts w:hint="eastAsia" w:ascii="Times New Roman" w:hAnsi="Times New Roman" w:cs="Times New Roman"/>
                <w:color w:val="000000" w:themeColor="text1"/>
                <w:vertAlign w:val="subscript"/>
                <w:lang w:val="en-US" w:eastAsia="zh-CN"/>
              </w:rPr>
              <w:t>M</w:t>
            </w:r>
            <w:r>
              <w:rPr>
                <w:rFonts w:hint="eastAsia" w:ascii="Times New Roman" w:hAnsi="Times New Roman" w:cs="Times New Roman"/>
                <w:color w:val="000000" w:themeColor="text1"/>
                <w:vertAlign w:val="baseline"/>
                <w:lang w:val="en-US" w:eastAsia="zh-CN"/>
              </w:rPr>
              <w:t>—长度为m的线源瞬时注入示踪剂质量，g；</w:t>
            </w:r>
          </w:p>
          <w:p w14:paraId="55B4FCF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eastAsia" w:ascii="Times New Roman" w:hAnsi="Times New Roman" w:cs="Times New Roman"/>
                <w:color w:val="000000" w:themeColor="text1"/>
                <w:vertAlign w:val="baseline"/>
                <w:lang w:val="en-US" w:eastAsia="zh-CN"/>
              </w:rPr>
            </w:pPr>
            <w:r>
              <w:rPr>
                <w:rFonts w:hint="eastAsia" w:ascii="Times New Roman" w:hAnsi="Times New Roman" w:cs="Times New Roman"/>
                <w:color w:val="000000" w:themeColor="text1"/>
                <w:vertAlign w:val="baseline"/>
                <w:lang w:val="en-US" w:eastAsia="zh-CN"/>
              </w:rPr>
              <w:t>u—水流速度，m/d；</w:t>
            </w:r>
          </w:p>
          <w:p w14:paraId="7123F62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eastAsia" w:ascii="Times New Roman" w:hAnsi="Times New Roman" w:cs="Times New Roman"/>
                <w:color w:val="000000" w:themeColor="text1"/>
                <w:vertAlign w:val="baseline"/>
                <w:lang w:val="en-US" w:eastAsia="zh-CN"/>
              </w:rPr>
            </w:pPr>
            <w:r>
              <w:rPr>
                <w:rFonts w:hint="eastAsia" w:ascii="Times New Roman" w:hAnsi="Times New Roman" w:cs="Times New Roman"/>
                <w:color w:val="000000" w:themeColor="text1"/>
                <w:vertAlign w:val="baseline"/>
                <w:lang w:val="en-US" w:eastAsia="zh-CN"/>
              </w:rPr>
              <w:t>n—有效孔隙度；</w:t>
            </w:r>
          </w:p>
          <w:p w14:paraId="3259977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s="Times New Roman"/>
                <w:color w:val="000000" w:themeColor="text1"/>
                <w:sz w:val="24"/>
                <w:szCs w:val="24"/>
                <w:lang w:val="en-US" w:eastAsia="zh-CN"/>
              </w:rPr>
            </w:pPr>
            <w:r>
              <w:rPr>
                <w:rFonts w:hint="eastAsia" w:ascii="Times New Roman" w:hAnsi="Times New Roman" w:cs="Times New Roman"/>
                <w:color w:val="000000" w:themeColor="text1"/>
                <w:vertAlign w:val="baseline"/>
                <w:lang w:val="en-US" w:eastAsia="zh-CN"/>
              </w:rPr>
              <w:t>根据区域的水文地质条件，并结合</w:t>
            </w:r>
            <w:r>
              <w:rPr>
                <w:rFonts w:hint="eastAsia" w:ascii="Times New Roman" w:hAnsi="Times New Roman" w:cs="Times New Roman"/>
                <w:color w:val="000000" w:themeColor="text1"/>
                <w:sz w:val="24"/>
                <w:szCs w:val="24"/>
                <w:lang w:val="en-US" w:eastAsia="zh-CN"/>
              </w:rPr>
              <w:t>《环境影响评价技术导则 地下水环境》（HJ610-2016）中附录B经验参数，地下水流速u为0.0016m/d（u=k×I），含水层的有效孔隙度为0.15，纵向弥散系数D</w:t>
            </w:r>
            <w:r>
              <w:rPr>
                <w:rFonts w:hint="eastAsia" w:ascii="Times New Roman" w:hAnsi="Times New Roman" w:cs="Times New Roman"/>
                <w:color w:val="000000" w:themeColor="text1"/>
                <w:sz w:val="24"/>
                <w:szCs w:val="24"/>
                <w:vertAlign w:val="subscript"/>
                <w:lang w:val="en-US" w:eastAsia="zh-CN"/>
              </w:rPr>
              <w:t>L</w:t>
            </w:r>
            <w:r>
              <w:rPr>
                <w:rFonts w:hint="eastAsia" w:ascii="Times New Roman" w:hAnsi="Times New Roman" w:cs="Times New Roman"/>
                <w:color w:val="000000" w:themeColor="text1"/>
                <w:sz w:val="24"/>
                <w:szCs w:val="24"/>
                <w:lang w:val="en-US" w:eastAsia="zh-CN"/>
              </w:rPr>
              <w:t>为10m/d，横向弥散系数D</w:t>
            </w:r>
            <w:r>
              <w:rPr>
                <w:rFonts w:hint="eastAsia" w:ascii="Times New Roman" w:hAnsi="Times New Roman" w:cs="Times New Roman"/>
                <w:color w:val="000000" w:themeColor="text1"/>
                <w:sz w:val="24"/>
                <w:szCs w:val="24"/>
                <w:vertAlign w:val="subscript"/>
                <w:lang w:val="en-US" w:eastAsia="zh-CN"/>
              </w:rPr>
              <w:t>T</w:t>
            </w:r>
            <w:r>
              <w:rPr>
                <w:rFonts w:hint="eastAsia" w:ascii="Times New Roman" w:hAnsi="Times New Roman" w:cs="Times New Roman"/>
                <w:color w:val="000000" w:themeColor="text1"/>
                <w:sz w:val="24"/>
                <w:szCs w:val="24"/>
                <w:lang w:val="en-US" w:eastAsia="zh-CN"/>
              </w:rPr>
              <w:t>为1m/d，含水层平均厚度以60cm计。</w:t>
            </w:r>
          </w:p>
          <w:p w14:paraId="0F4FEB8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cs="宋体"/>
                <w:color w:val="000000" w:themeColor="text1"/>
                <w:sz w:val="24"/>
                <w:szCs w:val="24"/>
                <w:lang w:val="en-US" w:eastAsia="zh-CN"/>
              </w:rPr>
            </w:pPr>
            <w:r>
              <w:rPr>
                <w:rFonts w:hint="eastAsia" w:ascii="宋体" w:hAnsi="宋体" w:eastAsia="宋体" w:cs="宋体"/>
                <w:color w:val="000000" w:themeColor="text1"/>
                <w:sz w:val="24"/>
                <w:szCs w:val="24"/>
                <w:lang w:val="en-US" w:eastAsia="zh-CN"/>
              </w:rPr>
              <w:t>③</w:t>
            </w:r>
            <w:r>
              <w:rPr>
                <w:rFonts w:hint="eastAsia" w:ascii="宋体" w:hAnsi="宋体" w:cs="宋体"/>
                <w:color w:val="000000" w:themeColor="text1"/>
                <w:sz w:val="24"/>
                <w:szCs w:val="24"/>
                <w:lang w:val="en-US" w:eastAsia="zh-CN"/>
              </w:rPr>
              <w:t>污染源源强确定</w:t>
            </w:r>
          </w:p>
          <w:p w14:paraId="4264ED6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olor w:val="000000" w:themeColor="text1"/>
                <w:sz w:val="24"/>
                <w:szCs w:val="24"/>
                <w:lang w:val="en-US" w:eastAsia="zh-CN"/>
              </w:rPr>
            </w:pPr>
            <w:r>
              <w:rPr>
                <w:rFonts w:hint="default" w:ascii="Times New Roman" w:hAnsi="Times New Roman" w:eastAsia="宋体" w:cs="Times New Roman"/>
                <w:color w:val="000000" w:themeColor="text1"/>
                <w:sz w:val="24"/>
                <w:szCs w:val="24"/>
              </w:rPr>
              <w:t>本项目可能对下水造成污染的途径为罐区油品泄漏下渗</w:t>
            </w:r>
            <w:r>
              <w:rPr>
                <w:rFonts w:hint="eastAsia" w:ascii="Times New Roman" w:hAnsi="Times New Roman" w:cs="Times New Roman"/>
                <w:color w:val="000000" w:themeColor="text1"/>
                <w:sz w:val="24"/>
                <w:szCs w:val="24"/>
                <w:lang w:val="en-US" w:eastAsia="zh-CN"/>
              </w:rPr>
              <w:t>以及储气罐中废液泄露</w:t>
            </w:r>
            <w:r>
              <w:rPr>
                <w:rFonts w:hint="default" w:ascii="Times New Roman" w:hAnsi="Times New Roman" w:eastAsia="宋体" w:cs="Times New Roman"/>
                <w:color w:val="000000" w:themeColor="text1"/>
                <w:sz w:val="24"/>
                <w:szCs w:val="24"/>
              </w:rPr>
              <w:t>对地下水造成的污染。</w:t>
            </w:r>
            <w:r>
              <w:rPr>
                <w:rFonts w:hint="eastAsia" w:ascii="Times New Roman" w:hAnsi="Times New Roman" w:eastAsia="宋体" w:cs="Times New Roman"/>
                <w:color w:val="000000" w:themeColor="text1"/>
                <w:sz w:val="24"/>
                <w:szCs w:val="24"/>
                <w:lang w:val="en-US" w:eastAsia="zh-CN"/>
              </w:rPr>
              <w:t>项目罐区油品、储气罐均设置有泄露报警系统，发生泄露至封堵处理完成，根据建设方提供资料，约为30min。泄漏量根据伯努利方程进行预测。</w:t>
            </w:r>
          </w:p>
          <w:p w14:paraId="284CABA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eastAsia="宋体" w:cs="Times New Roman"/>
                <w:color w:val="000000" w:themeColor="text1"/>
                <w:sz w:val="24"/>
                <w:szCs w:val="24"/>
                <w:lang w:val="en-US" w:eastAsia="zh-CN"/>
              </w:rPr>
            </w:pPr>
            <w:r>
              <w:rPr>
                <w:rFonts w:hint="eastAsia" w:ascii="Times New Roman" w:hAnsi="Times New Roman" w:eastAsia="宋体" w:cs="Times New Roman"/>
                <w:color w:val="000000" w:themeColor="text1"/>
                <w:position w:val="-30"/>
                <w:sz w:val="24"/>
                <w:szCs w:val="24"/>
                <w:lang w:val="en-US" w:eastAsia="zh-CN"/>
              </w:rPr>
              <w:object>
                <v:shape id="_x0000_i1033" o:spt="75" type="#_x0000_t75" style="height:37pt;width:139pt;" o:ole="t" filled="f" o:preferrelative="t" stroked="f" coordsize="21600,21600">
                  <v:path/>
                  <v:fill on="f" focussize="0,0"/>
                  <v:stroke on="f"/>
                  <v:imagedata r:id="rId18" o:title=""/>
                  <o:lock v:ext="edit" aspectratio="t"/>
                  <w10:wrap type="none"/>
                  <w10:anchorlock/>
                </v:shape>
                <o:OLEObject Type="Embed" ProgID="Equation.KSEE3" ShapeID="_x0000_i1033" DrawAspect="Content" ObjectID="_1468075728" r:id="rId17">
                  <o:LockedField>false</o:LockedField>
                </o:OLEObject>
              </w:object>
            </w:r>
          </w:p>
          <w:p w14:paraId="60F61F6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s="Times New Roman"/>
                <w:color w:val="000000" w:themeColor="text1"/>
                <w:sz w:val="24"/>
                <w:szCs w:val="24"/>
                <w:vertAlign w:val="baseline"/>
                <w:lang w:val="en-US" w:eastAsia="zh-CN"/>
              </w:rPr>
            </w:pPr>
            <w:r>
              <w:rPr>
                <w:rFonts w:hint="eastAsia" w:ascii="Times New Roman" w:hAnsi="Times New Roman" w:cs="Times New Roman"/>
                <w:color w:val="000000" w:themeColor="text1"/>
                <w:sz w:val="24"/>
                <w:szCs w:val="24"/>
                <w:lang w:val="en-US" w:eastAsia="zh-CN"/>
              </w:rPr>
              <w:t>式中：Q</w:t>
            </w:r>
            <w:r>
              <w:rPr>
                <w:rFonts w:hint="eastAsia" w:ascii="Times New Roman" w:hAnsi="Times New Roman" w:cs="Times New Roman"/>
                <w:color w:val="000000" w:themeColor="text1"/>
                <w:sz w:val="24"/>
                <w:szCs w:val="24"/>
                <w:vertAlign w:val="subscript"/>
                <w:lang w:val="en-US" w:eastAsia="zh-CN"/>
              </w:rPr>
              <w:t>L</w:t>
            </w:r>
            <w:r>
              <w:rPr>
                <w:rFonts w:hint="eastAsia" w:ascii="Times New Roman" w:hAnsi="Times New Roman" w:cs="Times New Roman"/>
                <w:color w:val="000000" w:themeColor="text1"/>
                <w:sz w:val="24"/>
                <w:szCs w:val="24"/>
                <w:vertAlign w:val="baseline"/>
                <w:lang w:val="en-US" w:eastAsia="zh-CN"/>
              </w:rPr>
              <w:t>—液体泄露速度，kg/s；</w:t>
            </w:r>
          </w:p>
          <w:p w14:paraId="1B020A3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eastAsia" w:ascii="Times New Roman" w:hAnsi="Times New Roman" w:cs="Times New Roman"/>
                <w:color w:val="000000" w:themeColor="text1"/>
                <w:sz w:val="24"/>
                <w:szCs w:val="24"/>
                <w:vertAlign w:val="baseline"/>
                <w:lang w:val="en-US" w:eastAsia="zh-CN"/>
              </w:rPr>
            </w:pPr>
            <w:r>
              <w:rPr>
                <w:rFonts w:hint="eastAsia" w:ascii="Times New Roman" w:hAnsi="Times New Roman" w:cs="Times New Roman"/>
                <w:color w:val="000000" w:themeColor="text1"/>
                <w:sz w:val="24"/>
                <w:szCs w:val="24"/>
                <w:vertAlign w:val="baseline"/>
                <w:lang w:val="en-US" w:eastAsia="zh-CN"/>
              </w:rPr>
              <w:t>C</w:t>
            </w:r>
            <w:r>
              <w:rPr>
                <w:rFonts w:hint="eastAsia" w:ascii="Times New Roman" w:hAnsi="Times New Roman" w:cs="Times New Roman"/>
                <w:color w:val="000000" w:themeColor="text1"/>
                <w:sz w:val="24"/>
                <w:szCs w:val="24"/>
                <w:vertAlign w:val="subscript"/>
                <w:lang w:val="en-US" w:eastAsia="zh-CN"/>
              </w:rPr>
              <w:t>d</w:t>
            </w:r>
            <w:r>
              <w:rPr>
                <w:rFonts w:hint="eastAsia" w:ascii="Times New Roman" w:hAnsi="Times New Roman" w:cs="Times New Roman"/>
                <w:color w:val="000000" w:themeColor="text1"/>
                <w:sz w:val="24"/>
                <w:szCs w:val="24"/>
                <w:vertAlign w:val="baseline"/>
                <w:lang w:val="en-US" w:eastAsia="zh-CN"/>
              </w:rPr>
              <w:t>—液体泄露系数，此值常用0.6~0.64；</w:t>
            </w:r>
          </w:p>
          <w:p w14:paraId="3289A76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eastAsia" w:ascii="Times New Roman" w:hAnsi="Times New Roman" w:cs="Times New Roman"/>
                <w:color w:val="000000" w:themeColor="text1"/>
                <w:sz w:val="24"/>
                <w:szCs w:val="24"/>
                <w:vertAlign w:val="baseline"/>
                <w:lang w:val="en-US" w:eastAsia="zh-CN"/>
              </w:rPr>
            </w:pPr>
            <w:r>
              <w:rPr>
                <w:rFonts w:hint="eastAsia" w:ascii="Times New Roman" w:hAnsi="Times New Roman" w:cs="Times New Roman"/>
                <w:color w:val="000000" w:themeColor="text1"/>
                <w:sz w:val="24"/>
                <w:szCs w:val="24"/>
                <w:vertAlign w:val="baseline"/>
                <w:lang w:val="en-US" w:eastAsia="zh-CN"/>
              </w:rPr>
              <w:t>A—裂口面积，m</w:t>
            </w:r>
            <w:r>
              <w:rPr>
                <w:rFonts w:hint="eastAsia" w:ascii="Times New Roman" w:hAnsi="Times New Roman" w:cs="Times New Roman"/>
                <w:color w:val="000000" w:themeColor="text1"/>
                <w:sz w:val="24"/>
                <w:szCs w:val="24"/>
                <w:vertAlign w:val="superscript"/>
                <w:lang w:val="en-US" w:eastAsia="zh-CN"/>
              </w:rPr>
              <w:t>2</w:t>
            </w:r>
            <w:r>
              <w:rPr>
                <w:rFonts w:hint="eastAsia" w:ascii="Times New Roman" w:hAnsi="Times New Roman" w:cs="Times New Roman"/>
                <w:color w:val="000000" w:themeColor="text1"/>
                <w:sz w:val="24"/>
                <w:szCs w:val="24"/>
                <w:vertAlign w:val="baseline"/>
                <w:lang w:val="en-US" w:eastAsia="zh-CN"/>
              </w:rPr>
              <w:t>；</w:t>
            </w:r>
          </w:p>
          <w:p w14:paraId="09828B0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eastAsia" w:ascii="Times New Roman" w:hAnsi="Times New Roman" w:cs="Times New Roman"/>
                <w:color w:val="000000" w:themeColor="text1"/>
                <w:sz w:val="24"/>
                <w:szCs w:val="24"/>
                <w:vertAlign w:val="baseline"/>
                <w:lang w:val="en-US" w:eastAsia="zh-CN"/>
              </w:rPr>
            </w:pPr>
            <w:r>
              <w:rPr>
                <w:rFonts w:hint="eastAsia" w:ascii="Times New Roman" w:hAnsi="Times New Roman" w:cs="Times New Roman"/>
                <w:color w:val="000000" w:themeColor="text1"/>
                <w:sz w:val="24"/>
                <w:szCs w:val="24"/>
                <w:vertAlign w:val="baseline"/>
                <w:lang w:val="en-US" w:eastAsia="zh-CN"/>
              </w:rPr>
              <w:t>P—容器内介质压力，Pa；</w:t>
            </w:r>
          </w:p>
          <w:p w14:paraId="1154FFD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eastAsia" w:ascii="Times New Roman" w:hAnsi="Times New Roman" w:cs="Times New Roman"/>
                <w:color w:val="000000" w:themeColor="text1"/>
                <w:sz w:val="24"/>
                <w:szCs w:val="24"/>
                <w:vertAlign w:val="baseline"/>
                <w:lang w:val="en-US" w:eastAsia="zh-CN"/>
              </w:rPr>
            </w:pPr>
            <w:r>
              <w:rPr>
                <w:rFonts w:hint="eastAsia" w:ascii="Times New Roman" w:hAnsi="Times New Roman" w:cs="Times New Roman"/>
                <w:color w:val="000000" w:themeColor="text1"/>
                <w:sz w:val="24"/>
                <w:szCs w:val="24"/>
                <w:vertAlign w:val="baseline"/>
                <w:lang w:val="en-US" w:eastAsia="zh-CN"/>
              </w:rPr>
              <w:t>P</w:t>
            </w:r>
            <w:r>
              <w:rPr>
                <w:rFonts w:hint="eastAsia" w:ascii="Times New Roman" w:hAnsi="Times New Roman" w:cs="Times New Roman"/>
                <w:color w:val="000000" w:themeColor="text1"/>
                <w:sz w:val="24"/>
                <w:szCs w:val="24"/>
                <w:vertAlign w:val="subscript"/>
                <w:lang w:val="en-US" w:eastAsia="zh-CN"/>
              </w:rPr>
              <w:t>0</w:t>
            </w:r>
            <w:r>
              <w:rPr>
                <w:rFonts w:hint="eastAsia" w:ascii="Times New Roman" w:hAnsi="Times New Roman" w:cs="Times New Roman"/>
                <w:color w:val="000000" w:themeColor="text1"/>
                <w:sz w:val="24"/>
                <w:szCs w:val="24"/>
                <w:vertAlign w:val="baseline"/>
                <w:lang w:val="en-US" w:eastAsia="zh-CN"/>
              </w:rPr>
              <w:t>—环境压力，Pa；</w:t>
            </w:r>
          </w:p>
          <w:p w14:paraId="3C0F903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eastAsia" w:ascii="Times New Roman" w:hAnsi="Times New Roman" w:cs="Times New Roman"/>
                <w:color w:val="000000" w:themeColor="text1"/>
                <w:sz w:val="24"/>
                <w:szCs w:val="24"/>
                <w:vertAlign w:val="baseline"/>
                <w:lang w:val="en-US" w:eastAsia="zh-CN"/>
              </w:rPr>
            </w:pPr>
            <w:r>
              <w:rPr>
                <w:rFonts w:hint="eastAsia" w:ascii="Times New Roman" w:hAnsi="Times New Roman" w:cs="Times New Roman"/>
                <w:color w:val="000000" w:themeColor="text1"/>
                <w:sz w:val="24"/>
                <w:szCs w:val="24"/>
                <w:vertAlign w:val="baseline"/>
                <w:lang w:val="en-US" w:eastAsia="zh-CN"/>
              </w:rPr>
              <w:t>g—重力加速度，m/s</w:t>
            </w:r>
            <w:r>
              <w:rPr>
                <w:rFonts w:hint="eastAsia" w:ascii="Times New Roman" w:hAnsi="Times New Roman" w:cs="Times New Roman"/>
                <w:color w:val="000000" w:themeColor="text1"/>
                <w:sz w:val="24"/>
                <w:szCs w:val="24"/>
                <w:vertAlign w:val="superscript"/>
                <w:lang w:val="en-US" w:eastAsia="zh-CN"/>
              </w:rPr>
              <w:t>2</w:t>
            </w:r>
            <w:r>
              <w:rPr>
                <w:rFonts w:hint="eastAsia" w:ascii="Times New Roman" w:hAnsi="Times New Roman" w:cs="Times New Roman"/>
                <w:color w:val="000000" w:themeColor="text1"/>
                <w:sz w:val="24"/>
                <w:szCs w:val="24"/>
                <w:vertAlign w:val="baseline"/>
                <w:lang w:val="en-US" w:eastAsia="zh-CN"/>
              </w:rPr>
              <w:t>；</w:t>
            </w:r>
          </w:p>
          <w:p w14:paraId="0FA6938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1200" w:firstLineChars="500"/>
              <w:jc w:val="both"/>
              <w:textAlignment w:val="auto"/>
              <w:outlineLvl w:val="9"/>
              <w:rPr>
                <w:rFonts w:hint="eastAsia" w:ascii="Times New Roman" w:hAnsi="Times New Roman" w:cs="Times New Roman"/>
                <w:color w:val="000000" w:themeColor="text1"/>
                <w:sz w:val="24"/>
                <w:szCs w:val="24"/>
                <w:vertAlign w:val="baseline"/>
                <w:lang w:val="en-US" w:eastAsia="zh-CN"/>
              </w:rPr>
            </w:pPr>
            <w:r>
              <w:rPr>
                <w:rFonts w:hint="eastAsia" w:ascii="Times New Roman" w:hAnsi="Times New Roman" w:cs="Times New Roman"/>
                <w:color w:val="000000" w:themeColor="text1"/>
                <w:sz w:val="24"/>
                <w:szCs w:val="24"/>
                <w:vertAlign w:val="baseline"/>
                <w:lang w:val="en-US" w:eastAsia="zh-CN"/>
              </w:rPr>
              <w:t>h—裂口之上液位高度，m。</w:t>
            </w:r>
          </w:p>
          <w:p w14:paraId="362032F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s="Times New Roman"/>
                <w:color w:val="000000" w:themeColor="text1"/>
                <w:sz w:val="24"/>
                <w:szCs w:val="24"/>
                <w:vertAlign w:val="baseline"/>
                <w:lang w:val="en-US" w:eastAsia="zh-CN"/>
              </w:rPr>
            </w:pPr>
            <w:r>
              <w:rPr>
                <w:rFonts w:hint="eastAsia" w:ascii="Times New Roman" w:hAnsi="Times New Roman" w:cs="Times New Roman"/>
                <w:color w:val="000000" w:themeColor="text1"/>
                <w:sz w:val="24"/>
                <w:szCs w:val="24"/>
                <w:vertAlign w:val="baseline"/>
                <w:lang w:val="en-US" w:eastAsia="zh-CN"/>
              </w:rPr>
              <w:t>储罐为常压储罐，根据储油罐的规格及容积率，假定裂口之上液位高度为1.0m，液体泄露系数取最不利情况，为0.64。根据上式进行模拟计算，计算结果见下表。</w:t>
            </w:r>
          </w:p>
          <w:p w14:paraId="3B4849E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黑体" w:hAnsi="黑体" w:eastAsia="黑体" w:cs="黑体"/>
                <w:b/>
                <w:bCs/>
                <w:color w:val="000000" w:themeColor="text1"/>
                <w:sz w:val="21"/>
                <w:szCs w:val="21"/>
                <w:vertAlign w:val="baseline"/>
                <w:lang w:val="en-US" w:eastAsia="zh-CN"/>
              </w:rPr>
            </w:pPr>
            <w:r>
              <w:rPr>
                <w:rFonts w:hint="eastAsia" w:ascii="黑体" w:hAnsi="黑体" w:eastAsia="黑体" w:cs="黑体"/>
                <w:b/>
                <w:bCs/>
                <w:color w:val="000000" w:themeColor="text1"/>
                <w:sz w:val="21"/>
                <w:szCs w:val="21"/>
                <w:vertAlign w:val="baseline"/>
                <w:lang w:val="en-US" w:eastAsia="zh-CN"/>
              </w:rPr>
              <w:t>表40              油罐泄露不同尺寸泄露口释放速率</w:t>
            </w:r>
          </w:p>
          <w:tbl>
            <w:tblPr>
              <w:tblStyle w:val="20"/>
              <w:tblW w:w="8288"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72"/>
              <w:gridCol w:w="2072"/>
              <w:gridCol w:w="2072"/>
              <w:gridCol w:w="2072"/>
            </w:tblGrid>
            <w:tr w14:paraId="246D1B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072" w:type="dxa"/>
                  <w:tcBorders>
                    <w:bottom w:val="single" w:color="auto" w:sz="12" w:space="0"/>
                  </w:tcBorders>
                  <w:vAlign w:val="top"/>
                </w:tcPr>
                <w:p w14:paraId="207645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发生泄露装置</w:t>
                  </w:r>
                </w:p>
              </w:tc>
              <w:tc>
                <w:tcPr>
                  <w:tcW w:w="2072" w:type="dxa"/>
                  <w:tcBorders>
                    <w:bottom w:val="single" w:color="auto" w:sz="12" w:space="0"/>
                  </w:tcBorders>
                  <w:vAlign w:val="top"/>
                </w:tcPr>
                <w:p w14:paraId="74693BB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泄露口尺寸</w:t>
                  </w:r>
                </w:p>
              </w:tc>
              <w:tc>
                <w:tcPr>
                  <w:tcW w:w="2072" w:type="dxa"/>
                  <w:tcBorders>
                    <w:bottom w:val="single" w:color="auto" w:sz="12" w:space="0"/>
                  </w:tcBorders>
                  <w:vAlign w:val="top"/>
                </w:tcPr>
                <w:p w14:paraId="2A477E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释放速率</w:t>
                  </w:r>
                </w:p>
              </w:tc>
              <w:tc>
                <w:tcPr>
                  <w:tcW w:w="2072" w:type="dxa"/>
                  <w:tcBorders>
                    <w:bottom w:val="single" w:color="auto" w:sz="12" w:space="0"/>
                  </w:tcBorders>
                  <w:vAlign w:val="top"/>
                </w:tcPr>
                <w:p w14:paraId="0B8B7C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b/>
                      <w:bCs/>
                      <w:color w:val="000000" w:themeColor="text1"/>
                      <w:sz w:val="21"/>
                      <w:szCs w:val="21"/>
                      <w:vertAlign w:val="baseline"/>
                      <w:lang w:val="en-US" w:eastAsia="zh-CN"/>
                    </w:rPr>
                  </w:pPr>
                  <w:r>
                    <w:rPr>
                      <w:rFonts w:hint="eastAsia" w:ascii="Times New Roman" w:hAnsi="Times New Roman" w:cs="Times New Roman"/>
                      <w:b/>
                      <w:bCs/>
                      <w:color w:val="000000" w:themeColor="text1"/>
                      <w:sz w:val="21"/>
                      <w:szCs w:val="21"/>
                      <w:vertAlign w:val="baseline"/>
                      <w:lang w:val="en-US" w:eastAsia="zh-CN"/>
                    </w:rPr>
                    <w:t>备注</w:t>
                  </w:r>
                </w:p>
              </w:tc>
            </w:tr>
            <w:tr w14:paraId="4F9F2D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072" w:type="dxa"/>
                  <w:vMerge w:val="restart"/>
                  <w:tcBorders>
                    <w:top w:val="single" w:color="auto" w:sz="12" w:space="0"/>
                    <w:tl2br w:val="nil"/>
                    <w:tr2bl w:val="nil"/>
                  </w:tcBorders>
                  <w:vAlign w:val="top"/>
                </w:tcPr>
                <w:p w14:paraId="16FDFF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油罐</w:t>
                  </w:r>
                </w:p>
              </w:tc>
              <w:tc>
                <w:tcPr>
                  <w:tcW w:w="2072" w:type="dxa"/>
                  <w:tcBorders>
                    <w:top w:val="single" w:color="auto" w:sz="12" w:space="0"/>
                    <w:tl2br w:val="nil"/>
                    <w:tr2bl w:val="nil"/>
                  </w:tcBorders>
                  <w:vAlign w:val="top"/>
                </w:tcPr>
                <w:p w14:paraId="11DFA4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50mm×2mm</w:t>
                  </w:r>
                </w:p>
              </w:tc>
              <w:tc>
                <w:tcPr>
                  <w:tcW w:w="2072" w:type="dxa"/>
                  <w:tcBorders>
                    <w:top w:val="single" w:color="auto" w:sz="12" w:space="0"/>
                    <w:tl2br w:val="nil"/>
                    <w:tr2bl w:val="nil"/>
                  </w:tcBorders>
                  <w:vAlign w:val="top"/>
                </w:tcPr>
                <w:p w14:paraId="24EA28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0.2kg/s</w:t>
                  </w:r>
                </w:p>
              </w:tc>
              <w:tc>
                <w:tcPr>
                  <w:tcW w:w="2072" w:type="dxa"/>
                  <w:vMerge w:val="restart"/>
                  <w:tcBorders>
                    <w:top w:val="single" w:color="auto" w:sz="12" w:space="0"/>
                    <w:tl2br w:val="nil"/>
                    <w:tr2bl w:val="nil"/>
                  </w:tcBorders>
                  <w:vAlign w:val="top"/>
                </w:tcPr>
                <w:p w14:paraId="7E2D5DF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突发泄露</w:t>
                  </w:r>
                </w:p>
              </w:tc>
            </w:tr>
            <w:tr w14:paraId="419105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072" w:type="dxa"/>
                  <w:vMerge w:val="continue"/>
                  <w:tcBorders>
                    <w:tl2br w:val="nil"/>
                    <w:tr2bl w:val="nil"/>
                  </w:tcBorders>
                  <w:vAlign w:val="top"/>
                </w:tcPr>
                <w:p w14:paraId="2358C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color w:val="000000" w:themeColor="text1"/>
                      <w:sz w:val="21"/>
                      <w:szCs w:val="21"/>
                      <w:vertAlign w:val="baseline"/>
                      <w:lang w:val="en-US" w:eastAsia="zh-CN"/>
                    </w:rPr>
                  </w:pPr>
                </w:p>
              </w:tc>
              <w:tc>
                <w:tcPr>
                  <w:tcW w:w="2072" w:type="dxa"/>
                  <w:tcBorders>
                    <w:tl2br w:val="nil"/>
                    <w:tr2bl w:val="nil"/>
                  </w:tcBorders>
                  <w:vAlign w:val="top"/>
                </w:tcPr>
                <w:p w14:paraId="19280AB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100mm×3mm</w:t>
                  </w:r>
                </w:p>
              </w:tc>
              <w:tc>
                <w:tcPr>
                  <w:tcW w:w="2072" w:type="dxa"/>
                  <w:tcBorders>
                    <w:tl2br w:val="nil"/>
                    <w:tr2bl w:val="nil"/>
                  </w:tcBorders>
                  <w:vAlign w:val="top"/>
                </w:tcPr>
                <w:p w14:paraId="28A22E6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0.61kg/s</w:t>
                  </w:r>
                </w:p>
              </w:tc>
              <w:tc>
                <w:tcPr>
                  <w:tcW w:w="2072" w:type="dxa"/>
                  <w:vMerge w:val="continue"/>
                  <w:tcBorders>
                    <w:tl2br w:val="nil"/>
                    <w:tr2bl w:val="nil"/>
                  </w:tcBorders>
                  <w:vAlign w:val="top"/>
                </w:tcPr>
                <w:p w14:paraId="595D4E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color w:val="000000" w:themeColor="text1"/>
                      <w:sz w:val="21"/>
                      <w:szCs w:val="21"/>
                      <w:vertAlign w:val="baseline"/>
                      <w:lang w:val="en-US" w:eastAsia="zh-CN"/>
                    </w:rPr>
                  </w:pPr>
                </w:p>
              </w:tc>
            </w:tr>
            <w:tr w14:paraId="76AEB6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072" w:type="dxa"/>
                  <w:vMerge w:val="continue"/>
                  <w:tcBorders>
                    <w:tl2br w:val="nil"/>
                    <w:tr2bl w:val="nil"/>
                  </w:tcBorders>
                  <w:vAlign w:val="top"/>
                </w:tcPr>
                <w:p w14:paraId="643217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color w:val="000000" w:themeColor="text1"/>
                      <w:sz w:val="21"/>
                      <w:szCs w:val="21"/>
                      <w:vertAlign w:val="baseline"/>
                      <w:lang w:val="en-US" w:eastAsia="zh-CN"/>
                    </w:rPr>
                  </w:pPr>
                </w:p>
              </w:tc>
              <w:tc>
                <w:tcPr>
                  <w:tcW w:w="2072" w:type="dxa"/>
                  <w:tcBorders>
                    <w:tl2br w:val="nil"/>
                    <w:tr2bl w:val="nil"/>
                  </w:tcBorders>
                  <w:vAlign w:val="top"/>
                </w:tcPr>
                <w:p w14:paraId="39CF46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200mm×5mm</w:t>
                  </w:r>
                </w:p>
              </w:tc>
              <w:tc>
                <w:tcPr>
                  <w:tcW w:w="2072" w:type="dxa"/>
                  <w:tcBorders>
                    <w:tl2br w:val="nil"/>
                    <w:tr2bl w:val="nil"/>
                  </w:tcBorders>
                  <w:vAlign w:val="top"/>
                </w:tcPr>
                <w:p w14:paraId="79308E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color w:val="000000" w:themeColor="text1"/>
                      <w:sz w:val="21"/>
                      <w:szCs w:val="21"/>
                      <w:vertAlign w:val="baseline"/>
                      <w:lang w:val="en-US" w:eastAsia="zh-CN"/>
                    </w:rPr>
                  </w:pPr>
                  <w:r>
                    <w:rPr>
                      <w:rFonts w:hint="eastAsia" w:ascii="Times New Roman" w:hAnsi="Times New Roman" w:cs="Times New Roman"/>
                      <w:color w:val="000000" w:themeColor="text1"/>
                      <w:sz w:val="21"/>
                      <w:szCs w:val="21"/>
                      <w:vertAlign w:val="baseline"/>
                      <w:lang w:val="en-US" w:eastAsia="zh-CN"/>
                    </w:rPr>
                    <w:t>2.04kg/s</w:t>
                  </w:r>
                </w:p>
              </w:tc>
              <w:tc>
                <w:tcPr>
                  <w:tcW w:w="2072" w:type="dxa"/>
                  <w:vMerge w:val="continue"/>
                  <w:tcBorders>
                    <w:tl2br w:val="nil"/>
                    <w:tr2bl w:val="nil"/>
                  </w:tcBorders>
                  <w:vAlign w:val="top"/>
                </w:tcPr>
                <w:p w14:paraId="2BBA24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cs="Times New Roman"/>
                      <w:color w:val="000000" w:themeColor="text1"/>
                      <w:sz w:val="21"/>
                      <w:szCs w:val="21"/>
                      <w:vertAlign w:val="baseline"/>
                      <w:lang w:val="en-US" w:eastAsia="zh-CN"/>
                    </w:rPr>
                  </w:pPr>
                </w:p>
              </w:tc>
            </w:tr>
          </w:tbl>
          <w:p w14:paraId="1B70273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s="Times New Roman"/>
                <w:color w:val="000000" w:themeColor="text1"/>
                <w:sz w:val="24"/>
                <w:szCs w:val="24"/>
                <w:vertAlign w:val="baseline"/>
                <w:lang w:val="en-US" w:eastAsia="zh-CN"/>
              </w:rPr>
            </w:pPr>
            <w:r>
              <w:rPr>
                <w:rFonts w:hint="eastAsia" w:ascii="Times New Roman" w:hAnsi="Times New Roman" w:cs="Times New Roman"/>
                <w:color w:val="000000" w:themeColor="text1"/>
                <w:sz w:val="24"/>
                <w:szCs w:val="24"/>
                <w:vertAlign w:val="baseline"/>
                <w:lang w:val="en-US" w:eastAsia="zh-CN"/>
              </w:rPr>
              <w:t>由于本项目油罐设置在地下，油罐基底设置了厚度15-20cm沥青混凝土防渗围堰，发生泄漏时，油品聚集在围堰中，围堰中的油品基本不会发生渗漏。</w:t>
            </w:r>
          </w:p>
          <w:p w14:paraId="541F803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imes New Roman" w:hAnsi="Times New Roman" w:cs="Times New Roman"/>
                <w:color w:val="000000" w:themeColor="text1"/>
                <w:sz w:val="24"/>
                <w:szCs w:val="24"/>
                <w:vertAlign w:val="baseline"/>
                <w:lang w:val="en-US" w:eastAsia="zh-CN"/>
              </w:rPr>
            </w:pPr>
            <w:r>
              <w:rPr>
                <w:rFonts w:hint="eastAsia" w:ascii="Times New Roman" w:hAnsi="Times New Roman" w:cs="Times New Roman"/>
                <w:color w:val="000000" w:themeColor="text1"/>
                <w:sz w:val="24"/>
                <w:szCs w:val="24"/>
                <w:vertAlign w:val="baseline"/>
                <w:lang w:val="en-US" w:eastAsia="zh-CN"/>
              </w:rPr>
              <w:t>同时本项目储罐为双层SF油罐，内罐破裂即会发出警报，内罐、外罐同时破裂、防渗围堰同时发生渗漏的概率可能存在。以围堰失去作用，油品开始渗漏计，本项目区地下水埋深为33.8m~36.3m。参考引用安全与环境学报第8卷第三期《柴油在土壤中迁移的试验 模拟研究》（宁丽、曾溅辉、陈广）中的试验结果可知，油品在土壤中下渗深度最深为35cm，35cm以下土壤油品均未检出。本项目地下水埋深为最低33.8m，综合上分析，项目发生油品泄露概率较小，渗入土壤污染地下水概率极低。</w:t>
            </w:r>
          </w:p>
          <w:p w14:paraId="33E26AA6">
            <w:pPr>
              <w:spacing w:line="360" w:lineRule="auto"/>
              <w:ind w:firstLine="480" w:firstLineChars="200"/>
              <w:rPr>
                <w:rFonts w:hint="default" w:ascii="Times New Roman" w:hAnsi="Times New Roman" w:eastAsia="宋体" w:cs="Times New Roman"/>
                <w:color w:val="000000" w:themeColor="text1"/>
                <w:sz w:val="24"/>
                <w:szCs w:val="24"/>
              </w:rPr>
            </w:pPr>
            <w:r>
              <w:rPr>
                <w:rFonts w:hint="eastAsia" w:ascii="Times New Roman" w:hAnsi="Times New Roman" w:cs="Times New Roman"/>
                <w:color w:val="000000" w:themeColor="text1"/>
                <w:sz w:val="24"/>
                <w:szCs w:val="24"/>
                <w:lang w:val="en-US" w:eastAsia="zh-CN"/>
              </w:rPr>
              <w:t>④</w:t>
            </w:r>
            <w:r>
              <w:rPr>
                <w:rFonts w:hint="default" w:ascii="Times New Roman" w:hAnsi="Times New Roman" w:eastAsia="宋体" w:cs="Times New Roman"/>
                <w:color w:val="000000" w:themeColor="text1"/>
                <w:sz w:val="24"/>
                <w:szCs w:val="24"/>
              </w:rPr>
              <w:t>预防措施</w:t>
            </w:r>
          </w:p>
          <w:p w14:paraId="349F3719">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本项目严格按《汽车加油加气站设计与施工规范》（GB50156-2012）的要求进行设计，由中石油专业施工队伍进行项目建设施工，可保证工程质量。</w:t>
            </w:r>
          </w:p>
          <w:p w14:paraId="7E9A61A8">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设备选型为双层</w:t>
            </w:r>
            <w:r>
              <w:rPr>
                <w:rFonts w:hint="eastAsia" w:ascii="Times New Roman" w:hAnsi="Times New Roman" w:cs="Times New Roman"/>
                <w:color w:val="000000" w:themeColor="text1"/>
                <w:sz w:val="24"/>
                <w:szCs w:val="24"/>
                <w:lang w:val="en-US" w:eastAsia="zh-CN"/>
              </w:rPr>
              <w:t>S</w:t>
            </w:r>
            <w:r>
              <w:rPr>
                <w:rFonts w:hint="default" w:ascii="Times New Roman" w:hAnsi="Times New Roman" w:eastAsia="宋体" w:cs="Times New Roman"/>
                <w:color w:val="000000" w:themeColor="text1"/>
                <w:sz w:val="24"/>
                <w:szCs w:val="24"/>
              </w:rPr>
              <w:t>F油罐，即玻璃纤维增强塑料双层油罐，是市面上最为先进环保的汽柴油储罐，罐体内层不包括富树脂层的油罐内层壳体厚度不小于4.5mm，外层不包括富树脂层的油罐外层壳体厚度不小于4mm。罐体内外两层皆为玻璃纤维增强塑料制造而成，中间具有贯通间隙空间，同时配备渗漏检测装置，能对间隙空间进行24小时全程监控。一旦内罐或外罐发生渗漏，渗漏检测装置的感应器可以监测到间隙空间底部液位时发出警报，保证油罐的安全使用。</w:t>
            </w:r>
          </w:p>
          <w:p w14:paraId="637E1233">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油路管线采用无缝钢管，使用焊接工艺，敷设于地下，钢罐和钢管进行加强级防腐处理，即采用玻璃布、沥青、聚氯乙烯工业膜等材料做成多层防腐涂层（其总厚度不小于5.5cm）。</w:t>
            </w:r>
          </w:p>
          <w:p w14:paraId="6F2D4341">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根据地下水导则的相关要求，特对本项目不同分区做防渗处理，其中重点防渗区为油罐区</w:t>
            </w: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LNG储罐区、CNG储气设施区</w:t>
            </w:r>
            <w:r>
              <w:rPr>
                <w:rFonts w:hint="default" w:ascii="Times New Roman" w:hAnsi="Times New Roman" w:eastAsia="宋体" w:cs="Times New Roman"/>
                <w:color w:val="000000" w:themeColor="text1"/>
                <w:sz w:val="24"/>
                <w:szCs w:val="24"/>
              </w:rPr>
              <w:t>，地下储罐与地面之间采用厚度为15-20cm沥青混凝土防渗，并配置在线液位检测仪，实时监控。</w:t>
            </w:r>
          </w:p>
          <w:p w14:paraId="23A9D3A2">
            <w:pPr>
              <w:spacing w:line="360" w:lineRule="auto"/>
              <w:ind w:firstLine="480" w:firstLineChars="2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为了防治对地下水造成污染，环评要求建立地下水环境监测管理体系，制定地下水环境影响跟踪监测点，每年委托相关单位对站区下游地下水进行监测，以便及时发现问题，采取措施。</w:t>
            </w:r>
          </w:p>
          <w:p w14:paraId="510693C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000000" w:themeColor="text1"/>
                <w:lang w:val="en-US" w:eastAsia="zh-CN"/>
              </w:rPr>
            </w:pPr>
            <w:r>
              <w:rPr>
                <w:rFonts w:hint="default" w:ascii="Times New Roman" w:hAnsi="Times New Roman" w:eastAsia="宋体" w:cs="Times New Roman"/>
                <w:color w:val="000000" w:themeColor="text1"/>
                <w:sz w:val="24"/>
                <w:szCs w:val="24"/>
              </w:rPr>
              <w:t>在采取上述措施后，项目建设对地下水环境影响较小。</w:t>
            </w:r>
          </w:p>
          <w:p w14:paraId="2FC09FB3">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ascii="Times New Roman" w:hAnsi="Times New Roman"/>
                <w:b/>
                <w:bCs/>
                <w:color w:val="000000" w:themeColor="text1"/>
                <w:sz w:val="24"/>
                <w:szCs w:val="24"/>
              </w:rPr>
            </w:pPr>
            <w:r>
              <w:rPr>
                <w:rFonts w:ascii="Times New Roman" w:hAnsi="Times New Roman"/>
                <w:b/>
                <w:bCs/>
                <w:color w:val="000000" w:themeColor="text1"/>
                <w:sz w:val="24"/>
                <w:szCs w:val="24"/>
              </w:rPr>
              <w:t>3</w:t>
            </w:r>
            <w:r>
              <w:rPr>
                <w:rFonts w:hint="eastAsia" w:ascii="Times New Roman" w:hAnsi="Times New Roman"/>
                <w:b/>
                <w:bCs/>
                <w:color w:val="000000" w:themeColor="text1"/>
                <w:sz w:val="24"/>
                <w:szCs w:val="24"/>
              </w:rPr>
              <w:t>、声环境影响分析</w:t>
            </w:r>
          </w:p>
          <w:p w14:paraId="2868E8B4">
            <w:pPr>
              <w:pStyle w:val="14"/>
              <w:widowControl/>
              <w:spacing w:after="0" w:line="360" w:lineRule="auto"/>
              <w:ind w:left="0" w:leftChars="0"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本项目</w:t>
            </w:r>
            <w:r>
              <w:rPr>
                <w:rFonts w:hint="default" w:ascii="Times New Roman" w:hAnsi="Times New Roman" w:cs="Times New Roman"/>
                <w:color w:val="000000" w:themeColor="text1"/>
                <w:sz w:val="24"/>
                <w:szCs w:val="24"/>
                <w:lang w:val="en-US" w:eastAsia="zh-CN"/>
              </w:rPr>
              <w:t>建成</w:t>
            </w:r>
            <w:r>
              <w:rPr>
                <w:rFonts w:hint="default" w:ascii="Times New Roman" w:hAnsi="Times New Roman" w:cs="Times New Roman"/>
                <w:color w:val="000000" w:themeColor="text1"/>
                <w:sz w:val="24"/>
                <w:szCs w:val="24"/>
              </w:rPr>
              <w:t>后主要噪声源主要为加油机工作时的机械噪声，类比噪声值约为45~55dB（A），在项目的运营过程中，为防止噪声对周围环境产生影响，需要采取一定的噪声控制措施。</w:t>
            </w:r>
          </w:p>
          <w:p w14:paraId="0B76048A">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根据《声环境影响评价导则》近似点声源确定条件可知，由众多声源组成的广义噪声源，可通过分区用位于中心位置的等效点声源近似。本项目取加油机罩棚作为等效声源中心点，在声波的传播过程中，经过距离衰减、空气吸收衰减等到达场界上，在预测中主要考虑噪声对环境影响最不利情况。</w:t>
            </w:r>
          </w:p>
          <w:p w14:paraId="0D6790BC">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其计算公式为：L</w:t>
            </w:r>
            <w:r>
              <w:rPr>
                <w:rFonts w:hint="default" w:ascii="Times New Roman" w:hAnsi="Times New Roman" w:cs="Times New Roman"/>
                <w:color w:val="000000" w:themeColor="text1"/>
                <w:sz w:val="24"/>
                <w:szCs w:val="24"/>
                <w:vertAlign w:val="subscript"/>
              </w:rPr>
              <w:t>p</w:t>
            </w:r>
            <w:r>
              <w:rPr>
                <w:rFonts w:hint="default" w:ascii="Times New Roman" w:hAnsi="Times New Roman" w:cs="Times New Roman"/>
                <w:color w:val="000000" w:themeColor="text1"/>
                <w:sz w:val="24"/>
                <w:szCs w:val="24"/>
              </w:rPr>
              <w:t>=L</w:t>
            </w:r>
            <w:r>
              <w:rPr>
                <w:rFonts w:hint="default" w:ascii="Times New Roman" w:hAnsi="Times New Roman" w:cs="Times New Roman"/>
                <w:color w:val="000000" w:themeColor="text1"/>
                <w:sz w:val="24"/>
                <w:szCs w:val="24"/>
                <w:vertAlign w:val="subscript"/>
              </w:rPr>
              <w:t>w</w:t>
            </w:r>
            <w:r>
              <w:rPr>
                <w:rFonts w:hint="default" w:ascii="Times New Roman" w:hAnsi="Times New Roman" w:cs="Times New Roman"/>
                <w:color w:val="000000" w:themeColor="text1"/>
                <w:sz w:val="24"/>
                <w:szCs w:val="24"/>
              </w:rPr>
              <w:t>－20lgr－K</w:t>
            </w:r>
          </w:p>
          <w:p w14:paraId="6FF57484">
            <w:pPr>
              <w:pStyle w:val="3"/>
              <w:spacing w:line="360" w:lineRule="auto"/>
              <w:ind w:firstLine="56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式中：L</w:t>
            </w:r>
            <w:r>
              <w:rPr>
                <w:rFonts w:hint="default" w:ascii="Times New Roman" w:hAnsi="Times New Roman" w:cs="Times New Roman"/>
                <w:color w:val="000000" w:themeColor="text1"/>
                <w:sz w:val="24"/>
                <w:szCs w:val="24"/>
                <w:vertAlign w:val="subscript"/>
              </w:rPr>
              <w:t>p</w:t>
            </w:r>
            <w:r>
              <w:rPr>
                <w:rFonts w:hint="default" w:ascii="Times New Roman" w:hAnsi="Times New Roman" w:cs="Times New Roman"/>
                <w:color w:val="000000" w:themeColor="text1"/>
                <w:sz w:val="24"/>
                <w:szCs w:val="24"/>
              </w:rPr>
              <w:t>—— 距声源r(m)处的A声级，dB(A)</w:t>
            </w:r>
          </w:p>
          <w:p w14:paraId="65DA0EA2">
            <w:pPr>
              <w:tabs>
                <w:tab w:val="left" w:pos="8397"/>
              </w:tabs>
              <w:spacing w:line="360" w:lineRule="auto"/>
              <w:ind w:firstLine="1200" w:firstLineChars="500"/>
              <w:rPr>
                <w:rFonts w:hint="default" w:ascii="Times New Roman" w:hAnsi="Times New Roman" w:cs="Times New Roman"/>
                <w:color w:val="000000" w:themeColor="text1"/>
                <w:sz w:val="24"/>
                <w:szCs w:val="24"/>
                <w:lang w:val="en-GB"/>
              </w:rPr>
            </w:pPr>
            <w:r>
              <w:rPr>
                <w:rFonts w:hint="default" w:ascii="Times New Roman" w:hAnsi="Times New Roman" w:cs="Times New Roman"/>
                <w:color w:val="000000" w:themeColor="text1"/>
                <w:sz w:val="24"/>
                <w:szCs w:val="24"/>
              </w:rPr>
              <w:t>Lw——噪声源的A声级，dB(A)</w:t>
            </w:r>
          </w:p>
          <w:p w14:paraId="7C47C01A">
            <w:pPr>
              <w:pStyle w:val="3"/>
              <w:spacing w:line="360" w:lineRule="auto"/>
              <w:ind w:firstLine="1200" w:firstLineChars="5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R——距声源的距离，m</w:t>
            </w:r>
          </w:p>
          <w:p w14:paraId="3D82205C">
            <w:pPr>
              <w:pStyle w:val="3"/>
              <w:spacing w:line="360" w:lineRule="auto"/>
              <w:ind w:firstLine="1200" w:firstLineChars="5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K——半自由空间常数，取值8</w:t>
            </w:r>
          </w:p>
          <w:p w14:paraId="5173F4F6">
            <w:pPr>
              <w:pStyle w:val="3"/>
              <w:spacing w:line="360" w:lineRule="auto"/>
              <w:ind w:firstLine="56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本项目取等效声源噪声级55dB（A）预测，计算出噪声随距离衰减产生的噪声值，具体见</w:t>
            </w:r>
            <w:r>
              <w:rPr>
                <w:rFonts w:hint="eastAsia" w:ascii="Times New Roman" w:hAnsi="Times New Roman" w:cs="Times New Roman"/>
                <w:color w:val="000000" w:themeColor="text1"/>
                <w:sz w:val="24"/>
                <w:szCs w:val="24"/>
                <w:lang w:val="en-US" w:eastAsia="zh-CN"/>
              </w:rPr>
              <w:t>下</w:t>
            </w:r>
            <w:r>
              <w:rPr>
                <w:rFonts w:hint="default" w:ascii="Times New Roman" w:hAnsi="Times New Roman" w:cs="Times New Roman"/>
                <w:color w:val="000000" w:themeColor="text1"/>
                <w:sz w:val="24"/>
                <w:szCs w:val="24"/>
              </w:rPr>
              <w:t>表。</w:t>
            </w:r>
          </w:p>
          <w:p w14:paraId="6D84219F">
            <w:pPr>
              <w:pStyle w:val="7"/>
              <w:spacing w:line="240" w:lineRule="auto"/>
              <w:ind w:firstLine="527" w:firstLineChars="250"/>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41</w:t>
            </w:r>
            <w:r>
              <w:rPr>
                <w:rFonts w:hint="eastAsia"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 xml:space="preserve">      </w:t>
            </w:r>
            <w:r>
              <w:rPr>
                <w:rFonts w:hint="eastAsia"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 xml:space="preserve"> </w:t>
            </w:r>
            <w:r>
              <w:rPr>
                <w:rFonts w:hint="eastAsia" w:ascii="黑体" w:hAnsi="黑体" w:eastAsia="黑体" w:cs="黑体"/>
                <w:b/>
                <w:bCs/>
                <w:color w:val="000000" w:themeColor="text1"/>
                <w:sz w:val="21"/>
                <w:szCs w:val="21"/>
              </w:rPr>
              <w:t xml:space="preserve">      噪声预测结果           </w:t>
            </w:r>
            <w:r>
              <w:rPr>
                <w:rFonts w:hint="eastAsia" w:ascii="黑体" w:hAnsi="黑体" w:eastAsia="黑体" w:cs="黑体"/>
                <w:b/>
                <w:bCs/>
                <w:color w:val="000000" w:themeColor="text1"/>
                <w:sz w:val="21"/>
                <w:szCs w:val="21"/>
                <w:lang w:val="en-US" w:eastAsia="zh-CN"/>
              </w:rPr>
              <w:t xml:space="preserve">    </w:t>
            </w:r>
            <w:r>
              <w:rPr>
                <w:rFonts w:hint="eastAsia" w:ascii="黑体" w:hAnsi="黑体" w:eastAsia="黑体" w:cs="黑体"/>
                <w:b/>
                <w:bCs/>
                <w:color w:val="000000" w:themeColor="text1"/>
                <w:sz w:val="21"/>
                <w:szCs w:val="21"/>
              </w:rPr>
              <w:t xml:space="preserve">      单位：dB(A)</w:t>
            </w:r>
          </w:p>
          <w:tbl>
            <w:tblPr>
              <w:tblStyle w:val="20"/>
              <w:tblW w:w="831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524"/>
              <w:gridCol w:w="981"/>
              <w:gridCol w:w="1016"/>
              <w:gridCol w:w="1520"/>
              <w:gridCol w:w="835"/>
              <w:gridCol w:w="836"/>
              <w:gridCol w:w="800"/>
              <w:gridCol w:w="801"/>
            </w:tblGrid>
            <w:tr w14:paraId="3853D3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9" w:hRule="atLeast"/>
              </w:trPr>
              <w:tc>
                <w:tcPr>
                  <w:tcW w:w="1524" w:type="dxa"/>
                  <w:vMerge w:val="restart"/>
                  <w:vAlign w:val="center"/>
                </w:tcPr>
                <w:p w14:paraId="60883626">
                  <w:pPr>
                    <w:pStyle w:val="3"/>
                    <w:spacing w:line="240" w:lineRule="auto"/>
                    <w:ind w:firstLine="0"/>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等效声源</w:t>
                  </w:r>
                </w:p>
                <w:p w14:paraId="7602D791">
                  <w:pPr>
                    <w:pStyle w:val="3"/>
                    <w:spacing w:line="240" w:lineRule="auto"/>
                    <w:ind w:firstLine="0"/>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强度</w:t>
                  </w:r>
                </w:p>
              </w:tc>
              <w:tc>
                <w:tcPr>
                  <w:tcW w:w="981" w:type="dxa"/>
                  <w:vMerge w:val="restart"/>
                  <w:vAlign w:val="center"/>
                </w:tcPr>
                <w:p w14:paraId="252E68D1">
                  <w:pPr>
                    <w:pStyle w:val="3"/>
                    <w:spacing w:line="240" w:lineRule="auto"/>
                    <w:ind w:firstLine="0"/>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厂界</w:t>
                  </w:r>
                </w:p>
              </w:tc>
              <w:tc>
                <w:tcPr>
                  <w:tcW w:w="1016" w:type="dxa"/>
                  <w:vMerge w:val="restart"/>
                  <w:vAlign w:val="center"/>
                </w:tcPr>
                <w:p w14:paraId="4EC776FD">
                  <w:pPr>
                    <w:pStyle w:val="3"/>
                    <w:spacing w:line="240" w:lineRule="auto"/>
                    <w:ind w:firstLine="0"/>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距离（m）</w:t>
                  </w:r>
                </w:p>
              </w:tc>
              <w:tc>
                <w:tcPr>
                  <w:tcW w:w="1520" w:type="dxa"/>
                  <w:vMerge w:val="restart"/>
                  <w:vAlign w:val="center"/>
                </w:tcPr>
                <w:p w14:paraId="08AAEFB5">
                  <w:pPr>
                    <w:pStyle w:val="3"/>
                    <w:spacing w:line="240" w:lineRule="auto"/>
                    <w:ind w:firstLine="0"/>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贡献值</w:t>
                  </w:r>
                </w:p>
              </w:tc>
              <w:tc>
                <w:tcPr>
                  <w:tcW w:w="1671" w:type="dxa"/>
                  <w:gridSpan w:val="2"/>
                  <w:vAlign w:val="center"/>
                </w:tcPr>
                <w:p w14:paraId="686F155B">
                  <w:pPr>
                    <w:pStyle w:val="3"/>
                    <w:spacing w:line="240" w:lineRule="auto"/>
                    <w:ind w:firstLine="0"/>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背景值</w:t>
                  </w:r>
                </w:p>
                <w:p w14:paraId="69EA43EF">
                  <w:pPr>
                    <w:pStyle w:val="3"/>
                    <w:spacing w:line="240" w:lineRule="auto"/>
                    <w:ind w:firstLine="0"/>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（同点位处）</w:t>
                  </w:r>
                </w:p>
              </w:tc>
              <w:tc>
                <w:tcPr>
                  <w:tcW w:w="1601" w:type="dxa"/>
                  <w:gridSpan w:val="2"/>
                  <w:vAlign w:val="center"/>
                </w:tcPr>
                <w:p w14:paraId="62016499">
                  <w:pPr>
                    <w:pStyle w:val="3"/>
                    <w:spacing w:line="240" w:lineRule="auto"/>
                    <w:ind w:firstLine="0"/>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叠加预测值</w:t>
                  </w:r>
                </w:p>
              </w:tc>
            </w:tr>
            <w:tr w14:paraId="12FF51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8" w:hRule="atLeast"/>
              </w:trPr>
              <w:tc>
                <w:tcPr>
                  <w:tcW w:w="1524" w:type="dxa"/>
                  <w:vMerge w:val="continue"/>
                  <w:tcBorders>
                    <w:bottom w:val="single" w:color="auto" w:sz="12" w:space="0"/>
                  </w:tcBorders>
                  <w:vAlign w:val="center"/>
                </w:tcPr>
                <w:p w14:paraId="53F007CF">
                  <w:pPr>
                    <w:pStyle w:val="3"/>
                    <w:spacing w:line="240" w:lineRule="auto"/>
                    <w:ind w:firstLine="0"/>
                    <w:jc w:val="center"/>
                    <w:rPr>
                      <w:rFonts w:hint="default" w:ascii="Times New Roman" w:hAnsi="Times New Roman" w:eastAsia="宋体" w:cs="Times New Roman"/>
                      <w:b/>
                      <w:bCs/>
                      <w:color w:val="000000" w:themeColor="text1"/>
                      <w:sz w:val="21"/>
                      <w:szCs w:val="21"/>
                    </w:rPr>
                  </w:pPr>
                </w:p>
              </w:tc>
              <w:tc>
                <w:tcPr>
                  <w:tcW w:w="981" w:type="dxa"/>
                  <w:vMerge w:val="continue"/>
                  <w:tcBorders>
                    <w:bottom w:val="single" w:color="auto" w:sz="12" w:space="0"/>
                  </w:tcBorders>
                  <w:vAlign w:val="center"/>
                </w:tcPr>
                <w:p w14:paraId="28C455CE">
                  <w:pPr>
                    <w:pStyle w:val="3"/>
                    <w:spacing w:line="240" w:lineRule="auto"/>
                    <w:ind w:firstLine="0"/>
                    <w:jc w:val="center"/>
                    <w:rPr>
                      <w:rFonts w:hint="default" w:ascii="Times New Roman" w:hAnsi="Times New Roman" w:eastAsia="宋体" w:cs="Times New Roman"/>
                      <w:b/>
                      <w:bCs/>
                      <w:color w:val="000000" w:themeColor="text1"/>
                      <w:sz w:val="21"/>
                      <w:szCs w:val="21"/>
                    </w:rPr>
                  </w:pPr>
                </w:p>
              </w:tc>
              <w:tc>
                <w:tcPr>
                  <w:tcW w:w="1016" w:type="dxa"/>
                  <w:vMerge w:val="continue"/>
                  <w:tcBorders>
                    <w:bottom w:val="single" w:color="auto" w:sz="12" w:space="0"/>
                  </w:tcBorders>
                  <w:vAlign w:val="center"/>
                </w:tcPr>
                <w:p w14:paraId="1CE8C400">
                  <w:pPr>
                    <w:pStyle w:val="3"/>
                    <w:spacing w:line="240" w:lineRule="auto"/>
                    <w:ind w:firstLine="0"/>
                    <w:jc w:val="center"/>
                    <w:rPr>
                      <w:rFonts w:hint="default" w:ascii="Times New Roman" w:hAnsi="Times New Roman" w:eastAsia="宋体" w:cs="Times New Roman"/>
                      <w:b/>
                      <w:bCs/>
                      <w:color w:val="000000" w:themeColor="text1"/>
                      <w:sz w:val="21"/>
                      <w:szCs w:val="21"/>
                    </w:rPr>
                  </w:pPr>
                </w:p>
              </w:tc>
              <w:tc>
                <w:tcPr>
                  <w:tcW w:w="1520" w:type="dxa"/>
                  <w:vMerge w:val="continue"/>
                  <w:tcBorders>
                    <w:bottom w:val="single" w:color="auto" w:sz="12" w:space="0"/>
                  </w:tcBorders>
                  <w:vAlign w:val="center"/>
                </w:tcPr>
                <w:p w14:paraId="78CAE458">
                  <w:pPr>
                    <w:pStyle w:val="3"/>
                    <w:spacing w:line="240" w:lineRule="auto"/>
                    <w:ind w:firstLine="0"/>
                    <w:jc w:val="center"/>
                    <w:rPr>
                      <w:rFonts w:hint="default" w:ascii="Times New Roman" w:hAnsi="Times New Roman" w:eastAsia="宋体" w:cs="Times New Roman"/>
                      <w:b/>
                      <w:bCs/>
                      <w:color w:val="000000" w:themeColor="text1"/>
                      <w:sz w:val="21"/>
                      <w:szCs w:val="21"/>
                    </w:rPr>
                  </w:pPr>
                </w:p>
              </w:tc>
              <w:tc>
                <w:tcPr>
                  <w:tcW w:w="835" w:type="dxa"/>
                  <w:tcBorders>
                    <w:bottom w:val="single" w:color="auto" w:sz="12" w:space="0"/>
                  </w:tcBorders>
                  <w:vAlign w:val="center"/>
                </w:tcPr>
                <w:p w14:paraId="320E7C70">
                  <w:pPr>
                    <w:pStyle w:val="3"/>
                    <w:spacing w:line="240" w:lineRule="auto"/>
                    <w:ind w:firstLine="0"/>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昼间</w:t>
                  </w:r>
                </w:p>
              </w:tc>
              <w:tc>
                <w:tcPr>
                  <w:tcW w:w="836" w:type="dxa"/>
                  <w:tcBorders>
                    <w:bottom w:val="single" w:color="auto" w:sz="12" w:space="0"/>
                  </w:tcBorders>
                  <w:vAlign w:val="center"/>
                </w:tcPr>
                <w:p w14:paraId="150E88D0">
                  <w:pPr>
                    <w:pStyle w:val="3"/>
                    <w:spacing w:line="240" w:lineRule="auto"/>
                    <w:ind w:firstLine="0"/>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夜间</w:t>
                  </w:r>
                </w:p>
              </w:tc>
              <w:tc>
                <w:tcPr>
                  <w:tcW w:w="800" w:type="dxa"/>
                  <w:tcBorders>
                    <w:bottom w:val="single" w:color="auto" w:sz="12" w:space="0"/>
                  </w:tcBorders>
                  <w:vAlign w:val="center"/>
                </w:tcPr>
                <w:p w14:paraId="33440F4B">
                  <w:pPr>
                    <w:pStyle w:val="3"/>
                    <w:spacing w:line="240" w:lineRule="auto"/>
                    <w:ind w:firstLine="0"/>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昼间</w:t>
                  </w:r>
                </w:p>
              </w:tc>
              <w:tc>
                <w:tcPr>
                  <w:tcW w:w="801" w:type="dxa"/>
                  <w:tcBorders>
                    <w:bottom w:val="single" w:color="auto" w:sz="12" w:space="0"/>
                  </w:tcBorders>
                  <w:vAlign w:val="center"/>
                </w:tcPr>
                <w:p w14:paraId="1A998FC5">
                  <w:pPr>
                    <w:pStyle w:val="3"/>
                    <w:spacing w:line="240" w:lineRule="auto"/>
                    <w:ind w:firstLine="0"/>
                    <w:jc w:val="center"/>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夜间</w:t>
                  </w:r>
                </w:p>
              </w:tc>
            </w:tr>
            <w:tr w14:paraId="7D5C12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524" w:type="dxa"/>
                  <w:vMerge w:val="restart"/>
                  <w:tcBorders>
                    <w:top w:val="single" w:color="auto" w:sz="12" w:space="0"/>
                  </w:tcBorders>
                  <w:vAlign w:val="center"/>
                </w:tcPr>
                <w:p w14:paraId="1B702E84">
                  <w:pPr>
                    <w:pStyle w:val="3"/>
                    <w:spacing w:line="240" w:lineRule="auto"/>
                    <w:ind w:firstLine="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55</w:t>
                  </w:r>
                </w:p>
              </w:tc>
              <w:tc>
                <w:tcPr>
                  <w:tcW w:w="981" w:type="dxa"/>
                  <w:tcBorders>
                    <w:top w:val="single" w:color="auto" w:sz="12" w:space="0"/>
                  </w:tcBorders>
                  <w:vAlign w:val="center"/>
                </w:tcPr>
                <w:p w14:paraId="15755165">
                  <w:pPr>
                    <w:pStyle w:val="3"/>
                    <w:spacing w:line="240" w:lineRule="auto"/>
                    <w:ind w:firstLine="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北</w:t>
                  </w:r>
                </w:p>
              </w:tc>
              <w:tc>
                <w:tcPr>
                  <w:tcW w:w="1016" w:type="dxa"/>
                  <w:tcBorders>
                    <w:top w:val="single" w:color="auto" w:sz="12" w:space="0"/>
                  </w:tcBorders>
                  <w:vAlign w:val="center"/>
                </w:tcPr>
                <w:p w14:paraId="15FF6BE4">
                  <w:pPr>
                    <w:pStyle w:val="3"/>
                    <w:spacing w:line="240" w:lineRule="auto"/>
                    <w:ind w:firstLine="0"/>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18.8</w:t>
                  </w:r>
                </w:p>
              </w:tc>
              <w:tc>
                <w:tcPr>
                  <w:tcW w:w="1520" w:type="dxa"/>
                  <w:tcBorders>
                    <w:top w:val="single" w:color="auto" w:sz="12" w:space="0"/>
                  </w:tcBorders>
                  <w:vAlign w:val="center"/>
                </w:tcPr>
                <w:p w14:paraId="0B2F5883">
                  <w:pPr>
                    <w:pStyle w:val="3"/>
                    <w:spacing w:line="240" w:lineRule="auto"/>
                    <w:ind w:firstLine="0"/>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21.5</w:t>
                  </w:r>
                </w:p>
              </w:tc>
              <w:tc>
                <w:tcPr>
                  <w:tcW w:w="835" w:type="dxa"/>
                  <w:tcBorders>
                    <w:top w:val="single" w:color="auto" w:sz="12" w:space="0"/>
                  </w:tcBorders>
                  <w:vAlign w:val="center"/>
                </w:tcPr>
                <w:p w14:paraId="414547EB">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46.1</w:t>
                  </w:r>
                </w:p>
              </w:tc>
              <w:tc>
                <w:tcPr>
                  <w:tcW w:w="836" w:type="dxa"/>
                  <w:tcBorders>
                    <w:top w:val="single" w:color="auto" w:sz="12" w:space="0"/>
                  </w:tcBorders>
                  <w:vAlign w:val="center"/>
                </w:tcPr>
                <w:p w14:paraId="13703ED1">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40.7</w:t>
                  </w:r>
                </w:p>
              </w:tc>
              <w:tc>
                <w:tcPr>
                  <w:tcW w:w="800" w:type="dxa"/>
                  <w:tcBorders>
                    <w:top w:val="single" w:color="auto" w:sz="12" w:space="0"/>
                  </w:tcBorders>
                  <w:vAlign w:val="center"/>
                </w:tcPr>
                <w:p w14:paraId="5768A18C">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46.1</w:t>
                  </w:r>
                </w:p>
              </w:tc>
              <w:tc>
                <w:tcPr>
                  <w:tcW w:w="801" w:type="dxa"/>
                  <w:tcBorders>
                    <w:top w:val="single" w:color="auto" w:sz="12" w:space="0"/>
                  </w:tcBorders>
                  <w:vAlign w:val="center"/>
                </w:tcPr>
                <w:p w14:paraId="30F087BC">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40.7</w:t>
                  </w:r>
                </w:p>
              </w:tc>
            </w:tr>
            <w:tr w14:paraId="12C093C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524" w:type="dxa"/>
                  <w:vMerge w:val="continue"/>
                  <w:vAlign w:val="center"/>
                </w:tcPr>
                <w:p w14:paraId="6AE8A561">
                  <w:pPr>
                    <w:pStyle w:val="3"/>
                    <w:spacing w:line="240" w:lineRule="auto"/>
                    <w:ind w:firstLine="0"/>
                    <w:jc w:val="center"/>
                    <w:rPr>
                      <w:rFonts w:hint="default" w:ascii="Times New Roman" w:hAnsi="Times New Roman" w:eastAsia="宋体" w:cs="Times New Roman"/>
                      <w:color w:val="000000" w:themeColor="text1"/>
                      <w:sz w:val="21"/>
                      <w:szCs w:val="21"/>
                    </w:rPr>
                  </w:pPr>
                </w:p>
              </w:tc>
              <w:tc>
                <w:tcPr>
                  <w:tcW w:w="981" w:type="dxa"/>
                  <w:vAlign w:val="center"/>
                </w:tcPr>
                <w:p w14:paraId="795169EC">
                  <w:pPr>
                    <w:pStyle w:val="3"/>
                    <w:spacing w:line="240" w:lineRule="auto"/>
                    <w:ind w:firstLine="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东</w:t>
                  </w:r>
                </w:p>
              </w:tc>
              <w:tc>
                <w:tcPr>
                  <w:tcW w:w="1016" w:type="dxa"/>
                  <w:vAlign w:val="center"/>
                </w:tcPr>
                <w:p w14:paraId="66973756">
                  <w:pPr>
                    <w:pStyle w:val="3"/>
                    <w:spacing w:line="240" w:lineRule="auto"/>
                    <w:ind w:firstLine="0"/>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50</w:t>
                  </w:r>
                </w:p>
              </w:tc>
              <w:tc>
                <w:tcPr>
                  <w:tcW w:w="1520" w:type="dxa"/>
                  <w:vAlign w:val="center"/>
                </w:tcPr>
                <w:p w14:paraId="7790633D">
                  <w:pPr>
                    <w:pStyle w:val="3"/>
                    <w:spacing w:line="240" w:lineRule="auto"/>
                    <w:ind w:firstLine="0"/>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13.0</w:t>
                  </w:r>
                </w:p>
              </w:tc>
              <w:tc>
                <w:tcPr>
                  <w:tcW w:w="835" w:type="dxa"/>
                  <w:vAlign w:val="center"/>
                </w:tcPr>
                <w:p w14:paraId="7C03C6E1">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48.5</w:t>
                  </w:r>
                </w:p>
              </w:tc>
              <w:tc>
                <w:tcPr>
                  <w:tcW w:w="836" w:type="dxa"/>
                  <w:vAlign w:val="center"/>
                </w:tcPr>
                <w:p w14:paraId="4A7791EE">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44.9</w:t>
                  </w:r>
                </w:p>
              </w:tc>
              <w:tc>
                <w:tcPr>
                  <w:tcW w:w="800" w:type="dxa"/>
                  <w:vAlign w:val="center"/>
                </w:tcPr>
                <w:p w14:paraId="5DF6A590">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48.5</w:t>
                  </w:r>
                </w:p>
              </w:tc>
              <w:tc>
                <w:tcPr>
                  <w:tcW w:w="801" w:type="dxa"/>
                  <w:vAlign w:val="center"/>
                </w:tcPr>
                <w:p w14:paraId="10803C42">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44.9</w:t>
                  </w:r>
                </w:p>
              </w:tc>
            </w:tr>
            <w:tr w14:paraId="323A25E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524" w:type="dxa"/>
                  <w:vMerge w:val="continue"/>
                  <w:vAlign w:val="center"/>
                </w:tcPr>
                <w:p w14:paraId="3CF0CC0B">
                  <w:pPr>
                    <w:pStyle w:val="3"/>
                    <w:spacing w:line="240" w:lineRule="auto"/>
                    <w:ind w:firstLine="0"/>
                    <w:jc w:val="center"/>
                    <w:rPr>
                      <w:rFonts w:hint="default" w:ascii="Times New Roman" w:hAnsi="Times New Roman" w:eastAsia="宋体" w:cs="Times New Roman"/>
                      <w:color w:val="000000" w:themeColor="text1"/>
                      <w:sz w:val="21"/>
                      <w:szCs w:val="21"/>
                    </w:rPr>
                  </w:pPr>
                </w:p>
              </w:tc>
              <w:tc>
                <w:tcPr>
                  <w:tcW w:w="981" w:type="dxa"/>
                  <w:vAlign w:val="center"/>
                </w:tcPr>
                <w:p w14:paraId="50AB8EFC">
                  <w:pPr>
                    <w:pStyle w:val="3"/>
                    <w:spacing w:line="240" w:lineRule="auto"/>
                    <w:ind w:firstLine="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南</w:t>
                  </w:r>
                </w:p>
              </w:tc>
              <w:tc>
                <w:tcPr>
                  <w:tcW w:w="1016" w:type="dxa"/>
                  <w:vAlign w:val="center"/>
                </w:tcPr>
                <w:p w14:paraId="1F1C7EF1">
                  <w:pPr>
                    <w:pStyle w:val="3"/>
                    <w:spacing w:line="240" w:lineRule="auto"/>
                    <w:ind w:firstLine="0"/>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45</w:t>
                  </w:r>
                </w:p>
              </w:tc>
              <w:tc>
                <w:tcPr>
                  <w:tcW w:w="1520" w:type="dxa"/>
                  <w:vAlign w:val="center"/>
                </w:tcPr>
                <w:p w14:paraId="4F56D480">
                  <w:pPr>
                    <w:pStyle w:val="3"/>
                    <w:spacing w:line="240" w:lineRule="auto"/>
                    <w:ind w:firstLine="0"/>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13.9</w:t>
                  </w:r>
                </w:p>
              </w:tc>
              <w:tc>
                <w:tcPr>
                  <w:tcW w:w="835" w:type="dxa"/>
                  <w:vAlign w:val="center"/>
                </w:tcPr>
                <w:p w14:paraId="417C6EA8">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46.7</w:t>
                  </w:r>
                </w:p>
              </w:tc>
              <w:tc>
                <w:tcPr>
                  <w:tcW w:w="836" w:type="dxa"/>
                  <w:vAlign w:val="center"/>
                </w:tcPr>
                <w:p w14:paraId="2DBDA5CF">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41.9</w:t>
                  </w:r>
                </w:p>
              </w:tc>
              <w:tc>
                <w:tcPr>
                  <w:tcW w:w="800" w:type="dxa"/>
                  <w:vAlign w:val="center"/>
                </w:tcPr>
                <w:p w14:paraId="224F80F2">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46.7</w:t>
                  </w:r>
                </w:p>
              </w:tc>
              <w:tc>
                <w:tcPr>
                  <w:tcW w:w="801" w:type="dxa"/>
                  <w:vAlign w:val="center"/>
                </w:tcPr>
                <w:p w14:paraId="5AB53722">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41.9</w:t>
                  </w:r>
                </w:p>
              </w:tc>
            </w:tr>
            <w:tr w14:paraId="1D89C1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1524" w:type="dxa"/>
                  <w:vMerge w:val="continue"/>
                  <w:vAlign w:val="center"/>
                </w:tcPr>
                <w:p w14:paraId="66687F70">
                  <w:pPr>
                    <w:pStyle w:val="3"/>
                    <w:spacing w:line="240" w:lineRule="auto"/>
                    <w:ind w:firstLine="0"/>
                    <w:jc w:val="center"/>
                    <w:rPr>
                      <w:rFonts w:hint="default" w:ascii="Times New Roman" w:hAnsi="Times New Roman" w:eastAsia="宋体" w:cs="Times New Roman"/>
                      <w:color w:val="000000" w:themeColor="text1"/>
                      <w:sz w:val="21"/>
                      <w:szCs w:val="21"/>
                    </w:rPr>
                  </w:pPr>
                </w:p>
              </w:tc>
              <w:tc>
                <w:tcPr>
                  <w:tcW w:w="981" w:type="dxa"/>
                  <w:vAlign w:val="center"/>
                </w:tcPr>
                <w:p w14:paraId="51CF9888">
                  <w:pPr>
                    <w:pStyle w:val="3"/>
                    <w:spacing w:line="240" w:lineRule="auto"/>
                    <w:ind w:firstLine="0"/>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西</w:t>
                  </w:r>
                </w:p>
              </w:tc>
              <w:tc>
                <w:tcPr>
                  <w:tcW w:w="1016" w:type="dxa"/>
                  <w:vAlign w:val="center"/>
                </w:tcPr>
                <w:p w14:paraId="02794B38">
                  <w:pPr>
                    <w:pStyle w:val="3"/>
                    <w:spacing w:line="240" w:lineRule="auto"/>
                    <w:ind w:firstLine="0"/>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21</w:t>
                  </w:r>
                </w:p>
              </w:tc>
              <w:tc>
                <w:tcPr>
                  <w:tcW w:w="1520" w:type="dxa"/>
                  <w:vAlign w:val="center"/>
                </w:tcPr>
                <w:p w14:paraId="5B608966">
                  <w:pPr>
                    <w:pStyle w:val="3"/>
                    <w:spacing w:line="240" w:lineRule="auto"/>
                    <w:ind w:firstLine="0"/>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20.6</w:t>
                  </w:r>
                </w:p>
              </w:tc>
              <w:tc>
                <w:tcPr>
                  <w:tcW w:w="835" w:type="dxa"/>
                  <w:vAlign w:val="center"/>
                </w:tcPr>
                <w:p w14:paraId="1DFC606E">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44.5</w:t>
                  </w:r>
                </w:p>
              </w:tc>
              <w:tc>
                <w:tcPr>
                  <w:tcW w:w="836" w:type="dxa"/>
                  <w:vAlign w:val="center"/>
                </w:tcPr>
                <w:p w14:paraId="3AFCDA7A">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39.8</w:t>
                  </w:r>
                </w:p>
              </w:tc>
              <w:tc>
                <w:tcPr>
                  <w:tcW w:w="800" w:type="dxa"/>
                  <w:vAlign w:val="center"/>
                </w:tcPr>
                <w:p w14:paraId="266F5EEC">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44.</w:t>
                  </w:r>
                  <w:r>
                    <w:rPr>
                      <w:rFonts w:hint="eastAsia" w:ascii="Times New Roman" w:hAnsi="Times New Roman" w:cs="Times New Roman"/>
                      <w:snapToGrid w:val="0"/>
                      <w:color w:val="000000" w:themeColor="text1"/>
                      <w:sz w:val="21"/>
                      <w:szCs w:val="21"/>
                      <w:lang w:val="en-US" w:eastAsia="zh-CN"/>
                    </w:rPr>
                    <w:t>6</w:t>
                  </w:r>
                </w:p>
              </w:tc>
              <w:tc>
                <w:tcPr>
                  <w:tcW w:w="801" w:type="dxa"/>
                  <w:vAlign w:val="center"/>
                </w:tcPr>
                <w:p w14:paraId="1A4092B2">
                  <w:pPr>
                    <w:topLinePunct/>
                    <w:spacing w:line="320" w:lineRule="exact"/>
                    <w:jc w:val="center"/>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snapToGrid w:val="0"/>
                      <w:color w:val="000000" w:themeColor="text1"/>
                      <w:sz w:val="21"/>
                      <w:szCs w:val="21"/>
                      <w:lang w:val="en-US" w:eastAsia="zh-CN"/>
                    </w:rPr>
                    <w:t>39.</w:t>
                  </w:r>
                  <w:r>
                    <w:rPr>
                      <w:rFonts w:hint="eastAsia" w:ascii="Times New Roman" w:hAnsi="Times New Roman" w:cs="Times New Roman"/>
                      <w:snapToGrid w:val="0"/>
                      <w:color w:val="000000" w:themeColor="text1"/>
                      <w:sz w:val="21"/>
                      <w:szCs w:val="21"/>
                      <w:lang w:val="en-US" w:eastAsia="zh-CN"/>
                    </w:rPr>
                    <w:t>9</w:t>
                  </w:r>
                </w:p>
              </w:tc>
            </w:tr>
          </w:tbl>
          <w:p w14:paraId="1C73EEE4">
            <w:pPr>
              <w:spacing w:line="360" w:lineRule="auto"/>
              <w:ind w:firstLine="480" w:firstLineChars="200"/>
              <w:rPr>
                <w:rFonts w:hint="default" w:ascii="Times New Roman" w:hAnsi="Times New Roman" w:cs="Times New Roman"/>
                <w:bCs/>
                <w:color w:val="000000" w:themeColor="text1"/>
                <w:sz w:val="24"/>
                <w:szCs w:val="24"/>
              </w:rPr>
            </w:pPr>
            <w:r>
              <w:rPr>
                <w:rFonts w:hint="default" w:ascii="Times New Roman" w:hAnsi="Times New Roman" w:cs="Times New Roman"/>
                <w:color w:val="000000" w:themeColor="text1"/>
                <w:sz w:val="24"/>
                <w:szCs w:val="24"/>
              </w:rPr>
              <w:t>由表</w:t>
            </w:r>
            <w:r>
              <w:rPr>
                <w:rFonts w:hint="eastAsia" w:ascii="Times New Roman" w:hAnsi="Times New Roman" w:cs="Times New Roman"/>
                <w:color w:val="000000" w:themeColor="text1"/>
                <w:sz w:val="24"/>
                <w:szCs w:val="24"/>
                <w:lang w:val="en-US" w:eastAsia="zh-CN"/>
              </w:rPr>
              <w:t>28</w:t>
            </w:r>
            <w:r>
              <w:rPr>
                <w:rFonts w:hint="default" w:ascii="Times New Roman" w:hAnsi="Times New Roman" w:cs="Times New Roman"/>
                <w:color w:val="000000" w:themeColor="text1"/>
                <w:sz w:val="24"/>
                <w:szCs w:val="24"/>
              </w:rPr>
              <w:t>可知，项目加油机等效声源与同点位处背景值叠加预测值噪声级满足</w:t>
            </w:r>
            <w:r>
              <w:rPr>
                <w:rFonts w:hint="default" w:ascii="Times New Roman" w:hAnsi="Times New Roman" w:cs="Times New Roman"/>
                <w:bCs/>
                <w:color w:val="000000" w:themeColor="text1"/>
                <w:sz w:val="24"/>
                <w:szCs w:val="24"/>
              </w:rPr>
              <w:t>《工业企业厂界环境噪声排放标准》（GB12348-2008）中3</w:t>
            </w:r>
            <w:r>
              <w:rPr>
                <w:rFonts w:hint="default" w:ascii="Times New Roman" w:hAnsi="Times New Roman" w:cs="Times New Roman"/>
                <w:color w:val="000000" w:themeColor="text1"/>
                <w:sz w:val="24"/>
                <w:szCs w:val="24"/>
              </w:rPr>
              <w:t>类</w:t>
            </w:r>
            <w:r>
              <w:rPr>
                <w:rFonts w:hint="default" w:ascii="Times New Roman" w:hAnsi="Times New Roman" w:cs="Times New Roman"/>
                <w:bCs/>
                <w:color w:val="000000" w:themeColor="text1"/>
                <w:sz w:val="24"/>
                <w:szCs w:val="24"/>
              </w:rPr>
              <w:t>标准要求，通过对加油机等设备增设消音装置后，噪声影响将进一步减弱，不会对区域声环境产生较大影响。</w:t>
            </w:r>
          </w:p>
          <w:p w14:paraId="50B63288">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bCs/>
                <w:color w:val="000000" w:themeColor="text1"/>
                <w:sz w:val="24"/>
                <w:szCs w:val="24"/>
              </w:rPr>
              <w:t>鉴于本项目加油加气同时还有车辆等噪声污染源，</w:t>
            </w:r>
            <w:r>
              <w:rPr>
                <w:rFonts w:hint="default" w:ascii="Times New Roman" w:hAnsi="Times New Roman" w:cs="Times New Roman"/>
                <w:color w:val="000000" w:themeColor="text1"/>
                <w:sz w:val="24"/>
                <w:szCs w:val="24"/>
              </w:rPr>
              <w:t>建议治理措施如下：</w:t>
            </w:r>
          </w:p>
          <w:p w14:paraId="7EDA319A">
            <w:pPr>
              <w:pStyle w:val="14"/>
              <w:widowControl/>
              <w:spacing w:after="0" w:line="360" w:lineRule="auto"/>
              <w:ind w:left="0" w:leftChars="0"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（1）加强加油加气站区管理，合理规划路线，进出通道设置禁鸣限速标志，车速限制</w:t>
            </w:r>
            <w:r>
              <w:rPr>
                <w:rFonts w:hint="eastAsia" w:ascii="Times New Roman" w:hAnsi="Times New Roman" w:cs="Times New Roman"/>
                <w:color w:val="000000" w:themeColor="text1"/>
                <w:sz w:val="24"/>
                <w:szCs w:val="24"/>
                <w:lang w:val="en-US" w:eastAsia="zh-CN"/>
              </w:rPr>
              <w:t>在</w:t>
            </w:r>
            <w:r>
              <w:rPr>
                <w:rFonts w:hint="default" w:ascii="Times New Roman" w:hAnsi="Times New Roman" w:cs="Times New Roman"/>
                <w:color w:val="000000" w:themeColor="text1"/>
                <w:sz w:val="24"/>
                <w:szCs w:val="24"/>
              </w:rPr>
              <w:t>20km/h以下，以降低车辆噪声。</w:t>
            </w:r>
          </w:p>
          <w:p w14:paraId="5467B668">
            <w:pPr>
              <w:pStyle w:val="14"/>
              <w:widowControl/>
              <w:spacing w:after="0" w:line="360" w:lineRule="auto"/>
              <w:ind w:left="0" w:leftChars="0"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（2）进一步加强项目区绿化面积，或在场界实体墙内</w:t>
            </w:r>
            <w:r>
              <w:rPr>
                <w:rFonts w:hint="default" w:ascii="Times New Roman" w:hAnsi="Times New Roman" w:cs="Times New Roman"/>
                <w:color w:val="000000" w:themeColor="text1"/>
                <w:spacing w:val="-8"/>
                <w:sz w:val="24"/>
                <w:szCs w:val="24"/>
              </w:rPr>
              <w:t>、</w:t>
            </w:r>
            <w:r>
              <w:rPr>
                <w:rFonts w:hint="default" w:ascii="Times New Roman" w:hAnsi="Times New Roman" w:cs="Times New Roman"/>
                <w:color w:val="000000" w:themeColor="text1"/>
                <w:sz w:val="24"/>
                <w:szCs w:val="24"/>
              </w:rPr>
              <w:t>外壁</w:t>
            </w:r>
            <w:r>
              <w:rPr>
                <w:rFonts w:hint="default" w:ascii="Times New Roman" w:hAnsi="Times New Roman" w:cs="Times New Roman"/>
                <w:color w:val="000000" w:themeColor="text1"/>
                <w:spacing w:val="2"/>
                <w:sz w:val="24"/>
                <w:szCs w:val="24"/>
              </w:rPr>
              <w:t>种</w:t>
            </w:r>
            <w:r>
              <w:rPr>
                <w:rFonts w:hint="default" w:ascii="Times New Roman" w:hAnsi="Times New Roman" w:cs="Times New Roman"/>
                <w:color w:val="000000" w:themeColor="text1"/>
                <w:sz w:val="24"/>
                <w:szCs w:val="24"/>
              </w:rPr>
              <w:t>植攀缘植物，以美化景观，降低车辆噪声的干扰。</w:t>
            </w:r>
          </w:p>
          <w:p w14:paraId="7D217999">
            <w:pPr>
              <w:pStyle w:val="14"/>
              <w:widowControl/>
              <w:spacing w:after="0" w:line="360" w:lineRule="auto"/>
              <w:ind w:left="0" w:leftChars="0"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（3）油料卸车必须安排在昼间进行，禁止夜间进行。</w:t>
            </w:r>
          </w:p>
          <w:p w14:paraId="35478487">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bCs/>
                <w:color w:val="000000" w:themeColor="text1"/>
                <w:sz w:val="24"/>
                <w:szCs w:val="24"/>
              </w:rPr>
              <w:t>项目采取的噪声防治措施针对性较强，在措施落实的情况下，噪声源强将大幅度下降，项目噪声源对场界的贡献值较小，不会对项目区周边声环境产生影响。</w:t>
            </w:r>
          </w:p>
          <w:p w14:paraId="52260511">
            <w:pPr>
              <w:rPr>
                <w:rFonts w:ascii="Times New Roman" w:hAnsi="Times New Roman"/>
                <w:b/>
                <w:bCs/>
                <w:color w:val="000000" w:themeColor="text1"/>
                <w:sz w:val="24"/>
                <w:szCs w:val="24"/>
              </w:rPr>
            </w:pPr>
            <w:r>
              <w:rPr>
                <w:rFonts w:ascii="Times New Roman" w:hAnsi="Times New Roman"/>
                <w:b/>
                <w:bCs/>
                <w:color w:val="000000" w:themeColor="text1"/>
                <w:sz w:val="24"/>
                <w:szCs w:val="24"/>
              </w:rPr>
              <w:t>4</w:t>
            </w:r>
            <w:r>
              <w:rPr>
                <w:rFonts w:hint="eastAsia" w:ascii="Times New Roman" w:hAnsi="Times New Roman"/>
                <w:b/>
                <w:bCs/>
                <w:color w:val="000000" w:themeColor="text1"/>
                <w:sz w:val="24"/>
                <w:szCs w:val="24"/>
              </w:rPr>
              <w:t>、固体废物环境影响分析</w:t>
            </w:r>
          </w:p>
          <w:p w14:paraId="28794BDF">
            <w:pPr>
              <w:spacing w:line="360" w:lineRule="auto"/>
              <w:ind w:firstLine="480" w:firstLineChars="200"/>
              <w:textAlignment w:val="baseline"/>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项目改扩建后产生的固废主要为员工生活垃圾</w:t>
            </w:r>
            <w:r>
              <w:rPr>
                <w:rFonts w:hint="eastAsia" w:ascii="Times New Roman" w:hAnsi="Times New Roman" w:cs="Times New Roman"/>
                <w:color w:val="000000" w:themeColor="text1"/>
                <w:sz w:val="24"/>
                <w:szCs w:val="24"/>
                <w:lang w:eastAsia="zh-CN"/>
              </w:rPr>
              <w:t>，</w:t>
            </w:r>
            <w:r>
              <w:rPr>
                <w:rFonts w:hint="default" w:ascii="Times New Roman" w:hAnsi="Times New Roman" w:cs="Times New Roman"/>
                <w:color w:val="000000" w:themeColor="text1"/>
                <w:sz w:val="24"/>
                <w:szCs w:val="24"/>
              </w:rPr>
              <w:t>储油罐经过一定时间（3~5年）的使用后检修过程中产生的极少量检修废渣、槽罐残液</w:t>
            </w:r>
            <w:r>
              <w:rPr>
                <w:rFonts w:hint="eastAsia" w:ascii="Times New Roman" w:hAnsi="Times New Roman" w:cs="Times New Roman"/>
                <w:color w:val="000000" w:themeColor="text1"/>
                <w:sz w:val="24"/>
                <w:szCs w:val="24"/>
                <w:lang w:val="en-US" w:eastAsia="zh-CN"/>
              </w:rPr>
              <w:t>以及加气过程产生的含油废水</w:t>
            </w:r>
            <w:r>
              <w:rPr>
                <w:rFonts w:hint="default" w:ascii="Times New Roman" w:hAnsi="Times New Roman" w:cs="Times New Roman"/>
                <w:color w:val="000000" w:themeColor="text1"/>
                <w:sz w:val="24"/>
                <w:szCs w:val="24"/>
              </w:rPr>
              <w:t>。</w:t>
            </w:r>
          </w:p>
          <w:p w14:paraId="3D64EF54">
            <w:pPr>
              <w:spacing w:line="360" w:lineRule="auto"/>
              <w:ind w:firstLine="480" w:firstLineChars="200"/>
              <w:textAlignment w:val="baseline"/>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本项目运营后</w:t>
            </w:r>
            <w:r>
              <w:rPr>
                <w:rFonts w:hint="eastAsia" w:ascii="Times New Roman" w:hAnsi="Times New Roman" w:cs="Times New Roman"/>
                <w:color w:val="000000" w:themeColor="text1"/>
                <w:sz w:val="24"/>
                <w:szCs w:val="24"/>
                <w:lang w:val="en-US" w:eastAsia="zh-CN"/>
              </w:rPr>
              <w:t>新增</w:t>
            </w:r>
            <w:r>
              <w:rPr>
                <w:rFonts w:hint="default" w:ascii="Times New Roman" w:hAnsi="Times New Roman" w:cs="Times New Roman"/>
                <w:color w:val="000000" w:themeColor="text1"/>
                <w:sz w:val="24"/>
                <w:szCs w:val="24"/>
              </w:rPr>
              <w:t>劳动定员</w:t>
            </w:r>
            <w:r>
              <w:rPr>
                <w:rFonts w:hint="eastAsia" w:ascii="Times New Roman" w:hAnsi="Times New Roman" w:cs="Times New Roman"/>
                <w:color w:val="000000" w:themeColor="text1"/>
                <w:sz w:val="24"/>
                <w:szCs w:val="24"/>
                <w:lang w:val="en-US" w:eastAsia="zh-CN"/>
              </w:rPr>
              <w:t>16</w:t>
            </w:r>
            <w:r>
              <w:rPr>
                <w:rFonts w:hint="default" w:ascii="Times New Roman" w:hAnsi="Times New Roman" w:cs="Times New Roman"/>
                <w:color w:val="000000" w:themeColor="text1"/>
                <w:sz w:val="24"/>
                <w:szCs w:val="24"/>
              </w:rPr>
              <w:t>人，生活垃圾按0.5kg/人·天计，即</w:t>
            </w: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kg/天，</w:t>
            </w:r>
            <w:r>
              <w:rPr>
                <w:rFonts w:hint="eastAsia" w:ascii="Times New Roman" w:hAnsi="Times New Roman" w:cs="Times New Roman"/>
                <w:color w:val="000000" w:themeColor="text1"/>
                <w:sz w:val="24"/>
                <w:szCs w:val="24"/>
                <w:lang w:val="en-US" w:eastAsia="zh-CN"/>
              </w:rPr>
              <w:t>2.92</w:t>
            </w:r>
            <w:r>
              <w:rPr>
                <w:rFonts w:hint="default" w:ascii="Times New Roman" w:hAnsi="Times New Roman" w:cs="Times New Roman"/>
                <w:color w:val="000000" w:themeColor="text1"/>
                <w:sz w:val="24"/>
                <w:szCs w:val="24"/>
              </w:rPr>
              <w:t>t/a，生活垃圾依托站区现有垃圾收集设施，交由园区环卫处理，不会对周围环境产生影响。</w:t>
            </w:r>
          </w:p>
          <w:p w14:paraId="7A6A7C99">
            <w:pPr>
              <w:spacing w:line="360" w:lineRule="auto"/>
              <w:ind w:firstLine="480" w:firstLineChars="200"/>
              <w:textAlignment w:val="baseline"/>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储油罐经过一定时间（3~5年）的使用后清洗、检修产生的油泥、油渣以及检修过程中产生的极少量检修废渣、槽罐残液等属于危废，产生量约为0.1t/a，加油站的油罐定期委托有资质的单位进行检修、清洗，产生的残渣、废液集中由检修清洗单位一并处理回收，不在加油站内暂存。经过以上处理措施，项目产生的固废对环境影响较小。</w:t>
            </w:r>
          </w:p>
          <w:p w14:paraId="3527C962">
            <w:pPr>
              <w:spacing w:line="360" w:lineRule="auto"/>
              <w:ind w:firstLine="480" w:firstLineChars="200"/>
              <w:rPr>
                <w:rFonts w:hint="eastAsia" w:ascii="Times New Roman" w:hAnsi="Times New Roman"/>
                <w:color w:val="000000" w:themeColor="text1"/>
                <w:sz w:val="24"/>
                <w:szCs w:val="24"/>
                <w:lang w:val="en-US" w:eastAsia="zh-CN"/>
              </w:rPr>
            </w:pPr>
            <w:r>
              <w:rPr>
                <w:rFonts w:hint="default" w:ascii="Times New Roman" w:hAnsi="Times New Roman" w:cs="Times New Roman"/>
                <w:color w:val="000000" w:themeColor="text1"/>
                <w:sz w:val="24"/>
                <w:szCs w:val="24"/>
              </w:rPr>
              <w:t>含油废水主要来自天然气脱水过程，废水中含油量很高，成乌黑色油状，浓度严重超标，为危险废物，排放量约为2t/a</w:t>
            </w: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含油废水需在加油加气站内暂存。应按照</w:t>
            </w:r>
            <w:r>
              <w:rPr>
                <w:rFonts w:hint="eastAsia" w:ascii="Times New Roman" w:hAnsi="Times New Roman"/>
                <w:color w:val="000000" w:themeColor="text1"/>
                <w:sz w:val="24"/>
                <w:szCs w:val="24"/>
                <w:lang w:val="en-US" w:eastAsia="zh-CN"/>
              </w:rPr>
              <w:t>据《危险废物贮存污染控制标准》（GB18597-2001）的相关要求建设危废暂存场所。需满足以下要求。</w:t>
            </w:r>
          </w:p>
          <w:p w14:paraId="560AE675">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①盛装含油废水的容器衬里不应与含油废水发生反应，并应完好无损。</w:t>
            </w:r>
          </w:p>
          <w:p w14:paraId="38C2BA9D">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②含油废水应盛装在开孔直径不超过70mm并有放气孔的容器中。</w:t>
            </w:r>
          </w:p>
          <w:p w14:paraId="6C95E6F4">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宋体" w:hAnsi="宋体" w:eastAsia="宋体" w:cs="宋体"/>
                <w:color w:val="000000" w:themeColor="text1"/>
                <w:sz w:val="24"/>
                <w:szCs w:val="24"/>
                <w:lang w:val="en-US" w:eastAsia="zh-CN"/>
              </w:rPr>
              <w:t>③</w:t>
            </w:r>
            <w:r>
              <w:rPr>
                <w:rFonts w:hint="eastAsia" w:ascii="Times New Roman" w:hAnsi="Times New Roman"/>
                <w:color w:val="000000" w:themeColor="text1"/>
                <w:sz w:val="24"/>
                <w:szCs w:val="24"/>
                <w:lang w:val="en-US" w:eastAsia="zh-CN"/>
              </w:rPr>
              <w:t>危废暂存处应防风、防雨、防晒。</w:t>
            </w:r>
          </w:p>
          <w:p w14:paraId="51BDA117">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④危废暂存处基础必须防渗，防渗层为至少1米厚粘土层（渗透系数≤10-7厘米/秒），或2毫米厚高密度聚乙烯，或至少2毫米厚的其它人工材料，渗透系数≤10-10厘米/秒。</w:t>
            </w:r>
          </w:p>
          <w:p w14:paraId="6820FBE9">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宋体" w:hAnsi="宋体" w:eastAsia="宋体" w:cs="宋体"/>
                <w:color w:val="000000" w:themeColor="text1"/>
                <w:sz w:val="24"/>
                <w:szCs w:val="24"/>
                <w:lang w:val="en-US" w:eastAsia="zh-CN"/>
              </w:rPr>
              <w:t>⑤</w:t>
            </w:r>
            <w:r>
              <w:rPr>
                <w:rFonts w:hint="eastAsia" w:ascii="Times New Roman" w:hAnsi="Times New Roman"/>
                <w:color w:val="000000" w:themeColor="text1"/>
                <w:sz w:val="24"/>
                <w:szCs w:val="24"/>
                <w:lang w:val="en-US" w:eastAsia="zh-CN"/>
              </w:rPr>
              <w:t>企业应与危废回收单位签订回收协议，废润滑油、废油桶运输过程均交由危废回收单位进行，严禁排入园区污水管网，严禁私拉私运。</w:t>
            </w:r>
          </w:p>
          <w:p w14:paraId="17A8C7EF">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⑥危废暂存处应设置警示标示。</w:t>
            </w:r>
          </w:p>
          <w:p w14:paraId="59500125">
            <w:pPr>
              <w:spacing w:line="360" w:lineRule="auto"/>
              <w:ind w:firstLine="480" w:firstLineChars="200"/>
              <w:textAlignment w:val="baseline"/>
              <w:rPr>
                <w:rFonts w:hint="default" w:ascii="Times New Roman" w:hAnsi="Times New Roman" w:cs="Times New Roman"/>
                <w:color w:val="000000" w:themeColor="text1"/>
                <w:sz w:val="24"/>
                <w:szCs w:val="24"/>
              </w:rPr>
            </w:pPr>
            <w:r>
              <w:rPr>
                <w:rFonts w:hint="eastAsia"/>
                <w:bCs/>
                <w:color w:val="000000" w:themeColor="text1"/>
                <w:sz w:val="24"/>
                <w:lang w:val="en-US" w:eastAsia="zh-CN"/>
              </w:rPr>
              <w:t>⑦项目扩建完成后，</w:t>
            </w:r>
            <w:r>
              <w:rPr>
                <w:rFonts w:hint="eastAsia"/>
                <w:bCs/>
                <w:color w:val="000000" w:themeColor="text1"/>
                <w:sz w:val="24"/>
                <w:lang w:eastAsia="zh-CN"/>
              </w:rPr>
              <w:t>企业应</w:t>
            </w:r>
            <w:r>
              <w:rPr>
                <w:bCs/>
                <w:color w:val="000000" w:themeColor="text1"/>
                <w:sz w:val="24"/>
              </w:rPr>
              <w:t>制定并向所在地环境行政主管部门备案危险废物管理计划（包括减少危险废物产生量和危害性的措施以及危险废物贮存、利用、处置措施），向所在地环境保护行政主管部门申报危险废物产生种类、产生量、流向、贮存等有关资料。应针对危险废物的产生、收集、贮存、运输、利用、处置，制定意外事故防范措施和应急预案，向所在地环境行政主管部门备案。本项目在运营过程中产生的危险废物，必须按照国家有关规定申报登记。</w:t>
            </w:r>
          </w:p>
          <w:p w14:paraId="33EAFAAF">
            <w:pPr>
              <w:spacing w:line="360" w:lineRule="auto"/>
              <w:ind w:firstLine="480" w:firstLineChars="200"/>
              <w:textAlignment w:val="baseline"/>
              <w:rPr>
                <w:rFonts w:hint="eastAsia" w:ascii="Times New Roman" w:hAnsi="Times New Roman" w:eastAsia="宋体"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综上所述，在采取了相应的处理措施后，本项目产生的固体废物均得到了有效的处置，对项目区环境影响较小。</w:t>
            </w:r>
          </w:p>
          <w:p w14:paraId="20389D79">
            <w:pPr>
              <w:spacing w:line="360" w:lineRule="auto"/>
              <w:rPr>
                <w:rFonts w:hint="eastAsia" w:ascii="Times New Roman" w:hAnsi="Times New Roman"/>
                <w:b/>
                <w:bCs/>
                <w:color w:val="000000" w:themeColor="text1"/>
                <w:sz w:val="24"/>
                <w:szCs w:val="24"/>
                <w:lang w:val="en-US" w:eastAsia="zh-CN"/>
              </w:rPr>
            </w:pPr>
            <w:r>
              <w:rPr>
                <w:rFonts w:hint="eastAsia" w:ascii="Times New Roman" w:hAnsi="Times New Roman"/>
                <w:b/>
                <w:bCs/>
                <w:color w:val="000000" w:themeColor="text1"/>
                <w:sz w:val="24"/>
                <w:szCs w:val="24"/>
                <w:lang w:val="en-US" w:eastAsia="zh-CN"/>
              </w:rPr>
              <w:t>5</w:t>
            </w:r>
            <w:r>
              <w:rPr>
                <w:rFonts w:hint="eastAsia" w:ascii="Times New Roman" w:hAnsi="Times New Roman"/>
                <w:b/>
                <w:bCs/>
                <w:color w:val="000000" w:themeColor="text1"/>
                <w:sz w:val="24"/>
                <w:szCs w:val="24"/>
              </w:rPr>
              <w:t>、</w:t>
            </w:r>
            <w:r>
              <w:rPr>
                <w:rFonts w:hint="eastAsia" w:ascii="Times New Roman" w:hAnsi="Times New Roman"/>
                <w:b/>
                <w:bCs/>
                <w:color w:val="000000" w:themeColor="text1"/>
                <w:sz w:val="24"/>
                <w:szCs w:val="24"/>
                <w:lang w:val="en-US" w:eastAsia="zh-CN"/>
              </w:rPr>
              <w:t>土壤环境影响分析及污染防治措施</w:t>
            </w:r>
          </w:p>
          <w:p w14:paraId="421A4355">
            <w:pPr>
              <w:spacing w:line="360" w:lineRule="auto"/>
              <w:ind w:firstLine="436" w:firstLineChars="182"/>
              <w:rPr>
                <w:color w:val="000000" w:themeColor="text1"/>
                <w:sz w:val="24"/>
                <w:szCs w:val="24"/>
              </w:rPr>
            </w:pPr>
            <w:r>
              <w:rPr>
                <w:color w:val="000000" w:themeColor="text1"/>
                <w:sz w:val="24"/>
                <w:szCs w:val="24"/>
              </w:rPr>
              <w:t>加油过程中，输油管线的法兰、丝扣等因日久磨损会有少量油品滴漏，但轻油可以很快挥发、残留部分油品按操作规范用拖布擦干净。因此加油操作过程中，基本无含油废水排出，且加油区内地面硬化，不会有残留油品渗入地下的情况发生。因此，项目运营对土壤环境无明显影响。</w:t>
            </w:r>
          </w:p>
          <w:p w14:paraId="441FC5DA">
            <w:pPr>
              <w:spacing w:line="360" w:lineRule="auto"/>
              <w:ind w:firstLine="480" w:firstLineChars="200"/>
              <w:rPr>
                <w:color w:val="000000" w:themeColor="text1"/>
                <w:sz w:val="24"/>
                <w:szCs w:val="24"/>
              </w:rPr>
            </w:pPr>
            <w:r>
              <w:rPr>
                <w:color w:val="000000" w:themeColor="text1"/>
                <w:sz w:val="24"/>
                <w:szCs w:val="24"/>
              </w:rPr>
              <w:t>本环评建议当加油站需要关闭时，若为临时关闭，要求油罐必须被抽干，并对油罐进行连续监测并采取防锈蚀保护措施；若为永久性关闭，则无论是把油罐挖出还是留在地下，罐内的任何物体必须全部清除干净，清除之后，留在地下的油罐必须按照要求填满砂石。此外，因突发事故产生的废汽、柴油的泄漏，应立即采取有效措施，及时清理受污染的土壤，减少渗透及扩散范围。</w:t>
            </w:r>
          </w:p>
          <w:p w14:paraId="5931B089">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6</w:t>
            </w:r>
            <w:r>
              <w:rPr>
                <w:rFonts w:hint="eastAsia" w:ascii="Times New Roman" w:hAnsi="Times New Roman"/>
                <w:b/>
                <w:bCs/>
                <w:color w:val="000000" w:themeColor="text1"/>
                <w:sz w:val="24"/>
                <w:szCs w:val="24"/>
              </w:rPr>
              <w:t>、</w:t>
            </w:r>
            <w:r>
              <w:rPr>
                <w:rFonts w:hint="eastAsia" w:ascii="Times New Roman" w:hAnsi="Times New Roman"/>
                <w:b/>
                <w:bCs/>
                <w:color w:val="000000" w:themeColor="text1"/>
                <w:sz w:val="24"/>
                <w:szCs w:val="24"/>
                <w:lang w:val="en-US" w:eastAsia="zh-CN"/>
              </w:rPr>
              <w:t>项目“三本账”</w:t>
            </w:r>
          </w:p>
          <w:p w14:paraId="7AA8DC68">
            <w:pPr>
              <w:pStyle w:val="5"/>
              <w:spacing w:line="360" w:lineRule="auto"/>
              <w:ind w:firstLine="480" w:firstLineChars="200"/>
              <w:rPr>
                <w:rFonts w:eastAsia="黑体"/>
                <w:bCs/>
                <w:color w:val="000000" w:themeColor="text1"/>
                <w:sz w:val="24"/>
                <w:szCs w:val="24"/>
              </w:rPr>
            </w:pPr>
            <w:r>
              <w:rPr>
                <w:color w:val="000000" w:themeColor="text1"/>
                <w:sz w:val="24"/>
                <w:szCs w:val="24"/>
              </w:rPr>
              <w:t>项目改扩建后，增加劳动定员，水污染物的排放量增加，同时新增加油设施，会增加污染物非甲烷总烃，本项目区污染物外排量以改扩建后排放量为最终排放量。</w:t>
            </w:r>
          </w:p>
          <w:p w14:paraId="7CD69EEB">
            <w:pPr>
              <w:pStyle w:val="5"/>
              <w:spacing w:line="360" w:lineRule="auto"/>
              <w:ind w:firstLine="480" w:firstLineChars="200"/>
              <w:rPr>
                <w:color w:val="000000" w:themeColor="text1"/>
                <w:sz w:val="24"/>
                <w:szCs w:val="24"/>
              </w:rPr>
            </w:pPr>
            <w:r>
              <w:rPr>
                <w:color w:val="000000" w:themeColor="text1"/>
                <w:sz w:val="24"/>
                <w:szCs w:val="24"/>
              </w:rPr>
              <w:t>项目“三本账”情况见下表。</w:t>
            </w:r>
          </w:p>
          <w:p w14:paraId="6D967CA2">
            <w:pPr>
              <w:pStyle w:val="5"/>
              <w:spacing w:line="240" w:lineRule="auto"/>
              <w:ind w:firstLine="422" w:firstLineChars="200"/>
              <w:jc w:val="left"/>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42</w:t>
            </w:r>
            <w:r>
              <w:rPr>
                <w:rFonts w:hint="eastAsia" w:ascii="黑体" w:hAnsi="黑体" w:eastAsia="黑体" w:cs="黑体"/>
                <w:b/>
                <w:bCs/>
                <w:color w:val="000000" w:themeColor="text1"/>
                <w:sz w:val="21"/>
                <w:szCs w:val="21"/>
              </w:rPr>
              <w:t xml:space="preserve">                        项目“三本账”一览表</w:t>
            </w:r>
          </w:p>
          <w:tbl>
            <w:tblPr>
              <w:tblStyle w:val="19"/>
              <w:tblW w:w="8220"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64"/>
              <w:gridCol w:w="1206"/>
              <w:gridCol w:w="1157"/>
              <w:gridCol w:w="1163"/>
              <w:gridCol w:w="1291"/>
              <w:gridCol w:w="1186"/>
              <w:gridCol w:w="1053"/>
            </w:tblGrid>
            <w:tr w14:paraId="016256B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2370" w:type="dxa"/>
                  <w:gridSpan w:val="2"/>
                  <w:tcBorders>
                    <w:bottom w:val="single" w:color="auto" w:sz="12" w:space="0"/>
                  </w:tcBorders>
                  <w:vAlign w:val="center"/>
                </w:tcPr>
                <w:p w14:paraId="561EA634">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污染源</w:t>
                  </w:r>
                </w:p>
              </w:tc>
              <w:tc>
                <w:tcPr>
                  <w:tcW w:w="1157" w:type="dxa"/>
                  <w:tcBorders>
                    <w:bottom w:val="single" w:color="auto" w:sz="12" w:space="0"/>
                  </w:tcBorders>
                  <w:vAlign w:val="center"/>
                </w:tcPr>
                <w:p w14:paraId="543A503E">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现有工程</w:t>
                  </w:r>
                </w:p>
                <w:p w14:paraId="6DABFB24">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排放量</w:t>
                  </w:r>
                </w:p>
              </w:tc>
              <w:tc>
                <w:tcPr>
                  <w:tcW w:w="1163" w:type="dxa"/>
                  <w:tcBorders>
                    <w:bottom w:val="single" w:color="auto" w:sz="12" w:space="0"/>
                  </w:tcBorders>
                  <w:vAlign w:val="center"/>
                </w:tcPr>
                <w:p w14:paraId="2EF2D143">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拟建工程</w:t>
                  </w:r>
                </w:p>
                <w:p w14:paraId="0FBD0780">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排放量</w:t>
                  </w:r>
                </w:p>
              </w:tc>
              <w:tc>
                <w:tcPr>
                  <w:tcW w:w="1291" w:type="dxa"/>
                  <w:tcBorders>
                    <w:bottom w:val="single" w:color="auto" w:sz="12" w:space="0"/>
                  </w:tcBorders>
                  <w:vAlign w:val="center"/>
                </w:tcPr>
                <w:p w14:paraId="755D39CA">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“以新带老”削减量</w:t>
                  </w:r>
                </w:p>
              </w:tc>
              <w:tc>
                <w:tcPr>
                  <w:tcW w:w="1186" w:type="dxa"/>
                  <w:tcBorders>
                    <w:bottom w:val="single" w:color="auto" w:sz="12" w:space="0"/>
                  </w:tcBorders>
                  <w:vAlign w:val="center"/>
                </w:tcPr>
                <w:p w14:paraId="710BCF2F">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改扩建后总排放量</w:t>
                  </w:r>
                </w:p>
              </w:tc>
              <w:tc>
                <w:tcPr>
                  <w:tcW w:w="1053" w:type="dxa"/>
                  <w:tcBorders>
                    <w:bottom w:val="single" w:color="auto" w:sz="12" w:space="0"/>
                  </w:tcBorders>
                  <w:vAlign w:val="center"/>
                </w:tcPr>
                <w:p w14:paraId="7CCC9E29">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增减量</w:t>
                  </w:r>
                </w:p>
                <w:p w14:paraId="7F86818A">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000000" w:themeColor="text1"/>
                      <w:sz w:val="21"/>
                      <w:szCs w:val="21"/>
                    </w:rPr>
                  </w:pPr>
                  <w:r>
                    <w:rPr>
                      <w:rFonts w:hint="default" w:ascii="Times New Roman" w:hAnsi="Times New Roman" w:eastAsia="宋体" w:cs="Times New Roman"/>
                      <w:b/>
                      <w:bCs/>
                      <w:color w:val="000000" w:themeColor="text1"/>
                      <w:sz w:val="21"/>
                      <w:szCs w:val="21"/>
                    </w:rPr>
                    <w:t>变化</w:t>
                  </w:r>
                </w:p>
              </w:tc>
            </w:tr>
            <w:tr w14:paraId="2A0582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164" w:type="dxa"/>
                  <w:vMerge w:val="restart"/>
                  <w:tcBorders>
                    <w:top w:val="single" w:color="auto" w:sz="12" w:space="0"/>
                  </w:tcBorders>
                  <w:vAlign w:val="center"/>
                </w:tcPr>
                <w:p w14:paraId="276BDC8D">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lang w:val="en-US" w:eastAsia="zh-CN"/>
                    </w:rPr>
                  </w:pPr>
                  <w:r>
                    <w:rPr>
                      <w:rFonts w:hint="default" w:ascii="Times New Roman" w:hAnsi="Times New Roman" w:eastAsia="宋体" w:cs="Times New Roman"/>
                      <w:color w:val="000000" w:themeColor="text1"/>
                      <w:sz w:val="21"/>
                      <w:szCs w:val="21"/>
                      <w:lang w:val="en-US" w:eastAsia="zh-CN"/>
                    </w:rPr>
                    <w:t>大气</w:t>
                  </w:r>
                </w:p>
              </w:tc>
              <w:tc>
                <w:tcPr>
                  <w:tcW w:w="1206" w:type="dxa"/>
                  <w:tcBorders>
                    <w:top w:val="single" w:color="auto" w:sz="12" w:space="0"/>
                  </w:tcBorders>
                  <w:vAlign w:val="center"/>
                </w:tcPr>
                <w:p w14:paraId="475305CF">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逸散天然气（Nm</w:t>
                  </w:r>
                  <w:r>
                    <w:rPr>
                      <w:rFonts w:hint="default" w:ascii="Times New Roman" w:hAnsi="Times New Roman" w:eastAsia="宋体" w:cs="Times New Roman"/>
                      <w:color w:val="000000" w:themeColor="text1"/>
                      <w:sz w:val="21"/>
                      <w:szCs w:val="21"/>
                      <w:vertAlign w:val="superscript"/>
                    </w:rPr>
                    <w:t>3</w:t>
                  </w:r>
                  <w:r>
                    <w:rPr>
                      <w:rFonts w:hint="default" w:ascii="Times New Roman" w:hAnsi="Times New Roman" w:eastAsia="宋体" w:cs="Times New Roman"/>
                      <w:color w:val="000000" w:themeColor="text1"/>
                      <w:sz w:val="21"/>
                      <w:szCs w:val="21"/>
                    </w:rPr>
                    <w:t>）</w:t>
                  </w:r>
                </w:p>
              </w:tc>
              <w:tc>
                <w:tcPr>
                  <w:tcW w:w="1157" w:type="dxa"/>
                  <w:tcBorders>
                    <w:top w:val="single" w:color="auto" w:sz="12" w:space="0"/>
                  </w:tcBorders>
                  <w:vAlign w:val="center"/>
                </w:tcPr>
                <w:p w14:paraId="17266AF5">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54.75</w:t>
                  </w:r>
                </w:p>
              </w:tc>
              <w:tc>
                <w:tcPr>
                  <w:tcW w:w="1163" w:type="dxa"/>
                  <w:tcBorders>
                    <w:top w:val="single" w:color="auto" w:sz="12" w:space="0"/>
                  </w:tcBorders>
                  <w:vAlign w:val="center"/>
                </w:tcPr>
                <w:p w14:paraId="0173923C">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39.55</w:t>
                  </w:r>
                </w:p>
              </w:tc>
              <w:tc>
                <w:tcPr>
                  <w:tcW w:w="1291" w:type="dxa"/>
                  <w:tcBorders>
                    <w:top w:val="single" w:color="auto" w:sz="12" w:space="0"/>
                  </w:tcBorders>
                  <w:vAlign w:val="center"/>
                </w:tcPr>
                <w:p w14:paraId="65910511">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p>
              </w:tc>
              <w:tc>
                <w:tcPr>
                  <w:tcW w:w="1186" w:type="dxa"/>
                  <w:tcBorders>
                    <w:top w:val="single" w:color="auto" w:sz="12" w:space="0"/>
                  </w:tcBorders>
                  <w:vAlign w:val="center"/>
                </w:tcPr>
                <w:p w14:paraId="6A1F5A79">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94.3</w:t>
                  </w:r>
                </w:p>
              </w:tc>
              <w:tc>
                <w:tcPr>
                  <w:tcW w:w="1053" w:type="dxa"/>
                  <w:tcBorders>
                    <w:top w:val="single" w:color="auto" w:sz="12" w:space="0"/>
                  </w:tcBorders>
                  <w:vAlign w:val="center"/>
                </w:tcPr>
                <w:p w14:paraId="1B0B639B">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eastAsia="zh-CN"/>
                    </w:rPr>
                  </w:pPr>
                  <w:r>
                    <w:rPr>
                      <w:rFonts w:hint="eastAsia" w:cs="Times New Roman"/>
                      <w:color w:val="000000" w:themeColor="text1"/>
                      <w:sz w:val="21"/>
                      <w:szCs w:val="21"/>
                      <w:lang w:val="en-US" w:eastAsia="zh-CN"/>
                    </w:rPr>
                    <w:t>+39.55</w:t>
                  </w:r>
                </w:p>
              </w:tc>
            </w:tr>
            <w:tr w14:paraId="1108A9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164" w:type="dxa"/>
                  <w:vMerge w:val="continue"/>
                  <w:vAlign w:val="center"/>
                </w:tcPr>
                <w:p w14:paraId="0FED9742">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p>
              </w:tc>
              <w:tc>
                <w:tcPr>
                  <w:tcW w:w="1206" w:type="dxa"/>
                  <w:vAlign w:val="center"/>
                </w:tcPr>
                <w:p w14:paraId="0E0A0D5D">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非甲烷总烃（t/a）</w:t>
                  </w:r>
                </w:p>
              </w:tc>
              <w:tc>
                <w:tcPr>
                  <w:tcW w:w="1157" w:type="dxa"/>
                  <w:vAlign w:val="center"/>
                </w:tcPr>
                <w:p w14:paraId="294A95BC">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p>
              </w:tc>
              <w:tc>
                <w:tcPr>
                  <w:tcW w:w="1163" w:type="dxa"/>
                  <w:vAlign w:val="center"/>
                </w:tcPr>
                <w:p w14:paraId="70969737">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1.</w:t>
                  </w:r>
                  <w:r>
                    <w:rPr>
                      <w:rFonts w:hint="eastAsia" w:cs="Times New Roman"/>
                      <w:color w:val="000000" w:themeColor="text1"/>
                      <w:sz w:val="21"/>
                      <w:szCs w:val="21"/>
                      <w:lang w:val="en-US" w:eastAsia="zh-CN"/>
                    </w:rPr>
                    <w:t>2</w:t>
                  </w:r>
                </w:p>
              </w:tc>
              <w:tc>
                <w:tcPr>
                  <w:tcW w:w="1291" w:type="dxa"/>
                  <w:vAlign w:val="center"/>
                </w:tcPr>
                <w:p w14:paraId="0496AB0E">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p>
              </w:tc>
              <w:tc>
                <w:tcPr>
                  <w:tcW w:w="1186" w:type="dxa"/>
                  <w:vAlign w:val="center"/>
                </w:tcPr>
                <w:p w14:paraId="09839F08">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1.1</w:t>
                  </w:r>
                </w:p>
              </w:tc>
              <w:tc>
                <w:tcPr>
                  <w:tcW w:w="1053" w:type="dxa"/>
                  <w:vAlign w:val="center"/>
                </w:tcPr>
                <w:p w14:paraId="7111BA17">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w:t>
                  </w:r>
                  <w:r>
                    <w:rPr>
                      <w:rFonts w:hint="eastAsia" w:ascii="Times New Roman" w:hAnsi="Times New Roman" w:cs="Times New Roman"/>
                      <w:color w:val="000000" w:themeColor="text1"/>
                      <w:sz w:val="21"/>
                      <w:szCs w:val="21"/>
                      <w:lang w:val="en-US" w:eastAsia="zh-CN"/>
                    </w:rPr>
                    <w:t>1.</w:t>
                  </w:r>
                  <w:r>
                    <w:rPr>
                      <w:rFonts w:hint="eastAsia" w:cs="Times New Roman"/>
                      <w:color w:val="000000" w:themeColor="text1"/>
                      <w:sz w:val="21"/>
                      <w:szCs w:val="21"/>
                      <w:lang w:val="en-US" w:eastAsia="zh-CN"/>
                    </w:rPr>
                    <w:t>2</w:t>
                  </w:r>
                </w:p>
              </w:tc>
            </w:tr>
            <w:tr w14:paraId="2AAAE24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164" w:type="dxa"/>
                  <w:vMerge w:val="restart"/>
                  <w:vAlign w:val="center"/>
                </w:tcPr>
                <w:p w14:paraId="14E730DB">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废水</w:t>
                  </w:r>
                </w:p>
              </w:tc>
              <w:tc>
                <w:tcPr>
                  <w:tcW w:w="1206" w:type="dxa"/>
                  <w:vAlign w:val="center"/>
                </w:tcPr>
                <w:p w14:paraId="67DD18BF">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废水量（t/a）</w:t>
                  </w:r>
                </w:p>
              </w:tc>
              <w:tc>
                <w:tcPr>
                  <w:tcW w:w="1157" w:type="dxa"/>
                  <w:vAlign w:val="center"/>
                </w:tcPr>
                <w:p w14:paraId="712240E7">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eastAsia="zh-CN"/>
                    </w:rPr>
                  </w:pPr>
                  <w:r>
                    <w:rPr>
                      <w:rFonts w:hint="eastAsia" w:cs="Times New Roman"/>
                      <w:color w:val="000000" w:themeColor="text1"/>
                      <w:sz w:val="21"/>
                      <w:szCs w:val="21"/>
                      <w:lang w:val="en-US" w:eastAsia="zh-CN"/>
                    </w:rPr>
                    <w:t>87.6</w:t>
                  </w:r>
                </w:p>
              </w:tc>
              <w:tc>
                <w:tcPr>
                  <w:tcW w:w="1163" w:type="dxa"/>
                  <w:vAlign w:val="center"/>
                </w:tcPr>
                <w:p w14:paraId="2F6B19BB">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eastAsia="zh-CN"/>
                    </w:rPr>
                  </w:pPr>
                  <w:r>
                    <w:rPr>
                      <w:rFonts w:hint="eastAsia" w:cs="Times New Roman"/>
                      <w:color w:val="000000" w:themeColor="text1"/>
                      <w:sz w:val="21"/>
                      <w:szCs w:val="21"/>
                      <w:lang w:val="en-US" w:eastAsia="zh-CN"/>
                    </w:rPr>
                    <w:t>233.6</w:t>
                  </w:r>
                </w:p>
              </w:tc>
              <w:tc>
                <w:tcPr>
                  <w:tcW w:w="1291" w:type="dxa"/>
                  <w:vAlign w:val="center"/>
                </w:tcPr>
                <w:p w14:paraId="0353C868">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p>
              </w:tc>
              <w:tc>
                <w:tcPr>
                  <w:tcW w:w="1186" w:type="dxa"/>
                  <w:vAlign w:val="center"/>
                </w:tcPr>
                <w:p w14:paraId="3118EED5">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eastAsia="zh-CN"/>
                    </w:rPr>
                  </w:pPr>
                  <w:r>
                    <w:rPr>
                      <w:rFonts w:hint="eastAsia" w:cs="Times New Roman"/>
                      <w:color w:val="000000" w:themeColor="text1"/>
                      <w:sz w:val="21"/>
                      <w:szCs w:val="21"/>
                      <w:lang w:val="en-US" w:eastAsia="zh-CN"/>
                    </w:rPr>
                    <w:t>321.2</w:t>
                  </w:r>
                </w:p>
              </w:tc>
              <w:tc>
                <w:tcPr>
                  <w:tcW w:w="1053" w:type="dxa"/>
                  <w:vAlign w:val="center"/>
                </w:tcPr>
                <w:p w14:paraId="3CCE7EAC">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w:t>
                  </w:r>
                  <w:r>
                    <w:rPr>
                      <w:rFonts w:hint="eastAsia" w:cs="Times New Roman"/>
                      <w:color w:val="000000" w:themeColor="text1"/>
                      <w:sz w:val="21"/>
                      <w:szCs w:val="21"/>
                      <w:lang w:val="en-US" w:eastAsia="zh-CN"/>
                    </w:rPr>
                    <w:t>233.6</w:t>
                  </w:r>
                </w:p>
              </w:tc>
            </w:tr>
            <w:tr w14:paraId="37444D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164" w:type="dxa"/>
                  <w:vMerge w:val="continue"/>
                  <w:vAlign w:val="center"/>
                </w:tcPr>
                <w:p w14:paraId="7C451F86">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p>
              </w:tc>
              <w:tc>
                <w:tcPr>
                  <w:tcW w:w="1206" w:type="dxa"/>
                  <w:vAlign w:val="center"/>
                </w:tcPr>
                <w:p w14:paraId="46EB3961">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COD（t/a）</w:t>
                  </w:r>
                </w:p>
              </w:tc>
              <w:tc>
                <w:tcPr>
                  <w:tcW w:w="1157" w:type="dxa"/>
                  <w:vAlign w:val="center"/>
                </w:tcPr>
                <w:p w14:paraId="28E44752">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r>
                    <w:rPr>
                      <w:rFonts w:hint="eastAsia" w:ascii="Times New Roman" w:hAnsi="Times New Roman" w:cs="Times New Roman"/>
                      <w:color w:val="000000" w:themeColor="text1"/>
                      <w:sz w:val="21"/>
                      <w:szCs w:val="21"/>
                      <w:lang w:val="en-US" w:eastAsia="zh-CN"/>
                    </w:rPr>
                    <w:t>061</w:t>
                  </w:r>
                </w:p>
              </w:tc>
              <w:tc>
                <w:tcPr>
                  <w:tcW w:w="1163" w:type="dxa"/>
                  <w:vAlign w:val="center"/>
                </w:tcPr>
                <w:p w14:paraId="7FC0319C">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r>
                    <w:rPr>
                      <w:rFonts w:hint="eastAsia" w:ascii="Times New Roman" w:hAnsi="Times New Roman" w:cs="Times New Roman"/>
                      <w:color w:val="000000" w:themeColor="text1"/>
                      <w:sz w:val="21"/>
                      <w:szCs w:val="21"/>
                      <w:lang w:val="en-US" w:eastAsia="zh-CN"/>
                    </w:rPr>
                    <w:t>163</w:t>
                  </w:r>
                </w:p>
              </w:tc>
              <w:tc>
                <w:tcPr>
                  <w:tcW w:w="1291" w:type="dxa"/>
                  <w:vAlign w:val="center"/>
                </w:tcPr>
                <w:p w14:paraId="1259D70D">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p>
              </w:tc>
              <w:tc>
                <w:tcPr>
                  <w:tcW w:w="1186" w:type="dxa"/>
                  <w:vAlign w:val="center"/>
                </w:tcPr>
                <w:p w14:paraId="1D7F559F">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r>
                    <w:rPr>
                      <w:rFonts w:hint="eastAsia" w:ascii="Times New Roman" w:hAnsi="Times New Roman" w:cs="Times New Roman"/>
                      <w:color w:val="000000" w:themeColor="text1"/>
                      <w:sz w:val="21"/>
                      <w:szCs w:val="21"/>
                      <w:lang w:val="en-US" w:eastAsia="zh-CN"/>
                    </w:rPr>
                    <w:t>224</w:t>
                  </w:r>
                </w:p>
              </w:tc>
              <w:tc>
                <w:tcPr>
                  <w:tcW w:w="1053" w:type="dxa"/>
                  <w:vAlign w:val="center"/>
                </w:tcPr>
                <w:p w14:paraId="34A6FCEF">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r>
                    <w:rPr>
                      <w:rFonts w:hint="eastAsia" w:ascii="Times New Roman" w:hAnsi="Times New Roman" w:cs="Times New Roman"/>
                      <w:color w:val="000000" w:themeColor="text1"/>
                      <w:sz w:val="21"/>
                      <w:szCs w:val="21"/>
                      <w:lang w:val="en-US" w:eastAsia="zh-CN"/>
                    </w:rPr>
                    <w:t>163</w:t>
                  </w:r>
                </w:p>
              </w:tc>
            </w:tr>
            <w:tr w14:paraId="5E2091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164" w:type="dxa"/>
                  <w:vMerge w:val="continue"/>
                  <w:vAlign w:val="center"/>
                </w:tcPr>
                <w:p w14:paraId="5334C269">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p>
              </w:tc>
              <w:tc>
                <w:tcPr>
                  <w:tcW w:w="1206" w:type="dxa"/>
                  <w:vAlign w:val="center"/>
                </w:tcPr>
                <w:p w14:paraId="6D8B660E">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BOD</w:t>
                  </w:r>
                  <w:r>
                    <w:rPr>
                      <w:rFonts w:hint="default" w:ascii="Times New Roman" w:hAnsi="Times New Roman" w:eastAsia="宋体" w:cs="Times New Roman"/>
                      <w:color w:val="000000" w:themeColor="text1"/>
                      <w:sz w:val="21"/>
                      <w:szCs w:val="21"/>
                      <w:vertAlign w:val="subscript"/>
                    </w:rPr>
                    <w:t>5</w:t>
                  </w:r>
                  <w:r>
                    <w:rPr>
                      <w:rFonts w:hint="default" w:ascii="Times New Roman" w:hAnsi="Times New Roman" w:eastAsia="宋体" w:cs="Times New Roman"/>
                      <w:color w:val="000000" w:themeColor="text1"/>
                      <w:sz w:val="21"/>
                      <w:szCs w:val="21"/>
                    </w:rPr>
                    <w:t>（t/a）</w:t>
                  </w:r>
                </w:p>
              </w:tc>
              <w:tc>
                <w:tcPr>
                  <w:tcW w:w="1157" w:type="dxa"/>
                  <w:vAlign w:val="center"/>
                </w:tcPr>
                <w:p w14:paraId="1FCE7246">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r>
                    <w:rPr>
                      <w:rFonts w:hint="eastAsia" w:ascii="Times New Roman" w:hAnsi="Times New Roman" w:cs="Times New Roman"/>
                      <w:color w:val="000000" w:themeColor="text1"/>
                      <w:sz w:val="21"/>
                      <w:szCs w:val="21"/>
                      <w:lang w:val="en-US" w:eastAsia="zh-CN"/>
                    </w:rPr>
                    <w:t>032</w:t>
                  </w:r>
                </w:p>
              </w:tc>
              <w:tc>
                <w:tcPr>
                  <w:tcW w:w="1163" w:type="dxa"/>
                  <w:vAlign w:val="center"/>
                </w:tcPr>
                <w:p w14:paraId="57321AEC">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r>
                    <w:rPr>
                      <w:rFonts w:hint="eastAsia" w:ascii="Times New Roman" w:hAnsi="Times New Roman" w:cs="Times New Roman"/>
                      <w:color w:val="000000" w:themeColor="text1"/>
                      <w:sz w:val="21"/>
                      <w:szCs w:val="21"/>
                      <w:lang w:val="en-US" w:eastAsia="zh-CN"/>
                    </w:rPr>
                    <w:t>084</w:t>
                  </w:r>
                </w:p>
              </w:tc>
              <w:tc>
                <w:tcPr>
                  <w:tcW w:w="1291" w:type="dxa"/>
                  <w:vAlign w:val="center"/>
                </w:tcPr>
                <w:p w14:paraId="5E70D24E">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p>
              </w:tc>
              <w:tc>
                <w:tcPr>
                  <w:tcW w:w="1186" w:type="dxa"/>
                  <w:vAlign w:val="center"/>
                </w:tcPr>
                <w:p w14:paraId="1DEDD8D9">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r>
                    <w:rPr>
                      <w:rFonts w:hint="eastAsia" w:ascii="Times New Roman" w:hAnsi="Times New Roman" w:cs="Times New Roman"/>
                      <w:color w:val="000000" w:themeColor="text1"/>
                      <w:sz w:val="21"/>
                      <w:szCs w:val="21"/>
                      <w:lang w:val="en-US" w:eastAsia="zh-CN"/>
                    </w:rPr>
                    <w:t>116</w:t>
                  </w:r>
                </w:p>
              </w:tc>
              <w:tc>
                <w:tcPr>
                  <w:tcW w:w="1053" w:type="dxa"/>
                  <w:vAlign w:val="center"/>
                </w:tcPr>
                <w:p w14:paraId="774F4D66">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r>
                    <w:rPr>
                      <w:rFonts w:hint="eastAsia" w:ascii="Times New Roman" w:hAnsi="Times New Roman" w:cs="Times New Roman"/>
                      <w:color w:val="000000" w:themeColor="text1"/>
                      <w:sz w:val="21"/>
                      <w:szCs w:val="21"/>
                      <w:lang w:val="en-US" w:eastAsia="zh-CN"/>
                    </w:rPr>
                    <w:t>084</w:t>
                  </w:r>
                </w:p>
              </w:tc>
            </w:tr>
            <w:tr w14:paraId="076C6A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164" w:type="dxa"/>
                  <w:vMerge w:val="continue"/>
                  <w:vAlign w:val="center"/>
                </w:tcPr>
                <w:p w14:paraId="01D15D6F">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p>
              </w:tc>
              <w:tc>
                <w:tcPr>
                  <w:tcW w:w="1206" w:type="dxa"/>
                  <w:vAlign w:val="center"/>
                </w:tcPr>
                <w:p w14:paraId="0D99C3B2">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SS（t/a）</w:t>
                  </w:r>
                </w:p>
              </w:tc>
              <w:tc>
                <w:tcPr>
                  <w:tcW w:w="1157" w:type="dxa"/>
                  <w:vAlign w:val="center"/>
                </w:tcPr>
                <w:p w14:paraId="5F8B4598">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r>
                    <w:rPr>
                      <w:rFonts w:hint="eastAsia" w:ascii="Times New Roman" w:hAnsi="Times New Roman" w:cs="Times New Roman"/>
                      <w:color w:val="000000" w:themeColor="text1"/>
                      <w:sz w:val="21"/>
                      <w:szCs w:val="21"/>
                      <w:lang w:val="en-US" w:eastAsia="zh-CN"/>
                    </w:rPr>
                    <w:t>035</w:t>
                  </w:r>
                </w:p>
              </w:tc>
              <w:tc>
                <w:tcPr>
                  <w:tcW w:w="1163" w:type="dxa"/>
                  <w:vAlign w:val="center"/>
                </w:tcPr>
                <w:p w14:paraId="1C0981F8">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w:t>
                  </w:r>
                  <w:r>
                    <w:rPr>
                      <w:rFonts w:hint="eastAsia" w:ascii="Times New Roman" w:hAnsi="Times New Roman" w:cs="Times New Roman"/>
                      <w:color w:val="000000" w:themeColor="text1"/>
                      <w:sz w:val="21"/>
                      <w:szCs w:val="21"/>
                      <w:lang w:val="en-US" w:eastAsia="zh-CN"/>
                    </w:rPr>
                    <w:t>93</w:t>
                  </w:r>
                </w:p>
              </w:tc>
              <w:tc>
                <w:tcPr>
                  <w:tcW w:w="1291" w:type="dxa"/>
                  <w:vAlign w:val="center"/>
                </w:tcPr>
                <w:p w14:paraId="24F123F4">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p>
              </w:tc>
              <w:tc>
                <w:tcPr>
                  <w:tcW w:w="1186" w:type="dxa"/>
                  <w:vAlign w:val="center"/>
                </w:tcPr>
                <w:p w14:paraId="268F2C03">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r>
                    <w:rPr>
                      <w:rFonts w:hint="eastAsia" w:ascii="Times New Roman" w:hAnsi="Times New Roman" w:cs="Times New Roman"/>
                      <w:color w:val="000000" w:themeColor="text1"/>
                      <w:sz w:val="21"/>
                      <w:szCs w:val="21"/>
                      <w:lang w:val="en-US" w:eastAsia="zh-CN"/>
                    </w:rPr>
                    <w:t>128</w:t>
                  </w:r>
                </w:p>
              </w:tc>
              <w:tc>
                <w:tcPr>
                  <w:tcW w:w="1053" w:type="dxa"/>
                  <w:vAlign w:val="center"/>
                </w:tcPr>
                <w:p w14:paraId="1996B002">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w:t>
                  </w:r>
                  <w:r>
                    <w:rPr>
                      <w:rFonts w:hint="eastAsia" w:ascii="Times New Roman" w:hAnsi="Times New Roman" w:cs="Times New Roman"/>
                      <w:color w:val="000000" w:themeColor="text1"/>
                      <w:sz w:val="21"/>
                      <w:szCs w:val="21"/>
                      <w:lang w:val="en-US" w:eastAsia="zh-CN"/>
                    </w:rPr>
                    <w:t>93</w:t>
                  </w:r>
                </w:p>
              </w:tc>
            </w:tr>
            <w:tr w14:paraId="62D3A60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164" w:type="dxa"/>
                  <w:vMerge w:val="continue"/>
                  <w:vAlign w:val="center"/>
                </w:tcPr>
                <w:p w14:paraId="36F81BE5">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p>
              </w:tc>
              <w:tc>
                <w:tcPr>
                  <w:tcW w:w="1206" w:type="dxa"/>
                  <w:vAlign w:val="center"/>
                </w:tcPr>
                <w:p w14:paraId="58D907D6">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氨氮（t/a）</w:t>
                  </w:r>
                </w:p>
              </w:tc>
              <w:tc>
                <w:tcPr>
                  <w:tcW w:w="1157" w:type="dxa"/>
                  <w:vAlign w:val="center"/>
                </w:tcPr>
                <w:p w14:paraId="4937201B">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w:t>
                  </w:r>
                  <w:r>
                    <w:rPr>
                      <w:rFonts w:hint="eastAsia" w:ascii="Times New Roman" w:hAnsi="Times New Roman" w:cs="Times New Roman"/>
                      <w:color w:val="000000" w:themeColor="text1"/>
                      <w:sz w:val="21"/>
                      <w:szCs w:val="21"/>
                      <w:lang w:val="en-US" w:eastAsia="zh-CN"/>
                    </w:rPr>
                    <w:t>05</w:t>
                  </w:r>
                </w:p>
              </w:tc>
              <w:tc>
                <w:tcPr>
                  <w:tcW w:w="1163" w:type="dxa"/>
                  <w:vAlign w:val="center"/>
                </w:tcPr>
                <w:p w14:paraId="0E0741A7">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w:t>
                  </w:r>
                  <w:r>
                    <w:rPr>
                      <w:rFonts w:hint="eastAsia" w:ascii="Times New Roman" w:hAnsi="Times New Roman" w:cs="Times New Roman"/>
                      <w:color w:val="000000" w:themeColor="text1"/>
                      <w:sz w:val="21"/>
                      <w:szCs w:val="21"/>
                      <w:lang w:val="en-US" w:eastAsia="zh-CN"/>
                    </w:rPr>
                    <w:t>14</w:t>
                  </w:r>
                </w:p>
              </w:tc>
              <w:tc>
                <w:tcPr>
                  <w:tcW w:w="1291" w:type="dxa"/>
                  <w:vAlign w:val="center"/>
                </w:tcPr>
                <w:p w14:paraId="1FDEBCB5">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p>
              </w:tc>
              <w:tc>
                <w:tcPr>
                  <w:tcW w:w="1186" w:type="dxa"/>
                  <w:vAlign w:val="center"/>
                </w:tcPr>
                <w:p w14:paraId="5BF6E2C5">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w:t>
                  </w:r>
                  <w:r>
                    <w:rPr>
                      <w:rFonts w:hint="eastAsia" w:ascii="Times New Roman" w:hAnsi="Times New Roman" w:cs="Times New Roman"/>
                      <w:color w:val="000000" w:themeColor="text1"/>
                      <w:sz w:val="21"/>
                      <w:szCs w:val="21"/>
                      <w:lang w:val="en-US" w:eastAsia="zh-CN"/>
                    </w:rPr>
                    <w:t>19</w:t>
                  </w:r>
                </w:p>
              </w:tc>
              <w:tc>
                <w:tcPr>
                  <w:tcW w:w="1053" w:type="dxa"/>
                  <w:vAlign w:val="center"/>
                </w:tcPr>
                <w:p w14:paraId="49CF04BC">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+0.0</w:t>
                  </w:r>
                  <w:r>
                    <w:rPr>
                      <w:rFonts w:hint="eastAsia" w:ascii="Times New Roman" w:hAnsi="Times New Roman" w:cs="Times New Roman"/>
                      <w:color w:val="000000" w:themeColor="text1"/>
                      <w:sz w:val="21"/>
                      <w:szCs w:val="21"/>
                      <w:lang w:val="en-US" w:eastAsia="zh-CN"/>
                    </w:rPr>
                    <w:t>14</w:t>
                  </w:r>
                </w:p>
              </w:tc>
            </w:tr>
            <w:tr w14:paraId="4B4DCD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164" w:type="dxa"/>
                  <w:vMerge w:val="restart"/>
                  <w:vAlign w:val="center"/>
                </w:tcPr>
                <w:p w14:paraId="43227EC8">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固废</w:t>
                  </w:r>
                </w:p>
              </w:tc>
              <w:tc>
                <w:tcPr>
                  <w:tcW w:w="1206" w:type="dxa"/>
                  <w:vAlign w:val="center"/>
                </w:tcPr>
                <w:p w14:paraId="4307E4B4">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生活垃圾（t/a）</w:t>
                  </w:r>
                </w:p>
              </w:tc>
              <w:tc>
                <w:tcPr>
                  <w:tcW w:w="1157" w:type="dxa"/>
                  <w:vAlign w:val="center"/>
                </w:tcPr>
                <w:p w14:paraId="2BFF2671">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1.095</w:t>
                  </w:r>
                </w:p>
              </w:tc>
              <w:tc>
                <w:tcPr>
                  <w:tcW w:w="1163" w:type="dxa"/>
                  <w:vAlign w:val="center"/>
                </w:tcPr>
                <w:p w14:paraId="70B25D5C">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2.92</w:t>
                  </w:r>
                </w:p>
              </w:tc>
              <w:tc>
                <w:tcPr>
                  <w:tcW w:w="1291" w:type="dxa"/>
                  <w:vAlign w:val="center"/>
                </w:tcPr>
                <w:p w14:paraId="458CD8AA">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p>
              </w:tc>
              <w:tc>
                <w:tcPr>
                  <w:tcW w:w="1186" w:type="dxa"/>
                  <w:vAlign w:val="center"/>
                </w:tcPr>
                <w:p w14:paraId="6EEDF905">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4.015</w:t>
                  </w:r>
                </w:p>
              </w:tc>
              <w:tc>
                <w:tcPr>
                  <w:tcW w:w="1053" w:type="dxa"/>
                  <w:vAlign w:val="center"/>
                </w:tcPr>
                <w:p w14:paraId="1069E71F">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w:t>
                  </w:r>
                  <w:r>
                    <w:rPr>
                      <w:rFonts w:hint="eastAsia" w:ascii="Times New Roman" w:hAnsi="Times New Roman" w:cs="Times New Roman"/>
                      <w:color w:val="000000" w:themeColor="text1"/>
                      <w:sz w:val="21"/>
                      <w:szCs w:val="21"/>
                      <w:lang w:val="en-US" w:eastAsia="zh-CN"/>
                    </w:rPr>
                    <w:t>2.92</w:t>
                  </w:r>
                </w:p>
              </w:tc>
            </w:tr>
            <w:tr w14:paraId="484FE7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164" w:type="dxa"/>
                  <w:vMerge w:val="continue"/>
                  <w:vAlign w:val="center"/>
                </w:tcPr>
                <w:p w14:paraId="3F25B799">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p>
              </w:tc>
              <w:tc>
                <w:tcPr>
                  <w:tcW w:w="1206" w:type="dxa"/>
                  <w:vAlign w:val="center"/>
                </w:tcPr>
                <w:p w14:paraId="22675B80">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含油废水（t/a）</w:t>
                  </w:r>
                </w:p>
              </w:tc>
              <w:tc>
                <w:tcPr>
                  <w:tcW w:w="1157" w:type="dxa"/>
                  <w:vAlign w:val="center"/>
                </w:tcPr>
                <w:p w14:paraId="1CF7993E">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2</w:t>
                  </w:r>
                </w:p>
              </w:tc>
              <w:tc>
                <w:tcPr>
                  <w:tcW w:w="1163" w:type="dxa"/>
                  <w:vAlign w:val="center"/>
                </w:tcPr>
                <w:p w14:paraId="393C48C5">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2</w:t>
                  </w:r>
                </w:p>
              </w:tc>
              <w:tc>
                <w:tcPr>
                  <w:tcW w:w="1291" w:type="dxa"/>
                  <w:vAlign w:val="center"/>
                </w:tcPr>
                <w:p w14:paraId="0F7DBACE">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p>
              </w:tc>
              <w:tc>
                <w:tcPr>
                  <w:tcW w:w="1186" w:type="dxa"/>
                  <w:vAlign w:val="center"/>
                </w:tcPr>
                <w:p w14:paraId="2AAC9433">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eastAsia="zh-CN"/>
                    </w:rPr>
                  </w:pPr>
                  <w:r>
                    <w:rPr>
                      <w:rFonts w:hint="eastAsia" w:cs="Times New Roman"/>
                      <w:color w:val="000000" w:themeColor="text1"/>
                      <w:sz w:val="21"/>
                      <w:szCs w:val="21"/>
                      <w:lang w:val="en-US" w:eastAsia="zh-CN"/>
                    </w:rPr>
                    <w:t>4</w:t>
                  </w:r>
                </w:p>
              </w:tc>
              <w:tc>
                <w:tcPr>
                  <w:tcW w:w="1053" w:type="dxa"/>
                  <w:vAlign w:val="center"/>
                </w:tcPr>
                <w:p w14:paraId="1C10753B">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lang w:eastAsia="zh-CN"/>
                    </w:rPr>
                  </w:pPr>
                  <w:r>
                    <w:rPr>
                      <w:rFonts w:hint="eastAsia" w:cs="Times New Roman"/>
                      <w:color w:val="000000" w:themeColor="text1"/>
                      <w:sz w:val="21"/>
                      <w:szCs w:val="21"/>
                      <w:lang w:val="en-US" w:eastAsia="zh-CN"/>
                    </w:rPr>
                    <w:t>+2</w:t>
                  </w:r>
                </w:p>
              </w:tc>
            </w:tr>
            <w:tr w14:paraId="1F6762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164" w:type="dxa"/>
                  <w:vMerge w:val="continue"/>
                  <w:vAlign w:val="center"/>
                </w:tcPr>
                <w:p w14:paraId="74F78CE2">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p>
              </w:tc>
              <w:tc>
                <w:tcPr>
                  <w:tcW w:w="1206" w:type="dxa"/>
                  <w:vAlign w:val="center"/>
                </w:tcPr>
                <w:p w14:paraId="2BC8C08D">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罐底油渣</w:t>
                  </w:r>
                </w:p>
              </w:tc>
              <w:tc>
                <w:tcPr>
                  <w:tcW w:w="1157" w:type="dxa"/>
                  <w:vAlign w:val="center"/>
                </w:tcPr>
                <w:p w14:paraId="66D02725">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p>
              </w:tc>
              <w:tc>
                <w:tcPr>
                  <w:tcW w:w="1163" w:type="dxa"/>
                  <w:vAlign w:val="center"/>
                </w:tcPr>
                <w:p w14:paraId="03316B4C">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0.1</w:t>
                  </w:r>
                </w:p>
              </w:tc>
              <w:tc>
                <w:tcPr>
                  <w:tcW w:w="1291" w:type="dxa"/>
                  <w:vAlign w:val="center"/>
                </w:tcPr>
                <w:p w14:paraId="19A4F407">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w:t>
                  </w:r>
                </w:p>
              </w:tc>
              <w:tc>
                <w:tcPr>
                  <w:tcW w:w="1186" w:type="dxa"/>
                  <w:vAlign w:val="center"/>
                </w:tcPr>
                <w:p w14:paraId="701430CE">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0.1</w:t>
                  </w:r>
                </w:p>
              </w:tc>
              <w:tc>
                <w:tcPr>
                  <w:tcW w:w="1053" w:type="dxa"/>
                  <w:vAlign w:val="center"/>
                </w:tcPr>
                <w:p w14:paraId="1586F5ED">
                  <w:pPr>
                    <w:pStyle w:val="5"/>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rPr>
                  </w:pPr>
                  <w:r>
                    <w:rPr>
                      <w:rFonts w:hint="default" w:ascii="Times New Roman" w:hAnsi="Times New Roman" w:eastAsia="宋体" w:cs="Times New Roman"/>
                      <w:color w:val="000000" w:themeColor="text1"/>
                      <w:sz w:val="21"/>
                      <w:szCs w:val="21"/>
                    </w:rPr>
                    <w:t>+0.1</w:t>
                  </w:r>
                </w:p>
              </w:tc>
            </w:tr>
          </w:tbl>
          <w:p w14:paraId="1D5C1058">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7</w:t>
            </w:r>
            <w:r>
              <w:rPr>
                <w:rFonts w:hint="eastAsia" w:ascii="Times New Roman" w:hAnsi="Times New Roman"/>
                <w:b/>
                <w:bCs/>
                <w:color w:val="000000" w:themeColor="text1"/>
                <w:sz w:val="24"/>
                <w:szCs w:val="24"/>
              </w:rPr>
              <w:t>、环境管理与监测体系</w:t>
            </w:r>
          </w:p>
          <w:p w14:paraId="23114F45">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7.</w:t>
            </w:r>
            <w:r>
              <w:rPr>
                <w:rFonts w:ascii="Times New Roman" w:hAnsi="Times New Roman"/>
                <w:color w:val="000000" w:themeColor="text1"/>
                <w:sz w:val="24"/>
                <w:szCs w:val="24"/>
              </w:rPr>
              <w:t>1</w:t>
            </w:r>
            <w:r>
              <w:rPr>
                <w:rFonts w:hint="eastAsia" w:ascii="Times New Roman" w:hAnsi="Times New Roman"/>
                <w:color w:val="000000" w:themeColor="text1"/>
                <w:sz w:val="24"/>
                <w:szCs w:val="24"/>
              </w:rPr>
              <w:t>、环境体制与机构</w:t>
            </w:r>
          </w:p>
          <w:p w14:paraId="36E7388F">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本项目建成后，由</w:t>
            </w:r>
            <w:r>
              <w:rPr>
                <w:rFonts w:hint="eastAsia" w:ascii="Times New Roman" w:hAnsi="Times New Roman"/>
                <w:color w:val="000000" w:themeColor="text1"/>
                <w:sz w:val="24"/>
                <w:szCs w:val="24"/>
                <w:lang w:val="en-US" w:eastAsia="zh-CN"/>
              </w:rPr>
              <w:t>站长</w:t>
            </w:r>
            <w:r>
              <w:rPr>
                <w:rFonts w:hint="eastAsia" w:ascii="Times New Roman" w:hAnsi="Times New Roman"/>
                <w:color w:val="000000" w:themeColor="text1"/>
                <w:sz w:val="24"/>
                <w:szCs w:val="24"/>
              </w:rPr>
              <w:t>主管环保工作，负责企业的环卫工作。应成立专门环境管理办公室负责环境档案的建立和环境制度的落实。环境监测由当地环境监测站或具备环境监测资质的单位进行监测，监控污染物排放及环保设施的运转状况。</w:t>
            </w:r>
          </w:p>
          <w:p w14:paraId="7DFE0E85">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7.</w:t>
            </w:r>
            <w:r>
              <w:rPr>
                <w:rFonts w:ascii="Times New Roman" w:hAnsi="Times New Roman"/>
                <w:color w:val="000000" w:themeColor="text1"/>
                <w:sz w:val="24"/>
                <w:szCs w:val="24"/>
              </w:rPr>
              <w:t>2</w:t>
            </w:r>
            <w:r>
              <w:rPr>
                <w:rFonts w:hint="eastAsia" w:ascii="Times New Roman" w:hAnsi="Times New Roman"/>
                <w:color w:val="000000" w:themeColor="text1"/>
                <w:sz w:val="24"/>
                <w:szCs w:val="24"/>
              </w:rPr>
              <w:t>、管理职责</w:t>
            </w:r>
          </w:p>
          <w:p w14:paraId="5E510D4F">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w:t>
            </w:r>
            <w:r>
              <w:rPr>
                <w:rFonts w:ascii="Times New Roman" w:hAnsi="Times New Roman"/>
                <w:color w:val="000000" w:themeColor="text1"/>
                <w:sz w:val="24"/>
                <w:szCs w:val="24"/>
              </w:rPr>
              <w:t>1</w:t>
            </w:r>
            <w:r>
              <w:rPr>
                <w:rFonts w:hint="eastAsia" w:ascii="Times New Roman" w:hAnsi="Times New Roman"/>
                <w:color w:val="000000" w:themeColor="text1"/>
                <w:sz w:val="24"/>
                <w:szCs w:val="24"/>
              </w:rPr>
              <w:t>）贯彻执行国家、省级、地方各项环保政策、法规、标准，根据本场实际，编制环境保护规划和实施细则，并组织实施，监督执行。</w:t>
            </w:r>
          </w:p>
          <w:p w14:paraId="04C043CC">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w:t>
            </w:r>
            <w:r>
              <w:rPr>
                <w:rFonts w:ascii="Times New Roman" w:hAnsi="Times New Roman"/>
                <w:color w:val="000000" w:themeColor="text1"/>
                <w:sz w:val="24"/>
                <w:szCs w:val="24"/>
              </w:rPr>
              <w:t>2</w:t>
            </w:r>
            <w:r>
              <w:rPr>
                <w:rFonts w:hint="eastAsia" w:ascii="Times New Roman" w:hAnsi="Times New Roman"/>
                <w:color w:val="000000" w:themeColor="text1"/>
                <w:sz w:val="24"/>
                <w:szCs w:val="24"/>
              </w:rPr>
              <w:t>）组织和管理全场的污染治理工作，负责环保治理设施的运行及管理工作，建立污染物浓度和排放总量双项控制制度，并彻底做到各项污染物达标排放。</w:t>
            </w:r>
            <w:r>
              <w:rPr>
                <w:rFonts w:ascii="Times New Roman" w:hAnsi="Times New Roman"/>
                <w:color w:val="000000" w:themeColor="text1"/>
                <w:sz w:val="24"/>
                <w:szCs w:val="24"/>
              </w:rPr>
              <w:t xml:space="preserve"> </w:t>
            </w:r>
          </w:p>
          <w:p w14:paraId="1F6C47DB">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w:t>
            </w:r>
            <w:r>
              <w:rPr>
                <w:rFonts w:ascii="Times New Roman" w:hAnsi="Times New Roman"/>
                <w:color w:val="000000" w:themeColor="text1"/>
                <w:sz w:val="24"/>
                <w:szCs w:val="24"/>
              </w:rPr>
              <w:t>3</w:t>
            </w:r>
            <w:r>
              <w:rPr>
                <w:rFonts w:hint="eastAsia" w:ascii="Times New Roman" w:hAnsi="Times New Roman"/>
                <w:color w:val="000000" w:themeColor="text1"/>
                <w:sz w:val="24"/>
                <w:szCs w:val="24"/>
              </w:rPr>
              <w:t>）定期进行全场环境管理人员和环保知识和技术培训工作。</w:t>
            </w:r>
          </w:p>
          <w:p w14:paraId="34BD0BBC">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w:t>
            </w:r>
            <w:r>
              <w:rPr>
                <w:rFonts w:ascii="Times New Roman" w:hAnsi="Times New Roman"/>
                <w:color w:val="000000" w:themeColor="text1"/>
                <w:sz w:val="24"/>
                <w:szCs w:val="24"/>
              </w:rPr>
              <w:t>4</w:t>
            </w:r>
            <w:r>
              <w:rPr>
                <w:rFonts w:hint="eastAsia" w:ascii="Times New Roman" w:hAnsi="Times New Roman"/>
                <w:color w:val="000000" w:themeColor="text1"/>
                <w:sz w:val="24"/>
                <w:szCs w:val="24"/>
              </w:rPr>
              <w:t>）通过技术改造，不断提高治理设施的处理水平和可操作性。</w:t>
            </w:r>
          </w:p>
          <w:p w14:paraId="576CE8B5">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w:t>
            </w:r>
            <w:r>
              <w:rPr>
                <w:rFonts w:ascii="Times New Roman" w:hAnsi="Times New Roman"/>
                <w:color w:val="000000" w:themeColor="text1"/>
                <w:sz w:val="24"/>
                <w:szCs w:val="24"/>
              </w:rPr>
              <w:t>5</w:t>
            </w:r>
            <w:r>
              <w:rPr>
                <w:rFonts w:hint="eastAsia" w:ascii="Times New Roman" w:hAnsi="Times New Roman"/>
                <w:color w:val="000000" w:themeColor="text1"/>
                <w:sz w:val="24"/>
                <w:szCs w:val="24"/>
              </w:rPr>
              <w:t>）做好常规环境统计工作，掌握各项治理设施的运行状况。</w:t>
            </w:r>
          </w:p>
          <w:p w14:paraId="2B51CEC7">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w:t>
            </w:r>
            <w:r>
              <w:rPr>
                <w:rFonts w:ascii="Times New Roman" w:hAnsi="Times New Roman"/>
                <w:color w:val="000000" w:themeColor="text1"/>
                <w:sz w:val="24"/>
                <w:szCs w:val="24"/>
              </w:rPr>
              <w:t>6</w:t>
            </w:r>
            <w:r>
              <w:rPr>
                <w:rFonts w:hint="eastAsia" w:ascii="Times New Roman" w:hAnsi="Times New Roman"/>
                <w:color w:val="000000" w:themeColor="text1"/>
                <w:sz w:val="24"/>
                <w:szCs w:val="24"/>
              </w:rPr>
              <w:t>）科学组织生产调度。通过及时全面了解生产情况，均衡组织生产，使生产各环节协调进行，加强环境保护工作调度，做好突发事故时防止污染的应急措施，使生产过程的污染物排放达到最低限度。</w:t>
            </w:r>
          </w:p>
          <w:p w14:paraId="26EE58FB">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w:t>
            </w:r>
            <w:r>
              <w:rPr>
                <w:rFonts w:ascii="Times New Roman" w:hAnsi="Times New Roman"/>
                <w:color w:val="000000" w:themeColor="text1"/>
                <w:sz w:val="24"/>
                <w:szCs w:val="24"/>
              </w:rPr>
              <w:t>7</w:t>
            </w:r>
            <w:r>
              <w:rPr>
                <w:rFonts w:hint="eastAsia" w:ascii="Times New Roman" w:hAnsi="Times New Roman"/>
                <w:color w:val="000000" w:themeColor="text1"/>
                <w:sz w:val="24"/>
                <w:szCs w:val="24"/>
              </w:rPr>
              <w:t>）加强物资管理。加强物资管理实行无害保管、无害运输、限额发放、控制消耗定额、保证原材料质量也会对减少排污量起一定作用。</w:t>
            </w:r>
          </w:p>
          <w:p w14:paraId="631FFF8A">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w:t>
            </w:r>
            <w:r>
              <w:rPr>
                <w:rFonts w:ascii="Times New Roman" w:hAnsi="Times New Roman"/>
                <w:color w:val="000000" w:themeColor="text1"/>
                <w:sz w:val="24"/>
                <w:szCs w:val="24"/>
              </w:rPr>
              <w:t>8</w:t>
            </w:r>
            <w:r>
              <w:rPr>
                <w:rFonts w:hint="eastAsia" w:ascii="Times New Roman" w:hAnsi="Times New Roman"/>
                <w:color w:val="000000" w:themeColor="text1"/>
                <w:sz w:val="24"/>
                <w:szCs w:val="24"/>
              </w:rPr>
              <w:t>）设备管理。合理使用设备，加强对设备的维护和修理，改造设备的结构，杜绝设备和管道的跑、冒、漏现象，防止有害物质的泄漏。</w:t>
            </w:r>
          </w:p>
          <w:p w14:paraId="55A42AA7">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w:t>
            </w:r>
            <w:r>
              <w:rPr>
                <w:rFonts w:ascii="Times New Roman" w:hAnsi="Times New Roman"/>
                <w:color w:val="000000" w:themeColor="text1"/>
                <w:sz w:val="24"/>
                <w:szCs w:val="24"/>
              </w:rPr>
              <w:t>9</w:t>
            </w:r>
            <w:r>
              <w:rPr>
                <w:rFonts w:hint="eastAsia" w:ascii="Times New Roman" w:hAnsi="Times New Roman"/>
                <w:color w:val="000000" w:themeColor="text1"/>
                <w:sz w:val="24"/>
                <w:szCs w:val="24"/>
              </w:rPr>
              <w:t>）废物管理。针对项目营运期产生的生活垃圾，应集中收集及时处理，严禁长时间在厂区堆存污染环境。针对项目营运期产生的危险废物应严格按照危险废物管理办法严格贮存，及时交由相关危险废物处置单位进行处置。</w:t>
            </w:r>
          </w:p>
          <w:p w14:paraId="21BDE469">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lang w:val="en-US" w:eastAsia="zh-CN"/>
              </w:rPr>
              <w:t>7.</w:t>
            </w:r>
            <w:r>
              <w:rPr>
                <w:rFonts w:ascii="Times New Roman" w:hAnsi="Times New Roman"/>
                <w:color w:val="000000" w:themeColor="text1"/>
                <w:sz w:val="24"/>
                <w:szCs w:val="24"/>
              </w:rPr>
              <w:t>3</w:t>
            </w:r>
            <w:r>
              <w:rPr>
                <w:rFonts w:hint="eastAsia" w:ascii="Times New Roman" w:hAnsi="Times New Roman"/>
                <w:color w:val="000000" w:themeColor="text1"/>
                <w:sz w:val="24"/>
                <w:szCs w:val="24"/>
              </w:rPr>
              <w:t>、监测内容及监测频次</w:t>
            </w:r>
          </w:p>
          <w:p w14:paraId="647BDC44">
            <w:pPr>
              <w:spacing w:line="360" w:lineRule="auto"/>
              <w:ind w:firstLine="480" w:firstLineChars="200"/>
              <w:rPr>
                <w:rFonts w:hint="eastAsia" w:ascii="Times New Roman" w:hAnsi="Times New Roman"/>
                <w:color w:val="000000" w:themeColor="text1"/>
                <w:sz w:val="24"/>
                <w:szCs w:val="24"/>
                <w:lang w:eastAsia="zh-CN"/>
              </w:rPr>
            </w:pPr>
            <w:r>
              <w:rPr>
                <w:rFonts w:hint="eastAsia" w:ascii="Times New Roman" w:hAnsi="Times New Roman"/>
                <w:color w:val="000000" w:themeColor="text1"/>
                <w:sz w:val="24"/>
                <w:szCs w:val="24"/>
              </w:rPr>
              <w:t>针对本项目营运期产生的污染物，企业应按时进行监测，监测报告报当地环境主管部门备案，具体检测内容及频次见表</w:t>
            </w:r>
            <w:r>
              <w:rPr>
                <w:rFonts w:hint="eastAsia" w:ascii="Times New Roman" w:hAnsi="Times New Roman"/>
                <w:color w:val="000000" w:themeColor="text1"/>
                <w:sz w:val="24"/>
                <w:szCs w:val="24"/>
                <w:lang w:val="en-US" w:eastAsia="zh-CN"/>
              </w:rPr>
              <w:t>43</w:t>
            </w:r>
            <w:r>
              <w:rPr>
                <w:rFonts w:hint="eastAsia" w:ascii="Times New Roman" w:hAnsi="Times New Roman"/>
                <w:color w:val="000000" w:themeColor="text1"/>
                <w:sz w:val="24"/>
                <w:szCs w:val="24"/>
                <w:lang w:eastAsia="zh-CN"/>
              </w:rPr>
              <w:t>。</w:t>
            </w:r>
          </w:p>
          <w:p w14:paraId="2BA5E98F">
            <w:pPr>
              <w:spacing w:line="360" w:lineRule="auto"/>
              <w:ind w:firstLine="422" w:firstLineChars="200"/>
              <w:rPr>
                <w:rFonts w:hint="eastAsia" w:ascii="黑体" w:hAnsi="黑体" w:eastAsia="黑体" w:cs="黑体"/>
                <w:b/>
                <w:color w:val="000000" w:themeColor="text1"/>
                <w:sz w:val="21"/>
                <w:szCs w:val="21"/>
              </w:rPr>
            </w:pPr>
            <w:r>
              <w:rPr>
                <w:rFonts w:hint="eastAsia" w:ascii="黑体" w:hAnsi="黑体" w:eastAsia="黑体" w:cs="黑体"/>
                <w:b/>
                <w:color w:val="000000" w:themeColor="text1"/>
                <w:sz w:val="21"/>
                <w:szCs w:val="21"/>
              </w:rPr>
              <w:t>表</w:t>
            </w:r>
            <w:r>
              <w:rPr>
                <w:rFonts w:hint="eastAsia" w:ascii="黑体" w:hAnsi="黑体" w:eastAsia="黑体" w:cs="黑体"/>
                <w:b/>
                <w:color w:val="000000" w:themeColor="text1"/>
                <w:sz w:val="21"/>
                <w:szCs w:val="21"/>
                <w:lang w:val="en-US" w:eastAsia="zh-CN"/>
              </w:rPr>
              <w:t>43</w:t>
            </w:r>
            <w:r>
              <w:rPr>
                <w:rFonts w:hint="eastAsia" w:ascii="黑体" w:hAnsi="黑体" w:eastAsia="黑体" w:cs="黑体"/>
                <w:b/>
                <w:color w:val="000000" w:themeColor="text1"/>
                <w:sz w:val="21"/>
                <w:szCs w:val="21"/>
              </w:rPr>
              <w:t xml:space="preserve">                    项目营运期检测内容及频次</w:t>
            </w:r>
          </w:p>
          <w:tbl>
            <w:tblPr>
              <w:tblStyle w:val="19"/>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223"/>
              <w:gridCol w:w="2443"/>
              <w:gridCol w:w="1950"/>
              <w:gridCol w:w="1953"/>
            </w:tblGrid>
            <w:tr w14:paraId="5E862D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8" w:type="dxa"/>
                  <w:tcBorders>
                    <w:top w:val="single" w:color="auto" w:sz="12" w:space="0"/>
                    <w:bottom w:val="single" w:color="auto" w:sz="4" w:space="0"/>
                    <w:right w:val="single" w:color="auto" w:sz="4" w:space="0"/>
                  </w:tcBorders>
                  <w:vAlign w:val="center"/>
                </w:tcPr>
                <w:p w14:paraId="7D6117B1">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序号</w:t>
                  </w:r>
                </w:p>
              </w:tc>
              <w:tc>
                <w:tcPr>
                  <w:tcW w:w="1223" w:type="dxa"/>
                  <w:tcBorders>
                    <w:top w:val="single" w:color="auto" w:sz="12" w:space="0"/>
                    <w:left w:val="single" w:color="auto" w:sz="4" w:space="0"/>
                    <w:bottom w:val="single" w:color="auto" w:sz="4" w:space="0"/>
                    <w:right w:val="single" w:color="auto" w:sz="4" w:space="0"/>
                  </w:tcBorders>
                  <w:vAlign w:val="center"/>
                </w:tcPr>
                <w:p w14:paraId="6F54F5E1">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监测对象</w:t>
                  </w:r>
                </w:p>
              </w:tc>
              <w:tc>
                <w:tcPr>
                  <w:tcW w:w="2443" w:type="dxa"/>
                  <w:tcBorders>
                    <w:top w:val="single" w:color="auto" w:sz="12" w:space="0"/>
                    <w:left w:val="single" w:color="auto" w:sz="4" w:space="0"/>
                    <w:bottom w:val="single" w:color="auto" w:sz="4" w:space="0"/>
                    <w:right w:val="single" w:color="auto" w:sz="4" w:space="0"/>
                  </w:tcBorders>
                  <w:vAlign w:val="center"/>
                </w:tcPr>
                <w:p w14:paraId="400F099B">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检测内容</w:t>
                  </w:r>
                </w:p>
              </w:tc>
              <w:tc>
                <w:tcPr>
                  <w:tcW w:w="1950" w:type="dxa"/>
                  <w:tcBorders>
                    <w:top w:val="single" w:color="auto" w:sz="12" w:space="0"/>
                    <w:left w:val="single" w:color="auto" w:sz="4" w:space="0"/>
                    <w:bottom w:val="single" w:color="auto" w:sz="4" w:space="0"/>
                    <w:right w:val="single" w:color="auto" w:sz="4" w:space="0"/>
                  </w:tcBorders>
                  <w:vAlign w:val="center"/>
                </w:tcPr>
                <w:p w14:paraId="3445C839">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监测频次</w:t>
                  </w:r>
                </w:p>
              </w:tc>
              <w:tc>
                <w:tcPr>
                  <w:tcW w:w="1953" w:type="dxa"/>
                  <w:tcBorders>
                    <w:top w:val="single" w:color="auto" w:sz="12" w:space="0"/>
                    <w:left w:val="single" w:color="auto" w:sz="4" w:space="0"/>
                    <w:bottom w:val="single" w:color="auto" w:sz="4" w:space="0"/>
                  </w:tcBorders>
                  <w:vAlign w:val="center"/>
                </w:tcPr>
                <w:p w14:paraId="13A8550E">
                  <w:pPr>
                    <w:jc w:val="center"/>
                    <w:rPr>
                      <w:rFonts w:ascii="Times New Roman" w:hAnsi="Times New Roman"/>
                      <w:b/>
                      <w:color w:val="000000" w:themeColor="text1"/>
                      <w:sz w:val="21"/>
                      <w:szCs w:val="21"/>
                    </w:rPr>
                  </w:pPr>
                  <w:r>
                    <w:rPr>
                      <w:rFonts w:hint="eastAsia" w:ascii="Times New Roman" w:hAnsi="Times New Roman"/>
                      <w:b/>
                      <w:color w:val="000000" w:themeColor="text1"/>
                      <w:sz w:val="21"/>
                      <w:szCs w:val="21"/>
                    </w:rPr>
                    <w:t>备注</w:t>
                  </w:r>
                </w:p>
              </w:tc>
            </w:tr>
            <w:tr w14:paraId="2ACBAD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8" w:type="dxa"/>
                  <w:tcBorders>
                    <w:top w:val="single" w:color="auto" w:sz="12" w:space="0"/>
                    <w:bottom w:val="single" w:color="auto" w:sz="4" w:space="0"/>
                    <w:right w:val="single" w:color="auto" w:sz="4" w:space="0"/>
                  </w:tcBorders>
                  <w:vAlign w:val="center"/>
                </w:tcPr>
                <w:p w14:paraId="57484B21">
                  <w:pPr>
                    <w:jc w:val="center"/>
                    <w:rPr>
                      <w:rFonts w:ascii="Times New Roman" w:hAnsi="Times New Roman"/>
                      <w:color w:val="000000" w:themeColor="text1"/>
                      <w:sz w:val="21"/>
                      <w:szCs w:val="21"/>
                    </w:rPr>
                  </w:pPr>
                  <w:r>
                    <w:rPr>
                      <w:rFonts w:ascii="Times New Roman" w:hAnsi="Times New Roman"/>
                      <w:color w:val="000000" w:themeColor="text1"/>
                      <w:sz w:val="21"/>
                      <w:szCs w:val="21"/>
                    </w:rPr>
                    <w:t>1</w:t>
                  </w:r>
                </w:p>
              </w:tc>
              <w:tc>
                <w:tcPr>
                  <w:tcW w:w="1223" w:type="dxa"/>
                  <w:tcBorders>
                    <w:top w:val="single" w:color="auto" w:sz="12" w:space="0"/>
                    <w:left w:val="single" w:color="auto" w:sz="4" w:space="0"/>
                    <w:bottom w:val="single" w:color="auto" w:sz="4" w:space="0"/>
                    <w:right w:val="single" w:color="auto" w:sz="4" w:space="0"/>
                  </w:tcBorders>
                  <w:vAlign w:val="center"/>
                </w:tcPr>
                <w:p w14:paraId="1DFF05EF">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废气</w:t>
                  </w:r>
                </w:p>
              </w:tc>
              <w:tc>
                <w:tcPr>
                  <w:tcW w:w="2443" w:type="dxa"/>
                  <w:tcBorders>
                    <w:top w:val="single" w:color="auto" w:sz="12" w:space="0"/>
                    <w:left w:val="single" w:color="auto" w:sz="4" w:space="0"/>
                    <w:bottom w:val="single" w:color="auto" w:sz="4" w:space="0"/>
                    <w:right w:val="single" w:color="auto" w:sz="4" w:space="0"/>
                  </w:tcBorders>
                  <w:vAlign w:val="center"/>
                </w:tcPr>
                <w:p w14:paraId="4BA8124A">
                  <w:pPr>
                    <w:jc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sz w:val="21"/>
                      <w:szCs w:val="21"/>
                      <w:lang w:val="en-US" w:eastAsia="zh-CN"/>
                    </w:rPr>
                    <w:t>非甲烷总烃</w:t>
                  </w:r>
                </w:p>
              </w:tc>
              <w:tc>
                <w:tcPr>
                  <w:tcW w:w="1950" w:type="dxa"/>
                  <w:tcBorders>
                    <w:top w:val="single" w:color="auto" w:sz="12" w:space="0"/>
                    <w:left w:val="single" w:color="auto" w:sz="4" w:space="0"/>
                    <w:bottom w:val="single" w:color="auto" w:sz="4" w:space="0"/>
                    <w:right w:val="single" w:color="auto" w:sz="4" w:space="0"/>
                  </w:tcBorders>
                  <w:vAlign w:val="center"/>
                </w:tcPr>
                <w:p w14:paraId="175DD2CE">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每年一次</w:t>
                  </w:r>
                </w:p>
              </w:tc>
              <w:tc>
                <w:tcPr>
                  <w:tcW w:w="1953" w:type="dxa"/>
                  <w:vMerge w:val="restart"/>
                  <w:tcBorders>
                    <w:top w:val="single" w:color="auto" w:sz="12" w:space="0"/>
                    <w:left w:val="single" w:color="auto" w:sz="4" w:space="0"/>
                    <w:bottom w:val="single" w:color="auto" w:sz="4" w:space="0"/>
                  </w:tcBorders>
                  <w:vAlign w:val="center"/>
                </w:tcPr>
                <w:p w14:paraId="3951D0FD">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监测单位应具备相应监测资质</w:t>
                  </w:r>
                </w:p>
              </w:tc>
            </w:tr>
            <w:tr w14:paraId="6A5690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08" w:type="dxa"/>
                  <w:tcBorders>
                    <w:top w:val="single" w:color="auto" w:sz="4" w:space="0"/>
                    <w:bottom w:val="single" w:color="auto" w:sz="12" w:space="0"/>
                    <w:right w:val="single" w:color="auto" w:sz="4" w:space="0"/>
                  </w:tcBorders>
                  <w:vAlign w:val="center"/>
                </w:tcPr>
                <w:p w14:paraId="00D19FBB">
                  <w:pPr>
                    <w:jc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sz w:val="21"/>
                      <w:szCs w:val="21"/>
                      <w:lang w:val="en-US" w:eastAsia="zh-CN"/>
                    </w:rPr>
                    <w:t>2</w:t>
                  </w:r>
                </w:p>
              </w:tc>
              <w:tc>
                <w:tcPr>
                  <w:tcW w:w="1223" w:type="dxa"/>
                  <w:tcBorders>
                    <w:top w:val="single" w:color="auto" w:sz="4" w:space="0"/>
                    <w:left w:val="single" w:color="auto" w:sz="4" w:space="0"/>
                    <w:bottom w:val="single" w:color="auto" w:sz="12" w:space="0"/>
                    <w:right w:val="single" w:color="auto" w:sz="4" w:space="0"/>
                  </w:tcBorders>
                  <w:vAlign w:val="center"/>
                </w:tcPr>
                <w:p w14:paraId="59DCB3B3">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噪声</w:t>
                  </w:r>
                </w:p>
              </w:tc>
              <w:tc>
                <w:tcPr>
                  <w:tcW w:w="2443" w:type="dxa"/>
                  <w:tcBorders>
                    <w:top w:val="single" w:color="auto" w:sz="4" w:space="0"/>
                    <w:left w:val="single" w:color="auto" w:sz="4" w:space="0"/>
                    <w:bottom w:val="single" w:color="auto" w:sz="12" w:space="0"/>
                    <w:right w:val="single" w:color="auto" w:sz="4" w:space="0"/>
                  </w:tcBorders>
                  <w:vAlign w:val="center"/>
                </w:tcPr>
                <w:p w14:paraId="742ED02B">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连续等效</w:t>
                  </w:r>
                  <w:r>
                    <w:rPr>
                      <w:rFonts w:ascii="Times New Roman" w:hAnsi="Times New Roman"/>
                      <w:color w:val="000000" w:themeColor="text1"/>
                      <w:sz w:val="21"/>
                      <w:szCs w:val="21"/>
                    </w:rPr>
                    <w:t>A</w:t>
                  </w:r>
                  <w:r>
                    <w:rPr>
                      <w:rFonts w:hint="eastAsia" w:ascii="Times New Roman" w:hAnsi="Times New Roman"/>
                      <w:color w:val="000000" w:themeColor="text1"/>
                      <w:sz w:val="21"/>
                      <w:szCs w:val="21"/>
                    </w:rPr>
                    <w:t>声级</w:t>
                  </w:r>
                </w:p>
              </w:tc>
              <w:tc>
                <w:tcPr>
                  <w:tcW w:w="1950" w:type="dxa"/>
                  <w:tcBorders>
                    <w:top w:val="single" w:color="auto" w:sz="4" w:space="0"/>
                    <w:left w:val="single" w:color="auto" w:sz="4" w:space="0"/>
                    <w:bottom w:val="single" w:color="auto" w:sz="12" w:space="0"/>
                    <w:right w:val="single" w:color="auto" w:sz="4" w:space="0"/>
                  </w:tcBorders>
                  <w:vAlign w:val="center"/>
                </w:tcPr>
                <w:p w14:paraId="4FCF64D1">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每年一次</w:t>
                  </w:r>
                </w:p>
              </w:tc>
              <w:tc>
                <w:tcPr>
                  <w:tcW w:w="1953" w:type="dxa"/>
                  <w:vMerge w:val="continue"/>
                  <w:tcBorders>
                    <w:top w:val="single" w:color="auto" w:sz="4" w:space="0"/>
                    <w:left w:val="single" w:color="auto" w:sz="4" w:space="0"/>
                    <w:bottom w:val="single" w:color="auto" w:sz="12" w:space="0"/>
                  </w:tcBorders>
                  <w:vAlign w:val="center"/>
                </w:tcPr>
                <w:p w14:paraId="2E22552A">
                  <w:pPr>
                    <w:jc w:val="center"/>
                    <w:rPr>
                      <w:rFonts w:ascii="Times New Roman" w:hAnsi="Times New Roman"/>
                      <w:color w:val="000000" w:themeColor="text1"/>
                      <w:sz w:val="21"/>
                      <w:szCs w:val="21"/>
                    </w:rPr>
                  </w:pPr>
                </w:p>
              </w:tc>
            </w:tr>
          </w:tbl>
          <w:p w14:paraId="41B2A80E">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根据上表，企业应针对排放的废气、噪声监测应每年进行一次，应在项目正常运营时进行监测。监测报告应及时报备当地环境主管部门。</w:t>
            </w:r>
          </w:p>
          <w:p w14:paraId="1AAC0841">
            <w:pPr>
              <w:keepNext w:val="0"/>
              <w:keepLines w:val="0"/>
              <w:pageBreakBefore w:val="0"/>
              <w:widowControl w:val="0"/>
              <w:kinsoku/>
              <w:wordWrap/>
              <w:overflowPunct/>
              <w:topLinePunct w:val="0"/>
              <w:autoSpaceDE/>
              <w:autoSpaceDN/>
              <w:bidi w:val="0"/>
              <w:adjustRightInd/>
              <w:snapToGrid/>
              <w:spacing w:line="360" w:lineRule="auto"/>
              <w:ind w:right="0" w:rightChars="0"/>
              <w:jc w:val="both"/>
              <w:textAlignment w:val="auto"/>
              <w:outlineLvl w:val="9"/>
              <w:rPr>
                <w:rFonts w:hint="eastAsia" w:ascii="Times New Roman" w:hAnsi="Times New Roman" w:eastAsia="宋体" w:cs="Times New Roman"/>
                <w:b/>
                <w:bCs/>
                <w:color w:val="000000" w:themeColor="text1"/>
                <w:sz w:val="24"/>
                <w:szCs w:val="24"/>
                <w:vertAlign w:val="baseline"/>
                <w:lang w:val="en-US" w:eastAsia="zh-CN"/>
              </w:rPr>
            </w:pPr>
            <w:r>
              <w:rPr>
                <w:rFonts w:hint="eastAsia" w:ascii="Times New Roman" w:hAnsi="Times New Roman" w:cs="Times New Roman"/>
                <w:b/>
                <w:bCs/>
                <w:color w:val="000000" w:themeColor="text1"/>
                <w:sz w:val="24"/>
                <w:szCs w:val="24"/>
                <w:vertAlign w:val="baseline"/>
                <w:lang w:val="en-US" w:eastAsia="zh-CN"/>
              </w:rPr>
              <w:t>8</w:t>
            </w:r>
            <w:r>
              <w:rPr>
                <w:rFonts w:hint="eastAsia" w:ascii="Times New Roman" w:hAnsi="Times New Roman" w:eastAsia="宋体" w:cs="Times New Roman"/>
                <w:b/>
                <w:bCs/>
                <w:color w:val="000000" w:themeColor="text1"/>
                <w:sz w:val="24"/>
                <w:szCs w:val="24"/>
                <w:vertAlign w:val="baseline"/>
                <w:lang w:val="en-US" w:eastAsia="zh-CN"/>
              </w:rPr>
              <w:t>、环境风险分析</w:t>
            </w:r>
          </w:p>
          <w:p w14:paraId="7ED4571B">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本项目现有加气站已通过环评审批，现有风险物质主要为天然气，改扩建后新增汽柴油，因此，本章节对柴汽油</w:t>
            </w: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天然气风险进行论述，安全生产风险评价内容参考引用新疆泰新科技咨询服务有限公司编制的《昌吉市顺捷天然气有限公司改扩建项目安全生产预评价报告》。</w:t>
            </w:r>
          </w:p>
          <w:p w14:paraId="00977F1A">
            <w:pPr>
              <w:spacing w:line="360" w:lineRule="auto"/>
              <w:ind w:firstLine="480" w:firstLineChars="200"/>
              <w:jc w:val="left"/>
              <w:outlineLvl w:val="0"/>
              <w:rPr>
                <w:rFonts w:hint="default" w:ascii="Times New Roman" w:hAnsi="Times New Roman" w:cs="Times New Roman"/>
                <w:color w:val="000000" w:themeColor="text1"/>
                <w:sz w:val="24"/>
                <w:szCs w:val="24"/>
              </w:rPr>
            </w:pPr>
            <w:bookmarkStart w:id="15" w:name="_Toc374004171"/>
            <w:bookmarkStart w:id="16" w:name="_Toc374004083"/>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.1风险识别</w:t>
            </w:r>
            <w:bookmarkEnd w:id="15"/>
            <w:bookmarkEnd w:id="16"/>
          </w:p>
          <w:p w14:paraId="3ED70BA8">
            <w:pPr>
              <w:spacing w:line="360" w:lineRule="auto"/>
              <w:ind w:firstLine="480" w:firstLineChars="200"/>
              <w:jc w:val="left"/>
              <w:outlineLvl w:val="0"/>
              <w:rPr>
                <w:rFonts w:hint="default" w:ascii="Times New Roman" w:hAnsi="Times New Roman" w:cs="Times New Roman"/>
                <w:color w:val="000000" w:themeColor="text1"/>
                <w:sz w:val="24"/>
                <w:szCs w:val="24"/>
              </w:rPr>
            </w:pPr>
            <w:bookmarkStart w:id="17" w:name="_Toc374004172"/>
            <w:bookmarkStart w:id="18" w:name="_Toc374004084"/>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.1.1物质的风险性</w:t>
            </w:r>
            <w:bookmarkEnd w:id="17"/>
            <w:bookmarkEnd w:id="18"/>
          </w:p>
          <w:p w14:paraId="21C2EF18">
            <w:pPr>
              <w:spacing w:line="360" w:lineRule="auto"/>
              <w:ind w:firstLine="480" w:firstLineChars="200"/>
              <w:jc w:val="left"/>
              <w:outlineLvl w:val="0"/>
              <w:rPr>
                <w:rFonts w:hint="default" w:ascii="Times New Roman" w:hAnsi="Times New Roman" w:cs="Times New Roman"/>
                <w:color w:val="000000" w:themeColor="text1"/>
                <w:sz w:val="24"/>
                <w:szCs w:val="24"/>
              </w:rPr>
            </w:pPr>
            <w:bookmarkStart w:id="19" w:name="_Toc374004173"/>
            <w:bookmarkStart w:id="20" w:name="_Toc374004085"/>
            <w:r>
              <w:rPr>
                <w:rFonts w:hint="default" w:ascii="Times New Roman" w:hAnsi="Times New Roman" w:cs="Times New Roman"/>
                <w:color w:val="000000" w:themeColor="text1"/>
                <w:sz w:val="24"/>
                <w:szCs w:val="24"/>
              </w:rPr>
              <w:t>本项目内储存的汽油、柴油</w:t>
            </w: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天然气</w:t>
            </w:r>
            <w:r>
              <w:rPr>
                <w:rFonts w:hint="default" w:ascii="Times New Roman" w:hAnsi="Times New Roman" w:cs="Times New Roman"/>
                <w:color w:val="000000" w:themeColor="text1"/>
                <w:sz w:val="24"/>
                <w:szCs w:val="24"/>
              </w:rPr>
              <w:t>，具有火灾、爆炸危险性。其理化性质及危险性如下：</w:t>
            </w:r>
            <w:bookmarkEnd w:id="19"/>
            <w:bookmarkEnd w:id="20"/>
          </w:p>
          <w:p w14:paraId="51AF810C">
            <w:pPr>
              <w:spacing w:line="360" w:lineRule="auto"/>
              <w:ind w:firstLine="480" w:firstLineChars="200"/>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.1.1.1汽油的化学特性</w:t>
            </w:r>
          </w:p>
          <w:p w14:paraId="6A76610B">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(1)标识</w:t>
            </w:r>
          </w:p>
          <w:p w14:paraId="06E2ADFC">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xml:space="preserve">中文名：汽油               英文名：Gasoline；Petrol  </w:t>
            </w:r>
          </w:p>
          <w:p w14:paraId="60136111">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成份：C5～C12              危规号：31001  UN.No.：1203</w:t>
            </w:r>
          </w:p>
          <w:p w14:paraId="5AA22063">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(2)理化特性</w:t>
            </w:r>
          </w:p>
          <w:p w14:paraId="040958ED">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沸点：40～200℃             熔点：－60℃以下</w:t>
            </w:r>
          </w:p>
          <w:p w14:paraId="58ECC0D4">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相对密度[水=1]：0.70~0.79   相对密度[空气=1]：3.5</w:t>
            </w:r>
          </w:p>
          <w:p w14:paraId="58956198">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外观性状：无色或淡黄色液体，具有挥发性和易燃性，有特殊气味。</w:t>
            </w:r>
          </w:p>
          <w:p w14:paraId="0C2824FA">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毒性：有低毒，当空气中汽油蒸气浓度达到30~40mg/L时，人呼吸半小时后，即导致生命危险；</w:t>
            </w:r>
          </w:p>
          <w:p w14:paraId="04CFE3C5">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溶解性：不溶于水，易溶于苯、二硫化碳和醇，可混溶于脂肪。</w:t>
            </w:r>
          </w:p>
          <w:p w14:paraId="28C6E624">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稳定性：稳定。</w:t>
            </w:r>
          </w:p>
          <w:p w14:paraId="7E2206E8">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主要用途：用作汽油机的燃料，用于橡胶、印刷、制鞋、颜料等行业，也可用作机械零件去污剂。</w:t>
            </w:r>
          </w:p>
          <w:p w14:paraId="1CF34D9E">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(3)爆炸特性</w:t>
            </w:r>
          </w:p>
          <w:p w14:paraId="2B917FE1">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闪点：-50～10℃             爆炸极限：1.3%~6.0%</w:t>
            </w:r>
          </w:p>
          <w:p w14:paraId="3259E660">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自燃点：415~530℃           最大爆炸压力：0.813MPa</w:t>
            </w:r>
          </w:p>
          <w:p w14:paraId="22BE50AB">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火灾危险类别：甲            接触限值：300mg/m</w:t>
            </w:r>
            <w:r>
              <w:rPr>
                <w:rFonts w:hint="default" w:ascii="Times New Roman" w:hAnsi="Times New Roman" w:cs="Times New Roman"/>
                <w:color w:val="000000" w:themeColor="text1"/>
                <w:sz w:val="24"/>
                <w:szCs w:val="24"/>
                <w:vertAlign w:val="superscript"/>
              </w:rPr>
              <w:t>3</w:t>
            </w:r>
            <w:r>
              <w:rPr>
                <w:rFonts w:hint="default" w:ascii="Times New Roman" w:hAnsi="Times New Roman" w:cs="Times New Roman"/>
                <w:color w:val="000000" w:themeColor="text1"/>
                <w:sz w:val="24"/>
                <w:szCs w:val="24"/>
              </w:rPr>
              <w:t>（前苏联）</w:t>
            </w:r>
          </w:p>
          <w:p w14:paraId="68DA1B7E">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爆炸危险组别/类别：T3/IIA</w:t>
            </w:r>
          </w:p>
          <w:p w14:paraId="3B7A18E8">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其蒸气与空气混合成为爆炸性混合物，遇明火、高热、氧化剂时极易引起燃烧爆炸危险。</w:t>
            </w:r>
          </w:p>
          <w:p w14:paraId="43133616">
            <w:pPr>
              <w:spacing w:line="360" w:lineRule="auto"/>
              <w:ind w:firstLine="480" w:firstLineChars="200"/>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.1.1.2柴油的化学特性</w:t>
            </w:r>
          </w:p>
          <w:p w14:paraId="595FCE60">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(1)标识</w:t>
            </w:r>
          </w:p>
          <w:p w14:paraId="035031AD">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中文名：柴油             英文名：Diesel oil；Diesel fuel</w:t>
            </w:r>
          </w:p>
          <w:p w14:paraId="71B01B69">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(2)理化特性</w:t>
            </w:r>
          </w:p>
          <w:p w14:paraId="4B49C828">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 xml:space="preserve">相对密度（水＝1）：0.84～0.9 </w:t>
            </w:r>
          </w:p>
          <w:p w14:paraId="51AF57E2">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外观与性状：稍有粘性的浅黄至棕色液体。</w:t>
            </w:r>
          </w:p>
          <w:p w14:paraId="2F433052">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毒性：本品对皮肤粘膜有刺激作用。皮肤接触柴油可引起接触性皮炎、油性痤疮。吸入柴油雾滴可引起吸入性肺炎。</w:t>
            </w:r>
          </w:p>
          <w:p w14:paraId="7D5284DA">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稳定性：稳定。</w:t>
            </w:r>
          </w:p>
          <w:p w14:paraId="40B8A4D8">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主要用途：用作柴油机的燃料。</w:t>
            </w:r>
          </w:p>
          <w:p w14:paraId="2D48A6CF">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(3)爆炸特性</w:t>
            </w:r>
          </w:p>
          <w:p w14:paraId="7CB71CF0">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闪点：≤65℃               自燃点：350～380℃</w:t>
            </w:r>
          </w:p>
          <w:p w14:paraId="6B1BD012">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火灾危险类别：乙B或丙A</w:t>
            </w:r>
          </w:p>
          <w:p w14:paraId="05D68EDA">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爆炸危险组别/类别：T3/IIA</w:t>
            </w:r>
          </w:p>
          <w:p w14:paraId="4C1EF22D">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遇明火、高热或与氧化剂接触有引起燃烧爆炸的危险。若遇高热，容器内压增大，有开裂和爆炸的危险。</w:t>
            </w:r>
          </w:p>
          <w:p w14:paraId="621F4370">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（4）运输注意事项</w:t>
            </w:r>
          </w:p>
          <w:p w14:paraId="07E681CD">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采用钢瓶运输时必须戴好钢瓶上的安全帽。钢瓶一般平放，并应将瓶口朝同一方向，不可交叉；高度不得超过车辆的防护栏板，并用三角木垫卡牢，防止滚动。运输时运输车辆应配备相应品种和数量的消防器材。装运该物品的车辆排气管必须配备阻火装置，禁止使用易产生火花的机械设备和工具装卸。严禁与氧化剂等混装混运。夏季应早晚运输，防止日光曝晒。中途停留时应远离火种、热源。公路运输时要按规定路线行驶，勿在居民区和人口稠密区停留。</w:t>
            </w:r>
          </w:p>
          <w:p w14:paraId="3082B10C">
            <w:pPr>
              <w:spacing w:line="360" w:lineRule="auto"/>
              <w:ind w:firstLine="480" w:firstLineChars="200"/>
              <w:rPr>
                <w:rFonts w:hint="eastAsia" w:ascii="Times New Roman" w:hAnsi="Times New Roman"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8.1.1.3天然气</w:t>
            </w:r>
          </w:p>
          <w:p w14:paraId="1D5711A6">
            <w:pPr>
              <w:spacing w:line="360" w:lineRule="auto"/>
              <w:ind w:firstLine="480" w:firstLineChars="200"/>
              <w:rPr>
                <w:rFonts w:hint="eastAsia" w:ascii="Times New Roman" w:hAnsi="Times New Roman"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天然气是以甲烷为主的烷烃混合气体，其特性为：（1）易燃、易爆性；（2）挥发性强；（3）有毒害性和窒息性；（4）腐蚀性低；（5）膨胀系数大；（6）热值约为8000-8700千卡/Nm</w:t>
            </w:r>
            <w:r>
              <w:rPr>
                <w:rFonts w:hint="eastAsia" w:ascii="Times New Roman" w:hAnsi="Times New Roman" w:cs="Times New Roman"/>
                <w:color w:val="000000" w:themeColor="text1"/>
                <w:sz w:val="24"/>
                <w:szCs w:val="24"/>
                <w:vertAlign w:val="superscript"/>
                <w:lang w:val="en-US" w:eastAsia="zh-CN"/>
              </w:rPr>
              <w:t>3</w:t>
            </w:r>
            <w:r>
              <w:rPr>
                <w:rFonts w:hint="eastAsia" w:ascii="Times New Roman" w:hAnsi="Times New Roman" w:cs="Times New Roman"/>
                <w:color w:val="000000" w:themeColor="text1"/>
                <w:sz w:val="24"/>
                <w:szCs w:val="24"/>
                <w:lang w:val="en-US" w:eastAsia="zh-CN"/>
              </w:rPr>
              <w:t>；（7）燃点550℃；（8）天然气在空气中的燃烧时的体积界限是5%~15%。</w:t>
            </w:r>
          </w:p>
          <w:p w14:paraId="09889470">
            <w:pPr>
              <w:spacing w:line="360" w:lineRule="auto"/>
              <w:ind w:firstLine="480" w:firstLineChars="200"/>
              <w:rPr>
                <w:rFonts w:hint="eastAsia" w:ascii="Times New Roman" w:hAnsi="Times New Roman"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天然气的毒性主要为窒息，若天然气同时含有硫化氢则毒性增加，早期有头晕、头痛、恶心、呕吐、乏力等，严重者出现直视、昏迷、呼吸困难、去大脑皮层综合症等。</w:t>
            </w:r>
          </w:p>
          <w:p w14:paraId="1B094D49">
            <w:pPr>
              <w:spacing w:line="360" w:lineRule="auto"/>
              <w:ind w:firstLine="480" w:firstLineChars="200"/>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.1.2工艺过程危险性分析</w:t>
            </w:r>
          </w:p>
          <w:p w14:paraId="7820025A">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本工程主要物料汽油属甲类火灾危险类别，柴油属丙类火灾危险类别，天然气属甲类火灾危险类别，故火灾、爆炸是本工程最重要的风险。结合工程特点分析，生产过程中主要风险有：</w:t>
            </w:r>
          </w:p>
          <w:p w14:paraId="4DB339D8">
            <w:pPr>
              <w:spacing w:line="360" w:lineRule="auto"/>
              <w:ind w:firstLine="480" w:firstLineChars="200"/>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.1.2.1油品泄漏</w:t>
            </w:r>
          </w:p>
          <w:p w14:paraId="7AB0F0FB">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本工程在生产运行过程中由于输送油品、设备破损、腐蚀穿孔、接头密闭不严或人为破坏、操作失误，发生油品泄漏，对环境造成污染；一旦遇到明火、高温、雷电和静电放电等点火源，极易引发火灾和爆炸。</w:t>
            </w:r>
          </w:p>
          <w:p w14:paraId="3E597DC9">
            <w:pPr>
              <w:spacing w:line="360" w:lineRule="auto"/>
              <w:ind w:firstLine="480" w:firstLineChars="200"/>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.1.2.2火灾爆炸</w:t>
            </w:r>
          </w:p>
          <w:p w14:paraId="6C5BB5A6">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各种油品在储油罐储存时，可能产生轻组分挥发，其密度比空气重的部分，容易滞留在地表、水沟、下水道及凹坑等低处，并且贴地面流向远处，与空气混合可形成爆炸性混合物，遇明火或高热易引起燃烧、爆炸及沸溢等重大事故；如果罐顶上的疲劳裂纹发展严重，又不及时修补，那么浮顶下面的油会渗到顶上，顶上积油多，不及时清理，遇明火、高热会引起大面积燃烧。</w:t>
            </w:r>
          </w:p>
          <w:p w14:paraId="436DC783">
            <w:pPr>
              <w:spacing w:line="360" w:lineRule="auto"/>
              <w:ind w:firstLine="480" w:firstLineChars="200"/>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.1.3风险类型识别</w:t>
            </w:r>
          </w:p>
          <w:p w14:paraId="72298149">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在本项目的风险识别中，对加油加气站的建设运营所涉及的风险类型进行了分析，从分析结果可以看出，无论是油品和天然气的接卸、储存还是输送，所能产生的各类风险中，火灾爆炸的危害性最大。</w:t>
            </w:r>
          </w:p>
          <w:p w14:paraId="326078DF">
            <w:pPr>
              <w:spacing w:line="360" w:lineRule="auto"/>
              <w:ind w:firstLine="480" w:firstLineChars="200"/>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.2环境风险评价等级及评价范围</w:t>
            </w:r>
          </w:p>
          <w:p w14:paraId="6C622609">
            <w:pPr>
              <w:spacing w:line="360" w:lineRule="auto"/>
              <w:ind w:firstLine="480" w:firstLineChars="200"/>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.2.1环境风险评价等级</w:t>
            </w:r>
          </w:p>
          <w:p w14:paraId="67C69147">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评价工作等级划分见</w:t>
            </w:r>
            <w:r>
              <w:rPr>
                <w:rFonts w:hint="eastAsia" w:ascii="Times New Roman" w:hAnsi="Times New Roman" w:cs="Times New Roman"/>
                <w:color w:val="000000" w:themeColor="text1"/>
                <w:sz w:val="24"/>
                <w:szCs w:val="24"/>
                <w:lang w:val="en-US" w:eastAsia="zh-CN"/>
              </w:rPr>
              <w:t>下表</w:t>
            </w:r>
            <w:r>
              <w:rPr>
                <w:rFonts w:hint="default" w:ascii="Times New Roman" w:hAnsi="Times New Roman" w:cs="Times New Roman"/>
                <w:color w:val="000000" w:themeColor="text1"/>
                <w:sz w:val="24"/>
                <w:szCs w:val="24"/>
              </w:rPr>
              <w:t>。</w:t>
            </w:r>
          </w:p>
          <w:p w14:paraId="7822F988">
            <w:pPr>
              <w:autoSpaceDE w:val="0"/>
              <w:autoSpaceDN w:val="0"/>
              <w:ind w:firstLine="422" w:firstLineChars="200"/>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44</w:t>
            </w:r>
            <w:r>
              <w:rPr>
                <w:rFonts w:hint="eastAsia"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 xml:space="preserve">    </w:t>
            </w:r>
            <w:r>
              <w:rPr>
                <w:rFonts w:hint="eastAsia" w:ascii="黑体" w:hAnsi="黑体" w:eastAsia="黑体" w:cs="黑体"/>
                <w:b/>
                <w:bCs/>
                <w:color w:val="000000" w:themeColor="text1"/>
                <w:sz w:val="21"/>
                <w:szCs w:val="21"/>
              </w:rPr>
              <w:t xml:space="preserve">       评价工作级别</w:t>
            </w:r>
          </w:p>
          <w:tbl>
            <w:tblPr>
              <w:tblStyle w:val="19"/>
              <w:tblW w:w="831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1496"/>
              <w:gridCol w:w="1498"/>
              <w:gridCol w:w="1579"/>
              <w:gridCol w:w="1909"/>
            </w:tblGrid>
            <w:tr w14:paraId="0CB2CF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31" w:type="dxa"/>
                  <w:tcBorders>
                    <w:bottom w:val="single" w:color="auto" w:sz="12" w:space="0"/>
                  </w:tcBorders>
                  <w:vAlign w:val="center"/>
                </w:tcPr>
                <w:p w14:paraId="25ABBE15">
                  <w:pPr>
                    <w:spacing w:line="240" w:lineRule="auto"/>
                    <w:jc w:val="center"/>
                    <w:rPr>
                      <w:b/>
                      <w:bCs/>
                      <w:color w:val="000000" w:themeColor="text1"/>
                      <w:sz w:val="21"/>
                      <w:szCs w:val="21"/>
                    </w:rPr>
                  </w:pPr>
                </w:p>
              </w:tc>
              <w:tc>
                <w:tcPr>
                  <w:tcW w:w="1496" w:type="dxa"/>
                  <w:tcBorders>
                    <w:bottom w:val="single" w:color="auto" w:sz="12" w:space="0"/>
                  </w:tcBorders>
                  <w:vAlign w:val="center"/>
                </w:tcPr>
                <w:p w14:paraId="48169BFA">
                  <w:pPr>
                    <w:spacing w:line="240" w:lineRule="auto"/>
                    <w:jc w:val="center"/>
                    <w:rPr>
                      <w:b/>
                      <w:bCs/>
                      <w:color w:val="000000" w:themeColor="text1"/>
                      <w:sz w:val="21"/>
                      <w:szCs w:val="21"/>
                    </w:rPr>
                  </w:pPr>
                  <w:r>
                    <w:rPr>
                      <w:b/>
                      <w:bCs/>
                      <w:color w:val="000000" w:themeColor="text1"/>
                      <w:sz w:val="21"/>
                      <w:szCs w:val="21"/>
                    </w:rPr>
                    <w:t>剧毒危险性</w:t>
                  </w:r>
                </w:p>
                <w:p w14:paraId="02BA1F4D">
                  <w:pPr>
                    <w:spacing w:line="240" w:lineRule="auto"/>
                    <w:jc w:val="center"/>
                    <w:rPr>
                      <w:b/>
                      <w:bCs/>
                      <w:color w:val="000000" w:themeColor="text1"/>
                      <w:sz w:val="21"/>
                      <w:szCs w:val="21"/>
                    </w:rPr>
                  </w:pPr>
                  <w:r>
                    <w:rPr>
                      <w:b/>
                      <w:bCs/>
                      <w:color w:val="000000" w:themeColor="text1"/>
                      <w:sz w:val="21"/>
                      <w:szCs w:val="21"/>
                    </w:rPr>
                    <w:t>物质</w:t>
                  </w:r>
                </w:p>
              </w:tc>
              <w:tc>
                <w:tcPr>
                  <w:tcW w:w="1498" w:type="dxa"/>
                  <w:tcBorders>
                    <w:bottom w:val="single" w:color="auto" w:sz="12" w:space="0"/>
                  </w:tcBorders>
                  <w:vAlign w:val="center"/>
                </w:tcPr>
                <w:p w14:paraId="0C22A74F">
                  <w:pPr>
                    <w:spacing w:line="240" w:lineRule="auto"/>
                    <w:jc w:val="center"/>
                    <w:rPr>
                      <w:b/>
                      <w:bCs/>
                      <w:color w:val="000000" w:themeColor="text1"/>
                      <w:sz w:val="21"/>
                      <w:szCs w:val="21"/>
                    </w:rPr>
                  </w:pPr>
                  <w:r>
                    <w:rPr>
                      <w:b/>
                      <w:bCs/>
                      <w:color w:val="000000" w:themeColor="text1"/>
                      <w:sz w:val="21"/>
                      <w:szCs w:val="21"/>
                    </w:rPr>
                    <w:t>一般毒性危险物质</w:t>
                  </w:r>
                </w:p>
              </w:tc>
              <w:tc>
                <w:tcPr>
                  <w:tcW w:w="1579" w:type="dxa"/>
                  <w:tcBorders>
                    <w:bottom w:val="single" w:color="auto" w:sz="12" w:space="0"/>
                  </w:tcBorders>
                  <w:vAlign w:val="center"/>
                </w:tcPr>
                <w:p w14:paraId="2D382ACD">
                  <w:pPr>
                    <w:spacing w:line="240" w:lineRule="auto"/>
                    <w:jc w:val="center"/>
                    <w:rPr>
                      <w:b/>
                      <w:bCs/>
                      <w:color w:val="000000" w:themeColor="text1"/>
                      <w:sz w:val="21"/>
                      <w:szCs w:val="21"/>
                    </w:rPr>
                  </w:pPr>
                  <w:r>
                    <w:rPr>
                      <w:b/>
                      <w:bCs/>
                      <w:color w:val="000000" w:themeColor="text1"/>
                      <w:sz w:val="21"/>
                      <w:szCs w:val="21"/>
                    </w:rPr>
                    <w:t>可燃、易燃危险性物质</w:t>
                  </w:r>
                </w:p>
              </w:tc>
              <w:tc>
                <w:tcPr>
                  <w:tcW w:w="1909" w:type="dxa"/>
                  <w:tcBorders>
                    <w:bottom w:val="single" w:color="auto" w:sz="12" w:space="0"/>
                  </w:tcBorders>
                  <w:vAlign w:val="center"/>
                </w:tcPr>
                <w:p w14:paraId="1F9F34C8">
                  <w:pPr>
                    <w:spacing w:line="240" w:lineRule="auto"/>
                    <w:jc w:val="center"/>
                    <w:rPr>
                      <w:b/>
                      <w:bCs/>
                      <w:color w:val="000000" w:themeColor="text1"/>
                      <w:sz w:val="21"/>
                      <w:szCs w:val="21"/>
                    </w:rPr>
                  </w:pPr>
                  <w:r>
                    <w:rPr>
                      <w:b/>
                      <w:bCs/>
                      <w:color w:val="000000" w:themeColor="text1"/>
                      <w:sz w:val="21"/>
                      <w:szCs w:val="21"/>
                    </w:rPr>
                    <w:t>爆炸危险性物质</w:t>
                  </w:r>
                </w:p>
              </w:tc>
            </w:tr>
            <w:tr w14:paraId="76D24A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31" w:type="dxa"/>
                  <w:tcBorders>
                    <w:top w:val="single" w:color="auto" w:sz="12" w:space="0"/>
                  </w:tcBorders>
                  <w:vAlign w:val="center"/>
                </w:tcPr>
                <w:p w14:paraId="291E1926">
                  <w:pPr>
                    <w:spacing w:line="240" w:lineRule="auto"/>
                    <w:jc w:val="center"/>
                    <w:rPr>
                      <w:color w:val="000000" w:themeColor="text1"/>
                      <w:sz w:val="21"/>
                      <w:szCs w:val="21"/>
                    </w:rPr>
                  </w:pPr>
                  <w:r>
                    <w:rPr>
                      <w:color w:val="000000" w:themeColor="text1"/>
                      <w:sz w:val="21"/>
                      <w:szCs w:val="21"/>
                    </w:rPr>
                    <w:t>重大危险源</w:t>
                  </w:r>
                </w:p>
              </w:tc>
              <w:tc>
                <w:tcPr>
                  <w:tcW w:w="1496" w:type="dxa"/>
                  <w:tcBorders>
                    <w:top w:val="single" w:color="auto" w:sz="12" w:space="0"/>
                  </w:tcBorders>
                  <w:vAlign w:val="center"/>
                </w:tcPr>
                <w:p w14:paraId="18B440AC">
                  <w:pPr>
                    <w:spacing w:line="240" w:lineRule="auto"/>
                    <w:jc w:val="center"/>
                    <w:rPr>
                      <w:color w:val="000000" w:themeColor="text1"/>
                      <w:sz w:val="21"/>
                      <w:szCs w:val="21"/>
                    </w:rPr>
                  </w:pPr>
                  <w:r>
                    <w:rPr>
                      <w:color w:val="000000" w:themeColor="text1"/>
                      <w:sz w:val="21"/>
                      <w:szCs w:val="21"/>
                    </w:rPr>
                    <w:t>一</w:t>
                  </w:r>
                </w:p>
              </w:tc>
              <w:tc>
                <w:tcPr>
                  <w:tcW w:w="1498" w:type="dxa"/>
                  <w:tcBorders>
                    <w:top w:val="single" w:color="auto" w:sz="12" w:space="0"/>
                  </w:tcBorders>
                  <w:vAlign w:val="center"/>
                </w:tcPr>
                <w:p w14:paraId="53B2C5E9">
                  <w:pPr>
                    <w:spacing w:line="240" w:lineRule="auto"/>
                    <w:jc w:val="center"/>
                    <w:rPr>
                      <w:color w:val="000000" w:themeColor="text1"/>
                      <w:sz w:val="21"/>
                      <w:szCs w:val="21"/>
                    </w:rPr>
                  </w:pPr>
                  <w:r>
                    <w:rPr>
                      <w:color w:val="000000" w:themeColor="text1"/>
                      <w:sz w:val="21"/>
                      <w:szCs w:val="21"/>
                    </w:rPr>
                    <w:t>二</w:t>
                  </w:r>
                </w:p>
              </w:tc>
              <w:tc>
                <w:tcPr>
                  <w:tcW w:w="1579" w:type="dxa"/>
                  <w:tcBorders>
                    <w:top w:val="single" w:color="auto" w:sz="12" w:space="0"/>
                  </w:tcBorders>
                  <w:vAlign w:val="center"/>
                </w:tcPr>
                <w:p w14:paraId="69AB6868">
                  <w:pPr>
                    <w:spacing w:line="240" w:lineRule="auto"/>
                    <w:jc w:val="center"/>
                    <w:rPr>
                      <w:color w:val="000000" w:themeColor="text1"/>
                      <w:sz w:val="21"/>
                      <w:szCs w:val="21"/>
                    </w:rPr>
                  </w:pPr>
                  <w:r>
                    <w:rPr>
                      <w:color w:val="000000" w:themeColor="text1"/>
                      <w:sz w:val="21"/>
                      <w:szCs w:val="21"/>
                    </w:rPr>
                    <w:t>一</w:t>
                  </w:r>
                </w:p>
              </w:tc>
              <w:tc>
                <w:tcPr>
                  <w:tcW w:w="1909" w:type="dxa"/>
                  <w:tcBorders>
                    <w:top w:val="single" w:color="auto" w:sz="12" w:space="0"/>
                  </w:tcBorders>
                  <w:vAlign w:val="center"/>
                </w:tcPr>
                <w:p w14:paraId="509D6C9D">
                  <w:pPr>
                    <w:spacing w:line="240" w:lineRule="auto"/>
                    <w:jc w:val="center"/>
                    <w:rPr>
                      <w:color w:val="000000" w:themeColor="text1"/>
                      <w:sz w:val="21"/>
                      <w:szCs w:val="21"/>
                    </w:rPr>
                  </w:pPr>
                  <w:r>
                    <w:rPr>
                      <w:color w:val="000000" w:themeColor="text1"/>
                      <w:sz w:val="21"/>
                      <w:szCs w:val="21"/>
                    </w:rPr>
                    <w:t>一</w:t>
                  </w:r>
                </w:p>
              </w:tc>
            </w:tr>
            <w:tr w14:paraId="0E927A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31" w:type="dxa"/>
                  <w:vAlign w:val="center"/>
                </w:tcPr>
                <w:p w14:paraId="16D31F20">
                  <w:pPr>
                    <w:spacing w:line="240" w:lineRule="auto"/>
                    <w:jc w:val="center"/>
                    <w:rPr>
                      <w:color w:val="000000" w:themeColor="text1"/>
                      <w:sz w:val="21"/>
                      <w:szCs w:val="21"/>
                    </w:rPr>
                  </w:pPr>
                  <w:r>
                    <w:rPr>
                      <w:color w:val="000000" w:themeColor="text1"/>
                      <w:sz w:val="21"/>
                      <w:szCs w:val="21"/>
                    </w:rPr>
                    <w:t>非重大危险源</w:t>
                  </w:r>
                </w:p>
              </w:tc>
              <w:tc>
                <w:tcPr>
                  <w:tcW w:w="1496" w:type="dxa"/>
                  <w:vAlign w:val="center"/>
                </w:tcPr>
                <w:p w14:paraId="7C6B2A1D">
                  <w:pPr>
                    <w:spacing w:line="240" w:lineRule="auto"/>
                    <w:jc w:val="center"/>
                    <w:rPr>
                      <w:color w:val="000000" w:themeColor="text1"/>
                      <w:sz w:val="21"/>
                      <w:szCs w:val="21"/>
                    </w:rPr>
                  </w:pPr>
                  <w:r>
                    <w:rPr>
                      <w:color w:val="000000" w:themeColor="text1"/>
                      <w:sz w:val="21"/>
                      <w:szCs w:val="21"/>
                    </w:rPr>
                    <w:t>二</w:t>
                  </w:r>
                </w:p>
              </w:tc>
              <w:tc>
                <w:tcPr>
                  <w:tcW w:w="1498" w:type="dxa"/>
                  <w:vAlign w:val="center"/>
                </w:tcPr>
                <w:p w14:paraId="2D23F367">
                  <w:pPr>
                    <w:spacing w:line="240" w:lineRule="auto"/>
                    <w:jc w:val="center"/>
                    <w:rPr>
                      <w:color w:val="000000" w:themeColor="text1"/>
                      <w:sz w:val="21"/>
                      <w:szCs w:val="21"/>
                    </w:rPr>
                  </w:pPr>
                  <w:r>
                    <w:rPr>
                      <w:color w:val="000000" w:themeColor="text1"/>
                      <w:sz w:val="21"/>
                      <w:szCs w:val="21"/>
                    </w:rPr>
                    <w:t>二</w:t>
                  </w:r>
                </w:p>
              </w:tc>
              <w:tc>
                <w:tcPr>
                  <w:tcW w:w="1579" w:type="dxa"/>
                  <w:vAlign w:val="center"/>
                </w:tcPr>
                <w:p w14:paraId="619DE2A0">
                  <w:pPr>
                    <w:spacing w:line="240" w:lineRule="auto"/>
                    <w:jc w:val="center"/>
                    <w:rPr>
                      <w:color w:val="000000" w:themeColor="text1"/>
                      <w:sz w:val="21"/>
                      <w:szCs w:val="21"/>
                    </w:rPr>
                  </w:pPr>
                  <w:r>
                    <w:rPr>
                      <w:color w:val="000000" w:themeColor="text1"/>
                      <w:sz w:val="21"/>
                      <w:szCs w:val="21"/>
                    </w:rPr>
                    <w:t>二</w:t>
                  </w:r>
                </w:p>
              </w:tc>
              <w:tc>
                <w:tcPr>
                  <w:tcW w:w="1909" w:type="dxa"/>
                  <w:vAlign w:val="center"/>
                </w:tcPr>
                <w:p w14:paraId="5EA51158">
                  <w:pPr>
                    <w:spacing w:line="240" w:lineRule="auto"/>
                    <w:jc w:val="center"/>
                    <w:rPr>
                      <w:color w:val="000000" w:themeColor="text1"/>
                      <w:sz w:val="21"/>
                      <w:szCs w:val="21"/>
                    </w:rPr>
                  </w:pPr>
                  <w:r>
                    <w:rPr>
                      <w:color w:val="000000" w:themeColor="text1"/>
                      <w:sz w:val="21"/>
                      <w:szCs w:val="21"/>
                    </w:rPr>
                    <w:t>二</w:t>
                  </w:r>
                </w:p>
              </w:tc>
            </w:tr>
            <w:tr w14:paraId="504C31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31" w:type="dxa"/>
                  <w:vAlign w:val="center"/>
                </w:tcPr>
                <w:p w14:paraId="16D6376B">
                  <w:pPr>
                    <w:spacing w:line="240" w:lineRule="auto"/>
                    <w:jc w:val="center"/>
                    <w:rPr>
                      <w:color w:val="000000" w:themeColor="text1"/>
                      <w:sz w:val="21"/>
                      <w:szCs w:val="21"/>
                    </w:rPr>
                  </w:pPr>
                  <w:r>
                    <w:rPr>
                      <w:color w:val="000000" w:themeColor="text1"/>
                      <w:sz w:val="21"/>
                      <w:szCs w:val="21"/>
                    </w:rPr>
                    <w:t>环境敏感地区</w:t>
                  </w:r>
                </w:p>
              </w:tc>
              <w:tc>
                <w:tcPr>
                  <w:tcW w:w="1496" w:type="dxa"/>
                  <w:vAlign w:val="center"/>
                </w:tcPr>
                <w:p w14:paraId="572BB4A5">
                  <w:pPr>
                    <w:spacing w:line="240" w:lineRule="auto"/>
                    <w:jc w:val="center"/>
                    <w:rPr>
                      <w:color w:val="000000" w:themeColor="text1"/>
                      <w:sz w:val="21"/>
                      <w:szCs w:val="21"/>
                    </w:rPr>
                  </w:pPr>
                  <w:r>
                    <w:rPr>
                      <w:color w:val="000000" w:themeColor="text1"/>
                      <w:sz w:val="21"/>
                      <w:szCs w:val="21"/>
                    </w:rPr>
                    <w:t>一</w:t>
                  </w:r>
                </w:p>
              </w:tc>
              <w:tc>
                <w:tcPr>
                  <w:tcW w:w="1498" w:type="dxa"/>
                  <w:vAlign w:val="center"/>
                </w:tcPr>
                <w:p w14:paraId="345246A2">
                  <w:pPr>
                    <w:spacing w:line="240" w:lineRule="auto"/>
                    <w:jc w:val="center"/>
                    <w:rPr>
                      <w:color w:val="000000" w:themeColor="text1"/>
                      <w:sz w:val="21"/>
                      <w:szCs w:val="21"/>
                    </w:rPr>
                  </w:pPr>
                  <w:r>
                    <w:rPr>
                      <w:color w:val="000000" w:themeColor="text1"/>
                      <w:sz w:val="21"/>
                      <w:szCs w:val="21"/>
                    </w:rPr>
                    <w:t>一</w:t>
                  </w:r>
                </w:p>
              </w:tc>
              <w:tc>
                <w:tcPr>
                  <w:tcW w:w="1579" w:type="dxa"/>
                  <w:vAlign w:val="center"/>
                </w:tcPr>
                <w:p w14:paraId="2D707F57">
                  <w:pPr>
                    <w:spacing w:line="240" w:lineRule="auto"/>
                    <w:jc w:val="center"/>
                    <w:rPr>
                      <w:color w:val="000000" w:themeColor="text1"/>
                      <w:sz w:val="21"/>
                      <w:szCs w:val="21"/>
                    </w:rPr>
                  </w:pPr>
                  <w:r>
                    <w:rPr>
                      <w:color w:val="000000" w:themeColor="text1"/>
                      <w:sz w:val="21"/>
                      <w:szCs w:val="21"/>
                    </w:rPr>
                    <w:t>一</w:t>
                  </w:r>
                </w:p>
              </w:tc>
              <w:tc>
                <w:tcPr>
                  <w:tcW w:w="1909" w:type="dxa"/>
                  <w:vAlign w:val="center"/>
                </w:tcPr>
                <w:p w14:paraId="682CEDF7">
                  <w:pPr>
                    <w:spacing w:line="240" w:lineRule="auto"/>
                    <w:jc w:val="center"/>
                    <w:rPr>
                      <w:color w:val="000000" w:themeColor="text1"/>
                      <w:sz w:val="21"/>
                      <w:szCs w:val="21"/>
                    </w:rPr>
                  </w:pPr>
                  <w:r>
                    <w:rPr>
                      <w:color w:val="000000" w:themeColor="text1"/>
                      <w:sz w:val="21"/>
                      <w:szCs w:val="21"/>
                    </w:rPr>
                    <w:t>一</w:t>
                  </w:r>
                </w:p>
              </w:tc>
            </w:tr>
          </w:tbl>
          <w:p w14:paraId="304F8DE8">
            <w:pPr>
              <w:spacing w:line="360" w:lineRule="auto"/>
              <w:ind w:firstLine="480" w:firstLineChars="200"/>
              <w:rPr>
                <w:rFonts w:hint="eastAsia"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按照《建设项目环境风险评价技术导则》（HJ/T169-2004）以及《危险化学品重大危险源辨识》（GB18218-2009）的规定，汽油的贮存区临界量为200吨，柴油为5000吨，</w:t>
            </w:r>
            <w:r>
              <w:rPr>
                <w:rFonts w:hint="eastAsia" w:ascii="Times New Roman" w:hAnsi="Times New Roman" w:cs="Times New Roman"/>
                <w:color w:val="000000" w:themeColor="text1"/>
                <w:sz w:val="24"/>
                <w:szCs w:val="24"/>
                <w:lang w:val="en-US" w:eastAsia="zh-CN"/>
              </w:rPr>
              <w:t>LNG为50吨，</w:t>
            </w:r>
            <w:r>
              <w:rPr>
                <w:rFonts w:hint="eastAsia" w:ascii="Times New Roman" w:hAnsi="Times New Roman" w:cs="Times New Roman"/>
                <w:color w:val="000000" w:themeColor="text1"/>
                <w:sz w:val="24"/>
                <w:szCs w:val="24"/>
              </w:rPr>
              <w:t>单元内存在的危险化学品为多品种时，则按</w:t>
            </w:r>
            <w:r>
              <w:rPr>
                <w:rFonts w:hint="eastAsia" w:ascii="Times New Roman" w:hAnsi="Times New Roman" w:cs="Times New Roman"/>
                <w:color w:val="000000" w:themeColor="text1"/>
                <w:sz w:val="24"/>
                <w:szCs w:val="24"/>
                <w:lang w:val="en-US" w:eastAsia="zh-CN"/>
              </w:rPr>
              <w:t>下式</w:t>
            </w:r>
            <w:r>
              <w:rPr>
                <w:rFonts w:hint="eastAsia" w:ascii="Times New Roman" w:hAnsi="Times New Roman" w:cs="Times New Roman"/>
                <w:color w:val="000000" w:themeColor="text1"/>
                <w:sz w:val="24"/>
                <w:szCs w:val="24"/>
              </w:rPr>
              <w:t>计算，若满足</w:t>
            </w:r>
            <w:r>
              <w:rPr>
                <w:rFonts w:hint="eastAsia" w:ascii="Times New Roman" w:hAnsi="Times New Roman" w:cs="Times New Roman"/>
                <w:color w:val="000000" w:themeColor="text1"/>
                <w:sz w:val="24"/>
                <w:szCs w:val="24"/>
                <w:lang w:val="en-US" w:eastAsia="zh-CN"/>
              </w:rPr>
              <w:t>下</w:t>
            </w:r>
            <w:r>
              <w:rPr>
                <w:rFonts w:hint="eastAsia" w:ascii="Times New Roman" w:hAnsi="Times New Roman" w:cs="Times New Roman"/>
                <w:color w:val="000000" w:themeColor="text1"/>
                <w:sz w:val="24"/>
                <w:szCs w:val="24"/>
              </w:rPr>
              <w:t>式则定为重大危险源：</w:t>
            </w:r>
          </w:p>
          <w:p w14:paraId="0E86A6BB">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q1/Q1+q2/Q2+ … + qn/Qn ≥1</w:t>
            </w:r>
          </w:p>
          <w:p w14:paraId="4DF2003E">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式中：</w:t>
            </w:r>
          </w:p>
          <w:p w14:paraId="6003E4AD">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q1,q2,…,qn —每种危险化学品实际存在量，单位为吨（t）；</w:t>
            </w:r>
          </w:p>
          <w:p w14:paraId="596CF27E">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Q1,Q2,…,Qn —与各危险化学品相对应的临界量，单位为吨（t）。</w:t>
            </w:r>
          </w:p>
          <w:p w14:paraId="1C222405">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汽油的密度取0.75，油罐充装系数取0.85。柴油的密度取0.83，油罐充装系数取0.85。该站所能储存的汽油、柴油质量计算如下：</w:t>
            </w:r>
          </w:p>
          <w:p w14:paraId="0603E6FE">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汽油M＝ρV＝0.75*0.85*60＝38.25（t）</w:t>
            </w:r>
          </w:p>
          <w:p w14:paraId="4CFC6C24">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柴油M＝ρV＝0.83*0.85*60＝42.33（t）</w:t>
            </w:r>
          </w:p>
          <w:p w14:paraId="46085EAC">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式中</w:t>
            </w:r>
          </w:p>
          <w:p w14:paraId="6764A8A8">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M……总质量</w:t>
            </w:r>
          </w:p>
          <w:p w14:paraId="6274A600">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ρ……密度</w:t>
            </w:r>
          </w:p>
          <w:p w14:paraId="5F5A20AE">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V……储罐容积</w:t>
            </w:r>
          </w:p>
          <w:p w14:paraId="222A1F38">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LNG 储罐中LNG 储量计算：</w:t>
            </w:r>
          </w:p>
          <w:p w14:paraId="45C7C8F1">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LNG 液相密度：456.5Kg/m3（-162℃，0.6Mpa）</w:t>
            </w:r>
          </w:p>
          <w:p w14:paraId="1A8F01A0">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LNG储罐30m3×1 台</w:t>
            </w:r>
          </w:p>
          <w:p w14:paraId="7BB4E1B8">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LNG 储罐天然气储存量为：0.4565×30m3＝13.7t</w:t>
            </w:r>
          </w:p>
          <w:p w14:paraId="773FB91C">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天然气相对空气的密度为0.583，空气密度为1.293kg/m</w:t>
            </w:r>
            <w:r>
              <w:rPr>
                <w:rFonts w:hint="eastAsia" w:ascii="Times New Roman" w:hAnsi="Times New Roman" w:cs="Times New Roman"/>
                <w:color w:val="000000" w:themeColor="text1"/>
                <w:sz w:val="24"/>
                <w:szCs w:val="24"/>
                <w:vertAlign w:val="superscript"/>
              </w:rPr>
              <w:t>3</w:t>
            </w:r>
            <w:r>
              <w:rPr>
                <w:rFonts w:hint="eastAsia" w:ascii="Times New Roman" w:hAnsi="Times New Roman" w:cs="Times New Roman"/>
                <w:color w:val="000000" w:themeColor="text1"/>
                <w:sz w:val="24"/>
                <w:szCs w:val="24"/>
              </w:rPr>
              <w:t>，井内压力为25MPa，标准大气压为0.1MPa。具体计算式如下：12m</w:t>
            </w:r>
            <w:r>
              <w:rPr>
                <w:rFonts w:hint="eastAsia" w:ascii="Times New Roman" w:hAnsi="Times New Roman" w:cs="Times New Roman"/>
                <w:color w:val="000000" w:themeColor="text1"/>
                <w:sz w:val="24"/>
                <w:szCs w:val="24"/>
                <w:vertAlign w:val="superscript"/>
              </w:rPr>
              <w:t>3</w:t>
            </w:r>
            <w:r>
              <w:rPr>
                <w:rFonts w:hint="eastAsia" w:ascii="Times New Roman" w:hAnsi="Times New Roman" w:cs="Times New Roman"/>
                <w:color w:val="000000" w:themeColor="text1"/>
                <w:sz w:val="24"/>
                <w:szCs w:val="24"/>
              </w:rPr>
              <w:t>×0.583×1.293kg/m</w:t>
            </w:r>
            <w:r>
              <w:rPr>
                <w:rFonts w:hint="eastAsia" w:ascii="Times New Roman" w:hAnsi="Times New Roman" w:cs="Times New Roman"/>
                <w:color w:val="000000" w:themeColor="text1"/>
                <w:sz w:val="24"/>
                <w:szCs w:val="24"/>
                <w:vertAlign w:val="superscript"/>
              </w:rPr>
              <w:t>3</w:t>
            </w:r>
            <w:r>
              <w:rPr>
                <w:rFonts w:hint="eastAsia" w:ascii="Times New Roman" w:hAnsi="Times New Roman" w:cs="Times New Roman"/>
                <w:color w:val="000000" w:themeColor="text1"/>
                <w:sz w:val="24"/>
                <w:szCs w:val="24"/>
              </w:rPr>
              <w:t>×250=2.3t。</w:t>
            </w:r>
          </w:p>
          <w:p w14:paraId="413B951D">
            <w:pPr>
              <w:spacing w:line="360" w:lineRule="auto"/>
              <w:ind w:firstLine="480" w:firstLineChars="200"/>
              <w:rPr>
                <w:rFonts w:hint="eastAsia"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该加油加气站天然气总储量为13.7+2.3=16吨</w:t>
            </w:r>
          </w:p>
          <w:p w14:paraId="118F5BB3">
            <w:pPr>
              <w:spacing w:line="360" w:lineRule="auto"/>
              <w:ind w:firstLine="480" w:firstLineChars="200"/>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rPr>
              <w:t>汽油临界量为200t，柴油临界量为5000t，天然气临界量50t。因此q1/Q1+q2/Q2+q3/Q3=16/50+38.25/200+42.33/5000=0.32+0.1912+0.0085=0.52&lt;1</w:t>
            </w:r>
          </w:p>
          <w:p w14:paraId="78EB349A">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不属于重大危险源，因此确定评价等级为二级。</w:t>
            </w:r>
          </w:p>
          <w:p w14:paraId="37560414">
            <w:pPr>
              <w:spacing w:line="360" w:lineRule="auto"/>
              <w:ind w:firstLine="480" w:firstLineChars="200"/>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.2.2评价范围</w:t>
            </w:r>
          </w:p>
          <w:p w14:paraId="66B2CE97">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油罐区不小于3公里的圆形区域内。</w:t>
            </w:r>
          </w:p>
          <w:p w14:paraId="65FF1DD6">
            <w:pPr>
              <w:spacing w:line="360" w:lineRule="auto"/>
              <w:ind w:firstLine="480" w:firstLineChars="200"/>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.3最大可信事故</w:t>
            </w:r>
          </w:p>
          <w:p w14:paraId="204D8863">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加油</w:t>
            </w:r>
            <w:r>
              <w:rPr>
                <w:rFonts w:hint="eastAsia" w:ascii="Times New Roman" w:hAnsi="Times New Roman" w:cs="Times New Roman"/>
                <w:color w:val="000000" w:themeColor="text1"/>
                <w:sz w:val="24"/>
                <w:szCs w:val="24"/>
                <w:lang w:val="en-US" w:eastAsia="zh-CN"/>
              </w:rPr>
              <w:t>加气</w:t>
            </w:r>
            <w:r>
              <w:rPr>
                <w:rFonts w:hint="default" w:ascii="Times New Roman" w:hAnsi="Times New Roman" w:cs="Times New Roman"/>
                <w:color w:val="000000" w:themeColor="text1"/>
                <w:sz w:val="24"/>
                <w:szCs w:val="24"/>
              </w:rPr>
              <w:t>站其环境风险本身具有不确定性，主要发生的事故类型为：油品泄漏、火灾、爆炸。</w:t>
            </w:r>
          </w:p>
          <w:p w14:paraId="0001EDDC">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一般来说，物料泄漏事故属于一般性的事故，火灾或爆炸事故属于重大事故。但随着企业运行管理水平以及装置性能的提高，以及采取有效的防火防爆措施，火灾爆炸事故发生的概率是很低的，参照化工行业重大事故的概率分类，国内先进化工企业重大事故发生的概率为1×10</w:t>
            </w:r>
            <w:r>
              <w:rPr>
                <w:rFonts w:hint="default" w:ascii="Times New Roman" w:hAnsi="Times New Roman" w:cs="Times New Roman"/>
                <w:color w:val="000000" w:themeColor="text1"/>
                <w:sz w:val="24"/>
                <w:szCs w:val="24"/>
                <w:vertAlign w:val="superscript"/>
              </w:rPr>
              <w:t>-6</w:t>
            </w:r>
            <w:r>
              <w:rPr>
                <w:rFonts w:hint="default" w:ascii="Times New Roman" w:hAnsi="Times New Roman" w:cs="Times New Roman"/>
                <w:color w:val="000000" w:themeColor="text1"/>
                <w:sz w:val="24"/>
                <w:szCs w:val="24"/>
              </w:rPr>
              <w:t>~3.125×10</w:t>
            </w:r>
            <w:r>
              <w:rPr>
                <w:rFonts w:hint="default" w:ascii="Times New Roman" w:hAnsi="Times New Roman" w:cs="Times New Roman"/>
                <w:color w:val="000000" w:themeColor="text1"/>
                <w:sz w:val="24"/>
                <w:szCs w:val="24"/>
                <w:vertAlign w:val="superscript"/>
              </w:rPr>
              <w:t>-5</w:t>
            </w:r>
            <w:r>
              <w:rPr>
                <w:rFonts w:hint="default" w:ascii="Times New Roman" w:hAnsi="Times New Roman" w:cs="Times New Roman"/>
                <w:color w:val="000000" w:themeColor="text1"/>
                <w:sz w:val="24"/>
                <w:szCs w:val="24"/>
              </w:rPr>
              <w:t>次/年，确定本项目最大可信事故为油品泄漏事故及火灾、爆炸事故，概率为1×10</w:t>
            </w:r>
            <w:r>
              <w:rPr>
                <w:rFonts w:hint="default" w:ascii="Times New Roman" w:hAnsi="Times New Roman" w:cs="Times New Roman"/>
                <w:color w:val="000000" w:themeColor="text1"/>
                <w:sz w:val="24"/>
                <w:szCs w:val="24"/>
                <w:vertAlign w:val="superscript"/>
              </w:rPr>
              <w:t>-6</w:t>
            </w:r>
            <w:r>
              <w:rPr>
                <w:rFonts w:hint="default" w:ascii="Times New Roman" w:hAnsi="Times New Roman" w:cs="Times New Roman"/>
                <w:color w:val="000000" w:themeColor="text1"/>
                <w:sz w:val="24"/>
                <w:szCs w:val="24"/>
              </w:rPr>
              <w:t>~3.125×10</w:t>
            </w:r>
            <w:r>
              <w:rPr>
                <w:rFonts w:hint="default" w:ascii="Times New Roman" w:hAnsi="Times New Roman" w:cs="Times New Roman"/>
                <w:color w:val="000000" w:themeColor="text1"/>
                <w:sz w:val="24"/>
                <w:szCs w:val="24"/>
                <w:vertAlign w:val="superscript"/>
              </w:rPr>
              <w:t>-5</w:t>
            </w:r>
            <w:r>
              <w:rPr>
                <w:rFonts w:hint="default" w:ascii="Times New Roman" w:hAnsi="Times New Roman" w:cs="Times New Roman"/>
                <w:color w:val="000000" w:themeColor="text1"/>
                <w:sz w:val="24"/>
                <w:szCs w:val="24"/>
              </w:rPr>
              <w:t>次/年。</w:t>
            </w:r>
          </w:p>
          <w:p w14:paraId="780927A7">
            <w:pPr>
              <w:spacing w:line="360" w:lineRule="auto"/>
              <w:ind w:firstLine="480" w:firstLineChars="200"/>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.4事故后果预测计算</w:t>
            </w:r>
          </w:p>
          <w:p w14:paraId="0AA895AE">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（1）易燃、易爆危险源伤害后果计算</w:t>
            </w:r>
          </w:p>
          <w:p w14:paraId="233A237E">
            <w:pPr>
              <w:spacing w:line="360" w:lineRule="auto"/>
              <w:ind w:firstLine="480" w:firstLineChars="200"/>
              <w:rPr>
                <w:rFonts w:hint="eastAsia" w:ascii="Times New Roman" w:hAnsi="Times New Roman" w:eastAsia="宋体"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危险源伤害计算仅供参考，实际伤害后果以《昌吉市顺捷天然气有限公司改扩建项目安全生产预评价报告》为准。</w:t>
            </w:r>
          </w:p>
          <w:p w14:paraId="612DD1EE">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由于加油</w:t>
            </w:r>
            <w:r>
              <w:rPr>
                <w:rFonts w:hint="eastAsia" w:ascii="Times New Roman" w:hAnsi="Times New Roman" w:cs="Times New Roman"/>
                <w:color w:val="000000" w:themeColor="text1"/>
                <w:sz w:val="24"/>
                <w:szCs w:val="24"/>
                <w:lang w:val="en-US" w:eastAsia="zh-CN"/>
              </w:rPr>
              <w:t>加气</w:t>
            </w:r>
            <w:r>
              <w:rPr>
                <w:rFonts w:hint="default" w:ascii="Times New Roman" w:hAnsi="Times New Roman" w:cs="Times New Roman"/>
                <w:color w:val="000000" w:themeColor="text1"/>
                <w:sz w:val="24"/>
                <w:szCs w:val="24"/>
              </w:rPr>
              <w:t>站油罐</w:t>
            </w: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LNG罐</w:t>
            </w:r>
            <w:r>
              <w:rPr>
                <w:rFonts w:hint="default" w:ascii="Times New Roman" w:hAnsi="Times New Roman" w:cs="Times New Roman"/>
                <w:color w:val="000000" w:themeColor="text1"/>
                <w:sz w:val="24"/>
                <w:szCs w:val="24"/>
              </w:rPr>
              <w:t>均埋设在土壤中，发生爆炸应属于在土壤中的爆炸，其对周围人员和建筑物的伤害主要取决于地下油罐冲击波超压和爆炸振动速度，从能量释放的角度出发，以岩土中的爆炸理论为基础，利用爆破技术中已经得出的结论，来模拟地下</w:t>
            </w:r>
            <w:r>
              <w:rPr>
                <w:rFonts w:hint="eastAsia" w:ascii="Times New Roman" w:hAnsi="Times New Roman" w:cs="Times New Roman"/>
                <w:color w:val="000000" w:themeColor="text1"/>
                <w:sz w:val="24"/>
                <w:szCs w:val="24"/>
                <w:lang w:val="en-US" w:eastAsia="zh-CN"/>
              </w:rPr>
              <w:t>储</w:t>
            </w:r>
            <w:r>
              <w:rPr>
                <w:rFonts w:hint="default" w:ascii="Times New Roman" w:hAnsi="Times New Roman" w:cs="Times New Roman"/>
                <w:color w:val="000000" w:themeColor="text1"/>
                <w:sz w:val="24"/>
                <w:szCs w:val="24"/>
              </w:rPr>
              <w:t>罐爆炸事故的爆炸能量及危害后果。</w:t>
            </w:r>
          </w:p>
          <w:p w14:paraId="63D55261">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由于地下</w:t>
            </w:r>
            <w:r>
              <w:rPr>
                <w:rFonts w:hint="eastAsia" w:ascii="Times New Roman" w:hAnsi="Times New Roman" w:cs="Times New Roman"/>
                <w:color w:val="000000" w:themeColor="text1"/>
                <w:sz w:val="24"/>
                <w:szCs w:val="24"/>
                <w:lang w:val="en-US" w:eastAsia="zh-CN"/>
              </w:rPr>
              <w:t>储</w:t>
            </w:r>
            <w:r>
              <w:rPr>
                <w:rFonts w:hint="default" w:ascii="Times New Roman" w:hAnsi="Times New Roman" w:cs="Times New Roman"/>
                <w:color w:val="000000" w:themeColor="text1"/>
                <w:sz w:val="24"/>
                <w:szCs w:val="24"/>
              </w:rPr>
              <w:t>罐爆炸罐壁破裂释放的能量远小于冲击波产生的能量，况且地下罐发生爆炸时由于罐体破裂释放的能量更小，所以本文是在不考虑因容器本身破裂释放的能量的情况下进行计算和模拟的。本项目假设油罐及储气井的中心点作为爆炸原点。</w:t>
            </w:r>
          </w:p>
          <w:p w14:paraId="1C4CF3E1">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①地下</w:t>
            </w:r>
            <w:r>
              <w:rPr>
                <w:rFonts w:hint="eastAsia" w:ascii="Times New Roman" w:hAnsi="Times New Roman" w:cs="Times New Roman"/>
                <w:color w:val="000000" w:themeColor="text1"/>
                <w:sz w:val="24"/>
                <w:szCs w:val="24"/>
                <w:lang w:val="en-US" w:eastAsia="zh-CN"/>
              </w:rPr>
              <w:t>储</w:t>
            </w:r>
            <w:r>
              <w:rPr>
                <w:rFonts w:hint="default" w:ascii="Times New Roman" w:hAnsi="Times New Roman" w:cs="Times New Roman"/>
                <w:color w:val="000000" w:themeColor="text1"/>
                <w:sz w:val="24"/>
                <w:szCs w:val="24"/>
              </w:rPr>
              <w:t>罐爆炸能量计算</w:t>
            </w:r>
          </w:p>
          <w:p w14:paraId="36DCE397">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根据爆炸力学理论，采用范登伯格(Vanden Berg)和兰诺伊(Lannoy)TNT当量法，将其他易燃、易爆物质转化成相对应的当量TNT，来描述爆炸事故的威力，即能量释放程度，就可以利用长时间军事上积累的大量TNT药量与目标破坏程度之间关系的试验数据，计算出危害程度。计算公式如下：</w:t>
            </w:r>
          </w:p>
          <w:p w14:paraId="19F8FAAD">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W</w:t>
            </w:r>
            <w:r>
              <w:rPr>
                <w:rFonts w:hint="default" w:ascii="Times New Roman" w:hAnsi="Times New Roman" w:cs="Times New Roman"/>
                <w:color w:val="000000" w:themeColor="text1"/>
                <w:sz w:val="24"/>
                <w:szCs w:val="24"/>
                <w:vertAlign w:val="subscript"/>
              </w:rPr>
              <w:t>TNT</w:t>
            </w:r>
            <w:r>
              <w:rPr>
                <w:rFonts w:hint="default" w:ascii="Times New Roman" w:hAnsi="Times New Roman" w:cs="Times New Roman"/>
                <w:color w:val="000000" w:themeColor="text1"/>
                <w:sz w:val="24"/>
                <w:szCs w:val="24"/>
              </w:rPr>
              <w:t>=AW</w:t>
            </w:r>
            <w:r>
              <w:rPr>
                <w:rFonts w:hint="default" w:ascii="Times New Roman" w:hAnsi="Times New Roman" w:cs="Times New Roman"/>
                <w:color w:val="000000" w:themeColor="text1"/>
                <w:sz w:val="24"/>
                <w:szCs w:val="24"/>
                <w:vertAlign w:val="subscript"/>
              </w:rPr>
              <w:t>f</w:t>
            </w:r>
            <w:r>
              <w:rPr>
                <w:rFonts w:hint="default" w:ascii="Times New Roman" w:hAnsi="Times New Roman" w:cs="Times New Roman"/>
                <w:color w:val="000000" w:themeColor="text1"/>
                <w:sz w:val="24"/>
                <w:szCs w:val="24"/>
              </w:rPr>
              <w:t>Q</w:t>
            </w:r>
            <w:r>
              <w:rPr>
                <w:rFonts w:hint="default" w:ascii="Times New Roman" w:hAnsi="Times New Roman" w:cs="Times New Roman"/>
                <w:color w:val="000000" w:themeColor="text1"/>
                <w:sz w:val="24"/>
                <w:szCs w:val="24"/>
                <w:vertAlign w:val="subscript"/>
              </w:rPr>
              <w:t>f</w:t>
            </w:r>
            <w:r>
              <w:rPr>
                <w:rFonts w:hint="default" w:ascii="Times New Roman" w:hAnsi="Times New Roman" w:cs="Times New Roman"/>
                <w:color w:val="000000" w:themeColor="text1"/>
                <w:sz w:val="24"/>
                <w:szCs w:val="24"/>
              </w:rPr>
              <w:t>／Q</w:t>
            </w:r>
            <w:r>
              <w:rPr>
                <w:rFonts w:hint="default" w:ascii="Times New Roman" w:hAnsi="Times New Roman" w:cs="Times New Roman"/>
                <w:color w:val="000000" w:themeColor="text1"/>
                <w:sz w:val="24"/>
                <w:szCs w:val="24"/>
                <w:vertAlign w:val="subscript"/>
              </w:rPr>
              <w:t>TNT</w:t>
            </w:r>
          </w:p>
          <w:p w14:paraId="3A6B1302">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式中：</w:t>
            </w:r>
          </w:p>
          <w:p w14:paraId="0C97202D">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W</w:t>
            </w:r>
            <w:r>
              <w:rPr>
                <w:rFonts w:hint="default" w:ascii="Times New Roman" w:hAnsi="Times New Roman" w:cs="Times New Roman"/>
                <w:color w:val="000000" w:themeColor="text1"/>
                <w:sz w:val="24"/>
                <w:szCs w:val="24"/>
                <w:vertAlign w:val="subscript"/>
              </w:rPr>
              <w:t>TNT</w:t>
            </w:r>
            <w:r>
              <w:rPr>
                <w:rFonts w:hint="default" w:ascii="Times New Roman" w:hAnsi="Times New Roman" w:cs="Times New Roman"/>
                <w:color w:val="000000" w:themeColor="text1"/>
                <w:sz w:val="24"/>
                <w:szCs w:val="24"/>
              </w:rPr>
              <w:t>为蒸气云的TNT当量，kg；</w:t>
            </w:r>
          </w:p>
          <w:p w14:paraId="34E1BA24">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A为蒸气云的TNT当量系数，取值范围为0.02％一14.9％，通常取4％；</w:t>
            </w:r>
          </w:p>
          <w:p w14:paraId="20CDA78C">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W</w:t>
            </w:r>
            <w:r>
              <w:rPr>
                <w:rFonts w:hint="default" w:ascii="Times New Roman" w:hAnsi="Times New Roman" w:cs="Times New Roman"/>
                <w:color w:val="000000" w:themeColor="text1"/>
                <w:sz w:val="24"/>
                <w:szCs w:val="24"/>
                <w:vertAlign w:val="subscript"/>
              </w:rPr>
              <w:t>f</w:t>
            </w:r>
            <w:r>
              <w:rPr>
                <w:rFonts w:hint="default" w:ascii="Times New Roman" w:hAnsi="Times New Roman" w:cs="Times New Roman"/>
                <w:color w:val="000000" w:themeColor="text1"/>
                <w:sz w:val="24"/>
                <w:szCs w:val="24"/>
              </w:rPr>
              <w:t>为蒸气云中燃料的总质量，kg；</w:t>
            </w:r>
          </w:p>
          <w:p w14:paraId="15E54B33">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Q</w:t>
            </w:r>
            <w:r>
              <w:rPr>
                <w:rFonts w:hint="default" w:ascii="Times New Roman" w:hAnsi="Times New Roman" w:cs="Times New Roman"/>
                <w:color w:val="000000" w:themeColor="text1"/>
                <w:sz w:val="24"/>
                <w:szCs w:val="24"/>
                <w:vertAlign w:val="subscript"/>
              </w:rPr>
              <w:t>f</w:t>
            </w:r>
            <w:r>
              <w:rPr>
                <w:rFonts w:hint="default" w:ascii="Times New Roman" w:hAnsi="Times New Roman" w:cs="Times New Roman"/>
                <w:color w:val="000000" w:themeColor="text1"/>
                <w:sz w:val="24"/>
                <w:szCs w:val="24"/>
              </w:rPr>
              <w:t>为燃料的燃烧热，kJ／kg，汽油为47300kJ／kg，柴油为44800kJ／kg，天燃气为55594kJ／kg；</w:t>
            </w:r>
          </w:p>
          <w:p w14:paraId="69FEF896">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Q</w:t>
            </w:r>
            <w:r>
              <w:rPr>
                <w:rFonts w:hint="default" w:ascii="Times New Roman" w:hAnsi="Times New Roman" w:cs="Times New Roman"/>
                <w:color w:val="000000" w:themeColor="text1"/>
                <w:sz w:val="24"/>
                <w:szCs w:val="24"/>
                <w:vertAlign w:val="subscript"/>
              </w:rPr>
              <w:t>TNT</w:t>
            </w:r>
            <w:r>
              <w:rPr>
                <w:rFonts w:hint="default" w:ascii="Times New Roman" w:hAnsi="Times New Roman" w:cs="Times New Roman"/>
                <w:color w:val="000000" w:themeColor="text1"/>
                <w:sz w:val="24"/>
                <w:szCs w:val="24"/>
              </w:rPr>
              <w:t>为TNT的爆炸热，4.12-4.69MJ／kg，一般取4.52MJ／kg。</w:t>
            </w:r>
          </w:p>
          <w:p w14:paraId="62ADCBEC">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②莱克霍夫计算公式</w:t>
            </w:r>
          </w:p>
          <w:p w14:paraId="22BAD76D">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地下储罐爆炸冲击波计算应采用岩土爆破研究有关成果，采用G·M莱克霍夫的研究成果。莱克霍夫对于砂质土壤中的冲击波超压，公式为：</w:t>
            </w:r>
          </w:p>
          <w:p w14:paraId="69FBD9E8">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R=(8W</w:t>
            </w:r>
            <w:r>
              <w:rPr>
                <w:rFonts w:hint="default" w:ascii="Times New Roman" w:hAnsi="Times New Roman" w:cs="Times New Roman"/>
                <w:color w:val="000000" w:themeColor="text1"/>
                <w:sz w:val="24"/>
                <w:szCs w:val="24"/>
                <w:vertAlign w:val="subscript"/>
              </w:rPr>
              <w:t>TNT</w:t>
            </w:r>
            <w:r>
              <w:rPr>
                <w:rFonts w:hint="default" w:ascii="Times New Roman" w:hAnsi="Times New Roman" w:cs="Times New Roman"/>
                <w:color w:val="000000" w:themeColor="text1"/>
                <w:sz w:val="24"/>
                <w:szCs w:val="24"/>
              </w:rPr>
              <w:t>／p')</w:t>
            </w:r>
            <w:r>
              <w:rPr>
                <w:rFonts w:hint="default" w:ascii="Times New Roman" w:hAnsi="Times New Roman" w:cs="Times New Roman"/>
                <w:color w:val="000000" w:themeColor="text1"/>
                <w:sz w:val="24"/>
                <w:szCs w:val="24"/>
                <w:vertAlign w:val="superscript"/>
              </w:rPr>
              <w:t>1/3</w:t>
            </w:r>
          </w:p>
          <w:p w14:paraId="701045CF">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式中：p'=10P，P为爆炸冲击波超压，MPa；</w:t>
            </w:r>
          </w:p>
          <w:p w14:paraId="0C19D7CD">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R为爆心到所研究点的距离，m；</w:t>
            </w:r>
          </w:p>
          <w:p w14:paraId="3760AF15">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W</w:t>
            </w:r>
            <w:r>
              <w:rPr>
                <w:rFonts w:hint="default" w:ascii="Times New Roman" w:hAnsi="Times New Roman" w:cs="Times New Roman"/>
                <w:color w:val="000000" w:themeColor="text1"/>
                <w:sz w:val="24"/>
                <w:szCs w:val="24"/>
                <w:vertAlign w:val="subscript"/>
              </w:rPr>
              <w:t>TNT</w:t>
            </w:r>
            <w:r>
              <w:rPr>
                <w:rFonts w:hint="default" w:ascii="Times New Roman" w:hAnsi="Times New Roman" w:cs="Times New Roman"/>
                <w:color w:val="000000" w:themeColor="text1"/>
                <w:sz w:val="24"/>
                <w:szCs w:val="24"/>
              </w:rPr>
              <w:t>为蒸气云的TNT当量，kg。</w:t>
            </w:r>
          </w:p>
          <w:p w14:paraId="360491B0">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根据爆炸事故后果模拟评价方法中的超压准则，冲击波超压对人体的伤害和建筑物破坏作用见表</w:t>
            </w:r>
            <w:r>
              <w:rPr>
                <w:rFonts w:hint="eastAsia" w:ascii="Times New Roman" w:hAnsi="Times New Roman" w:cs="Times New Roman"/>
                <w:color w:val="000000" w:themeColor="text1"/>
                <w:sz w:val="24"/>
                <w:szCs w:val="24"/>
                <w:lang w:val="en-US" w:eastAsia="zh-CN"/>
              </w:rPr>
              <w:t>45</w:t>
            </w:r>
            <w:r>
              <w:rPr>
                <w:rFonts w:hint="default" w:ascii="Times New Roman" w:hAnsi="Times New Roman" w:cs="Times New Roman"/>
                <w:color w:val="000000" w:themeColor="text1"/>
                <w:sz w:val="24"/>
                <w:szCs w:val="24"/>
              </w:rPr>
              <w:t>、表</w:t>
            </w:r>
            <w:r>
              <w:rPr>
                <w:rFonts w:hint="eastAsia" w:ascii="Times New Roman" w:hAnsi="Times New Roman" w:cs="Times New Roman"/>
                <w:color w:val="000000" w:themeColor="text1"/>
                <w:sz w:val="24"/>
                <w:szCs w:val="24"/>
                <w:lang w:val="en-US" w:eastAsia="zh-CN"/>
              </w:rPr>
              <w:t>46</w:t>
            </w:r>
            <w:r>
              <w:rPr>
                <w:rFonts w:hint="default" w:ascii="Times New Roman" w:hAnsi="Times New Roman" w:cs="Times New Roman"/>
                <w:color w:val="000000" w:themeColor="text1"/>
                <w:sz w:val="24"/>
                <w:szCs w:val="24"/>
              </w:rPr>
              <w:t>、表</w:t>
            </w:r>
            <w:r>
              <w:rPr>
                <w:rFonts w:hint="eastAsia" w:ascii="Times New Roman" w:hAnsi="Times New Roman" w:cs="Times New Roman"/>
                <w:color w:val="000000" w:themeColor="text1"/>
                <w:sz w:val="24"/>
                <w:szCs w:val="24"/>
                <w:lang w:val="en-US" w:eastAsia="zh-CN"/>
              </w:rPr>
              <w:t>47、表48</w:t>
            </w:r>
            <w:r>
              <w:rPr>
                <w:rFonts w:hint="default" w:ascii="Times New Roman" w:hAnsi="Times New Roman" w:cs="Times New Roman"/>
                <w:color w:val="000000" w:themeColor="text1"/>
                <w:sz w:val="24"/>
                <w:szCs w:val="24"/>
              </w:rPr>
              <w:t>。</w:t>
            </w:r>
          </w:p>
          <w:p w14:paraId="2C5B8921">
            <w:pPr>
              <w:ind w:firstLine="422" w:firstLineChars="200"/>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45</w:t>
            </w:r>
            <w:r>
              <w:rPr>
                <w:rFonts w:hint="eastAsia" w:ascii="黑体" w:hAnsi="黑体" w:eastAsia="黑体" w:cs="黑体"/>
                <w:b/>
                <w:bCs/>
                <w:color w:val="000000" w:themeColor="text1"/>
                <w:sz w:val="21"/>
                <w:szCs w:val="21"/>
              </w:rPr>
              <w:t xml:space="preserve">                        人体伤害超压准则</w:t>
            </w:r>
          </w:p>
          <w:tbl>
            <w:tblPr>
              <w:tblStyle w:val="19"/>
              <w:tblW w:w="822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063"/>
              <w:gridCol w:w="1352"/>
              <w:gridCol w:w="4238"/>
            </w:tblGrid>
            <w:tr w14:paraId="109FB9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7" w:type="dxa"/>
                  <w:tcBorders>
                    <w:bottom w:val="single" w:color="auto" w:sz="12" w:space="0"/>
                  </w:tcBorders>
                  <w:vAlign w:val="center"/>
                </w:tcPr>
                <w:p w14:paraId="3B76A7EE">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序号</w:t>
                  </w:r>
                </w:p>
              </w:tc>
              <w:tc>
                <w:tcPr>
                  <w:tcW w:w="2063" w:type="dxa"/>
                  <w:tcBorders>
                    <w:bottom w:val="single" w:color="auto" w:sz="12" w:space="0"/>
                  </w:tcBorders>
                  <w:vAlign w:val="center"/>
                </w:tcPr>
                <w:p w14:paraId="439E9079">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伤害半径</w:t>
                  </w:r>
                </w:p>
              </w:tc>
              <w:tc>
                <w:tcPr>
                  <w:tcW w:w="1352" w:type="dxa"/>
                  <w:tcBorders>
                    <w:bottom w:val="single" w:color="auto" w:sz="12" w:space="0"/>
                  </w:tcBorders>
                  <w:vAlign w:val="center"/>
                </w:tcPr>
                <w:p w14:paraId="7D1F4DA3">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超压ΔP×105</w:t>
                  </w:r>
                </w:p>
                <w:p w14:paraId="5E548E5C">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（Pa）</w:t>
                  </w:r>
                </w:p>
              </w:tc>
              <w:tc>
                <w:tcPr>
                  <w:tcW w:w="4238" w:type="dxa"/>
                  <w:tcBorders>
                    <w:bottom w:val="single" w:color="auto" w:sz="12" w:space="0"/>
                  </w:tcBorders>
                  <w:vAlign w:val="center"/>
                </w:tcPr>
                <w:p w14:paraId="6544EABA">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伤害情况</w:t>
                  </w:r>
                </w:p>
              </w:tc>
            </w:tr>
            <w:tr w14:paraId="73CF83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7" w:type="dxa"/>
                  <w:tcBorders>
                    <w:top w:val="single" w:color="auto" w:sz="12" w:space="0"/>
                  </w:tcBorders>
                  <w:vAlign w:val="center"/>
                </w:tcPr>
                <w:p w14:paraId="45BA1609">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w:t>
                  </w:r>
                </w:p>
              </w:tc>
              <w:tc>
                <w:tcPr>
                  <w:tcW w:w="2063" w:type="dxa"/>
                  <w:tcBorders>
                    <w:top w:val="single" w:color="auto" w:sz="12" w:space="0"/>
                  </w:tcBorders>
                  <w:vAlign w:val="center"/>
                </w:tcPr>
                <w:p w14:paraId="48A2E63A">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轻伤半径R4（m）</w:t>
                  </w:r>
                </w:p>
              </w:tc>
              <w:tc>
                <w:tcPr>
                  <w:tcW w:w="1352" w:type="dxa"/>
                  <w:tcBorders>
                    <w:top w:val="single" w:color="auto" w:sz="12" w:space="0"/>
                  </w:tcBorders>
                  <w:vAlign w:val="center"/>
                </w:tcPr>
                <w:p w14:paraId="5522A50F">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0.2～0.3</w:t>
                  </w:r>
                </w:p>
              </w:tc>
              <w:tc>
                <w:tcPr>
                  <w:tcW w:w="4238" w:type="dxa"/>
                  <w:tcBorders>
                    <w:top w:val="single" w:color="auto" w:sz="12" w:space="0"/>
                  </w:tcBorders>
                  <w:vAlign w:val="center"/>
                </w:tcPr>
                <w:p w14:paraId="38BC36F5">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轻微挫伤</w:t>
                  </w:r>
                </w:p>
              </w:tc>
            </w:tr>
            <w:tr w14:paraId="3A5097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7" w:type="dxa"/>
                  <w:vAlign w:val="center"/>
                </w:tcPr>
                <w:p w14:paraId="70C15B7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2</w:t>
                  </w:r>
                </w:p>
              </w:tc>
              <w:tc>
                <w:tcPr>
                  <w:tcW w:w="2063" w:type="dxa"/>
                  <w:vAlign w:val="center"/>
                </w:tcPr>
                <w:p w14:paraId="5299453C">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重伤半径R3（m）</w:t>
                  </w:r>
                </w:p>
              </w:tc>
              <w:tc>
                <w:tcPr>
                  <w:tcW w:w="1352" w:type="dxa"/>
                  <w:vAlign w:val="center"/>
                </w:tcPr>
                <w:p w14:paraId="55A2F86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0.3～0.5</w:t>
                  </w:r>
                </w:p>
              </w:tc>
              <w:tc>
                <w:tcPr>
                  <w:tcW w:w="4238" w:type="dxa"/>
                  <w:vAlign w:val="center"/>
                </w:tcPr>
                <w:p w14:paraId="6F197006">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听觉、气管伤害，中等挫伤、骨折</w:t>
                  </w:r>
                </w:p>
              </w:tc>
            </w:tr>
            <w:tr w14:paraId="4CBE68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7" w:type="dxa"/>
                  <w:vAlign w:val="center"/>
                </w:tcPr>
                <w:p w14:paraId="24D0B27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3</w:t>
                  </w:r>
                </w:p>
              </w:tc>
              <w:tc>
                <w:tcPr>
                  <w:tcW w:w="2063" w:type="dxa"/>
                  <w:vAlign w:val="center"/>
                </w:tcPr>
                <w:p w14:paraId="6AC3821E">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财产损失半径R2（m）</w:t>
                  </w:r>
                </w:p>
              </w:tc>
              <w:tc>
                <w:tcPr>
                  <w:tcW w:w="1352" w:type="dxa"/>
                  <w:vAlign w:val="center"/>
                </w:tcPr>
                <w:p w14:paraId="2C420978">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0.5～1</w:t>
                  </w:r>
                </w:p>
              </w:tc>
              <w:tc>
                <w:tcPr>
                  <w:tcW w:w="4238" w:type="dxa"/>
                  <w:vAlign w:val="center"/>
                </w:tcPr>
                <w:p w14:paraId="7ED7F49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内脏严重挫伤，可能造成死亡；发生财产损失</w:t>
                  </w:r>
                </w:p>
              </w:tc>
            </w:tr>
            <w:tr w14:paraId="588985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67" w:type="dxa"/>
                  <w:vAlign w:val="center"/>
                </w:tcPr>
                <w:p w14:paraId="52968E1D">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4</w:t>
                  </w:r>
                </w:p>
              </w:tc>
              <w:tc>
                <w:tcPr>
                  <w:tcW w:w="2063" w:type="dxa"/>
                  <w:vAlign w:val="center"/>
                </w:tcPr>
                <w:p w14:paraId="49E5F80A">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死亡半径R1（m）</w:t>
                  </w:r>
                </w:p>
              </w:tc>
              <w:tc>
                <w:tcPr>
                  <w:tcW w:w="1352" w:type="dxa"/>
                  <w:vAlign w:val="center"/>
                </w:tcPr>
                <w:p w14:paraId="7E4CF3A0">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w:t>
                  </w:r>
                </w:p>
              </w:tc>
              <w:tc>
                <w:tcPr>
                  <w:tcW w:w="4238" w:type="dxa"/>
                  <w:vAlign w:val="center"/>
                </w:tcPr>
                <w:p w14:paraId="39E0BE0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大部分人死亡</w:t>
                  </w:r>
                </w:p>
              </w:tc>
            </w:tr>
          </w:tbl>
          <w:p w14:paraId="65ABBA30">
            <w:pPr>
              <w:ind w:firstLine="422" w:firstLineChars="200"/>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46</w:t>
            </w:r>
            <w:r>
              <w:rPr>
                <w:rFonts w:hint="eastAsia" w:ascii="黑体" w:hAnsi="黑体" w:eastAsia="黑体" w:cs="黑体"/>
                <w:b/>
                <w:bCs/>
                <w:color w:val="000000" w:themeColor="text1"/>
                <w:sz w:val="21"/>
                <w:szCs w:val="21"/>
              </w:rPr>
              <w:t xml:space="preserve">                   汽油爆炸伤害程度及范围计算结果</w:t>
            </w:r>
          </w:p>
          <w:tbl>
            <w:tblPr>
              <w:tblStyle w:val="19"/>
              <w:tblW w:w="822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9"/>
              <w:gridCol w:w="2150"/>
              <w:gridCol w:w="2088"/>
              <w:gridCol w:w="3303"/>
            </w:tblGrid>
            <w:tr w14:paraId="49E609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9" w:type="dxa"/>
                  <w:tcBorders>
                    <w:bottom w:val="single" w:color="auto" w:sz="12" w:space="0"/>
                  </w:tcBorders>
                  <w:vAlign w:val="center"/>
                </w:tcPr>
                <w:p w14:paraId="188981A8">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序号</w:t>
                  </w:r>
                </w:p>
              </w:tc>
              <w:tc>
                <w:tcPr>
                  <w:tcW w:w="2150" w:type="dxa"/>
                  <w:tcBorders>
                    <w:bottom w:val="single" w:color="auto" w:sz="12" w:space="0"/>
                  </w:tcBorders>
                  <w:vAlign w:val="center"/>
                </w:tcPr>
                <w:p w14:paraId="1E300E89">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伤害半径（m）</w:t>
                  </w:r>
                </w:p>
              </w:tc>
              <w:tc>
                <w:tcPr>
                  <w:tcW w:w="2088" w:type="dxa"/>
                  <w:tcBorders>
                    <w:bottom w:val="single" w:color="auto" w:sz="12" w:space="0"/>
                  </w:tcBorders>
                  <w:vAlign w:val="center"/>
                </w:tcPr>
                <w:p w14:paraId="28F87386">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经计算伤害半径(m)</w:t>
                  </w:r>
                </w:p>
              </w:tc>
              <w:tc>
                <w:tcPr>
                  <w:tcW w:w="3303" w:type="dxa"/>
                  <w:tcBorders>
                    <w:bottom w:val="single" w:color="auto" w:sz="12" w:space="0"/>
                  </w:tcBorders>
                  <w:vAlign w:val="center"/>
                </w:tcPr>
                <w:p w14:paraId="2E2135E6">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伤害情况</w:t>
                  </w:r>
                </w:p>
              </w:tc>
            </w:tr>
            <w:tr w14:paraId="42E556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9" w:type="dxa"/>
                  <w:tcBorders>
                    <w:top w:val="single" w:color="auto" w:sz="12" w:space="0"/>
                  </w:tcBorders>
                  <w:vAlign w:val="center"/>
                </w:tcPr>
                <w:p w14:paraId="7B6DF88A">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w:t>
                  </w:r>
                </w:p>
              </w:tc>
              <w:tc>
                <w:tcPr>
                  <w:tcW w:w="2150" w:type="dxa"/>
                  <w:tcBorders>
                    <w:top w:val="single" w:color="auto" w:sz="12" w:space="0"/>
                  </w:tcBorders>
                  <w:vAlign w:val="center"/>
                </w:tcPr>
                <w:p w14:paraId="65D53751">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轻伤半径R4（m）</w:t>
                  </w:r>
                </w:p>
              </w:tc>
              <w:tc>
                <w:tcPr>
                  <w:tcW w:w="2088" w:type="dxa"/>
                  <w:tcBorders>
                    <w:top w:val="single" w:color="auto" w:sz="12" w:space="0"/>
                  </w:tcBorders>
                  <w:vAlign w:val="center"/>
                </w:tcPr>
                <w:p w14:paraId="643EA4D9">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177.9</w:t>
                  </w:r>
                </w:p>
              </w:tc>
              <w:tc>
                <w:tcPr>
                  <w:tcW w:w="3303" w:type="dxa"/>
                  <w:tcBorders>
                    <w:top w:val="single" w:color="auto" w:sz="12" w:space="0"/>
                  </w:tcBorders>
                  <w:vAlign w:val="center"/>
                </w:tcPr>
                <w:p w14:paraId="53B15F56">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轻微挫伤</w:t>
                  </w:r>
                </w:p>
              </w:tc>
            </w:tr>
            <w:tr w14:paraId="050494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9" w:type="dxa"/>
                  <w:vAlign w:val="center"/>
                </w:tcPr>
                <w:p w14:paraId="0D155A5E">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2</w:t>
                  </w:r>
                </w:p>
              </w:tc>
              <w:tc>
                <w:tcPr>
                  <w:tcW w:w="2150" w:type="dxa"/>
                  <w:vAlign w:val="center"/>
                </w:tcPr>
                <w:p w14:paraId="4B8D966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重伤半径R3（m）</w:t>
                  </w:r>
                </w:p>
              </w:tc>
              <w:tc>
                <w:tcPr>
                  <w:tcW w:w="2088" w:type="dxa"/>
                  <w:vAlign w:val="center"/>
                </w:tcPr>
                <w:p w14:paraId="448F2F69">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99.2</w:t>
                  </w:r>
                </w:p>
              </w:tc>
              <w:tc>
                <w:tcPr>
                  <w:tcW w:w="3303" w:type="dxa"/>
                  <w:vAlign w:val="center"/>
                </w:tcPr>
                <w:p w14:paraId="3928A260">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听觉、气管伤害，中等挫伤、骨折</w:t>
                  </w:r>
                </w:p>
              </w:tc>
            </w:tr>
            <w:tr w14:paraId="522C9C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9" w:type="dxa"/>
                  <w:vAlign w:val="center"/>
                </w:tcPr>
                <w:p w14:paraId="46C364FD">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3</w:t>
                  </w:r>
                </w:p>
              </w:tc>
              <w:tc>
                <w:tcPr>
                  <w:tcW w:w="2150" w:type="dxa"/>
                  <w:vAlign w:val="center"/>
                </w:tcPr>
                <w:p w14:paraId="52D9A55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财产损失半径R2（m）</w:t>
                  </w:r>
                </w:p>
              </w:tc>
              <w:tc>
                <w:tcPr>
                  <w:tcW w:w="2088" w:type="dxa"/>
                  <w:vAlign w:val="center"/>
                </w:tcPr>
                <w:p w14:paraId="5221C0AA">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114.7</w:t>
                  </w:r>
                </w:p>
              </w:tc>
              <w:tc>
                <w:tcPr>
                  <w:tcW w:w="3303" w:type="dxa"/>
                  <w:vAlign w:val="center"/>
                </w:tcPr>
                <w:p w14:paraId="3F8C21D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内脏严重挫伤，可能造成死亡；发生财产损失</w:t>
                  </w:r>
                </w:p>
              </w:tc>
            </w:tr>
            <w:tr w14:paraId="56B64D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79" w:type="dxa"/>
                  <w:vAlign w:val="center"/>
                </w:tcPr>
                <w:p w14:paraId="450FE4C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4</w:t>
                  </w:r>
                </w:p>
              </w:tc>
              <w:tc>
                <w:tcPr>
                  <w:tcW w:w="2150" w:type="dxa"/>
                  <w:vAlign w:val="center"/>
                </w:tcPr>
                <w:p w14:paraId="1B8BC291">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死亡半径R1（m）</w:t>
                  </w:r>
                </w:p>
              </w:tc>
              <w:tc>
                <w:tcPr>
                  <w:tcW w:w="2088" w:type="dxa"/>
                  <w:vAlign w:val="center"/>
                </w:tcPr>
                <w:p w14:paraId="353B9064">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37.8</w:t>
                  </w:r>
                </w:p>
              </w:tc>
              <w:tc>
                <w:tcPr>
                  <w:tcW w:w="3303" w:type="dxa"/>
                  <w:vAlign w:val="center"/>
                </w:tcPr>
                <w:p w14:paraId="39EEAEFC">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大部分人死亡</w:t>
                  </w:r>
                </w:p>
              </w:tc>
            </w:tr>
          </w:tbl>
          <w:p w14:paraId="5B8FBF9A">
            <w:pPr>
              <w:ind w:firstLine="422" w:firstLineChars="200"/>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47</w:t>
            </w:r>
            <w:r>
              <w:rPr>
                <w:rFonts w:hint="eastAsia" w:ascii="黑体" w:hAnsi="黑体" w:eastAsia="黑体" w:cs="黑体"/>
                <w:b/>
                <w:bCs/>
                <w:color w:val="000000" w:themeColor="text1"/>
                <w:sz w:val="21"/>
                <w:szCs w:val="21"/>
              </w:rPr>
              <w:t xml:space="preserve">              柴油爆炸伤害程度及范围计算结果</w:t>
            </w:r>
          </w:p>
          <w:tbl>
            <w:tblPr>
              <w:tblStyle w:val="19"/>
              <w:tblW w:w="822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7"/>
              <w:gridCol w:w="2175"/>
              <w:gridCol w:w="2062"/>
              <w:gridCol w:w="3316"/>
            </w:tblGrid>
            <w:tr w14:paraId="64F9D6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7" w:type="dxa"/>
                  <w:tcBorders>
                    <w:bottom w:val="single" w:color="auto" w:sz="12" w:space="0"/>
                  </w:tcBorders>
                  <w:vAlign w:val="center"/>
                </w:tcPr>
                <w:p w14:paraId="72BC539D">
                  <w:pP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序号</w:t>
                  </w:r>
                </w:p>
              </w:tc>
              <w:tc>
                <w:tcPr>
                  <w:tcW w:w="2175" w:type="dxa"/>
                  <w:tcBorders>
                    <w:bottom w:val="single" w:color="auto" w:sz="12" w:space="0"/>
                  </w:tcBorders>
                  <w:vAlign w:val="center"/>
                </w:tcPr>
                <w:p w14:paraId="66DAB819">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伤害半径（m）</w:t>
                  </w:r>
                </w:p>
              </w:tc>
              <w:tc>
                <w:tcPr>
                  <w:tcW w:w="2062" w:type="dxa"/>
                  <w:tcBorders>
                    <w:bottom w:val="single" w:color="auto" w:sz="12" w:space="0"/>
                  </w:tcBorders>
                  <w:vAlign w:val="center"/>
                </w:tcPr>
                <w:p w14:paraId="26E8017C">
                  <w:pP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经计算伤害半径(m)</w:t>
                  </w:r>
                </w:p>
              </w:tc>
              <w:tc>
                <w:tcPr>
                  <w:tcW w:w="3316" w:type="dxa"/>
                  <w:tcBorders>
                    <w:bottom w:val="single" w:color="auto" w:sz="12" w:space="0"/>
                  </w:tcBorders>
                  <w:vAlign w:val="center"/>
                </w:tcPr>
                <w:p w14:paraId="4252FE39">
                  <w:pP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伤害情况</w:t>
                  </w:r>
                </w:p>
              </w:tc>
            </w:tr>
            <w:tr w14:paraId="2EDF3B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7" w:type="dxa"/>
                  <w:tcBorders>
                    <w:top w:val="single" w:color="auto" w:sz="12" w:space="0"/>
                  </w:tcBorders>
                  <w:vAlign w:val="center"/>
                </w:tcPr>
                <w:p w14:paraId="7F738FE0">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w:t>
                  </w:r>
                </w:p>
              </w:tc>
              <w:tc>
                <w:tcPr>
                  <w:tcW w:w="2175" w:type="dxa"/>
                  <w:tcBorders>
                    <w:top w:val="single" w:color="auto" w:sz="12" w:space="0"/>
                  </w:tcBorders>
                  <w:vAlign w:val="center"/>
                </w:tcPr>
                <w:p w14:paraId="7F6DC872">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轻伤半径R4（m）</w:t>
                  </w:r>
                </w:p>
              </w:tc>
              <w:tc>
                <w:tcPr>
                  <w:tcW w:w="2062" w:type="dxa"/>
                  <w:tcBorders>
                    <w:top w:val="single" w:color="auto" w:sz="12" w:space="0"/>
                  </w:tcBorders>
                  <w:vAlign w:val="center"/>
                </w:tcPr>
                <w:p w14:paraId="7599387A">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116.9</w:t>
                  </w:r>
                </w:p>
              </w:tc>
              <w:tc>
                <w:tcPr>
                  <w:tcW w:w="3316" w:type="dxa"/>
                  <w:tcBorders>
                    <w:top w:val="single" w:color="auto" w:sz="12" w:space="0"/>
                  </w:tcBorders>
                  <w:vAlign w:val="center"/>
                </w:tcPr>
                <w:p w14:paraId="5617F9AB">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轻微挫伤</w:t>
                  </w:r>
                </w:p>
              </w:tc>
            </w:tr>
            <w:tr w14:paraId="5D09A6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7" w:type="dxa"/>
                  <w:vAlign w:val="center"/>
                </w:tcPr>
                <w:p w14:paraId="0A468F7A">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2</w:t>
                  </w:r>
                </w:p>
              </w:tc>
              <w:tc>
                <w:tcPr>
                  <w:tcW w:w="2175" w:type="dxa"/>
                  <w:vAlign w:val="center"/>
                </w:tcPr>
                <w:p w14:paraId="7E51D41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重伤半径R3（m）</w:t>
                  </w:r>
                </w:p>
              </w:tc>
              <w:tc>
                <w:tcPr>
                  <w:tcW w:w="2062" w:type="dxa"/>
                  <w:vAlign w:val="center"/>
                </w:tcPr>
                <w:p w14:paraId="4E80759E">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65.2</w:t>
                  </w:r>
                </w:p>
              </w:tc>
              <w:tc>
                <w:tcPr>
                  <w:tcW w:w="3316" w:type="dxa"/>
                  <w:vAlign w:val="center"/>
                </w:tcPr>
                <w:p w14:paraId="61110BE0">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听觉、气管伤害，中等挫伤、骨折</w:t>
                  </w:r>
                </w:p>
              </w:tc>
            </w:tr>
            <w:tr w14:paraId="17C1CE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7" w:type="dxa"/>
                  <w:vAlign w:val="center"/>
                </w:tcPr>
                <w:p w14:paraId="0C358342">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3</w:t>
                  </w:r>
                </w:p>
              </w:tc>
              <w:tc>
                <w:tcPr>
                  <w:tcW w:w="2175" w:type="dxa"/>
                  <w:vAlign w:val="center"/>
                </w:tcPr>
                <w:p w14:paraId="0163DCC0">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财产损失半径R2（m）</w:t>
                  </w:r>
                </w:p>
              </w:tc>
              <w:tc>
                <w:tcPr>
                  <w:tcW w:w="2062" w:type="dxa"/>
                  <w:vAlign w:val="center"/>
                </w:tcPr>
                <w:p w14:paraId="7907714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71</w:t>
                  </w:r>
                </w:p>
              </w:tc>
              <w:tc>
                <w:tcPr>
                  <w:tcW w:w="3316" w:type="dxa"/>
                  <w:vAlign w:val="center"/>
                </w:tcPr>
                <w:p w14:paraId="64CE5C94">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内脏严重挫伤，可能造成死亡；发生财产损失</w:t>
                  </w:r>
                </w:p>
              </w:tc>
            </w:tr>
            <w:tr w14:paraId="7FACBB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7" w:type="dxa"/>
                  <w:vAlign w:val="center"/>
                </w:tcPr>
                <w:p w14:paraId="1A1C9F79">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4</w:t>
                  </w:r>
                </w:p>
              </w:tc>
              <w:tc>
                <w:tcPr>
                  <w:tcW w:w="2175" w:type="dxa"/>
                  <w:vAlign w:val="center"/>
                </w:tcPr>
                <w:p w14:paraId="72F2C426">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死亡半径R1（m）</w:t>
                  </w:r>
                </w:p>
              </w:tc>
              <w:tc>
                <w:tcPr>
                  <w:tcW w:w="2062" w:type="dxa"/>
                  <w:vAlign w:val="center"/>
                </w:tcPr>
                <w:p w14:paraId="51F850BB">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23.7</w:t>
                  </w:r>
                </w:p>
              </w:tc>
              <w:tc>
                <w:tcPr>
                  <w:tcW w:w="3316" w:type="dxa"/>
                  <w:vAlign w:val="center"/>
                </w:tcPr>
                <w:p w14:paraId="50A38135">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大部分人死亡</w:t>
                  </w:r>
                </w:p>
              </w:tc>
            </w:tr>
          </w:tbl>
          <w:p w14:paraId="1F40542B">
            <w:pPr>
              <w:ind w:firstLine="422" w:firstLineChars="200"/>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48</w:t>
            </w:r>
            <w:r>
              <w:rPr>
                <w:rFonts w:hint="eastAsia"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天然气</w:t>
            </w:r>
            <w:r>
              <w:rPr>
                <w:rFonts w:hint="eastAsia" w:ascii="黑体" w:hAnsi="黑体" w:eastAsia="黑体" w:cs="黑体"/>
                <w:b/>
                <w:bCs/>
                <w:color w:val="000000" w:themeColor="text1"/>
                <w:sz w:val="21"/>
                <w:szCs w:val="21"/>
              </w:rPr>
              <w:t>爆炸伤害程度及范围计算结果</w:t>
            </w:r>
          </w:p>
          <w:tbl>
            <w:tblPr>
              <w:tblStyle w:val="19"/>
              <w:tblW w:w="822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7"/>
              <w:gridCol w:w="2175"/>
              <w:gridCol w:w="2062"/>
              <w:gridCol w:w="3316"/>
            </w:tblGrid>
            <w:tr w14:paraId="61DF2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7" w:type="dxa"/>
                  <w:tcBorders>
                    <w:bottom w:val="single" w:color="auto" w:sz="12" w:space="0"/>
                  </w:tcBorders>
                  <w:vAlign w:val="center"/>
                </w:tcPr>
                <w:p w14:paraId="683ED548">
                  <w:pP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序号</w:t>
                  </w:r>
                </w:p>
              </w:tc>
              <w:tc>
                <w:tcPr>
                  <w:tcW w:w="2175" w:type="dxa"/>
                  <w:tcBorders>
                    <w:bottom w:val="single" w:color="auto" w:sz="12" w:space="0"/>
                  </w:tcBorders>
                  <w:vAlign w:val="center"/>
                </w:tcPr>
                <w:p w14:paraId="5BA652DE">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伤害半径（m）</w:t>
                  </w:r>
                </w:p>
              </w:tc>
              <w:tc>
                <w:tcPr>
                  <w:tcW w:w="2062" w:type="dxa"/>
                  <w:tcBorders>
                    <w:bottom w:val="single" w:color="auto" w:sz="12" w:space="0"/>
                  </w:tcBorders>
                  <w:vAlign w:val="center"/>
                </w:tcPr>
                <w:p w14:paraId="4D77F377">
                  <w:pP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经计算伤害半径(m)</w:t>
                  </w:r>
                </w:p>
              </w:tc>
              <w:tc>
                <w:tcPr>
                  <w:tcW w:w="3316" w:type="dxa"/>
                  <w:tcBorders>
                    <w:bottom w:val="single" w:color="auto" w:sz="12" w:space="0"/>
                  </w:tcBorders>
                  <w:vAlign w:val="center"/>
                </w:tcPr>
                <w:p w14:paraId="328E1B2D">
                  <w:pP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伤害情况</w:t>
                  </w:r>
                </w:p>
              </w:tc>
            </w:tr>
            <w:tr w14:paraId="3276F8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7" w:type="dxa"/>
                  <w:tcBorders>
                    <w:top w:val="single" w:color="auto" w:sz="12" w:space="0"/>
                  </w:tcBorders>
                  <w:vAlign w:val="center"/>
                </w:tcPr>
                <w:p w14:paraId="10AD90BB">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w:t>
                  </w:r>
                </w:p>
              </w:tc>
              <w:tc>
                <w:tcPr>
                  <w:tcW w:w="2175" w:type="dxa"/>
                  <w:tcBorders>
                    <w:top w:val="single" w:color="auto" w:sz="12" w:space="0"/>
                  </w:tcBorders>
                  <w:vAlign w:val="center"/>
                </w:tcPr>
                <w:p w14:paraId="3F0E62AB">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轻伤半径R4（m）</w:t>
                  </w:r>
                </w:p>
              </w:tc>
              <w:tc>
                <w:tcPr>
                  <w:tcW w:w="2062" w:type="dxa"/>
                  <w:tcBorders>
                    <w:top w:val="single" w:color="auto" w:sz="12" w:space="0"/>
                  </w:tcBorders>
                  <w:vAlign w:val="center"/>
                </w:tcPr>
                <w:p w14:paraId="062F2640">
                  <w:pPr>
                    <w:jc w:val="center"/>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178.8</w:t>
                  </w:r>
                </w:p>
              </w:tc>
              <w:tc>
                <w:tcPr>
                  <w:tcW w:w="3316" w:type="dxa"/>
                  <w:tcBorders>
                    <w:top w:val="single" w:color="auto" w:sz="12" w:space="0"/>
                  </w:tcBorders>
                  <w:vAlign w:val="center"/>
                </w:tcPr>
                <w:p w14:paraId="4134C968">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轻微挫伤</w:t>
                  </w:r>
                </w:p>
              </w:tc>
            </w:tr>
            <w:tr w14:paraId="70A03B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7" w:type="dxa"/>
                  <w:vAlign w:val="center"/>
                </w:tcPr>
                <w:p w14:paraId="10CF626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2</w:t>
                  </w:r>
                </w:p>
              </w:tc>
              <w:tc>
                <w:tcPr>
                  <w:tcW w:w="2175" w:type="dxa"/>
                  <w:vAlign w:val="center"/>
                </w:tcPr>
                <w:p w14:paraId="21E4A43F">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重伤半径R3（m）</w:t>
                  </w:r>
                </w:p>
              </w:tc>
              <w:tc>
                <w:tcPr>
                  <w:tcW w:w="2062" w:type="dxa"/>
                  <w:vAlign w:val="center"/>
                </w:tcPr>
                <w:p w14:paraId="7D9F492A">
                  <w:pPr>
                    <w:jc w:val="center"/>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101.2</w:t>
                  </w:r>
                </w:p>
              </w:tc>
              <w:tc>
                <w:tcPr>
                  <w:tcW w:w="3316" w:type="dxa"/>
                  <w:vAlign w:val="center"/>
                </w:tcPr>
                <w:p w14:paraId="542FCEEC">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听觉、气管伤害，中等挫伤、骨折</w:t>
                  </w:r>
                </w:p>
              </w:tc>
            </w:tr>
            <w:tr w14:paraId="5A1E8D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7" w:type="dxa"/>
                  <w:vAlign w:val="center"/>
                </w:tcPr>
                <w:p w14:paraId="788A771C">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3</w:t>
                  </w:r>
                </w:p>
              </w:tc>
              <w:tc>
                <w:tcPr>
                  <w:tcW w:w="2175" w:type="dxa"/>
                  <w:vAlign w:val="center"/>
                </w:tcPr>
                <w:p w14:paraId="589DEC90">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财产损失半径R2（m）</w:t>
                  </w:r>
                </w:p>
              </w:tc>
              <w:tc>
                <w:tcPr>
                  <w:tcW w:w="2062" w:type="dxa"/>
                  <w:vAlign w:val="center"/>
                </w:tcPr>
                <w:p w14:paraId="38DF997C">
                  <w:pPr>
                    <w:jc w:val="center"/>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116.1</w:t>
                  </w:r>
                </w:p>
              </w:tc>
              <w:tc>
                <w:tcPr>
                  <w:tcW w:w="3316" w:type="dxa"/>
                  <w:vAlign w:val="center"/>
                </w:tcPr>
                <w:p w14:paraId="55764693">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内脏严重挫伤，可能造成死亡；发生财产损失</w:t>
                  </w:r>
                </w:p>
              </w:tc>
            </w:tr>
            <w:tr w14:paraId="734D2C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7" w:type="dxa"/>
                  <w:vAlign w:val="center"/>
                </w:tcPr>
                <w:p w14:paraId="713C0370">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4</w:t>
                  </w:r>
                </w:p>
              </w:tc>
              <w:tc>
                <w:tcPr>
                  <w:tcW w:w="2175" w:type="dxa"/>
                  <w:vAlign w:val="center"/>
                </w:tcPr>
                <w:p w14:paraId="4F29AD9B">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死亡半径R1（m）</w:t>
                  </w:r>
                </w:p>
              </w:tc>
              <w:tc>
                <w:tcPr>
                  <w:tcW w:w="2062" w:type="dxa"/>
                  <w:vAlign w:val="center"/>
                </w:tcPr>
                <w:p w14:paraId="26CF8477">
                  <w:pPr>
                    <w:jc w:val="center"/>
                    <w:rPr>
                      <w:rFonts w:hint="eastAsia" w:ascii="Times New Roman" w:hAnsi="Times New Roman" w:eastAsia="宋体" w:cs="Times New Roman"/>
                      <w:color w:val="000000" w:themeColor="text1"/>
                      <w:sz w:val="21"/>
                      <w:szCs w:val="21"/>
                      <w:lang w:eastAsia="zh-CN"/>
                    </w:rPr>
                  </w:pPr>
                  <w:r>
                    <w:rPr>
                      <w:rFonts w:hint="eastAsia" w:ascii="Times New Roman" w:hAnsi="Times New Roman" w:cs="Times New Roman"/>
                      <w:color w:val="000000" w:themeColor="text1"/>
                      <w:sz w:val="21"/>
                      <w:szCs w:val="21"/>
                      <w:lang w:val="en-US" w:eastAsia="zh-CN"/>
                    </w:rPr>
                    <w:t>38.3</w:t>
                  </w:r>
                </w:p>
              </w:tc>
              <w:tc>
                <w:tcPr>
                  <w:tcW w:w="3316" w:type="dxa"/>
                  <w:vAlign w:val="center"/>
                </w:tcPr>
                <w:p w14:paraId="4BCE08B5">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大部分人死亡</w:t>
                  </w:r>
                </w:p>
              </w:tc>
            </w:tr>
          </w:tbl>
          <w:p w14:paraId="330F4F6D">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(2)后果评价</w:t>
            </w:r>
          </w:p>
          <w:p w14:paraId="769BC632">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由上表可以看出，本项目设计汽油、柴油</w:t>
            </w: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LNG</w:t>
            </w:r>
            <w:r>
              <w:rPr>
                <w:rFonts w:hint="default" w:ascii="Times New Roman" w:hAnsi="Times New Roman" w:cs="Times New Roman"/>
                <w:color w:val="000000" w:themeColor="text1"/>
                <w:sz w:val="24"/>
                <w:szCs w:val="24"/>
              </w:rPr>
              <w:t>等危险物质，根据现场勘查，本项目位于</w:t>
            </w:r>
            <w:bookmarkStart w:id="21" w:name="OLE_LINK8"/>
            <w:r>
              <w:rPr>
                <w:rFonts w:hint="default" w:ascii="Times New Roman" w:hAnsi="Times New Roman" w:eastAsia="宋体" w:cs="Times New Roman"/>
                <w:color w:val="000000" w:themeColor="text1"/>
                <w:lang w:eastAsia="zh-CN"/>
              </w:rPr>
              <w:t>昌吉高新</w:t>
            </w:r>
            <w:r>
              <w:rPr>
                <w:rFonts w:hint="eastAsia" w:ascii="Times New Roman" w:hAnsi="Times New Roman" w:cs="Times New Roman"/>
                <w:color w:val="000000" w:themeColor="text1"/>
                <w:lang w:val="en-US" w:eastAsia="zh-CN"/>
              </w:rPr>
              <w:t>技术</w:t>
            </w:r>
            <w:r>
              <w:rPr>
                <w:rFonts w:hint="default" w:ascii="Times New Roman" w:hAnsi="Times New Roman" w:eastAsia="宋体" w:cs="Times New Roman"/>
                <w:color w:val="000000" w:themeColor="text1"/>
                <w:lang w:eastAsia="zh-CN"/>
              </w:rPr>
              <w:t>产业开发区北环东路</w:t>
            </w:r>
            <w:r>
              <w:rPr>
                <w:rFonts w:hint="default" w:ascii="Times New Roman" w:hAnsi="Times New Roman" w:eastAsia="宋体" w:cs="Times New Roman"/>
                <w:color w:val="000000" w:themeColor="text1"/>
                <w:lang w:val="en-US" w:eastAsia="zh-CN"/>
              </w:rPr>
              <w:t>10号</w:t>
            </w:r>
            <w:bookmarkEnd w:id="21"/>
            <w:r>
              <w:rPr>
                <w:rFonts w:hint="default" w:ascii="Times New Roman" w:hAnsi="Times New Roman" w:cs="Times New Roman"/>
                <w:color w:val="000000" w:themeColor="text1"/>
                <w:sz w:val="24"/>
                <w:szCs w:val="24"/>
              </w:rPr>
              <w:t>，同时本项目站区周围设2.0m高实体围墙，在采取一定风险防范措施，加强工作人员思想意识和应急处理能力的培养，使工程环境风险降低到最低程度。在此基础上，本工程从环境风险上讲是可行的。</w:t>
            </w:r>
          </w:p>
          <w:p w14:paraId="41A9DBAA">
            <w:pPr>
              <w:spacing w:line="360" w:lineRule="auto"/>
              <w:ind w:firstLine="480" w:firstLineChars="200"/>
              <w:rPr>
                <w:rFonts w:hint="eastAsia" w:ascii="Times New Roman" w:hAnsi="Times New Roman" w:eastAsia="宋体"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爆炸伤害程度及范围计算仅供参考，爆炸受影响范围以《昌吉市顺捷天然气有限公司改扩建项目安全生产预评价报告》为准。</w:t>
            </w:r>
          </w:p>
          <w:p w14:paraId="254AFA29">
            <w:pPr>
              <w:spacing w:line="360" w:lineRule="auto"/>
              <w:ind w:firstLine="480" w:firstLineChars="200"/>
              <w:rPr>
                <w:rFonts w:hint="default" w:ascii="Times New Roman" w:hAnsi="Times New Roman" w:cs="Times New Roman"/>
                <w:color w:val="000000" w:themeColor="text1"/>
                <w:sz w:val="24"/>
                <w:szCs w:val="24"/>
              </w:rPr>
            </w:pPr>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5风险管理</w:t>
            </w:r>
          </w:p>
          <w:p w14:paraId="60163ED1">
            <w:pPr>
              <w:spacing w:line="360" w:lineRule="auto"/>
              <w:ind w:firstLine="480" w:firstLineChars="200"/>
              <w:rPr>
                <w:rFonts w:hint="default" w:ascii="Times New Roman" w:hAnsi="Times New Roman" w:cs="Times New Roman"/>
                <w:color w:val="000000" w:themeColor="text1"/>
                <w:sz w:val="24"/>
                <w:szCs w:val="24"/>
              </w:rPr>
            </w:pPr>
            <w:bookmarkStart w:id="22" w:name="_Toc133044282"/>
            <w:bookmarkStart w:id="23" w:name="_Toc133000453"/>
            <w:bookmarkStart w:id="24" w:name="_Toc133001080"/>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.5.1火灾爆炸事故预防措施</w:t>
            </w:r>
            <w:bookmarkEnd w:id="22"/>
            <w:bookmarkEnd w:id="23"/>
            <w:bookmarkEnd w:id="24"/>
          </w:p>
          <w:p w14:paraId="7273501C">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（1）站区总平面布置已符合防范事故的要求，各设备、管道间应设置安全防护距离和防火间距，有应急救援设施及救援通道、应急疏散及避难所。</w:t>
            </w:r>
          </w:p>
          <w:p w14:paraId="6ED29C49">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（2）提高员工素质。增强安全意识。建立严格的安全管理制度，杜绝违章动火、吸烟等现象，按规定配备劳动防护用品．经常性地向职工进行安全和健康防护方面的教育。</w:t>
            </w:r>
          </w:p>
          <w:p w14:paraId="730DA56A">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（3）加油</w:t>
            </w:r>
            <w:r>
              <w:rPr>
                <w:rFonts w:hint="eastAsia" w:ascii="Times New Roman" w:hAnsi="Times New Roman" w:cs="Times New Roman"/>
                <w:color w:val="000000" w:themeColor="text1"/>
                <w:sz w:val="24"/>
                <w:szCs w:val="24"/>
                <w:lang w:val="en-US" w:eastAsia="zh-CN"/>
              </w:rPr>
              <w:t>加气</w:t>
            </w:r>
            <w:r>
              <w:rPr>
                <w:rFonts w:hint="default" w:ascii="Times New Roman" w:hAnsi="Times New Roman" w:cs="Times New Roman"/>
                <w:color w:val="000000" w:themeColor="text1"/>
                <w:sz w:val="24"/>
                <w:szCs w:val="24"/>
              </w:rPr>
              <w:t>站内各类设备选用安全可靠设备，站内设备和管道应经过防腐处理。</w:t>
            </w:r>
          </w:p>
          <w:p w14:paraId="4BEDB607">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（4）在站内可能聚集汽油的位置，设置性能可靠的可燃气体检测报警装置，可燃气体检测器和报警器的选用和安装，应符合国家现行标准《石油化工企业可燃气体和有毒气体检测报警设计规范》的有关规定。</w:t>
            </w:r>
          </w:p>
          <w:p w14:paraId="0CAF4F27">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（5）加油的汽油罐车卸车场地，应设罐车卸车时用的防静电接地装置，并宜设置能检测跨接线及监视接地装置状态的静电接地仪；使用密闭加油技术，卸油时必须采用密闭卸油。</w:t>
            </w:r>
          </w:p>
          <w:p w14:paraId="6FB9D48B">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（6）罐区内爆炸危险区域内的电气设备选型、安装、电力线路敷设等，应符合现行国家标准《爆炸和火灾危险环境电力装置设计规范》的规定。</w:t>
            </w:r>
          </w:p>
          <w:p w14:paraId="06F066CA">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（7）埋地油罐与漏出地面的工艺管道相互做电气连接并接地。</w:t>
            </w:r>
          </w:p>
          <w:p w14:paraId="5B17FE65">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（8）加油机的油泵、流量计、计数器、照明灯和各种管路，应防火、防爆、紧固严密、不渗不漏、不误动。</w:t>
            </w:r>
          </w:p>
          <w:p w14:paraId="2BB3B689">
            <w:pPr>
              <w:spacing w:line="360" w:lineRule="auto"/>
              <w:ind w:firstLine="480" w:firstLineChars="200"/>
              <w:rPr>
                <w:rFonts w:hint="default" w:ascii="Times New Roman" w:hAnsi="Times New Roman" w:cs="Times New Roman"/>
                <w:color w:val="000000" w:themeColor="text1"/>
                <w:sz w:val="24"/>
                <w:szCs w:val="24"/>
              </w:rPr>
            </w:pPr>
            <w:bookmarkStart w:id="25" w:name="_Toc133001081"/>
            <w:bookmarkStart w:id="26" w:name="_Toc133000454"/>
            <w:bookmarkStart w:id="27" w:name="_Toc133044283"/>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5.2油品泄漏事故应急措施</w:t>
            </w:r>
            <w:bookmarkEnd w:id="25"/>
            <w:bookmarkEnd w:id="26"/>
            <w:bookmarkEnd w:id="27"/>
          </w:p>
          <w:p w14:paraId="02DDC4E5">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（1）通知消防队，监护泄漏区域，防止引起火灾、爆炸。</w:t>
            </w:r>
          </w:p>
          <w:p w14:paraId="5188FF6E">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（2）确定泄漏源的位置，采取相应措施以尽量控制、减少原油或气体的泄漏量。</w:t>
            </w:r>
          </w:p>
          <w:p w14:paraId="075EAFB8">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（3）停止输油、输气作业，然后关闭所有阀门。</w:t>
            </w:r>
          </w:p>
          <w:p w14:paraId="38B227F6">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（4）组织抢修队进行抢修。</w:t>
            </w:r>
          </w:p>
          <w:p w14:paraId="398B1708">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（5）对泄漏出的原油及时进行清理。</w:t>
            </w:r>
          </w:p>
          <w:p w14:paraId="34C586F1">
            <w:pPr>
              <w:spacing w:line="360" w:lineRule="auto"/>
              <w:ind w:firstLine="480" w:firstLineChars="200"/>
              <w:rPr>
                <w:rFonts w:hint="default" w:ascii="Times New Roman" w:hAnsi="Times New Roman" w:cs="Times New Roman"/>
                <w:color w:val="000000" w:themeColor="text1"/>
                <w:sz w:val="24"/>
                <w:szCs w:val="24"/>
              </w:rPr>
            </w:pPr>
            <w:bookmarkStart w:id="28" w:name="_Toc132097903"/>
            <w:bookmarkStart w:id="29" w:name="_Toc133044285"/>
            <w:bookmarkStart w:id="30" w:name="_Toc132096902"/>
            <w:bookmarkStart w:id="31" w:name="_Toc133001083"/>
            <w:bookmarkStart w:id="32" w:name="_Toc133000456"/>
            <w:bookmarkStart w:id="33" w:name="_Toc132268970"/>
            <w:r>
              <w:rPr>
                <w:rFonts w:hint="eastAsia" w:ascii="Times New Roman" w:hAnsi="Times New Roman" w:cs="Times New Roman"/>
                <w:color w:val="000000" w:themeColor="text1"/>
                <w:sz w:val="24"/>
                <w:szCs w:val="24"/>
                <w:lang w:val="en-US" w:eastAsia="zh-CN"/>
              </w:rPr>
              <w:t>8</w:t>
            </w:r>
            <w:r>
              <w:rPr>
                <w:rFonts w:hint="default" w:ascii="Times New Roman" w:hAnsi="Times New Roman" w:cs="Times New Roman"/>
                <w:color w:val="000000" w:themeColor="text1"/>
                <w:sz w:val="24"/>
                <w:szCs w:val="24"/>
              </w:rPr>
              <w:t>.5.3 事故应急预案</w:t>
            </w:r>
            <w:bookmarkEnd w:id="28"/>
            <w:bookmarkEnd w:id="29"/>
            <w:bookmarkEnd w:id="30"/>
            <w:bookmarkEnd w:id="31"/>
            <w:bookmarkEnd w:id="32"/>
            <w:bookmarkEnd w:id="33"/>
          </w:p>
          <w:p w14:paraId="7096C271">
            <w:pPr>
              <w:spacing w:line="360" w:lineRule="auto"/>
              <w:ind w:firstLine="480" w:firstLineChars="200"/>
              <w:rPr>
                <w:color w:val="000000" w:themeColor="text1"/>
                <w:sz w:val="24"/>
                <w:szCs w:val="24"/>
              </w:rPr>
            </w:pPr>
            <w:r>
              <w:rPr>
                <w:rFonts w:hint="default" w:ascii="Times New Roman" w:hAnsi="Times New Roman" w:cs="Times New Roman"/>
                <w:color w:val="000000" w:themeColor="text1"/>
                <w:sz w:val="24"/>
                <w:szCs w:val="24"/>
              </w:rPr>
              <w:t>应急预案主要内容见表</w:t>
            </w:r>
            <w:r>
              <w:rPr>
                <w:rFonts w:hint="eastAsia" w:ascii="Times New Roman" w:hAnsi="Times New Roman" w:cs="Times New Roman"/>
                <w:color w:val="000000" w:themeColor="text1"/>
                <w:sz w:val="24"/>
                <w:szCs w:val="24"/>
                <w:lang w:val="en-US" w:eastAsia="zh-CN"/>
              </w:rPr>
              <w:t>49</w:t>
            </w:r>
            <w:r>
              <w:rPr>
                <w:rFonts w:hint="default" w:ascii="Times New Roman" w:hAnsi="Times New Roman" w:cs="Times New Roman"/>
                <w:color w:val="000000" w:themeColor="text1"/>
                <w:sz w:val="24"/>
                <w:szCs w:val="24"/>
              </w:rPr>
              <w:t>。</w:t>
            </w:r>
          </w:p>
          <w:p w14:paraId="00C2CE40">
            <w:pPr>
              <w:ind w:firstLine="422" w:firstLineChars="200"/>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 xml:space="preserve">49 </w:t>
            </w:r>
            <w:r>
              <w:rPr>
                <w:rFonts w:hint="eastAsia" w:ascii="黑体" w:hAnsi="黑体" w:eastAsia="黑体" w:cs="黑体"/>
                <w:b/>
                <w:bCs/>
                <w:color w:val="000000" w:themeColor="text1"/>
                <w:sz w:val="21"/>
                <w:szCs w:val="21"/>
              </w:rPr>
              <w:t xml:space="preserve">                          应急预案内容</w:t>
            </w:r>
          </w:p>
          <w:tbl>
            <w:tblPr>
              <w:tblStyle w:val="19"/>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4"/>
              <w:gridCol w:w="2967"/>
              <w:gridCol w:w="4689"/>
            </w:tblGrid>
            <w:tr w14:paraId="7BAB77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564" w:type="dxa"/>
                  <w:tcBorders>
                    <w:bottom w:val="single" w:color="auto" w:sz="12" w:space="0"/>
                  </w:tcBorders>
                  <w:vAlign w:val="center"/>
                </w:tcPr>
                <w:p w14:paraId="0FA33D07">
                  <w:pPr>
                    <w:ind w:left="-120" w:leftChars="-50" w:right="-120" w:rightChars="-50"/>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序号</w:t>
                  </w:r>
                </w:p>
              </w:tc>
              <w:tc>
                <w:tcPr>
                  <w:tcW w:w="2967" w:type="dxa"/>
                  <w:tcBorders>
                    <w:bottom w:val="single" w:color="auto" w:sz="12" w:space="0"/>
                  </w:tcBorders>
                  <w:vAlign w:val="top"/>
                </w:tcPr>
                <w:p w14:paraId="2470F763">
                  <w:pPr>
                    <w:ind w:left="-120" w:leftChars="-50" w:right="-120" w:rightChars="-50"/>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项目</w:t>
                  </w:r>
                </w:p>
              </w:tc>
              <w:tc>
                <w:tcPr>
                  <w:tcW w:w="4689" w:type="dxa"/>
                  <w:tcBorders>
                    <w:bottom w:val="single" w:color="auto" w:sz="12" w:space="0"/>
                  </w:tcBorders>
                  <w:vAlign w:val="top"/>
                </w:tcPr>
                <w:p w14:paraId="51521191">
                  <w:pPr>
                    <w:ind w:left="-120" w:leftChars="-50" w:right="-120" w:rightChars="-50"/>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内容及要求</w:t>
                  </w:r>
                </w:p>
              </w:tc>
            </w:tr>
            <w:tr w14:paraId="682056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564" w:type="dxa"/>
                  <w:tcBorders>
                    <w:top w:val="single" w:color="auto" w:sz="12" w:space="0"/>
                  </w:tcBorders>
                  <w:vAlign w:val="center"/>
                </w:tcPr>
                <w:p w14:paraId="21D68240">
                  <w:pPr>
                    <w:ind w:left="-120" w:leftChars="-50" w:right="-120" w:rightChars="-50"/>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w:t>
                  </w:r>
                </w:p>
              </w:tc>
              <w:tc>
                <w:tcPr>
                  <w:tcW w:w="2967" w:type="dxa"/>
                  <w:tcBorders>
                    <w:top w:val="single" w:color="auto" w:sz="12" w:space="0"/>
                  </w:tcBorders>
                  <w:vAlign w:val="center"/>
                </w:tcPr>
                <w:p w14:paraId="1C9C92A2">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应急计划区</w:t>
                  </w:r>
                </w:p>
              </w:tc>
              <w:tc>
                <w:tcPr>
                  <w:tcW w:w="4689" w:type="dxa"/>
                  <w:tcBorders>
                    <w:top w:val="single" w:color="auto" w:sz="12" w:space="0"/>
                  </w:tcBorders>
                  <w:vAlign w:val="top"/>
                </w:tcPr>
                <w:p w14:paraId="3C07D287">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危险源(油罐区、加油岛)</w:t>
                  </w:r>
                </w:p>
              </w:tc>
            </w:tr>
            <w:tr w14:paraId="39EAD8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564" w:type="dxa"/>
                  <w:vAlign w:val="center"/>
                </w:tcPr>
                <w:p w14:paraId="450C27EB">
                  <w:pPr>
                    <w:ind w:left="-120" w:leftChars="-50" w:right="-120" w:rightChars="-50"/>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2</w:t>
                  </w:r>
                </w:p>
              </w:tc>
              <w:tc>
                <w:tcPr>
                  <w:tcW w:w="2967" w:type="dxa"/>
                  <w:vAlign w:val="center"/>
                </w:tcPr>
                <w:p w14:paraId="1840CD33">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应急组织机构、人员</w:t>
                  </w:r>
                </w:p>
              </w:tc>
              <w:tc>
                <w:tcPr>
                  <w:tcW w:w="4689" w:type="dxa"/>
                  <w:vAlign w:val="top"/>
                </w:tcPr>
                <w:p w14:paraId="689F5E16">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实施三级应急组职机构，各级别主要负责人为应急计划、协调第一人，应急人员必须为培训上岗熟练工；区域应急组织结构由当地政府、相关行业专家、卫生安全相关单位组成，并由当地政府进行统一调度</w:t>
                  </w:r>
                </w:p>
              </w:tc>
            </w:tr>
            <w:tr w14:paraId="55913C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564" w:type="dxa"/>
                  <w:vAlign w:val="center"/>
                </w:tcPr>
                <w:p w14:paraId="68685DAF">
                  <w:pPr>
                    <w:ind w:left="-120" w:leftChars="-50" w:right="-120" w:rightChars="-50"/>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3</w:t>
                  </w:r>
                </w:p>
              </w:tc>
              <w:tc>
                <w:tcPr>
                  <w:tcW w:w="2967" w:type="dxa"/>
                  <w:vAlign w:val="center"/>
                </w:tcPr>
                <w:p w14:paraId="6EA99D14">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预案分级响应条件</w:t>
                  </w:r>
                </w:p>
              </w:tc>
              <w:tc>
                <w:tcPr>
                  <w:tcW w:w="4689" w:type="dxa"/>
                  <w:vAlign w:val="top"/>
                </w:tcPr>
                <w:p w14:paraId="21BAC28B">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根据事故的严重程度制定相应级别的应急预案，以及适合相应情况的处理措施</w:t>
                  </w:r>
                </w:p>
              </w:tc>
            </w:tr>
            <w:tr w14:paraId="60B1E9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564" w:type="dxa"/>
                  <w:vAlign w:val="center"/>
                </w:tcPr>
                <w:p w14:paraId="4F60DF11">
                  <w:pPr>
                    <w:ind w:left="-120" w:leftChars="-50" w:right="-120" w:rightChars="-50"/>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4</w:t>
                  </w:r>
                </w:p>
              </w:tc>
              <w:tc>
                <w:tcPr>
                  <w:tcW w:w="2967" w:type="dxa"/>
                  <w:vAlign w:val="center"/>
                </w:tcPr>
                <w:p w14:paraId="3897237C">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应急救援保障</w:t>
                  </w:r>
                </w:p>
              </w:tc>
              <w:tc>
                <w:tcPr>
                  <w:tcW w:w="4689" w:type="dxa"/>
                  <w:vAlign w:val="top"/>
                </w:tcPr>
                <w:p w14:paraId="795B704B">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应急设施，设备与器材等</w:t>
                  </w:r>
                </w:p>
              </w:tc>
            </w:tr>
            <w:tr w14:paraId="5BE9E1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564" w:type="dxa"/>
                  <w:vAlign w:val="center"/>
                </w:tcPr>
                <w:p w14:paraId="625B896E">
                  <w:pPr>
                    <w:ind w:left="-120" w:leftChars="-50" w:right="-120" w:rightChars="-50"/>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5</w:t>
                  </w:r>
                </w:p>
              </w:tc>
              <w:tc>
                <w:tcPr>
                  <w:tcW w:w="2967" w:type="dxa"/>
                  <w:vAlign w:val="center"/>
                </w:tcPr>
                <w:p w14:paraId="6CE499CA">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报警、通讯联络方式</w:t>
                  </w:r>
                </w:p>
              </w:tc>
              <w:tc>
                <w:tcPr>
                  <w:tcW w:w="4689" w:type="dxa"/>
                  <w:vAlign w:val="top"/>
                </w:tcPr>
                <w:p w14:paraId="05BD0DAA">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逐一细化应急状态下各主要负责单位的报警通讯方式、地点、电话号码以及相关配套的交通保障、管制、消防联络方法，涉及跨区域的还应与相关区域环境保护部门和上级环保部门保持联系，及时通报事故处理情况，以获得区域性支援</w:t>
                  </w:r>
                </w:p>
              </w:tc>
            </w:tr>
            <w:tr w14:paraId="320D58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564" w:type="dxa"/>
                  <w:vAlign w:val="center"/>
                </w:tcPr>
                <w:p w14:paraId="1DA91C7E">
                  <w:pPr>
                    <w:ind w:left="-120" w:leftChars="-50" w:right="-120" w:rightChars="-50"/>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6</w:t>
                  </w:r>
                </w:p>
              </w:tc>
              <w:tc>
                <w:tcPr>
                  <w:tcW w:w="2967" w:type="dxa"/>
                  <w:vAlign w:val="center"/>
                </w:tcPr>
                <w:p w14:paraId="4A2D711A">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应急环境监测、抢险、救援及控制措施</w:t>
                  </w:r>
                </w:p>
              </w:tc>
              <w:tc>
                <w:tcPr>
                  <w:tcW w:w="4689" w:type="dxa"/>
                  <w:vAlign w:val="top"/>
                </w:tcPr>
                <w:p w14:paraId="7D8F6A8D">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由专业队伍负责对事故现场进行侦查监测，对事故性质、参数与后果进行评估，为指挥部门提供决策依据</w:t>
                  </w:r>
                </w:p>
              </w:tc>
            </w:tr>
            <w:tr w14:paraId="4E2CA2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564" w:type="dxa"/>
                  <w:vAlign w:val="center"/>
                </w:tcPr>
                <w:p w14:paraId="73B2E59C">
                  <w:pPr>
                    <w:ind w:left="-120" w:leftChars="-50" w:right="-120" w:rightChars="-50"/>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7</w:t>
                  </w:r>
                </w:p>
              </w:tc>
              <w:tc>
                <w:tcPr>
                  <w:tcW w:w="2967" w:type="dxa"/>
                  <w:vAlign w:val="center"/>
                </w:tcPr>
                <w:p w14:paraId="2BBAEAF1">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应急检测、防护措施、清除泄漏措施和器材</w:t>
                  </w:r>
                </w:p>
              </w:tc>
              <w:tc>
                <w:tcPr>
                  <w:tcW w:w="4689" w:type="dxa"/>
                  <w:vAlign w:val="top"/>
                </w:tcPr>
                <w:p w14:paraId="0769AB50">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事故现场、加油站邻近区域、控制防火区域，控制和清除污染措施及相应设备的数量、使用方法、使用人员</w:t>
                  </w:r>
                </w:p>
              </w:tc>
            </w:tr>
            <w:tr w14:paraId="67B2B2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564" w:type="dxa"/>
                  <w:vAlign w:val="center"/>
                </w:tcPr>
                <w:p w14:paraId="33836A8B">
                  <w:pPr>
                    <w:ind w:left="-120" w:leftChars="-50" w:right="-120" w:rightChars="-50"/>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8</w:t>
                  </w:r>
                </w:p>
              </w:tc>
              <w:tc>
                <w:tcPr>
                  <w:tcW w:w="2967" w:type="dxa"/>
                  <w:vAlign w:val="center"/>
                </w:tcPr>
                <w:p w14:paraId="1B3BD198">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人员紧急撤离、疏散，应急剂量控制、撤离组织计划</w:t>
                  </w:r>
                </w:p>
              </w:tc>
              <w:tc>
                <w:tcPr>
                  <w:tcW w:w="4689" w:type="dxa"/>
                  <w:vAlign w:val="top"/>
                </w:tcPr>
                <w:p w14:paraId="0D415836">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事故现场、工厂邻近区、受事故影响的区域人员及公众对毒物应急剂量控制规定，撤离组织计划及救护，医疗救护与公众健康</w:t>
                  </w:r>
                </w:p>
              </w:tc>
            </w:tr>
            <w:tr w14:paraId="0DE007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564" w:type="dxa"/>
                  <w:vAlign w:val="center"/>
                </w:tcPr>
                <w:p w14:paraId="72DD54DC">
                  <w:pPr>
                    <w:ind w:left="-120" w:leftChars="-50" w:right="-120" w:rightChars="-50"/>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9</w:t>
                  </w:r>
                </w:p>
              </w:tc>
              <w:tc>
                <w:tcPr>
                  <w:tcW w:w="2967" w:type="dxa"/>
                  <w:vAlign w:val="center"/>
                </w:tcPr>
                <w:p w14:paraId="1A9A158F">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事故应急救援关闭程序与恢复措施</w:t>
                  </w:r>
                </w:p>
              </w:tc>
              <w:tc>
                <w:tcPr>
                  <w:tcW w:w="4689" w:type="dxa"/>
                  <w:vAlign w:val="top"/>
                </w:tcPr>
                <w:p w14:paraId="6DE90549">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规定应急状态终止程序</w:t>
                  </w:r>
                </w:p>
                <w:p w14:paraId="48058149">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事故现场上后处理，恢复措施</w:t>
                  </w:r>
                </w:p>
                <w:p w14:paraId="419DB92C">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邻近区域解除事故警戒及善后恢复措施</w:t>
                  </w:r>
                </w:p>
                <w:p w14:paraId="1ACA69AE">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制定有关的环境恢复措施</w:t>
                  </w:r>
                </w:p>
                <w:p w14:paraId="16E99230">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组织专业人员对事故后的环境变化进行监测，对事故应急措施的环境可行性进行后影响评价</w:t>
                  </w:r>
                </w:p>
              </w:tc>
            </w:tr>
            <w:tr w14:paraId="51EE0B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564" w:type="dxa"/>
                  <w:vAlign w:val="center"/>
                </w:tcPr>
                <w:p w14:paraId="0B991419">
                  <w:pPr>
                    <w:ind w:left="-120" w:leftChars="-50" w:right="-120" w:rightChars="-50"/>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10</w:t>
                  </w:r>
                </w:p>
              </w:tc>
              <w:tc>
                <w:tcPr>
                  <w:tcW w:w="2967" w:type="dxa"/>
                  <w:vAlign w:val="center"/>
                </w:tcPr>
                <w:p w14:paraId="4B3AF151">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应急培训计划</w:t>
                  </w:r>
                </w:p>
              </w:tc>
              <w:tc>
                <w:tcPr>
                  <w:tcW w:w="4689" w:type="dxa"/>
                  <w:vAlign w:val="top"/>
                </w:tcPr>
                <w:p w14:paraId="03B17D7F">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应急计划制定后，平时安排人员培训与演练</w:t>
                  </w:r>
                </w:p>
              </w:tc>
            </w:tr>
            <w:tr w14:paraId="2DD9D3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564" w:type="dxa"/>
                  <w:vAlign w:val="center"/>
                </w:tcPr>
                <w:p w14:paraId="79393254">
                  <w:pPr>
                    <w:ind w:left="-120" w:leftChars="-50" w:right="-120" w:rightChars="-50"/>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11</w:t>
                  </w:r>
                </w:p>
              </w:tc>
              <w:tc>
                <w:tcPr>
                  <w:tcW w:w="2967" w:type="dxa"/>
                  <w:vAlign w:val="center"/>
                </w:tcPr>
                <w:p w14:paraId="7AF3F18D">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公众教育和信息</w:t>
                  </w:r>
                </w:p>
              </w:tc>
              <w:tc>
                <w:tcPr>
                  <w:tcW w:w="4689" w:type="dxa"/>
                  <w:vAlign w:val="top"/>
                </w:tcPr>
                <w:p w14:paraId="28BAB47F">
                  <w:pP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对加油加气站邻近地区开展公众教育、培训和发布有关信息</w:t>
                  </w:r>
                </w:p>
              </w:tc>
            </w:tr>
          </w:tbl>
          <w:p w14:paraId="3D32C58C">
            <w:pPr>
              <w:spacing w:line="360" w:lineRule="auto"/>
              <w:rPr>
                <w:rFonts w:hint="eastAsia" w:ascii="Times New Roman" w:hAnsi="Times New Roman"/>
                <w:b/>
                <w:bCs/>
                <w:color w:val="000000" w:themeColor="text1"/>
                <w:sz w:val="24"/>
                <w:szCs w:val="24"/>
                <w:lang w:val="en-US" w:eastAsia="zh-CN"/>
              </w:rPr>
            </w:pPr>
            <w:r>
              <w:rPr>
                <w:rFonts w:hint="eastAsia" w:ascii="Times New Roman" w:hAnsi="Times New Roman"/>
                <w:b/>
                <w:bCs/>
                <w:color w:val="000000" w:themeColor="text1"/>
                <w:sz w:val="24"/>
                <w:szCs w:val="24"/>
                <w:lang w:val="en-US" w:eastAsia="zh-CN"/>
              </w:rPr>
              <w:t>9、安全距离分析</w:t>
            </w:r>
          </w:p>
          <w:p w14:paraId="7C298132">
            <w:pPr>
              <w:pStyle w:val="45"/>
              <w:rPr>
                <w:color w:val="000000" w:themeColor="text1"/>
              </w:rPr>
            </w:pPr>
            <w:r>
              <w:rPr>
                <w:rFonts w:hint="default" w:ascii="Times New Roman" w:hAnsi="Times New Roman" w:cs="Times New Roman"/>
                <w:color w:val="000000" w:themeColor="text1"/>
              </w:rPr>
              <w:t>本项目首先按加油</w:t>
            </w:r>
            <w:r>
              <w:rPr>
                <w:rFonts w:hint="eastAsia" w:ascii="Times New Roman" w:hAnsi="Times New Roman" w:cs="Times New Roman"/>
                <w:color w:val="000000" w:themeColor="text1"/>
                <w:lang w:val="en-US" w:eastAsia="zh-CN"/>
              </w:rPr>
              <w:t>加气</w:t>
            </w:r>
            <w:r>
              <w:rPr>
                <w:rFonts w:hint="default" w:ascii="Times New Roman" w:hAnsi="Times New Roman" w:cs="Times New Roman"/>
                <w:color w:val="000000" w:themeColor="text1"/>
              </w:rPr>
              <w:t>站安全、防火等设计规范进行施工、安装加油机、</w:t>
            </w:r>
            <w:r>
              <w:rPr>
                <w:rFonts w:hint="eastAsia" w:ascii="Times New Roman" w:hAnsi="Times New Roman" w:cs="Times New Roman"/>
                <w:color w:val="000000" w:themeColor="text1"/>
                <w:lang w:val="en-US" w:eastAsia="zh-CN"/>
              </w:rPr>
              <w:t>加气机、</w:t>
            </w:r>
            <w:r>
              <w:rPr>
                <w:rFonts w:hint="default" w:ascii="Times New Roman" w:hAnsi="Times New Roman" w:cs="Times New Roman"/>
                <w:color w:val="000000" w:themeColor="text1"/>
              </w:rPr>
              <w:t>储罐。本站为二级加油</w:t>
            </w:r>
            <w:r>
              <w:rPr>
                <w:rFonts w:hint="eastAsia" w:ascii="Times New Roman" w:hAnsi="Times New Roman" w:cs="Times New Roman"/>
                <w:color w:val="000000" w:themeColor="text1"/>
                <w:lang w:val="en-US" w:eastAsia="zh-CN"/>
              </w:rPr>
              <w:t>加气合建</w:t>
            </w:r>
            <w:r>
              <w:rPr>
                <w:rFonts w:hint="default" w:ascii="Times New Roman" w:hAnsi="Times New Roman" w:cs="Times New Roman"/>
                <w:color w:val="000000" w:themeColor="text1"/>
              </w:rPr>
              <w:t>站，根据《汽车加油加气站设计与施工规范》GB50156—2012（2014修订）中关于二级加油站储罐选址、总平面布置标准要求，本项目选址和总平面布置与标准情况对比分别见下表。</w:t>
            </w:r>
          </w:p>
          <w:p w14:paraId="6E4B10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2" w:firstLineChars="200"/>
              <w:jc w:val="both"/>
              <w:textAlignment w:val="auto"/>
              <w:outlineLvl w:val="9"/>
              <w:rPr>
                <w:rFonts w:eastAsia="黑体"/>
                <w:b/>
                <w:bCs/>
                <w:color w:val="000000" w:themeColor="text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50</w:t>
            </w:r>
            <w:r>
              <w:rPr>
                <w:rFonts w:hint="eastAsia" w:ascii="黑体" w:hAnsi="黑体" w:eastAsia="黑体" w:cs="黑体"/>
                <w:b/>
                <w:bCs/>
                <w:color w:val="000000" w:themeColor="text1"/>
                <w:sz w:val="21"/>
                <w:szCs w:val="21"/>
              </w:rPr>
              <w:t xml:space="preserve">        汽油设备安全防护距离与标准（有油气回收）对比情况表</w:t>
            </w:r>
          </w:p>
          <w:tbl>
            <w:tblPr>
              <w:tblStyle w:val="19"/>
              <w:tblW w:w="8220"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95"/>
              <w:gridCol w:w="3540"/>
              <w:gridCol w:w="2885"/>
              <w:gridCol w:w="1100"/>
            </w:tblGrid>
            <w:tr w14:paraId="189733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32" w:hRule="atLeast"/>
                <w:jc w:val="center"/>
              </w:trPr>
              <w:tc>
                <w:tcPr>
                  <w:tcW w:w="695" w:type="dxa"/>
                  <w:tcBorders>
                    <w:bottom w:val="single" w:color="auto" w:sz="12" w:space="0"/>
                  </w:tcBorders>
                  <w:vAlign w:val="center"/>
                </w:tcPr>
                <w:p w14:paraId="2DD4C85B">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序号</w:t>
                  </w:r>
                </w:p>
              </w:tc>
              <w:tc>
                <w:tcPr>
                  <w:tcW w:w="3540" w:type="dxa"/>
                  <w:tcBorders>
                    <w:bottom w:val="single" w:color="auto" w:sz="12" w:space="0"/>
                  </w:tcBorders>
                  <w:vAlign w:val="center"/>
                </w:tcPr>
                <w:p w14:paraId="69D8D81D">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标准要求</w:t>
                  </w:r>
                </w:p>
              </w:tc>
              <w:tc>
                <w:tcPr>
                  <w:tcW w:w="2885" w:type="dxa"/>
                  <w:tcBorders>
                    <w:bottom w:val="single" w:color="auto" w:sz="12" w:space="0"/>
                  </w:tcBorders>
                  <w:vAlign w:val="center"/>
                </w:tcPr>
                <w:p w14:paraId="1E32647D">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本项目实际情况</w:t>
                  </w:r>
                </w:p>
              </w:tc>
              <w:tc>
                <w:tcPr>
                  <w:tcW w:w="1100" w:type="dxa"/>
                  <w:tcBorders>
                    <w:bottom w:val="single" w:color="auto" w:sz="12" w:space="0"/>
                  </w:tcBorders>
                  <w:vAlign w:val="center"/>
                </w:tcPr>
                <w:p w14:paraId="2AEA7CB3">
                  <w:pPr>
                    <w:pStyle w:val="46"/>
                    <w:ind w:left="0" w:leftChars="0" w:right="0" w:rightChars="0"/>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符合情况</w:t>
                  </w:r>
                </w:p>
              </w:tc>
            </w:tr>
            <w:tr w14:paraId="392CEEC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7" w:hRule="atLeast"/>
                <w:jc w:val="center"/>
              </w:trPr>
              <w:tc>
                <w:tcPr>
                  <w:tcW w:w="695" w:type="dxa"/>
                  <w:tcBorders>
                    <w:top w:val="single" w:color="auto" w:sz="12" w:space="0"/>
                  </w:tcBorders>
                  <w:vAlign w:val="center"/>
                </w:tcPr>
                <w:p w14:paraId="14EAB439">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w:t>
                  </w:r>
                </w:p>
              </w:tc>
              <w:tc>
                <w:tcPr>
                  <w:tcW w:w="3540" w:type="dxa"/>
                  <w:tcBorders>
                    <w:top w:val="single" w:color="auto" w:sz="12" w:space="0"/>
                  </w:tcBorders>
                  <w:vAlign w:val="center"/>
                </w:tcPr>
                <w:p w14:paraId="434607D9">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应符合城乡规划、环境保护和防火安全的要求，并应选在交通便利的地方</w:t>
                  </w:r>
                </w:p>
              </w:tc>
              <w:tc>
                <w:tcPr>
                  <w:tcW w:w="2885" w:type="dxa"/>
                  <w:tcBorders>
                    <w:top w:val="single" w:color="auto" w:sz="12" w:space="0"/>
                  </w:tcBorders>
                  <w:vAlign w:val="center"/>
                </w:tcPr>
                <w:p w14:paraId="2C03E1C9">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符合城市发展规划、环保和防火安全的要求，交通便利</w:t>
                  </w:r>
                </w:p>
              </w:tc>
              <w:tc>
                <w:tcPr>
                  <w:tcW w:w="1100" w:type="dxa"/>
                  <w:tcBorders>
                    <w:top w:val="single" w:color="auto" w:sz="12" w:space="0"/>
                  </w:tcBorders>
                  <w:vAlign w:val="center"/>
                </w:tcPr>
                <w:p w14:paraId="7E34BC04">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20160F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7" w:hRule="atLeast"/>
                <w:jc w:val="center"/>
              </w:trPr>
              <w:tc>
                <w:tcPr>
                  <w:tcW w:w="695" w:type="dxa"/>
                  <w:vAlign w:val="center"/>
                </w:tcPr>
                <w:p w14:paraId="632FC4DC">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2</w:t>
                  </w:r>
                </w:p>
              </w:tc>
              <w:tc>
                <w:tcPr>
                  <w:tcW w:w="3540" w:type="dxa"/>
                  <w:vAlign w:val="center"/>
                </w:tcPr>
                <w:p w14:paraId="765BEA20">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在城市建成区不宜建一级加油站，在城市中心区不应建一级加油站</w:t>
                  </w:r>
                </w:p>
              </w:tc>
              <w:tc>
                <w:tcPr>
                  <w:tcW w:w="2885" w:type="dxa"/>
                  <w:vAlign w:val="center"/>
                </w:tcPr>
                <w:p w14:paraId="5AFB1624">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本项目位于</w:t>
                  </w:r>
                  <w:r>
                    <w:rPr>
                      <w:rFonts w:hint="eastAsia" w:ascii="Times New Roman" w:hAnsi="Times New Roman" w:cs="Times New Roman"/>
                      <w:color w:val="000000" w:themeColor="text1"/>
                      <w:sz w:val="21"/>
                      <w:szCs w:val="21"/>
                      <w:lang w:val="en-US" w:eastAsia="zh-CN"/>
                    </w:rPr>
                    <w:t>工业园区内</w:t>
                  </w:r>
                  <w:r>
                    <w:rPr>
                      <w:rFonts w:hint="default" w:ascii="Times New Roman" w:hAnsi="Times New Roman" w:cs="Times New Roman"/>
                      <w:color w:val="000000" w:themeColor="text1"/>
                      <w:sz w:val="21"/>
                      <w:szCs w:val="21"/>
                    </w:rPr>
                    <w:t>，且属于二级加油站</w:t>
                  </w:r>
                </w:p>
              </w:tc>
              <w:tc>
                <w:tcPr>
                  <w:tcW w:w="1100" w:type="dxa"/>
                  <w:vAlign w:val="center"/>
                </w:tcPr>
                <w:p w14:paraId="051F5F10">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075A46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7" w:hRule="atLeast"/>
                <w:jc w:val="center"/>
              </w:trPr>
              <w:tc>
                <w:tcPr>
                  <w:tcW w:w="695" w:type="dxa"/>
                  <w:vAlign w:val="center"/>
                </w:tcPr>
                <w:p w14:paraId="1940F03B">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3</w:t>
                  </w:r>
                </w:p>
              </w:tc>
              <w:tc>
                <w:tcPr>
                  <w:tcW w:w="3540" w:type="dxa"/>
                  <w:vAlign w:val="center"/>
                </w:tcPr>
                <w:p w14:paraId="081B6FD1">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距重要公共建筑物≥35m</w:t>
                  </w:r>
                </w:p>
              </w:tc>
              <w:tc>
                <w:tcPr>
                  <w:tcW w:w="2885" w:type="dxa"/>
                  <w:vAlign w:val="center"/>
                </w:tcPr>
                <w:p w14:paraId="6358DA38">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100" w:type="dxa"/>
                  <w:vAlign w:val="center"/>
                </w:tcPr>
                <w:p w14:paraId="1DE68732">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6D227AB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7" w:hRule="atLeast"/>
                <w:jc w:val="center"/>
              </w:trPr>
              <w:tc>
                <w:tcPr>
                  <w:tcW w:w="695" w:type="dxa"/>
                  <w:vAlign w:val="center"/>
                </w:tcPr>
                <w:p w14:paraId="1F0A8C9D">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4</w:t>
                  </w:r>
                </w:p>
              </w:tc>
              <w:tc>
                <w:tcPr>
                  <w:tcW w:w="3540" w:type="dxa"/>
                  <w:vAlign w:val="center"/>
                </w:tcPr>
                <w:p w14:paraId="2F141D3B">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距明火或散发火花地点≥17.5m</w:t>
                  </w:r>
                </w:p>
              </w:tc>
              <w:tc>
                <w:tcPr>
                  <w:tcW w:w="2885" w:type="dxa"/>
                  <w:vAlign w:val="center"/>
                </w:tcPr>
                <w:p w14:paraId="5FFED3E5">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100" w:type="dxa"/>
                  <w:vAlign w:val="center"/>
                </w:tcPr>
                <w:p w14:paraId="149D6EE9">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1E74F5D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7" w:hRule="atLeast"/>
                <w:jc w:val="center"/>
              </w:trPr>
              <w:tc>
                <w:tcPr>
                  <w:tcW w:w="695" w:type="dxa"/>
                  <w:vAlign w:val="center"/>
                </w:tcPr>
                <w:p w14:paraId="384932F9">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5</w:t>
                  </w:r>
                </w:p>
              </w:tc>
              <w:tc>
                <w:tcPr>
                  <w:tcW w:w="3540" w:type="dxa"/>
                  <w:vAlign w:val="center"/>
                </w:tcPr>
                <w:p w14:paraId="29DDB41A">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距民用建筑三类保护物≥8.5m</w:t>
                  </w:r>
                </w:p>
              </w:tc>
              <w:tc>
                <w:tcPr>
                  <w:tcW w:w="2885" w:type="dxa"/>
                  <w:vAlign w:val="center"/>
                </w:tcPr>
                <w:p w14:paraId="02C0E382">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100" w:type="dxa"/>
                  <w:vAlign w:val="center"/>
                </w:tcPr>
                <w:p w14:paraId="70206DD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4679D10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19" w:hRule="atLeast"/>
                <w:jc w:val="center"/>
              </w:trPr>
              <w:tc>
                <w:tcPr>
                  <w:tcW w:w="695" w:type="dxa"/>
                  <w:vAlign w:val="center"/>
                </w:tcPr>
                <w:p w14:paraId="4F37531E">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6</w:t>
                  </w:r>
                </w:p>
              </w:tc>
              <w:tc>
                <w:tcPr>
                  <w:tcW w:w="3540" w:type="dxa"/>
                  <w:vAlign w:val="center"/>
                </w:tcPr>
                <w:p w14:paraId="3E2ACFAF">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距甲、乙类物品生产厂房、库房和甲、乙类液体储罐≥15.5m</w:t>
                  </w:r>
                </w:p>
              </w:tc>
              <w:tc>
                <w:tcPr>
                  <w:tcW w:w="2885" w:type="dxa"/>
                  <w:vAlign w:val="center"/>
                </w:tcPr>
                <w:p w14:paraId="1836E0D2">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100" w:type="dxa"/>
                  <w:vAlign w:val="center"/>
                </w:tcPr>
                <w:p w14:paraId="658D2AB5">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2AFC288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7" w:hRule="atLeast"/>
                <w:jc w:val="center"/>
              </w:trPr>
              <w:tc>
                <w:tcPr>
                  <w:tcW w:w="695" w:type="dxa"/>
                  <w:vAlign w:val="center"/>
                </w:tcPr>
                <w:p w14:paraId="72BB991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7</w:t>
                  </w:r>
                </w:p>
              </w:tc>
              <w:tc>
                <w:tcPr>
                  <w:tcW w:w="3540" w:type="dxa"/>
                  <w:vAlign w:val="center"/>
                </w:tcPr>
                <w:p w14:paraId="63F1DDE8">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距丙、丁、戊类物品生产厂房、库房和丙类液体储罐，以及容积不大于50m</w:t>
                  </w:r>
                  <w:r>
                    <w:rPr>
                      <w:rFonts w:hint="default" w:ascii="Times New Roman" w:hAnsi="Times New Roman" w:cs="Times New Roman"/>
                      <w:color w:val="000000" w:themeColor="text1"/>
                      <w:sz w:val="21"/>
                      <w:szCs w:val="21"/>
                      <w:vertAlign w:val="superscript"/>
                    </w:rPr>
                    <w:t>3</w:t>
                  </w:r>
                  <w:r>
                    <w:rPr>
                      <w:rFonts w:hint="default" w:ascii="Times New Roman" w:hAnsi="Times New Roman" w:cs="Times New Roman"/>
                      <w:color w:val="000000" w:themeColor="text1"/>
                      <w:sz w:val="21"/>
                      <w:szCs w:val="21"/>
                    </w:rPr>
                    <w:t>的埋地甲、乙类液体储罐≥11m</w:t>
                  </w:r>
                </w:p>
              </w:tc>
              <w:tc>
                <w:tcPr>
                  <w:tcW w:w="2885" w:type="dxa"/>
                  <w:vAlign w:val="center"/>
                </w:tcPr>
                <w:p w14:paraId="256951C4">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100" w:type="dxa"/>
                  <w:vAlign w:val="center"/>
                </w:tcPr>
                <w:p w14:paraId="73E64546">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33EDDE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7" w:hRule="atLeast"/>
                <w:jc w:val="center"/>
              </w:trPr>
              <w:tc>
                <w:tcPr>
                  <w:tcW w:w="695" w:type="dxa"/>
                  <w:vAlign w:val="center"/>
                </w:tcPr>
                <w:p w14:paraId="1FC86E5F">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8</w:t>
                  </w:r>
                </w:p>
              </w:tc>
              <w:tc>
                <w:tcPr>
                  <w:tcW w:w="3540" w:type="dxa"/>
                  <w:vAlign w:val="center"/>
                </w:tcPr>
                <w:p w14:paraId="72A7488D">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城市次干路、支路≥5m</w:t>
                  </w:r>
                </w:p>
              </w:tc>
              <w:tc>
                <w:tcPr>
                  <w:tcW w:w="2885" w:type="dxa"/>
                  <w:vAlign w:val="center"/>
                </w:tcPr>
                <w:p w14:paraId="47B182AF">
                  <w:pPr>
                    <w:jc w:val="center"/>
                    <w:rPr>
                      <w:rFonts w:hint="default"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lang w:val="en-US" w:eastAsia="zh-CN"/>
                    </w:rPr>
                    <w:t>北距克榆公路</w:t>
                  </w:r>
                  <w:r>
                    <w:rPr>
                      <w:rFonts w:hint="default" w:ascii="Times New Roman" w:hAnsi="Times New Roman" w:cs="Times New Roman"/>
                      <w:color w:val="000000" w:themeColor="text1"/>
                      <w:sz w:val="21"/>
                      <w:szCs w:val="21"/>
                    </w:rPr>
                    <w:t>＞5m</w:t>
                  </w:r>
                </w:p>
              </w:tc>
              <w:tc>
                <w:tcPr>
                  <w:tcW w:w="1100" w:type="dxa"/>
                  <w:vAlign w:val="center"/>
                </w:tcPr>
                <w:p w14:paraId="37B2F4DD">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bl>
          <w:p w14:paraId="776476D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51</w:t>
            </w:r>
            <w:r>
              <w:rPr>
                <w:rFonts w:hint="eastAsia" w:ascii="黑体" w:hAnsi="黑体" w:eastAsia="黑体" w:cs="黑体"/>
                <w:b/>
                <w:bCs/>
                <w:color w:val="000000" w:themeColor="text1"/>
                <w:sz w:val="21"/>
                <w:szCs w:val="21"/>
              </w:rPr>
              <w:t xml:space="preserve">      柴油设备安全防护距离与标准（有油气回收）对比情况表</w:t>
            </w:r>
          </w:p>
          <w:tbl>
            <w:tblPr>
              <w:tblStyle w:val="19"/>
              <w:tblW w:w="8220"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95"/>
              <w:gridCol w:w="3540"/>
              <w:gridCol w:w="2723"/>
              <w:gridCol w:w="1262"/>
            </w:tblGrid>
            <w:tr w14:paraId="4398977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tcBorders>
                    <w:bottom w:val="single" w:color="auto" w:sz="12" w:space="0"/>
                  </w:tcBorders>
                  <w:vAlign w:val="center"/>
                </w:tcPr>
                <w:p w14:paraId="7AAF29B2">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序号</w:t>
                  </w:r>
                </w:p>
              </w:tc>
              <w:tc>
                <w:tcPr>
                  <w:tcW w:w="3540" w:type="dxa"/>
                  <w:tcBorders>
                    <w:bottom w:val="single" w:color="auto" w:sz="12" w:space="0"/>
                  </w:tcBorders>
                  <w:vAlign w:val="center"/>
                </w:tcPr>
                <w:p w14:paraId="14D52E73">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标准要求</w:t>
                  </w:r>
                </w:p>
              </w:tc>
              <w:tc>
                <w:tcPr>
                  <w:tcW w:w="2723" w:type="dxa"/>
                  <w:tcBorders>
                    <w:bottom w:val="single" w:color="auto" w:sz="12" w:space="0"/>
                  </w:tcBorders>
                  <w:vAlign w:val="center"/>
                </w:tcPr>
                <w:p w14:paraId="26BAF1FA">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本项目实际情况</w:t>
                  </w:r>
                </w:p>
              </w:tc>
              <w:tc>
                <w:tcPr>
                  <w:tcW w:w="1262" w:type="dxa"/>
                  <w:tcBorders>
                    <w:bottom w:val="single" w:color="auto" w:sz="12" w:space="0"/>
                  </w:tcBorders>
                  <w:vAlign w:val="center"/>
                </w:tcPr>
                <w:p w14:paraId="73DAA1AE">
                  <w:pPr>
                    <w:pStyle w:val="46"/>
                    <w:ind w:left="0" w:leftChars="0" w:right="0" w:rightChars="0"/>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符合情况</w:t>
                  </w:r>
                </w:p>
              </w:tc>
            </w:tr>
            <w:tr w14:paraId="308523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tcBorders>
                    <w:top w:val="single" w:color="auto" w:sz="12" w:space="0"/>
                  </w:tcBorders>
                  <w:vAlign w:val="center"/>
                </w:tcPr>
                <w:p w14:paraId="349F6108">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w:t>
                  </w:r>
                </w:p>
              </w:tc>
              <w:tc>
                <w:tcPr>
                  <w:tcW w:w="3540" w:type="dxa"/>
                  <w:tcBorders>
                    <w:top w:val="single" w:color="auto" w:sz="12" w:space="0"/>
                  </w:tcBorders>
                  <w:vAlign w:val="center"/>
                </w:tcPr>
                <w:p w14:paraId="73D9F494">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距重要公共建筑物≥25m</w:t>
                  </w:r>
                </w:p>
              </w:tc>
              <w:tc>
                <w:tcPr>
                  <w:tcW w:w="2723" w:type="dxa"/>
                  <w:tcBorders>
                    <w:top w:val="single" w:color="auto" w:sz="12" w:space="0"/>
                  </w:tcBorders>
                  <w:vAlign w:val="center"/>
                </w:tcPr>
                <w:p w14:paraId="4FCD4030">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262" w:type="dxa"/>
                  <w:tcBorders>
                    <w:top w:val="single" w:color="auto" w:sz="12" w:space="0"/>
                  </w:tcBorders>
                  <w:vAlign w:val="center"/>
                </w:tcPr>
                <w:p w14:paraId="76C34E4A">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16F415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vAlign w:val="center"/>
                </w:tcPr>
                <w:p w14:paraId="32D92642">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2</w:t>
                  </w:r>
                </w:p>
              </w:tc>
              <w:tc>
                <w:tcPr>
                  <w:tcW w:w="3540" w:type="dxa"/>
                  <w:vAlign w:val="center"/>
                </w:tcPr>
                <w:p w14:paraId="7E99DF1F">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距明火或散发火花地点≥12.5m</w:t>
                  </w:r>
                </w:p>
              </w:tc>
              <w:tc>
                <w:tcPr>
                  <w:tcW w:w="2723" w:type="dxa"/>
                  <w:vAlign w:val="center"/>
                </w:tcPr>
                <w:p w14:paraId="44D31FD8">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262" w:type="dxa"/>
                  <w:vAlign w:val="center"/>
                </w:tcPr>
                <w:p w14:paraId="1F6FECCE">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47AF437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vAlign w:val="center"/>
                </w:tcPr>
                <w:p w14:paraId="084BEB4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3</w:t>
                  </w:r>
                </w:p>
              </w:tc>
              <w:tc>
                <w:tcPr>
                  <w:tcW w:w="3540" w:type="dxa"/>
                  <w:vAlign w:val="center"/>
                </w:tcPr>
                <w:p w14:paraId="3258444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距民用建筑三类保护物≥6m</w:t>
                  </w:r>
                </w:p>
              </w:tc>
              <w:tc>
                <w:tcPr>
                  <w:tcW w:w="2723" w:type="dxa"/>
                  <w:vAlign w:val="center"/>
                </w:tcPr>
                <w:p w14:paraId="6DCB2EAE">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262" w:type="dxa"/>
                  <w:vAlign w:val="center"/>
                </w:tcPr>
                <w:p w14:paraId="43CCC3F5">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2C58DD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vAlign w:val="center"/>
                </w:tcPr>
                <w:p w14:paraId="5EFD74B0">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4</w:t>
                  </w:r>
                </w:p>
              </w:tc>
              <w:tc>
                <w:tcPr>
                  <w:tcW w:w="3540" w:type="dxa"/>
                  <w:vAlign w:val="center"/>
                </w:tcPr>
                <w:p w14:paraId="0D6E3A70">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距甲、乙类物品生产厂房、库房和甲、乙类液体储罐≥11m</w:t>
                  </w:r>
                </w:p>
              </w:tc>
              <w:tc>
                <w:tcPr>
                  <w:tcW w:w="2723" w:type="dxa"/>
                  <w:vAlign w:val="center"/>
                </w:tcPr>
                <w:p w14:paraId="27BC9FAE">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262" w:type="dxa"/>
                  <w:vAlign w:val="center"/>
                </w:tcPr>
                <w:p w14:paraId="2BAFE62E">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01DA3B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vAlign w:val="center"/>
                </w:tcPr>
                <w:p w14:paraId="3892D931">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5</w:t>
                  </w:r>
                </w:p>
              </w:tc>
              <w:tc>
                <w:tcPr>
                  <w:tcW w:w="3540" w:type="dxa"/>
                  <w:vAlign w:val="center"/>
                </w:tcPr>
                <w:p w14:paraId="6D7BAC3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距丙、丁、戊类物品生产厂房、库房和丙类液体储罐，以及容积不大于50m</w:t>
                  </w:r>
                  <w:r>
                    <w:rPr>
                      <w:rFonts w:hint="default" w:ascii="Times New Roman" w:hAnsi="Times New Roman" w:cs="Times New Roman"/>
                      <w:color w:val="000000" w:themeColor="text1"/>
                      <w:sz w:val="21"/>
                      <w:szCs w:val="21"/>
                      <w:vertAlign w:val="superscript"/>
                    </w:rPr>
                    <w:t>3</w:t>
                  </w:r>
                  <w:r>
                    <w:rPr>
                      <w:rFonts w:hint="default" w:ascii="Times New Roman" w:hAnsi="Times New Roman" w:cs="Times New Roman"/>
                      <w:color w:val="000000" w:themeColor="text1"/>
                      <w:sz w:val="21"/>
                      <w:szCs w:val="21"/>
                    </w:rPr>
                    <w:t>的埋地甲、乙类液体储罐≥9m</w:t>
                  </w:r>
                </w:p>
              </w:tc>
              <w:tc>
                <w:tcPr>
                  <w:tcW w:w="2723" w:type="dxa"/>
                  <w:vAlign w:val="center"/>
                </w:tcPr>
                <w:p w14:paraId="7153B6A6">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262" w:type="dxa"/>
                  <w:vAlign w:val="center"/>
                </w:tcPr>
                <w:p w14:paraId="1C8A77CE">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557BF29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vAlign w:val="center"/>
                </w:tcPr>
                <w:p w14:paraId="5ED7118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6</w:t>
                  </w:r>
                </w:p>
              </w:tc>
              <w:tc>
                <w:tcPr>
                  <w:tcW w:w="3540" w:type="dxa"/>
                  <w:vAlign w:val="center"/>
                </w:tcPr>
                <w:p w14:paraId="04C9C50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城市次干路、支路≥3m</w:t>
                  </w:r>
                </w:p>
              </w:tc>
              <w:tc>
                <w:tcPr>
                  <w:tcW w:w="2723" w:type="dxa"/>
                  <w:vAlign w:val="center"/>
                </w:tcPr>
                <w:p w14:paraId="0964C6BF">
                  <w:pPr>
                    <w:jc w:val="center"/>
                    <w:rPr>
                      <w:rFonts w:hint="default"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lang w:val="en-US" w:eastAsia="zh-CN"/>
                    </w:rPr>
                    <w:t>北距克榆公路</w:t>
                  </w:r>
                  <w:r>
                    <w:rPr>
                      <w:rFonts w:hint="default" w:ascii="Times New Roman" w:hAnsi="Times New Roman" w:cs="Times New Roman"/>
                      <w:color w:val="000000" w:themeColor="text1"/>
                      <w:sz w:val="21"/>
                      <w:szCs w:val="21"/>
                    </w:rPr>
                    <w:t>＞5m</w:t>
                  </w:r>
                </w:p>
              </w:tc>
              <w:tc>
                <w:tcPr>
                  <w:tcW w:w="1262" w:type="dxa"/>
                  <w:vAlign w:val="center"/>
                </w:tcPr>
                <w:p w14:paraId="5DCB54F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bl>
          <w:p w14:paraId="4412801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2" w:firstLineChars="200"/>
              <w:jc w:val="both"/>
              <w:textAlignment w:val="auto"/>
              <w:outlineLvl w:val="9"/>
              <w:rPr>
                <w:rFonts w:hint="eastAsia"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52</w:t>
            </w:r>
            <w:r>
              <w:rPr>
                <w:rFonts w:hint="eastAsia"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lang w:val="en-US" w:eastAsia="zh-CN"/>
              </w:rPr>
              <w:t xml:space="preserve">           CNG设备安全防护距离与标准对比情况表</w:t>
            </w:r>
          </w:p>
          <w:tbl>
            <w:tblPr>
              <w:tblStyle w:val="19"/>
              <w:tblW w:w="8220"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95"/>
              <w:gridCol w:w="3540"/>
              <w:gridCol w:w="2723"/>
              <w:gridCol w:w="1262"/>
            </w:tblGrid>
            <w:tr w14:paraId="5916A37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tcBorders>
                    <w:bottom w:val="single" w:color="auto" w:sz="12" w:space="0"/>
                  </w:tcBorders>
                  <w:vAlign w:val="center"/>
                </w:tcPr>
                <w:p w14:paraId="4C02431E">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序号</w:t>
                  </w:r>
                </w:p>
              </w:tc>
              <w:tc>
                <w:tcPr>
                  <w:tcW w:w="3540" w:type="dxa"/>
                  <w:tcBorders>
                    <w:bottom w:val="single" w:color="auto" w:sz="12" w:space="0"/>
                  </w:tcBorders>
                  <w:vAlign w:val="center"/>
                </w:tcPr>
                <w:p w14:paraId="28C91A1C">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标准要求</w:t>
                  </w:r>
                </w:p>
              </w:tc>
              <w:tc>
                <w:tcPr>
                  <w:tcW w:w="2723" w:type="dxa"/>
                  <w:tcBorders>
                    <w:bottom w:val="single" w:color="auto" w:sz="12" w:space="0"/>
                  </w:tcBorders>
                  <w:vAlign w:val="center"/>
                </w:tcPr>
                <w:p w14:paraId="466F3843">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本项目实际情况</w:t>
                  </w:r>
                </w:p>
              </w:tc>
              <w:tc>
                <w:tcPr>
                  <w:tcW w:w="1262" w:type="dxa"/>
                  <w:tcBorders>
                    <w:bottom w:val="single" w:color="auto" w:sz="12" w:space="0"/>
                  </w:tcBorders>
                  <w:vAlign w:val="center"/>
                </w:tcPr>
                <w:p w14:paraId="538261B6">
                  <w:pPr>
                    <w:pStyle w:val="46"/>
                    <w:ind w:left="0" w:leftChars="0" w:right="0" w:rightChars="0"/>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符合情况</w:t>
                  </w:r>
                </w:p>
              </w:tc>
            </w:tr>
            <w:tr w14:paraId="26C56D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tcBorders>
                    <w:top w:val="single" w:color="auto" w:sz="12" w:space="0"/>
                  </w:tcBorders>
                  <w:vAlign w:val="center"/>
                </w:tcPr>
                <w:p w14:paraId="3FDA563C">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1</w:t>
                  </w:r>
                </w:p>
              </w:tc>
              <w:tc>
                <w:tcPr>
                  <w:tcW w:w="3540" w:type="dxa"/>
                  <w:tcBorders>
                    <w:top w:val="single" w:color="auto" w:sz="12" w:space="0"/>
                  </w:tcBorders>
                  <w:vAlign w:val="center"/>
                </w:tcPr>
                <w:p w14:paraId="70B4452F">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距重要公共建筑物≥</w:t>
                  </w:r>
                  <w:r>
                    <w:rPr>
                      <w:rFonts w:hint="eastAsia" w:ascii="Times New Roman" w:hAnsi="Times New Roman" w:cs="Times New Roman"/>
                      <w:color w:val="000000" w:themeColor="text1"/>
                      <w:sz w:val="21"/>
                      <w:szCs w:val="21"/>
                      <w:lang w:val="en-US" w:eastAsia="zh-CN"/>
                    </w:rPr>
                    <w:t>50</w:t>
                  </w:r>
                  <w:r>
                    <w:rPr>
                      <w:rFonts w:hint="default" w:ascii="Times New Roman" w:hAnsi="Times New Roman" w:cs="Times New Roman"/>
                      <w:color w:val="000000" w:themeColor="text1"/>
                      <w:sz w:val="21"/>
                      <w:szCs w:val="21"/>
                    </w:rPr>
                    <w:t>m</w:t>
                  </w:r>
                </w:p>
              </w:tc>
              <w:tc>
                <w:tcPr>
                  <w:tcW w:w="2723" w:type="dxa"/>
                  <w:tcBorders>
                    <w:top w:val="single" w:color="auto" w:sz="12" w:space="0"/>
                  </w:tcBorders>
                  <w:vAlign w:val="center"/>
                </w:tcPr>
                <w:p w14:paraId="5F162F2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262" w:type="dxa"/>
                  <w:tcBorders>
                    <w:top w:val="single" w:color="auto" w:sz="12" w:space="0"/>
                  </w:tcBorders>
                  <w:vAlign w:val="center"/>
                </w:tcPr>
                <w:p w14:paraId="6303AE3F">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24812E3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vAlign w:val="center"/>
                </w:tcPr>
                <w:p w14:paraId="21B0390D">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2</w:t>
                  </w:r>
                </w:p>
              </w:tc>
              <w:tc>
                <w:tcPr>
                  <w:tcW w:w="3540" w:type="dxa"/>
                  <w:vAlign w:val="center"/>
                </w:tcPr>
                <w:p w14:paraId="0719870E">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距明火或散发火花地点≥</w:t>
                  </w:r>
                  <w:r>
                    <w:rPr>
                      <w:rFonts w:hint="eastAsia" w:ascii="Times New Roman" w:hAnsi="Times New Roman" w:cs="Times New Roman"/>
                      <w:color w:val="000000" w:themeColor="text1"/>
                      <w:sz w:val="21"/>
                      <w:szCs w:val="21"/>
                      <w:lang w:val="en-US" w:eastAsia="zh-CN"/>
                    </w:rPr>
                    <w:t>30</w:t>
                  </w:r>
                  <w:r>
                    <w:rPr>
                      <w:rFonts w:hint="default" w:ascii="Times New Roman" w:hAnsi="Times New Roman" w:cs="Times New Roman"/>
                      <w:color w:val="000000" w:themeColor="text1"/>
                      <w:sz w:val="21"/>
                      <w:szCs w:val="21"/>
                    </w:rPr>
                    <w:t>m</w:t>
                  </w:r>
                </w:p>
              </w:tc>
              <w:tc>
                <w:tcPr>
                  <w:tcW w:w="2723" w:type="dxa"/>
                  <w:vAlign w:val="center"/>
                </w:tcPr>
                <w:p w14:paraId="2F46E705">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262" w:type="dxa"/>
                  <w:vAlign w:val="center"/>
                </w:tcPr>
                <w:p w14:paraId="42037BA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631EBD8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vAlign w:val="center"/>
                </w:tcPr>
                <w:p w14:paraId="151C258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3</w:t>
                  </w:r>
                </w:p>
              </w:tc>
              <w:tc>
                <w:tcPr>
                  <w:tcW w:w="3540" w:type="dxa"/>
                  <w:vAlign w:val="center"/>
                </w:tcPr>
                <w:p w14:paraId="3B067C59">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距民用建筑三类保护物≥</w:t>
                  </w:r>
                  <w:r>
                    <w:rPr>
                      <w:rFonts w:hint="eastAsia" w:ascii="Times New Roman" w:hAnsi="Times New Roman" w:cs="Times New Roman"/>
                      <w:color w:val="000000" w:themeColor="text1"/>
                      <w:sz w:val="21"/>
                      <w:szCs w:val="21"/>
                      <w:lang w:val="en-US" w:eastAsia="zh-CN"/>
                    </w:rPr>
                    <w:t>18</w:t>
                  </w:r>
                  <w:r>
                    <w:rPr>
                      <w:rFonts w:hint="default" w:ascii="Times New Roman" w:hAnsi="Times New Roman" w:cs="Times New Roman"/>
                      <w:color w:val="000000" w:themeColor="text1"/>
                      <w:sz w:val="21"/>
                      <w:szCs w:val="21"/>
                    </w:rPr>
                    <w:t>m</w:t>
                  </w:r>
                </w:p>
              </w:tc>
              <w:tc>
                <w:tcPr>
                  <w:tcW w:w="2723" w:type="dxa"/>
                  <w:vAlign w:val="center"/>
                </w:tcPr>
                <w:p w14:paraId="231BC48F">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262" w:type="dxa"/>
                  <w:vAlign w:val="center"/>
                </w:tcPr>
                <w:p w14:paraId="1E75557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707E52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vAlign w:val="center"/>
                </w:tcPr>
                <w:p w14:paraId="5631B6D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4</w:t>
                  </w:r>
                </w:p>
              </w:tc>
              <w:tc>
                <w:tcPr>
                  <w:tcW w:w="3540" w:type="dxa"/>
                  <w:vAlign w:val="center"/>
                </w:tcPr>
                <w:p w14:paraId="2029F6FB">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距甲、乙类物品生产厂房、库房和甲、乙类液体储罐≥</w:t>
                  </w:r>
                  <w:r>
                    <w:rPr>
                      <w:rFonts w:hint="eastAsia" w:ascii="Times New Roman" w:hAnsi="Times New Roman" w:cs="Times New Roman"/>
                      <w:color w:val="000000" w:themeColor="text1"/>
                      <w:sz w:val="21"/>
                      <w:szCs w:val="21"/>
                      <w:lang w:val="en-US" w:eastAsia="zh-CN"/>
                    </w:rPr>
                    <w:t>25</w:t>
                  </w:r>
                  <w:r>
                    <w:rPr>
                      <w:rFonts w:hint="default" w:ascii="Times New Roman" w:hAnsi="Times New Roman" w:cs="Times New Roman"/>
                      <w:color w:val="000000" w:themeColor="text1"/>
                      <w:sz w:val="21"/>
                      <w:szCs w:val="21"/>
                    </w:rPr>
                    <w:t>m</w:t>
                  </w:r>
                </w:p>
              </w:tc>
              <w:tc>
                <w:tcPr>
                  <w:tcW w:w="2723" w:type="dxa"/>
                  <w:vAlign w:val="center"/>
                </w:tcPr>
                <w:p w14:paraId="32242F8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262" w:type="dxa"/>
                  <w:vAlign w:val="center"/>
                </w:tcPr>
                <w:p w14:paraId="7F673D6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104F4CC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vAlign w:val="center"/>
                </w:tcPr>
                <w:p w14:paraId="12DD4FC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5</w:t>
                  </w:r>
                </w:p>
              </w:tc>
              <w:tc>
                <w:tcPr>
                  <w:tcW w:w="3540" w:type="dxa"/>
                  <w:vAlign w:val="center"/>
                </w:tcPr>
                <w:p w14:paraId="3DCCA610">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距丙、丁、戊类物品生产厂房、库房和丙类液体储罐，以及容积不大于50m</w:t>
                  </w:r>
                  <w:r>
                    <w:rPr>
                      <w:rFonts w:hint="default" w:ascii="Times New Roman" w:hAnsi="Times New Roman" w:cs="Times New Roman"/>
                      <w:color w:val="000000" w:themeColor="text1"/>
                      <w:sz w:val="21"/>
                      <w:szCs w:val="21"/>
                      <w:vertAlign w:val="superscript"/>
                    </w:rPr>
                    <w:t>3</w:t>
                  </w:r>
                  <w:r>
                    <w:rPr>
                      <w:rFonts w:hint="default" w:ascii="Times New Roman" w:hAnsi="Times New Roman" w:cs="Times New Roman"/>
                      <w:color w:val="000000" w:themeColor="text1"/>
                      <w:sz w:val="21"/>
                      <w:szCs w:val="21"/>
                    </w:rPr>
                    <w:t>的埋地甲、乙类液体储罐≥</w:t>
                  </w:r>
                  <w:r>
                    <w:rPr>
                      <w:rFonts w:hint="eastAsia" w:ascii="Times New Roman" w:hAnsi="Times New Roman" w:cs="Times New Roman"/>
                      <w:color w:val="000000" w:themeColor="text1"/>
                      <w:sz w:val="21"/>
                      <w:szCs w:val="21"/>
                      <w:lang w:val="en-US" w:eastAsia="zh-CN"/>
                    </w:rPr>
                    <w:t>18</w:t>
                  </w:r>
                  <w:r>
                    <w:rPr>
                      <w:rFonts w:hint="default" w:ascii="Times New Roman" w:hAnsi="Times New Roman" w:cs="Times New Roman"/>
                      <w:color w:val="000000" w:themeColor="text1"/>
                      <w:sz w:val="21"/>
                      <w:szCs w:val="21"/>
                    </w:rPr>
                    <w:t>m</w:t>
                  </w:r>
                </w:p>
              </w:tc>
              <w:tc>
                <w:tcPr>
                  <w:tcW w:w="2723" w:type="dxa"/>
                  <w:vAlign w:val="center"/>
                </w:tcPr>
                <w:p w14:paraId="76596E06">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无</w:t>
                  </w:r>
                </w:p>
              </w:tc>
              <w:tc>
                <w:tcPr>
                  <w:tcW w:w="1262" w:type="dxa"/>
                  <w:vAlign w:val="center"/>
                </w:tcPr>
                <w:p w14:paraId="1DCA860E">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r w14:paraId="5E60061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95" w:type="dxa"/>
                  <w:vAlign w:val="center"/>
                </w:tcPr>
                <w:p w14:paraId="583CACEE">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6</w:t>
                  </w:r>
                </w:p>
              </w:tc>
              <w:tc>
                <w:tcPr>
                  <w:tcW w:w="3540" w:type="dxa"/>
                  <w:vAlign w:val="center"/>
                </w:tcPr>
                <w:p w14:paraId="20EAC20C">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城市次干路、支路≥</w:t>
                  </w:r>
                  <w:r>
                    <w:rPr>
                      <w:rFonts w:hint="eastAsia" w:ascii="Times New Roman" w:hAnsi="Times New Roman" w:cs="Times New Roman"/>
                      <w:color w:val="000000" w:themeColor="text1"/>
                      <w:sz w:val="21"/>
                      <w:szCs w:val="21"/>
                      <w:lang w:val="en-US" w:eastAsia="zh-CN"/>
                    </w:rPr>
                    <w:t>10</w:t>
                  </w:r>
                  <w:r>
                    <w:rPr>
                      <w:rFonts w:hint="default" w:ascii="Times New Roman" w:hAnsi="Times New Roman" w:cs="Times New Roman"/>
                      <w:color w:val="000000" w:themeColor="text1"/>
                      <w:sz w:val="21"/>
                      <w:szCs w:val="21"/>
                    </w:rPr>
                    <w:t>m</w:t>
                  </w:r>
                </w:p>
              </w:tc>
              <w:tc>
                <w:tcPr>
                  <w:tcW w:w="2723" w:type="dxa"/>
                  <w:vAlign w:val="center"/>
                </w:tcPr>
                <w:p w14:paraId="7544F719">
                  <w:pPr>
                    <w:jc w:val="center"/>
                    <w:rPr>
                      <w:rFonts w:hint="default" w:ascii="Times New Roman" w:hAnsi="Times New Roman" w:cs="Times New Roman"/>
                      <w:color w:val="000000" w:themeColor="text1"/>
                      <w:sz w:val="21"/>
                      <w:szCs w:val="21"/>
                    </w:rPr>
                  </w:pPr>
                  <w:r>
                    <w:rPr>
                      <w:rFonts w:hint="eastAsia" w:ascii="Times New Roman" w:hAnsi="Times New Roman" w:cs="Times New Roman"/>
                      <w:color w:val="000000" w:themeColor="text1"/>
                      <w:sz w:val="21"/>
                      <w:szCs w:val="21"/>
                      <w:lang w:val="en-US" w:eastAsia="zh-CN"/>
                    </w:rPr>
                    <w:t>北距克榆公路</w:t>
                  </w:r>
                  <w:r>
                    <w:rPr>
                      <w:rFonts w:hint="default" w:ascii="Times New Roman" w:hAnsi="Times New Roman" w:cs="Times New Roman"/>
                      <w:color w:val="000000" w:themeColor="text1"/>
                      <w:sz w:val="21"/>
                      <w:szCs w:val="21"/>
                    </w:rPr>
                    <w:t>＞</w:t>
                  </w:r>
                  <w:r>
                    <w:rPr>
                      <w:rFonts w:hint="eastAsia" w:ascii="Times New Roman" w:hAnsi="Times New Roman" w:cs="Times New Roman"/>
                      <w:color w:val="000000" w:themeColor="text1"/>
                      <w:sz w:val="21"/>
                      <w:szCs w:val="21"/>
                      <w:lang w:val="en-US" w:eastAsia="zh-CN"/>
                    </w:rPr>
                    <w:t>10</w:t>
                  </w:r>
                  <w:r>
                    <w:rPr>
                      <w:rFonts w:hint="default" w:ascii="Times New Roman" w:hAnsi="Times New Roman" w:cs="Times New Roman"/>
                      <w:color w:val="000000" w:themeColor="text1"/>
                      <w:sz w:val="21"/>
                      <w:szCs w:val="21"/>
                    </w:rPr>
                    <w:t>m</w:t>
                  </w:r>
                </w:p>
              </w:tc>
              <w:tc>
                <w:tcPr>
                  <w:tcW w:w="1262" w:type="dxa"/>
                  <w:vAlign w:val="center"/>
                </w:tcPr>
                <w:p w14:paraId="30C16C62">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符合</w:t>
                  </w:r>
                </w:p>
              </w:tc>
            </w:tr>
          </w:tbl>
          <w:p w14:paraId="32B377CB">
            <w:pPr>
              <w:spacing w:line="360" w:lineRule="auto"/>
              <w:ind w:firstLine="480" w:firstLineChars="200"/>
              <w:rPr>
                <w:rFonts w:hint="eastAsia" w:ascii="Times New Roman" w:hAnsi="Times New Roman" w:cs="Times New Roman"/>
                <w:color w:val="000000" w:themeColor="text1"/>
                <w:sz w:val="24"/>
                <w:szCs w:val="24"/>
                <w:lang w:val="en-US" w:eastAsia="zh-CN"/>
              </w:rPr>
            </w:pPr>
            <w:r>
              <w:rPr>
                <w:rFonts w:hint="default" w:ascii="Times New Roman" w:hAnsi="Times New Roman" w:cs="Times New Roman"/>
                <w:color w:val="000000" w:themeColor="text1"/>
                <w:sz w:val="24"/>
                <w:szCs w:val="24"/>
              </w:rPr>
              <w:t>根据《汽车加油加气站设计与施工规范》（GB50156－2012）规定，项目位于</w:t>
            </w:r>
            <w:r>
              <w:rPr>
                <w:rFonts w:hint="default" w:ascii="Times New Roman" w:hAnsi="Times New Roman" w:eastAsia="宋体" w:cs="Times New Roman"/>
                <w:color w:val="000000" w:themeColor="text1"/>
                <w:lang w:eastAsia="zh-CN"/>
              </w:rPr>
              <w:t>昌吉高新</w:t>
            </w:r>
            <w:r>
              <w:rPr>
                <w:rFonts w:hint="eastAsia" w:ascii="Times New Roman" w:hAnsi="Times New Roman" w:cs="Times New Roman"/>
                <w:color w:val="000000" w:themeColor="text1"/>
                <w:lang w:val="en-US" w:eastAsia="zh-CN"/>
              </w:rPr>
              <w:t>技术</w:t>
            </w:r>
            <w:r>
              <w:rPr>
                <w:rFonts w:hint="default" w:ascii="Times New Roman" w:hAnsi="Times New Roman" w:eastAsia="宋体" w:cs="Times New Roman"/>
                <w:color w:val="000000" w:themeColor="text1"/>
                <w:lang w:eastAsia="zh-CN"/>
              </w:rPr>
              <w:t>产业开发区北环东路</w:t>
            </w:r>
            <w:r>
              <w:rPr>
                <w:rFonts w:hint="default" w:ascii="Times New Roman" w:hAnsi="Times New Roman" w:eastAsia="宋体" w:cs="Times New Roman"/>
                <w:color w:val="000000" w:themeColor="text1"/>
                <w:lang w:val="en-US" w:eastAsia="zh-CN"/>
              </w:rPr>
              <w:t>10号</w:t>
            </w:r>
            <w:r>
              <w:rPr>
                <w:rFonts w:hint="default" w:ascii="Times New Roman" w:hAnsi="Times New Roman" w:cs="Times New Roman"/>
                <w:color w:val="000000" w:themeColor="text1"/>
                <w:sz w:val="24"/>
                <w:szCs w:val="24"/>
              </w:rPr>
              <w:t>，</w:t>
            </w:r>
            <w:r>
              <w:rPr>
                <w:rFonts w:hint="eastAsia" w:ascii="Times New Roman" w:hAnsi="Times New Roman" w:cs="Times New Roman"/>
                <w:color w:val="000000" w:themeColor="text1"/>
                <w:sz w:val="24"/>
                <w:szCs w:val="24"/>
                <w:lang w:val="en-US" w:eastAsia="zh-CN"/>
              </w:rPr>
              <w:t>加油站</w:t>
            </w:r>
            <w:r>
              <w:rPr>
                <w:rFonts w:hint="default" w:ascii="Times New Roman" w:hAnsi="Times New Roman" w:cs="Times New Roman"/>
                <w:color w:val="000000" w:themeColor="text1"/>
                <w:sz w:val="24"/>
                <w:szCs w:val="24"/>
              </w:rPr>
              <w:t>站工艺设施与站外建、构筑物的防火距离已满足规定的要求，四至无重大环境敏感目标，无其他重要公共建筑，站区周围建设高度为2m的非燃烧实体防爆墙，</w:t>
            </w:r>
            <w:r>
              <w:rPr>
                <w:rFonts w:hint="default" w:ascii="Times New Roman" w:hAnsi="Times New Roman" w:cs="Times New Roman"/>
                <w:color w:val="000000" w:themeColor="text1"/>
                <w:sz w:val="24"/>
                <w:szCs w:val="24"/>
                <w:lang w:eastAsia="zh-CN"/>
              </w:rPr>
              <w:t>站内油罐区及加气区各设施间的防火间距均满足</w:t>
            </w:r>
            <w:r>
              <w:rPr>
                <w:rFonts w:hint="default" w:ascii="Times New Roman" w:hAnsi="Times New Roman" w:cs="Times New Roman"/>
                <w:color w:val="000000" w:themeColor="text1"/>
                <w:sz w:val="24"/>
                <w:szCs w:val="24"/>
              </w:rPr>
              <w:t>《汽车加油加气设计与施工规范》（GB50156－2012）（2014年局部修订版）中对站</w:t>
            </w:r>
            <w:r>
              <w:rPr>
                <w:rFonts w:hint="default" w:ascii="Times New Roman" w:hAnsi="Times New Roman" w:cs="Times New Roman"/>
                <w:color w:val="000000" w:themeColor="text1"/>
                <w:sz w:val="24"/>
                <w:szCs w:val="24"/>
                <w:lang w:eastAsia="zh-CN"/>
              </w:rPr>
              <w:t>内</w:t>
            </w:r>
            <w:r>
              <w:rPr>
                <w:rFonts w:hint="default" w:ascii="Times New Roman" w:hAnsi="Times New Roman" w:cs="Times New Roman"/>
                <w:color w:val="000000" w:themeColor="text1"/>
                <w:sz w:val="24"/>
                <w:szCs w:val="24"/>
              </w:rPr>
              <w:t>外建、构筑物防火距离的规定</w:t>
            </w: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上述结论仅供参考，实际安全防护距离以《昌吉市顺捷天然气有限公司改扩建项目安全生产预评价报告》为准。</w:t>
            </w:r>
          </w:p>
          <w:p w14:paraId="547C81F5">
            <w:pPr>
              <w:spacing w:line="360" w:lineRule="auto"/>
              <w:rPr>
                <w:rFonts w:ascii="Times New Roman" w:hAnsi="Times New Roman"/>
                <w:b/>
                <w:bCs/>
                <w:color w:val="000000" w:themeColor="text1"/>
                <w:sz w:val="24"/>
                <w:szCs w:val="24"/>
              </w:rPr>
            </w:pPr>
            <w:r>
              <w:rPr>
                <w:rFonts w:hint="eastAsia" w:ascii="Times New Roman" w:hAnsi="Times New Roman"/>
                <w:b/>
                <w:bCs/>
                <w:color w:val="000000" w:themeColor="text1"/>
                <w:sz w:val="24"/>
                <w:szCs w:val="24"/>
                <w:lang w:val="en-US" w:eastAsia="zh-CN"/>
              </w:rPr>
              <w:t>10</w:t>
            </w:r>
            <w:r>
              <w:rPr>
                <w:rFonts w:hint="eastAsia" w:ascii="Times New Roman" w:hAnsi="Times New Roman"/>
                <w:b/>
                <w:bCs/>
                <w:color w:val="000000" w:themeColor="text1"/>
                <w:sz w:val="24"/>
                <w:szCs w:val="24"/>
              </w:rPr>
              <w:t>、环境保护投资估算</w:t>
            </w:r>
          </w:p>
          <w:p w14:paraId="396531A2">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本项目环保投资</w:t>
            </w:r>
            <w:r>
              <w:rPr>
                <w:rFonts w:hint="eastAsia" w:ascii="Times New Roman" w:hAnsi="Times New Roman"/>
                <w:color w:val="000000" w:themeColor="text1"/>
                <w:sz w:val="24"/>
                <w:szCs w:val="24"/>
                <w:lang w:val="en-US" w:eastAsia="zh-CN"/>
              </w:rPr>
              <w:t>10.5</w:t>
            </w:r>
            <w:r>
              <w:rPr>
                <w:rFonts w:hint="eastAsia" w:ascii="Times New Roman" w:hAnsi="Times New Roman"/>
                <w:color w:val="000000" w:themeColor="text1"/>
                <w:sz w:val="24"/>
                <w:szCs w:val="24"/>
              </w:rPr>
              <w:t>万元，占总投资的</w:t>
            </w:r>
            <w:r>
              <w:rPr>
                <w:rFonts w:hint="eastAsia" w:ascii="Times New Roman" w:hAnsi="Times New Roman"/>
                <w:color w:val="000000" w:themeColor="text1"/>
                <w:sz w:val="24"/>
                <w:szCs w:val="24"/>
                <w:lang w:val="en-US" w:eastAsia="zh-CN"/>
              </w:rPr>
              <w:t>1.5</w:t>
            </w:r>
            <w:r>
              <w:rPr>
                <w:rFonts w:ascii="Times New Roman" w:hAnsi="Times New Roman"/>
                <w:color w:val="000000" w:themeColor="text1"/>
                <w:sz w:val="24"/>
                <w:szCs w:val="24"/>
              </w:rPr>
              <w:t>%</w:t>
            </w:r>
            <w:r>
              <w:rPr>
                <w:rFonts w:hint="eastAsia" w:ascii="Times New Roman" w:hAnsi="Times New Roman"/>
                <w:color w:val="000000" w:themeColor="text1"/>
                <w:sz w:val="24"/>
                <w:szCs w:val="24"/>
              </w:rPr>
              <w:t>。主要用于厂区污水</w:t>
            </w:r>
            <w:r>
              <w:rPr>
                <w:rFonts w:hint="eastAsia" w:ascii="Times New Roman" w:hAnsi="Times New Roman"/>
                <w:color w:val="000000" w:themeColor="text1"/>
                <w:sz w:val="24"/>
                <w:szCs w:val="24"/>
                <w:lang w:eastAsia="zh-CN"/>
              </w:rPr>
              <w:t>管网</w:t>
            </w:r>
            <w:r>
              <w:rPr>
                <w:rFonts w:hint="eastAsia" w:ascii="Times New Roman" w:hAnsi="Times New Roman"/>
                <w:color w:val="000000" w:themeColor="text1"/>
                <w:sz w:val="24"/>
                <w:szCs w:val="24"/>
              </w:rPr>
              <w:t>、废气治理、隔声和降噪设施的建设、危险固废堆场、厂区地面硬化等。环境保护投资估算详见表</w:t>
            </w:r>
            <w:r>
              <w:rPr>
                <w:rFonts w:hint="eastAsia" w:ascii="Times New Roman" w:hAnsi="Times New Roman"/>
                <w:color w:val="000000" w:themeColor="text1"/>
                <w:sz w:val="24"/>
                <w:szCs w:val="24"/>
                <w:lang w:val="en-US" w:eastAsia="zh-CN"/>
              </w:rPr>
              <w:t>53</w:t>
            </w:r>
            <w:r>
              <w:rPr>
                <w:rFonts w:hint="eastAsia" w:ascii="Times New Roman" w:hAnsi="Times New Roman"/>
                <w:color w:val="000000" w:themeColor="text1"/>
                <w:sz w:val="24"/>
                <w:szCs w:val="24"/>
              </w:rPr>
              <w:t>。</w:t>
            </w:r>
          </w:p>
          <w:p w14:paraId="07EB0CEE">
            <w:pPr>
              <w:spacing w:line="360" w:lineRule="auto"/>
              <w:ind w:firstLine="422" w:firstLineChars="200"/>
              <w:rPr>
                <w:rFonts w:ascii="黑体" w:hAnsi="黑体" w:eastAsia="黑体" w:cs="黑体"/>
                <w:b/>
                <w:bCs/>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53</w:t>
            </w:r>
            <w:r>
              <w:rPr>
                <w:rFonts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rPr>
              <w:t>环境保护投资估算一览表</w:t>
            </w:r>
          </w:p>
          <w:tbl>
            <w:tblPr>
              <w:tblStyle w:val="19"/>
              <w:tblW w:w="8220" w:type="dxa"/>
              <w:tblInd w:w="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110"/>
              <w:gridCol w:w="4774"/>
              <w:gridCol w:w="1684"/>
            </w:tblGrid>
            <w:tr w14:paraId="14ABBB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2" w:type="dxa"/>
                  <w:tcBorders>
                    <w:top w:val="single" w:color="auto" w:sz="12" w:space="0"/>
                    <w:bottom w:val="single" w:color="auto" w:sz="12" w:space="0"/>
                    <w:right w:val="single" w:color="auto" w:sz="4" w:space="0"/>
                  </w:tcBorders>
                  <w:vAlign w:val="center"/>
                </w:tcPr>
                <w:p w14:paraId="1F77DB74">
                  <w:pPr>
                    <w:jc w:val="center"/>
                    <w:rPr>
                      <w:rFonts w:ascii="Times New Roman" w:hAnsi="Times New Roman"/>
                      <w:b/>
                      <w:bCs/>
                      <w:color w:val="000000" w:themeColor="text1"/>
                      <w:sz w:val="21"/>
                      <w:szCs w:val="21"/>
                    </w:rPr>
                  </w:pPr>
                  <w:r>
                    <w:rPr>
                      <w:rFonts w:hint="eastAsia" w:ascii="Times New Roman" w:hAnsi="Times New Roman"/>
                      <w:b/>
                      <w:bCs/>
                      <w:color w:val="000000" w:themeColor="text1"/>
                      <w:sz w:val="21"/>
                      <w:szCs w:val="21"/>
                    </w:rPr>
                    <w:t>序号</w:t>
                  </w:r>
                </w:p>
              </w:tc>
              <w:tc>
                <w:tcPr>
                  <w:tcW w:w="1110" w:type="dxa"/>
                  <w:tcBorders>
                    <w:top w:val="single" w:color="auto" w:sz="12" w:space="0"/>
                    <w:left w:val="single" w:color="auto" w:sz="4" w:space="0"/>
                    <w:bottom w:val="single" w:color="auto" w:sz="12" w:space="0"/>
                    <w:right w:val="single" w:color="auto" w:sz="4" w:space="0"/>
                  </w:tcBorders>
                  <w:vAlign w:val="center"/>
                </w:tcPr>
                <w:p w14:paraId="5B2257D0">
                  <w:pPr>
                    <w:jc w:val="center"/>
                    <w:rPr>
                      <w:rFonts w:ascii="Times New Roman" w:hAnsi="Times New Roman"/>
                      <w:b/>
                      <w:bCs/>
                      <w:color w:val="000000" w:themeColor="text1"/>
                      <w:sz w:val="21"/>
                      <w:szCs w:val="21"/>
                    </w:rPr>
                  </w:pPr>
                  <w:r>
                    <w:rPr>
                      <w:rFonts w:hint="eastAsia" w:ascii="Times New Roman" w:hAnsi="Times New Roman"/>
                      <w:b/>
                      <w:bCs/>
                      <w:color w:val="000000" w:themeColor="text1"/>
                      <w:sz w:val="21"/>
                      <w:szCs w:val="21"/>
                    </w:rPr>
                    <w:t>项目</w:t>
                  </w:r>
                </w:p>
              </w:tc>
              <w:tc>
                <w:tcPr>
                  <w:tcW w:w="4774" w:type="dxa"/>
                  <w:tcBorders>
                    <w:top w:val="single" w:color="auto" w:sz="12" w:space="0"/>
                    <w:left w:val="single" w:color="auto" w:sz="4" w:space="0"/>
                    <w:bottom w:val="single" w:color="auto" w:sz="12" w:space="0"/>
                    <w:right w:val="single" w:color="auto" w:sz="4" w:space="0"/>
                  </w:tcBorders>
                  <w:vAlign w:val="center"/>
                </w:tcPr>
                <w:p w14:paraId="14880569">
                  <w:pPr>
                    <w:jc w:val="center"/>
                    <w:rPr>
                      <w:rFonts w:ascii="Times New Roman" w:hAnsi="Times New Roman"/>
                      <w:b/>
                      <w:bCs/>
                      <w:color w:val="000000" w:themeColor="text1"/>
                      <w:sz w:val="21"/>
                      <w:szCs w:val="21"/>
                    </w:rPr>
                  </w:pPr>
                  <w:r>
                    <w:rPr>
                      <w:rFonts w:hint="eastAsia" w:ascii="Times New Roman" w:hAnsi="Times New Roman"/>
                      <w:b/>
                      <w:bCs/>
                      <w:color w:val="000000" w:themeColor="text1"/>
                      <w:sz w:val="21"/>
                      <w:szCs w:val="21"/>
                    </w:rPr>
                    <w:t>环保设施</w:t>
                  </w:r>
                </w:p>
              </w:tc>
              <w:tc>
                <w:tcPr>
                  <w:tcW w:w="1684" w:type="dxa"/>
                  <w:tcBorders>
                    <w:top w:val="single" w:color="auto" w:sz="12" w:space="0"/>
                    <w:left w:val="single" w:color="auto" w:sz="4" w:space="0"/>
                    <w:bottom w:val="single" w:color="auto" w:sz="12" w:space="0"/>
                  </w:tcBorders>
                  <w:vAlign w:val="center"/>
                </w:tcPr>
                <w:p w14:paraId="3699FF33">
                  <w:pPr>
                    <w:jc w:val="center"/>
                    <w:rPr>
                      <w:rFonts w:ascii="Times New Roman" w:hAnsi="Times New Roman"/>
                      <w:b/>
                      <w:bCs/>
                      <w:color w:val="000000" w:themeColor="text1"/>
                      <w:sz w:val="21"/>
                      <w:szCs w:val="21"/>
                    </w:rPr>
                  </w:pPr>
                  <w:r>
                    <w:rPr>
                      <w:rFonts w:hint="eastAsia" w:ascii="Times New Roman" w:hAnsi="Times New Roman"/>
                      <w:b/>
                      <w:bCs/>
                      <w:color w:val="000000" w:themeColor="text1"/>
                      <w:sz w:val="21"/>
                      <w:szCs w:val="21"/>
                    </w:rPr>
                    <w:t>投资额（万元）</w:t>
                  </w:r>
                </w:p>
              </w:tc>
            </w:tr>
            <w:tr w14:paraId="628366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652" w:type="dxa"/>
                  <w:tcBorders>
                    <w:top w:val="single" w:color="auto" w:sz="12" w:space="0"/>
                    <w:right w:val="single" w:color="auto" w:sz="4" w:space="0"/>
                  </w:tcBorders>
                  <w:vAlign w:val="center"/>
                </w:tcPr>
                <w:p w14:paraId="58BD690D">
                  <w:pPr>
                    <w:jc w:val="center"/>
                    <w:rPr>
                      <w:rFonts w:ascii="Times New Roman" w:hAnsi="Times New Roman"/>
                      <w:color w:val="000000" w:themeColor="text1"/>
                      <w:sz w:val="21"/>
                      <w:szCs w:val="21"/>
                    </w:rPr>
                  </w:pPr>
                  <w:r>
                    <w:rPr>
                      <w:rFonts w:ascii="Times New Roman" w:hAnsi="Times New Roman"/>
                      <w:color w:val="000000" w:themeColor="text1"/>
                      <w:sz w:val="21"/>
                      <w:szCs w:val="21"/>
                    </w:rPr>
                    <w:t>1</w:t>
                  </w:r>
                </w:p>
              </w:tc>
              <w:tc>
                <w:tcPr>
                  <w:tcW w:w="1110" w:type="dxa"/>
                  <w:tcBorders>
                    <w:top w:val="single" w:color="auto" w:sz="12" w:space="0"/>
                    <w:left w:val="single" w:color="auto" w:sz="4" w:space="0"/>
                    <w:right w:val="single" w:color="auto" w:sz="4" w:space="0"/>
                  </w:tcBorders>
                  <w:vAlign w:val="center"/>
                </w:tcPr>
                <w:p w14:paraId="656B75A2">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废水</w:t>
                  </w:r>
                </w:p>
              </w:tc>
              <w:tc>
                <w:tcPr>
                  <w:tcW w:w="4774" w:type="dxa"/>
                  <w:tcBorders>
                    <w:top w:val="single" w:color="auto" w:sz="12" w:space="0"/>
                    <w:left w:val="single" w:color="auto" w:sz="4" w:space="0"/>
                    <w:bottom w:val="single" w:color="auto" w:sz="4" w:space="0"/>
                    <w:right w:val="single" w:color="auto" w:sz="4" w:space="0"/>
                  </w:tcBorders>
                  <w:vAlign w:val="center"/>
                </w:tcPr>
                <w:p w14:paraId="25D11CEA">
                  <w:pPr>
                    <w:jc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生活废水接入园区污水管网</w:t>
                  </w:r>
                </w:p>
              </w:tc>
              <w:tc>
                <w:tcPr>
                  <w:tcW w:w="1684" w:type="dxa"/>
                  <w:tcBorders>
                    <w:top w:val="single" w:color="auto" w:sz="12" w:space="0"/>
                    <w:left w:val="single" w:color="auto" w:sz="4" w:space="0"/>
                  </w:tcBorders>
                  <w:vAlign w:val="center"/>
                </w:tcPr>
                <w:p w14:paraId="6218A0E0">
                  <w:pPr>
                    <w:jc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0.5</w:t>
                  </w:r>
                </w:p>
              </w:tc>
            </w:tr>
            <w:tr w14:paraId="7F8ACD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2" w:type="dxa"/>
                  <w:vMerge w:val="restart"/>
                  <w:tcBorders>
                    <w:top w:val="single" w:color="auto" w:sz="4" w:space="0"/>
                    <w:right w:val="single" w:color="auto" w:sz="4" w:space="0"/>
                  </w:tcBorders>
                  <w:vAlign w:val="center"/>
                </w:tcPr>
                <w:p w14:paraId="78B8C97A">
                  <w:pPr>
                    <w:jc w:val="center"/>
                    <w:rPr>
                      <w:rFonts w:ascii="Times New Roman" w:hAnsi="Times New Roman"/>
                      <w:color w:val="000000" w:themeColor="text1"/>
                      <w:sz w:val="21"/>
                      <w:szCs w:val="21"/>
                    </w:rPr>
                  </w:pPr>
                  <w:r>
                    <w:rPr>
                      <w:rFonts w:ascii="Times New Roman" w:hAnsi="Times New Roman"/>
                      <w:color w:val="000000" w:themeColor="text1"/>
                      <w:sz w:val="21"/>
                      <w:szCs w:val="21"/>
                    </w:rPr>
                    <w:t>2</w:t>
                  </w:r>
                </w:p>
              </w:tc>
              <w:tc>
                <w:tcPr>
                  <w:tcW w:w="1110" w:type="dxa"/>
                  <w:vMerge w:val="restart"/>
                  <w:tcBorders>
                    <w:top w:val="single" w:color="auto" w:sz="4" w:space="0"/>
                    <w:left w:val="single" w:color="auto" w:sz="4" w:space="0"/>
                    <w:right w:val="single" w:color="auto" w:sz="4" w:space="0"/>
                  </w:tcBorders>
                  <w:vAlign w:val="center"/>
                </w:tcPr>
                <w:p w14:paraId="195DA2AB">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废气</w:t>
                  </w:r>
                </w:p>
              </w:tc>
              <w:tc>
                <w:tcPr>
                  <w:tcW w:w="4774" w:type="dxa"/>
                  <w:tcBorders>
                    <w:top w:val="single" w:color="auto" w:sz="4" w:space="0"/>
                    <w:left w:val="single" w:color="auto" w:sz="4" w:space="0"/>
                    <w:right w:val="single" w:color="auto" w:sz="4" w:space="0"/>
                  </w:tcBorders>
                  <w:vAlign w:val="center"/>
                </w:tcPr>
                <w:p w14:paraId="58A42EFE">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油气回收设施</w:t>
                  </w:r>
                </w:p>
              </w:tc>
              <w:tc>
                <w:tcPr>
                  <w:tcW w:w="1684" w:type="dxa"/>
                  <w:tcBorders>
                    <w:top w:val="single" w:color="auto" w:sz="4" w:space="0"/>
                    <w:left w:val="single" w:color="auto" w:sz="4" w:space="0"/>
                    <w:bottom w:val="single" w:color="auto" w:sz="4" w:space="0"/>
                  </w:tcBorders>
                  <w:vAlign w:val="center"/>
                </w:tcPr>
                <w:p w14:paraId="4EB9480C">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计入工程投资</w:t>
                  </w:r>
                </w:p>
              </w:tc>
            </w:tr>
            <w:tr w14:paraId="219C35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2" w:type="dxa"/>
                  <w:vMerge w:val="continue"/>
                  <w:tcBorders>
                    <w:bottom w:val="single" w:color="auto" w:sz="4" w:space="0"/>
                    <w:right w:val="single" w:color="auto" w:sz="4" w:space="0"/>
                  </w:tcBorders>
                  <w:vAlign w:val="center"/>
                </w:tcPr>
                <w:p w14:paraId="7FFA1506">
                  <w:pPr>
                    <w:jc w:val="center"/>
                    <w:rPr>
                      <w:color w:val="000000" w:themeColor="text1"/>
                      <w:sz w:val="21"/>
                      <w:szCs w:val="21"/>
                    </w:rPr>
                  </w:pPr>
                </w:p>
              </w:tc>
              <w:tc>
                <w:tcPr>
                  <w:tcW w:w="1110" w:type="dxa"/>
                  <w:vMerge w:val="continue"/>
                  <w:tcBorders>
                    <w:left w:val="single" w:color="auto" w:sz="4" w:space="0"/>
                    <w:bottom w:val="single" w:color="auto" w:sz="4" w:space="0"/>
                    <w:right w:val="single" w:color="auto" w:sz="4" w:space="0"/>
                  </w:tcBorders>
                  <w:vAlign w:val="center"/>
                </w:tcPr>
                <w:p w14:paraId="4ED19BF1">
                  <w:pPr>
                    <w:jc w:val="center"/>
                    <w:rPr>
                      <w:color w:val="000000" w:themeColor="text1"/>
                      <w:sz w:val="21"/>
                      <w:szCs w:val="21"/>
                    </w:rPr>
                  </w:pPr>
                </w:p>
              </w:tc>
              <w:tc>
                <w:tcPr>
                  <w:tcW w:w="4774" w:type="dxa"/>
                  <w:tcBorders>
                    <w:top w:val="single" w:color="auto" w:sz="4" w:space="0"/>
                    <w:left w:val="single" w:color="auto" w:sz="4" w:space="0"/>
                    <w:bottom w:val="single" w:color="auto" w:sz="4" w:space="0"/>
                    <w:right w:val="single" w:color="auto" w:sz="4" w:space="0"/>
                  </w:tcBorders>
                  <w:vAlign w:val="center"/>
                </w:tcPr>
                <w:p w14:paraId="25290521">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油气在线监测系统</w:t>
                  </w:r>
                </w:p>
              </w:tc>
              <w:tc>
                <w:tcPr>
                  <w:tcW w:w="1684" w:type="dxa"/>
                  <w:tcBorders>
                    <w:left w:val="single" w:color="auto" w:sz="4" w:space="0"/>
                    <w:bottom w:val="single" w:color="auto" w:sz="4" w:space="0"/>
                  </w:tcBorders>
                  <w:vAlign w:val="center"/>
                </w:tcPr>
                <w:p w14:paraId="41FB0B23">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计入工程投资</w:t>
                  </w:r>
                </w:p>
              </w:tc>
            </w:tr>
            <w:tr w14:paraId="4D0994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2" w:type="dxa"/>
                  <w:tcBorders>
                    <w:top w:val="single" w:color="auto" w:sz="4" w:space="0"/>
                    <w:bottom w:val="single" w:color="auto" w:sz="4" w:space="0"/>
                    <w:right w:val="single" w:color="auto" w:sz="4" w:space="0"/>
                  </w:tcBorders>
                  <w:vAlign w:val="center"/>
                </w:tcPr>
                <w:p w14:paraId="391D042E">
                  <w:pPr>
                    <w:jc w:val="center"/>
                    <w:rPr>
                      <w:rFonts w:ascii="Times New Roman" w:hAnsi="Times New Roman"/>
                      <w:color w:val="000000" w:themeColor="text1"/>
                      <w:sz w:val="21"/>
                      <w:szCs w:val="21"/>
                    </w:rPr>
                  </w:pPr>
                  <w:r>
                    <w:rPr>
                      <w:rFonts w:ascii="Times New Roman" w:hAnsi="Times New Roman"/>
                      <w:color w:val="000000" w:themeColor="text1"/>
                      <w:sz w:val="21"/>
                      <w:szCs w:val="21"/>
                    </w:rPr>
                    <w:t>3</w:t>
                  </w:r>
                </w:p>
              </w:tc>
              <w:tc>
                <w:tcPr>
                  <w:tcW w:w="1110" w:type="dxa"/>
                  <w:tcBorders>
                    <w:top w:val="single" w:color="auto" w:sz="4" w:space="0"/>
                    <w:left w:val="single" w:color="auto" w:sz="4" w:space="0"/>
                    <w:bottom w:val="single" w:color="auto" w:sz="4" w:space="0"/>
                    <w:right w:val="single" w:color="auto" w:sz="4" w:space="0"/>
                  </w:tcBorders>
                  <w:vAlign w:val="center"/>
                </w:tcPr>
                <w:p w14:paraId="1A6DF436">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噪声</w:t>
                  </w:r>
                </w:p>
              </w:tc>
              <w:tc>
                <w:tcPr>
                  <w:tcW w:w="4774" w:type="dxa"/>
                  <w:tcBorders>
                    <w:top w:val="single" w:color="auto" w:sz="4" w:space="0"/>
                    <w:left w:val="single" w:color="auto" w:sz="4" w:space="0"/>
                    <w:bottom w:val="single" w:color="auto" w:sz="4" w:space="0"/>
                    <w:right w:val="single" w:color="auto" w:sz="4" w:space="0"/>
                  </w:tcBorders>
                  <w:vAlign w:val="center"/>
                </w:tcPr>
                <w:p w14:paraId="49483487">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选用低噪声</w:t>
                  </w:r>
                  <w:r>
                    <w:rPr>
                      <w:rFonts w:hint="eastAsia" w:ascii="Times New Roman" w:hAnsi="Times New Roman"/>
                      <w:color w:val="000000" w:themeColor="text1"/>
                      <w:sz w:val="21"/>
                      <w:szCs w:val="21"/>
                      <w:lang w:val="en-US" w:eastAsia="zh-CN"/>
                    </w:rPr>
                    <w:t>加油</w:t>
                  </w:r>
                  <w:r>
                    <w:rPr>
                      <w:rFonts w:hint="eastAsia" w:ascii="Times New Roman" w:hAnsi="Times New Roman"/>
                      <w:color w:val="000000" w:themeColor="text1"/>
                      <w:sz w:val="21"/>
                      <w:szCs w:val="21"/>
                    </w:rPr>
                    <w:t>设备，采取</w:t>
                  </w:r>
                  <w:r>
                    <w:rPr>
                      <w:rFonts w:hint="eastAsia" w:ascii="Times New Roman" w:hAnsi="Times New Roman"/>
                      <w:color w:val="000000" w:themeColor="text1"/>
                      <w:sz w:val="21"/>
                      <w:szCs w:val="21"/>
                      <w:lang w:val="en-US" w:eastAsia="zh-CN"/>
                    </w:rPr>
                    <w:t>减振</w:t>
                  </w:r>
                  <w:r>
                    <w:rPr>
                      <w:rFonts w:hint="eastAsia" w:ascii="Times New Roman" w:hAnsi="Times New Roman"/>
                      <w:color w:val="000000" w:themeColor="text1"/>
                      <w:sz w:val="21"/>
                      <w:szCs w:val="21"/>
                    </w:rPr>
                    <w:t>、密闭、隔声、消声等措施</w:t>
                  </w:r>
                </w:p>
              </w:tc>
              <w:tc>
                <w:tcPr>
                  <w:tcW w:w="1684" w:type="dxa"/>
                  <w:tcBorders>
                    <w:top w:val="single" w:color="auto" w:sz="4" w:space="0"/>
                    <w:left w:val="single" w:color="auto" w:sz="4" w:space="0"/>
                    <w:bottom w:val="single" w:color="auto" w:sz="4" w:space="0"/>
                  </w:tcBorders>
                  <w:vAlign w:val="center"/>
                </w:tcPr>
                <w:p w14:paraId="16B551DB">
                  <w:pPr>
                    <w:jc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sz w:val="21"/>
                      <w:szCs w:val="21"/>
                      <w:lang w:val="en-US" w:eastAsia="zh-CN"/>
                    </w:rPr>
                    <w:t>2.5</w:t>
                  </w:r>
                </w:p>
              </w:tc>
            </w:tr>
            <w:tr w14:paraId="12E487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2" w:type="dxa"/>
                  <w:vMerge w:val="restart"/>
                  <w:tcBorders>
                    <w:top w:val="single" w:color="auto" w:sz="4" w:space="0"/>
                    <w:bottom w:val="single" w:color="auto" w:sz="4" w:space="0"/>
                    <w:right w:val="single" w:color="auto" w:sz="4" w:space="0"/>
                  </w:tcBorders>
                  <w:vAlign w:val="center"/>
                </w:tcPr>
                <w:p w14:paraId="29685848">
                  <w:pPr>
                    <w:jc w:val="center"/>
                    <w:rPr>
                      <w:rFonts w:ascii="Times New Roman" w:hAnsi="Times New Roman"/>
                      <w:color w:val="000000" w:themeColor="text1"/>
                      <w:sz w:val="21"/>
                      <w:szCs w:val="21"/>
                    </w:rPr>
                  </w:pPr>
                  <w:r>
                    <w:rPr>
                      <w:rFonts w:ascii="Times New Roman" w:hAnsi="Times New Roman"/>
                      <w:color w:val="000000" w:themeColor="text1"/>
                      <w:sz w:val="21"/>
                      <w:szCs w:val="21"/>
                    </w:rPr>
                    <w:t>4</w:t>
                  </w:r>
                </w:p>
              </w:tc>
              <w:tc>
                <w:tcPr>
                  <w:tcW w:w="1110" w:type="dxa"/>
                  <w:vMerge w:val="restart"/>
                  <w:tcBorders>
                    <w:top w:val="single" w:color="auto" w:sz="4" w:space="0"/>
                    <w:left w:val="single" w:color="auto" w:sz="4" w:space="0"/>
                    <w:bottom w:val="single" w:color="auto" w:sz="4" w:space="0"/>
                    <w:right w:val="single" w:color="auto" w:sz="4" w:space="0"/>
                  </w:tcBorders>
                  <w:vAlign w:val="center"/>
                </w:tcPr>
                <w:p w14:paraId="69E1A46B">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固废</w:t>
                  </w:r>
                </w:p>
              </w:tc>
              <w:tc>
                <w:tcPr>
                  <w:tcW w:w="4774" w:type="dxa"/>
                  <w:tcBorders>
                    <w:top w:val="single" w:color="auto" w:sz="4" w:space="0"/>
                    <w:left w:val="single" w:color="auto" w:sz="4" w:space="0"/>
                    <w:bottom w:val="single" w:color="auto" w:sz="4" w:space="0"/>
                    <w:right w:val="single" w:color="auto" w:sz="4" w:space="0"/>
                  </w:tcBorders>
                  <w:vAlign w:val="center"/>
                </w:tcPr>
                <w:p w14:paraId="30EAACC2">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生活垃圾箱</w:t>
                  </w:r>
                  <w:r>
                    <w:rPr>
                      <w:rFonts w:hint="eastAsia" w:ascii="Times New Roman" w:hAnsi="Times New Roman"/>
                      <w:color w:val="000000" w:themeColor="text1"/>
                      <w:sz w:val="21"/>
                      <w:szCs w:val="21"/>
                      <w:lang w:eastAsia="zh-CN"/>
                    </w:rPr>
                    <w:t>、</w:t>
                  </w:r>
                  <w:r>
                    <w:rPr>
                      <w:rFonts w:hint="eastAsia" w:ascii="Times New Roman" w:hAnsi="Times New Roman"/>
                      <w:color w:val="000000" w:themeColor="text1"/>
                      <w:sz w:val="21"/>
                      <w:szCs w:val="21"/>
                      <w:lang w:val="en-US" w:eastAsia="zh-CN"/>
                    </w:rPr>
                    <w:t>危废暂存间（防渗、防风、放日晒）</w:t>
                  </w:r>
                </w:p>
              </w:tc>
              <w:tc>
                <w:tcPr>
                  <w:tcW w:w="1684" w:type="dxa"/>
                  <w:tcBorders>
                    <w:top w:val="single" w:color="auto" w:sz="4" w:space="0"/>
                    <w:left w:val="single" w:color="auto" w:sz="4" w:space="0"/>
                    <w:bottom w:val="single" w:color="auto" w:sz="4" w:space="0"/>
                  </w:tcBorders>
                  <w:vAlign w:val="center"/>
                </w:tcPr>
                <w:p w14:paraId="67218BC3">
                  <w:pPr>
                    <w:jc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0.5</w:t>
                  </w:r>
                </w:p>
              </w:tc>
            </w:tr>
            <w:tr w14:paraId="480812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2" w:type="dxa"/>
                  <w:vMerge w:val="continue"/>
                  <w:tcBorders>
                    <w:top w:val="single" w:color="auto" w:sz="4" w:space="0"/>
                    <w:bottom w:val="single" w:color="auto" w:sz="4" w:space="0"/>
                    <w:right w:val="single" w:color="auto" w:sz="4" w:space="0"/>
                  </w:tcBorders>
                  <w:vAlign w:val="center"/>
                </w:tcPr>
                <w:p w14:paraId="7C186A5C">
                  <w:pPr>
                    <w:jc w:val="center"/>
                    <w:rPr>
                      <w:rFonts w:ascii="Times New Roman" w:hAnsi="Times New Roman"/>
                      <w:color w:val="000000" w:themeColor="text1"/>
                      <w:sz w:val="21"/>
                      <w:szCs w:val="21"/>
                    </w:rPr>
                  </w:pP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014BD1D0">
                  <w:pPr>
                    <w:jc w:val="center"/>
                    <w:rPr>
                      <w:rFonts w:ascii="Times New Roman" w:hAnsi="Times New Roman"/>
                      <w:color w:val="000000" w:themeColor="text1"/>
                      <w:sz w:val="21"/>
                      <w:szCs w:val="21"/>
                    </w:rPr>
                  </w:pPr>
                </w:p>
              </w:tc>
              <w:tc>
                <w:tcPr>
                  <w:tcW w:w="4774" w:type="dxa"/>
                  <w:tcBorders>
                    <w:top w:val="single" w:color="auto" w:sz="4" w:space="0"/>
                    <w:left w:val="single" w:color="auto" w:sz="4" w:space="0"/>
                    <w:bottom w:val="single" w:color="auto" w:sz="4" w:space="0"/>
                    <w:right w:val="single" w:color="auto" w:sz="4" w:space="0"/>
                  </w:tcBorders>
                  <w:vAlign w:val="center"/>
                </w:tcPr>
                <w:p w14:paraId="101C8E37">
                  <w:pPr>
                    <w:jc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油泥定期由具有回收资质的单位清理</w:t>
                  </w:r>
                </w:p>
              </w:tc>
              <w:tc>
                <w:tcPr>
                  <w:tcW w:w="1684" w:type="dxa"/>
                  <w:tcBorders>
                    <w:top w:val="single" w:color="auto" w:sz="4" w:space="0"/>
                    <w:left w:val="single" w:color="auto" w:sz="4" w:space="0"/>
                    <w:bottom w:val="single" w:color="auto" w:sz="4" w:space="0"/>
                  </w:tcBorders>
                  <w:vAlign w:val="center"/>
                </w:tcPr>
                <w:p w14:paraId="08728CDC">
                  <w:pPr>
                    <w:jc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sz w:val="21"/>
                      <w:szCs w:val="21"/>
                      <w:lang w:val="en-US" w:eastAsia="zh-CN"/>
                    </w:rPr>
                    <w:t>0.5</w:t>
                  </w:r>
                </w:p>
              </w:tc>
            </w:tr>
            <w:tr w14:paraId="47D0AA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2" w:type="dxa"/>
                  <w:vMerge w:val="continue"/>
                  <w:tcBorders>
                    <w:top w:val="single" w:color="auto" w:sz="4" w:space="0"/>
                    <w:bottom w:val="single" w:color="auto" w:sz="4" w:space="0"/>
                    <w:right w:val="single" w:color="auto" w:sz="4" w:space="0"/>
                  </w:tcBorders>
                  <w:vAlign w:val="center"/>
                </w:tcPr>
                <w:p w14:paraId="4B3AEB09">
                  <w:pPr>
                    <w:jc w:val="center"/>
                    <w:rPr>
                      <w:rFonts w:ascii="Times New Roman" w:hAnsi="Times New Roman"/>
                      <w:color w:val="000000" w:themeColor="text1"/>
                      <w:sz w:val="21"/>
                      <w:szCs w:val="21"/>
                    </w:rPr>
                  </w:pPr>
                </w:p>
              </w:tc>
              <w:tc>
                <w:tcPr>
                  <w:tcW w:w="1110" w:type="dxa"/>
                  <w:vMerge w:val="continue"/>
                  <w:tcBorders>
                    <w:top w:val="single" w:color="auto" w:sz="4" w:space="0"/>
                    <w:left w:val="single" w:color="auto" w:sz="4" w:space="0"/>
                    <w:bottom w:val="single" w:color="auto" w:sz="4" w:space="0"/>
                    <w:right w:val="single" w:color="auto" w:sz="4" w:space="0"/>
                  </w:tcBorders>
                  <w:vAlign w:val="center"/>
                </w:tcPr>
                <w:p w14:paraId="416B6B42">
                  <w:pPr>
                    <w:jc w:val="center"/>
                    <w:rPr>
                      <w:rFonts w:ascii="Times New Roman" w:hAnsi="Times New Roman"/>
                      <w:color w:val="000000" w:themeColor="text1"/>
                      <w:sz w:val="21"/>
                      <w:szCs w:val="21"/>
                    </w:rPr>
                  </w:pPr>
                </w:p>
              </w:tc>
              <w:tc>
                <w:tcPr>
                  <w:tcW w:w="4774" w:type="dxa"/>
                  <w:tcBorders>
                    <w:top w:val="single" w:color="auto" w:sz="4" w:space="0"/>
                    <w:left w:val="single" w:color="auto" w:sz="4" w:space="0"/>
                    <w:bottom w:val="single" w:color="auto" w:sz="4" w:space="0"/>
                    <w:right w:val="single" w:color="auto" w:sz="4" w:space="0"/>
                  </w:tcBorders>
                  <w:vAlign w:val="center"/>
                </w:tcPr>
                <w:p w14:paraId="5D1F5BDD">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垃圾定期清运。</w:t>
                  </w:r>
                </w:p>
              </w:tc>
              <w:tc>
                <w:tcPr>
                  <w:tcW w:w="1684" w:type="dxa"/>
                  <w:tcBorders>
                    <w:top w:val="single" w:color="auto" w:sz="4" w:space="0"/>
                    <w:left w:val="single" w:color="auto" w:sz="4" w:space="0"/>
                    <w:bottom w:val="single" w:color="auto" w:sz="4" w:space="0"/>
                  </w:tcBorders>
                  <w:vAlign w:val="center"/>
                </w:tcPr>
                <w:p w14:paraId="03B87B19">
                  <w:pPr>
                    <w:jc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sz w:val="21"/>
                      <w:szCs w:val="21"/>
                      <w:lang w:val="en-US" w:eastAsia="zh-CN"/>
                    </w:rPr>
                    <w:t>0.5</w:t>
                  </w:r>
                </w:p>
              </w:tc>
            </w:tr>
            <w:tr w14:paraId="7A7461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652" w:type="dxa"/>
                  <w:vMerge w:val="restart"/>
                  <w:tcBorders>
                    <w:top w:val="single" w:color="auto" w:sz="4" w:space="0"/>
                    <w:right w:val="single" w:color="auto" w:sz="4" w:space="0"/>
                  </w:tcBorders>
                  <w:vAlign w:val="center"/>
                </w:tcPr>
                <w:p w14:paraId="7BD4DD2A">
                  <w:pPr>
                    <w:jc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5</w:t>
                  </w:r>
                </w:p>
              </w:tc>
              <w:tc>
                <w:tcPr>
                  <w:tcW w:w="1110" w:type="dxa"/>
                  <w:vMerge w:val="restart"/>
                  <w:tcBorders>
                    <w:top w:val="single" w:color="auto" w:sz="4" w:space="0"/>
                    <w:left w:val="single" w:color="auto" w:sz="4" w:space="0"/>
                    <w:right w:val="single" w:color="auto" w:sz="4" w:space="0"/>
                  </w:tcBorders>
                  <w:vAlign w:val="center"/>
                </w:tcPr>
                <w:p w14:paraId="2D62A64D">
                  <w:pPr>
                    <w:jc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地下水防护措施</w:t>
                  </w:r>
                </w:p>
              </w:tc>
              <w:tc>
                <w:tcPr>
                  <w:tcW w:w="4774" w:type="dxa"/>
                  <w:tcBorders>
                    <w:top w:val="single" w:color="auto" w:sz="4" w:space="0"/>
                    <w:left w:val="single" w:color="auto" w:sz="4" w:space="0"/>
                    <w:bottom w:val="single" w:color="auto" w:sz="4" w:space="0"/>
                    <w:right w:val="single" w:color="auto" w:sz="4" w:space="0"/>
                  </w:tcBorders>
                  <w:vAlign w:val="center"/>
                </w:tcPr>
                <w:p w14:paraId="2610293C">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双层</w:t>
                  </w:r>
                  <w:r>
                    <w:rPr>
                      <w:rFonts w:hint="eastAsia" w:ascii="Times New Roman" w:hAnsi="Times New Roman" w:cs="Times New Roman"/>
                      <w:color w:val="000000" w:themeColor="text1"/>
                      <w:sz w:val="21"/>
                      <w:szCs w:val="21"/>
                      <w:lang w:val="en-US" w:eastAsia="zh-CN"/>
                    </w:rPr>
                    <w:t>S</w:t>
                  </w:r>
                  <w:r>
                    <w:rPr>
                      <w:rFonts w:hint="default" w:ascii="Times New Roman" w:hAnsi="Times New Roman" w:cs="Times New Roman"/>
                      <w:color w:val="000000" w:themeColor="text1"/>
                      <w:sz w:val="21"/>
                      <w:szCs w:val="21"/>
                    </w:rPr>
                    <w:t>F油罐</w:t>
                  </w:r>
                </w:p>
              </w:tc>
              <w:tc>
                <w:tcPr>
                  <w:tcW w:w="1684" w:type="dxa"/>
                  <w:tcBorders>
                    <w:top w:val="single" w:color="auto" w:sz="4" w:space="0"/>
                    <w:left w:val="single" w:color="auto" w:sz="4" w:space="0"/>
                  </w:tcBorders>
                  <w:vAlign w:val="center"/>
                </w:tcPr>
                <w:p w14:paraId="44F0ACBF">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计入工程投资</w:t>
                  </w:r>
                </w:p>
              </w:tc>
            </w:tr>
            <w:tr w14:paraId="44338B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652" w:type="dxa"/>
                  <w:vMerge w:val="continue"/>
                  <w:tcBorders>
                    <w:bottom w:val="single" w:color="auto" w:sz="4" w:space="0"/>
                    <w:right w:val="single" w:color="auto" w:sz="4" w:space="0"/>
                  </w:tcBorders>
                  <w:vAlign w:val="center"/>
                </w:tcPr>
                <w:p w14:paraId="06AD01D6">
                  <w:pPr>
                    <w:jc w:val="center"/>
                    <w:rPr>
                      <w:color w:val="000000" w:themeColor="text1"/>
                      <w:sz w:val="21"/>
                      <w:szCs w:val="21"/>
                    </w:rPr>
                  </w:pPr>
                </w:p>
              </w:tc>
              <w:tc>
                <w:tcPr>
                  <w:tcW w:w="1110" w:type="dxa"/>
                  <w:vMerge w:val="continue"/>
                  <w:tcBorders>
                    <w:left w:val="single" w:color="auto" w:sz="4" w:space="0"/>
                    <w:bottom w:val="single" w:color="auto" w:sz="4" w:space="0"/>
                    <w:right w:val="single" w:color="auto" w:sz="4" w:space="0"/>
                  </w:tcBorders>
                  <w:vAlign w:val="center"/>
                </w:tcPr>
                <w:p w14:paraId="0CFC7664">
                  <w:pPr>
                    <w:jc w:val="center"/>
                    <w:rPr>
                      <w:color w:val="000000" w:themeColor="text1"/>
                      <w:sz w:val="21"/>
                      <w:szCs w:val="21"/>
                    </w:rPr>
                  </w:pPr>
                </w:p>
              </w:tc>
              <w:tc>
                <w:tcPr>
                  <w:tcW w:w="4774" w:type="dxa"/>
                  <w:tcBorders>
                    <w:top w:val="single" w:color="auto" w:sz="4" w:space="0"/>
                    <w:left w:val="single" w:color="auto" w:sz="4" w:space="0"/>
                    <w:bottom w:val="single" w:color="auto" w:sz="4" w:space="0"/>
                    <w:right w:val="single" w:color="auto" w:sz="4" w:space="0"/>
                  </w:tcBorders>
                  <w:vAlign w:val="center"/>
                </w:tcPr>
                <w:p w14:paraId="2BFE223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地下水防渗监测系统</w:t>
                  </w:r>
                </w:p>
              </w:tc>
              <w:tc>
                <w:tcPr>
                  <w:tcW w:w="1684" w:type="dxa"/>
                  <w:tcBorders>
                    <w:left w:val="single" w:color="auto" w:sz="4" w:space="0"/>
                    <w:bottom w:val="single" w:color="auto" w:sz="4" w:space="0"/>
                  </w:tcBorders>
                  <w:vAlign w:val="center"/>
                </w:tcPr>
                <w:p w14:paraId="1A9CDFCF">
                  <w:pPr>
                    <w:jc w:val="center"/>
                    <w:rPr>
                      <w:rFonts w:hint="eastAsia" w:ascii="Times New Roman" w:hAnsi="Times New Roman"/>
                      <w:color w:val="000000" w:themeColor="text1"/>
                      <w:sz w:val="21"/>
                      <w:szCs w:val="21"/>
                    </w:rPr>
                  </w:pPr>
                  <w:r>
                    <w:rPr>
                      <w:rFonts w:hint="eastAsia" w:ascii="Times New Roman" w:hAnsi="Times New Roman"/>
                      <w:color w:val="000000" w:themeColor="text1"/>
                      <w:sz w:val="21"/>
                      <w:szCs w:val="21"/>
                      <w:lang w:val="en-US" w:eastAsia="zh-CN"/>
                    </w:rPr>
                    <w:t>计入工程投资</w:t>
                  </w:r>
                </w:p>
              </w:tc>
            </w:tr>
            <w:tr w14:paraId="555098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652" w:type="dxa"/>
                  <w:tcBorders>
                    <w:bottom w:val="single" w:color="auto" w:sz="4" w:space="0"/>
                    <w:right w:val="single" w:color="auto" w:sz="4" w:space="0"/>
                  </w:tcBorders>
                  <w:vAlign w:val="center"/>
                </w:tcPr>
                <w:p w14:paraId="281C30AC">
                  <w:pPr>
                    <w:jc w:val="center"/>
                    <w:rPr>
                      <w:rFonts w:hint="eastAsia" w:eastAsia="宋体"/>
                      <w:color w:val="000000" w:themeColor="text1"/>
                      <w:sz w:val="21"/>
                      <w:szCs w:val="21"/>
                      <w:lang w:val="en-US" w:eastAsia="zh-CN"/>
                    </w:rPr>
                  </w:pPr>
                  <w:r>
                    <w:rPr>
                      <w:rFonts w:hint="eastAsia"/>
                      <w:color w:val="000000" w:themeColor="text1"/>
                      <w:sz w:val="21"/>
                      <w:szCs w:val="21"/>
                      <w:lang w:val="en-US" w:eastAsia="zh-CN"/>
                    </w:rPr>
                    <w:t>6</w:t>
                  </w:r>
                </w:p>
              </w:tc>
              <w:tc>
                <w:tcPr>
                  <w:tcW w:w="1110" w:type="dxa"/>
                  <w:tcBorders>
                    <w:left w:val="single" w:color="auto" w:sz="4" w:space="0"/>
                    <w:bottom w:val="single" w:color="auto" w:sz="4" w:space="0"/>
                    <w:right w:val="single" w:color="auto" w:sz="4" w:space="0"/>
                  </w:tcBorders>
                  <w:vAlign w:val="center"/>
                </w:tcPr>
                <w:p w14:paraId="283D82BE">
                  <w:pPr>
                    <w:jc w:val="center"/>
                    <w:rPr>
                      <w:rFonts w:hint="eastAsia" w:eastAsia="宋体"/>
                      <w:color w:val="000000" w:themeColor="text1"/>
                      <w:sz w:val="21"/>
                      <w:szCs w:val="21"/>
                      <w:lang w:val="en-US" w:eastAsia="zh-CN"/>
                    </w:rPr>
                  </w:pPr>
                  <w:r>
                    <w:rPr>
                      <w:rFonts w:hint="eastAsia"/>
                      <w:color w:val="000000" w:themeColor="text1"/>
                      <w:sz w:val="21"/>
                      <w:szCs w:val="21"/>
                      <w:lang w:val="en-US" w:eastAsia="zh-CN"/>
                    </w:rPr>
                    <w:t>风险防范措施</w:t>
                  </w:r>
                </w:p>
              </w:tc>
              <w:tc>
                <w:tcPr>
                  <w:tcW w:w="4774" w:type="dxa"/>
                  <w:tcBorders>
                    <w:top w:val="single" w:color="auto" w:sz="4" w:space="0"/>
                    <w:left w:val="single" w:color="auto" w:sz="4" w:space="0"/>
                    <w:bottom w:val="single" w:color="auto" w:sz="4" w:space="0"/>
                    <w:right w:val="single" w:color="auto" w:sz="4" w:space="0"/>
                  </w:tcBorders>
                  <w:vAlign w:val="center"/>
                </w:tcPr>
                <w:p w14:paraId="5378329E">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灭火器、消防沙池等</w:t>
                  </w:r>
                </w:p>
              </w:tc>
              <w:tc>
                <w:tcPr>
                  <w:tcW w:w="1684" w:type="dxa"/>
                  <w:tcBorders>
                    <w:left w:val="single" w:color="auto" w:sz="4" w:space="0"/>
                    <w:bottom w:val="single" w:color="auto" w:sz="4" w:space="0"/>
                  </w:tcBorders>
                  <w:vAlign w:val="center"/>
                </w:tcPr>
                <w:p w14:paraId="651B7D24">
                  <w:pPr>
                    <w:jc w:val="center"/>
                    <w:rPr>
                      <w:rFonts w:hint="eastAsia" w:ascii="Times New Roman" w:hAnsi="Times New Roman"/>
                      <w:color w:val="000000" w:themeColor="text1"/>
                      <w:sz w:val="21"/>
                      <w:szCs w:val="21"/>
                      <w:lang w:val="en-US" w:eastAsia="zh-CN"/>
                    </w:rPr>
                  </w:pPr>
                  <w:r>
                    <w:rPr>
                      <w:rFonts w:hint="eastAsia" w:ascii="Times New Roman" w:hAnsi="Times New Roman"/>
                      <w:color w:val="000000" w:themeColor="text1"/>
                      <w:sz w:val="21"/>
                      <w:szCs w:val="21"/>
                      <w:lang w:val="en-US" w:eastAsia="zh-CN"/>
                    </w:rPr>
                    <w:t>3</w:t>
                  </w:r>
                </w:p>
              </w:tc>
            </w:tr>
            <w:tr w14:paraId="36E369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2" w:type="dxa"/>
                  <w:tcBorders>
                    <w:top w:val="single" w:color="auto" w:sz="4" w:space="0"/>
                    <w:bottom w:val="single" w:color="auto" w:sz="4" w:space="0"/>
                    <w:right w:val="single" w:color="auto" w:sz="4" w:space="0"/>
                  </w:tcBorders>
                  <w:vAlign w:val="center"/>
                </w:tcPr>
                <w:p w14:paraId="39B241CB">
                  <w:pPr>
                    <w:jc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sz w:val="21"/>
                      <w:szCs w:val="21"/>
                      <w:lang w:val="en-US" w:eastAsia="zh-CN"/>
                    </w:rPr>
                    <w:t>7</w:t>
                  </w:r>
                </w:p>
              </w:tc>
              <w:tc>
                <w:tcPr>
                  <w:tcW w:w="1110" w:type="dxa"/>
                  <w:tcBorders>
                    <w:top w:val="single" w:color="auto" w:sz="4" w:space="0"/>
                    <w:left w:val="single" w:color="auto" w:sz="4" w:space="0"/>
                    <w:bottom w:val="single" w:color="auto" w:sz="4" w:space="0"/>
                    <w:right w:val="single" w:color="auto" w:sz="4" w:space="0"/>
                  </w:tcBorders>
                  <w:vAlign w:val="center"/>
                </w:tcPr>
                <w:p w14:paraId="5937CE07">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生态保护</w:t>
                  </w:r>
                </w:p>
              </w:tc>
              <w:tc>
                <w:tcPr>
                  <w:tcW w:w="4774" w:type="dxa"/>
                  <w:tcBorders>
                    <w:top w:val="single" w:color="auto" w:sz="4" w:space="0"/>
                    <w:left w:val="single" w:color="auto" w:sz="4" w:space="0"/>
                    <w:bottom w:val="single" w:color="auto" w:sz="4" w:space="0"/>
                    <w:right w:val="single" w:color="auto" w:sz="4" w:space="0"/>
                  </w:tcBorders>
                  <w:vAlign w:val="center"/>
                </w:tcPr>
                <w:p w14:paraId="7F3BB6FD">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地面硬化</w:t>
                  </w:r>
                </w:p>
              </w:tc>
              <w:tc>
                <w:tcPr>
                  <w:tcW w:w="1684" w:type="dxa"/>
                  <w:tcBorders>
                    <w:top w:val="single" w:color="auto" w:sz="4" w:space="0"/>
                    <w:left w:val="single" w:color="auto" w:sz="4" w:space="0"/>
                    <w:bottom w:val="single" w:color="auto" w:sz="4" w:space="0"/>
                  </w:tcBorders>
                  <w:vAlign w:val="center"/>
                </w:tcPr>
                <w:p w14:paraId="5600A54D">
                  <w:pPr>
                    <w:jc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3</w:t>
                  </w:r>
                </w:p>
              </w:tc>
            </w:tr>
            <w:tr w14:paraId="3C9038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52" w:type="dxa"/>
                  <w:tcBorders>
                    <w:top w:val="single" w:color="auto" w:sz="4" w:space="0"/>
                    <w:bottom w:val="single" w:color="auto" w:sz="12" w:space="0"/>
                    <w:right w:val="single" w:color="auto" w:sz="4" w:space="0"/>
                  </w:tcBorders>
                  <w:vAlign w:val="center"/>
                </w:tcPr>
                <w:p w14:paraId="4A121FC3">
                  <w:pPr>
                    <w:jc w:val="center"/>
                    <w:rPr>
                      <w:rFonts w:hint="eastAsia" w:ascii="Times New Roman" w:hAnsi="Times New Roman" w:eastAsia="宋体"/>
                      <w:color w:val="000000" w:themeColor="text1"/>
                      <w:sz w:val="21"/>
                      <w:szCs w:val="21"/>
                      <w:lang w:eastAsia="zh-CN"/>
                    </w:rPr>
                  </w:pPr>
                  <w:r>
                    <w:rPr>
                      <w:rFonts w:hint="eastAsia" w:ascii="Times New Roman" w:hAnsi="Times New Roman"/>
                      <w:color w:val="000000" w:themeColor="text1"/>
                      <w:sz w:val="21"/>
                      <w:szCs w:val="21"/>
                      <w:lang w:val="en-US" w:eastAsia="zh-CN"/>
                    </w:rPr>
                    <w:t>8</w:t>
                  </w:r>
                </w:p>
              </w:tc>
              <w:tc>
                <w:tcPr>
                  <w:tcW w:w="5884" w:type="dxa"/>
                  <w:gridSpan w:val="2"/>
                  <w:tcBorders>
                    <w:top w:val="single" w:color="auto" w:sz="4" w:space="0"/>
                    <w:left w:val="single" w:color="auto" w:sz="4" w:space="0"/>
                    <w:bottom w:val="single" w:color="auto" w:sz="12" w:space="0"/>
                    <w:right w:val="single" w:color="auto" w:sz="4" w:space="0"/>
                  </w:tcBorders>
                  <w:vAlign w:val="center"/>
                </w:tcPr>
                <w:p w14:paraId="3A625DC7">
                  <w:pPr>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总计</w:t>
                  </w:r>
                </w:p>
              </w:tc>
              <w:tc>
                <w:tcPr>
                  <w:tcW w:w="1684" w:type="dxa"/>
                  <w:tcBorders>
                    <w:top w:val="single" w:color="auto" w:sz="4" w:space="0"/>
                    <w:left w:val="single" w:color="auto" w:sz="4" w:space="0"/>
                    <w:bottom w:val="single" w:color="auto" w:sz="12" w:space="0"/>
                  </w:tcBorders>
                  <w:vAlign w:val="center"/>
                </w:tcPr>
                <w:p w14:paraId="02DF3047">
                  <w:pPr>
                    <w:jc w:val="center"/>
                    <w:rPr>
                      <w:rFonts w:hint="eastAsia" w:ascii="Times New Roman" w:hAnsi="Times New Roman" w:eastAsia="宋体"/>
                      <w:color w:val="000000" w:themeColor="text1"/>
                      <w:sz w:val="21"/>
                      <w:szCs w:val="21"/>
                      <w:lang w:val="en-US" w:eastAsia="zh-CN"/>
                    </w:rPr>
                  </w:pPr>
                  <w:r>
                    <w:rPr>
                      <w:rFonts w:hint="eastAsia" w:ascii="Times New Roman" w:hAnsi="Times New Roman"/>
                      <w:color w:val="000000" w:themeColor="text1"/>
                      <w:sz w:val="21"/>
                      <w:szCs w:val="21"/>
                      <w:lang w:val="en-US" w:eastAsia="zh-CN"/>
                    </w:rPr>
                    <w:t>10.5</w:t>
                  </w:r>
                </w:p>
              </w:tc>
            </w:tr>
          </w:tbl>
          <w:p w14:paraId="05884B35">
            <w:pPr>
              <w:spacing w:line="360" w:lineRule="auto"/>
              <w:rPr>
                <w:rFonts w:hint="eastAsia" w:ascii="Times New Roman" w:hAnsi="Times New Roman"/>
                <w:b/>
                <w:bCs/>
                <w:color w:val="000000" w:themeColor="text1"/>
                <w:sz w:val="24"/>
                <w:szCs w:val="24"/>
                <w:lang w:val="en-US" w:eastAsia="zh-CN"/>
              </w:rPr>
            </w:pPr>
            <w:r>
              <w:rPr>
                <w:rFonts w:hint="eastAsia" w:ascii="Times New Roman" w:hAnsi="Times New Roman"/>
                <w:b/>
                <w:bCs/>
                <w:color w:val="000000" w:themeColor="text1"/>
                <w:sz w:val="24"/>
                <w:szCs w:val="24"/>
                <w:lang w:val="en-US" w:eastAsia="zh-CN"/>
              </w:rPr>
              <w:t>11、环保竣工验收</w:t>
            </w:r>
          </w:p>
          <w:p w14:paraId="050814D2">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根据《建设项目环境保护管理条例（修订草案征求意见稿）》相关要求，建设单位应当依据建设项目环境影响报告表及其审批意见，委托第三方机构对建设项目环境保护设施及措施落实情况进行调查，编制建设项目环境保护设施和措施竣工验收报告，经验收合格后，项目方可正式投入生产或使用。项目三同时竣工验收一览表见表</w:t>
            </w:r>
            <w:r>
              <w:rPr>
                <w:rFonts w:hint="eastAsia" w:ascii="Times New Roman" w:hAnsi="Times New Roman"/>
                <w:color w:val="000000" w:themeColor="text1"/>
                <w:sz w:val="24"/>
                <w:szCs w:val="24"/>
                <w:lang w:val="en-US" w:eastAsia="zh-CN"/>
              </w:rPr>
              <w:t>54</w:t>
            </w:r>
            <w:r>
              <w:rPr>
                <w:rFonts w:hint="eastAsia" w:ascii="Times New Roman" w:hAnsi="Times New Roman"/>
                <w:color w:val="000000" w:themeColor="text1"/>
                <w:sz w:val="24"/>
                <w:szCs w:val="24"/>
              </w:rPr>
              <w:t>。</w:t>
            </w:r>
          </w:p>
          <w:p w14:paraId="3424C2D0">
            <w:pPr>
              <w:pStyle w:val="7"/>
              <w:spacing w:line="240" w:lineRule="auto"/>
              <w:ind w:firstLine="422" w:firstLineChars="200"/>
              <w:jc w:val="left"/>
              <w:rPr>
                <w:rFonts w:ascii="黑体" w:hAnsi="黑体" w:eastAsia="黑体" w:cs="黑体"/>
                <w:color w:val="000000" w:themeColor="text1"/>
                <w:sz w:val="21"/>
                <w:szCs w:val="21"/>
              </w:rPr>
            </w:pPr>
            <w:r>
              <w:rPr>
                <w:rFonts w:hint="eastAsia" w:ascii="黑体" w:hAnsi="黑体" w:eastAsia="黑体" w:cs="黑体"/>
                <w:b/>
                <w:bCs/>
                <w:color w:val="000000" w:themeColor="text1"/>
                <w:sz w:val="21"/>
                <w:szCs w:val="21"/>
              </w:rPr>
              <w:t>表</w:t>
            </w:r>
            <w:r>
              <w:rPr>
                <w:rFonts w:hint="eastAsia" w:ascii="黑体" w:hAnsi="黑体" w:eastAsia="黑体" w:cs="黑体"/>
                <w:b/>
                <w:bCs/>
                <w:color w:val="000000" w:themeColor="text1"/>
                <w:sz w:val="21"/>
                <w:szCs w:val="21"/>
                <w:lang w:val="en-US" w:eastAsia="zh-CN"/>
              </w:rPr>
              <w:t>54</w:t>
            </w:r>
            <w:r>
              <w:rPr>
                <w:rFonts w:ascii="黑体" w:hAnsi="黑体" w:eastAsia="黑体" w:cs="黑体"/>
                <w:b/>
                <w:bCs/>
                <w:color w:val="000000" w:themeColor="text1"/>
                <w:sz w:val="21"/>
                <w:szCs w:val="21"/>
              </w:rPr>
              <w:t xml:space="preserve">                   </w:t>
            </w:r>
            <w:r>
              <w:rPr>
                <w:rFonts w:hint="eastAsia" w:ascii="黑体" w:hAnsi="黑体" w:eastAsia="黑体" w:cs="黑体"/>
                <w:b/>
                <w:bCs/>
                <w:color w:val="000000" w:themeColor="text1"/>
                <w:sz w:val="21"/>
                <w:szCs w:val="21"/>
              </w:rPr>
              <w:t>环保“三同时”竣工验收一览表</w:t>
            </w:r>
          </w:p>
          <w:tbl>
            <w:tblPr>
              <w:tblStyle w:val="19"/>
              <w:tblW w:w="8220"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85"/>
              <w:gridCol w:w="1298"/>
              <w:gridCol w:w="1737"/>
              <w:gridCol w:w="4500"/>
            </w:tblGrid>
            <w:tr w14:paraId="26878A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85" w:type="dxa"/>
                  <w:tcBorders>
                    <w:bottom w:val="single" w:color="auto" w:sz="12" w:space="0"/>
                  </w:tcBorders>
                  <w:vAlign w:val="center"/>
                </w:tcPr>
                <w:p w14:paraId="59DDE833">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类别</w:t>
                  </w:r>
                </w:p>
              </w:tc>
              <w:tc>
                <w:tcPr>
                  <w:tcW w:w="1298" w:type="dxa"/>
                  <w:tcBorders>
                    <w:bottom w:val="single" w:color="auto" w:sz="12" w:space="0"/>
                  </w:tcBorders>
                  <w:vAlign w:val="center"/>
                </w:tcPr>
                <w:p w14:paraId="669BBD83">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污染因子</w:t>
                  </w:r>
                </w:p>
              </w:tc>
              <w:tc>
                <w:tcPr>
                  <w:tcW w:w="1737" w:type="dxa"/>
                  <w:tcBorders>
                    <w:bottom w:val="single" w:color="auto" w:sz="12" w:space="0"/>
                  </w:tcBorders>
                  <w:vAlign w:val="center"/>
                </w:tcPr>
                <w:p w14:paraId="454F313F">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验收对象</w:t>
                  </w:r>
                </w:p>
              </w:tc>
              <w:tc>
                <w:tcPr>
                  <w:tcW w:w="4500" w:type="dxa"/>
                  <w:tcBorders>
                    <w:bottom w:val="single" w:color="auto" w:sz="12" w:space="0"/>
                  </w:tcBorders>
                  <w:vAlign w:val="center"/>
                </w:tcPr>
                <w:p w14:paraId="0EC107A3">
                  <w:pPr>
                    <w:jc w:val="center"/>
                    <w:rPr>
                      <w:rFonts w:hint="default" w:ascii="Times New Roman" w:hAnsi="Times New Roman" w:cs="Times New Roman"/>
                      <w:b/>
                      <w:bCs/>
                      <w:color w:val="000000" w:themeColor="text1"/>
                      <w:sz w:val="21"/>
                      <w:szCs w:val="21"/>
                    </w:rPr>
                  </w:pPr>
                  <w:r>
                    <w:rPr>
                      <w:rFonts w:hint="default" w:ascii="Times New Roman" w:hAnsi="Times New Roman" w:cs="Times New Roman"/>
                      <w:b/>
                      <w:bCs/>
                      <w:color w:val="000000" w:themeColor="text1"/>
                      <w:sz w:val="21"/>
                      <w:szCs w:val="21"/>
                    </w:rPr>
                    <w:t>执行标准</w:t>
                  </w:r>
                </w:p>
              </w:tc>
            </w:tr>
            <w:tr w14:paraId="49C76B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85" w:type="dxa"/>
                  <w:vMerge w:val="restart"/>
                  <w:tcBorders>
                    <w:top w:val="single" w:color="auto" w:sz="12" w:space="0"/>
                  </w:tcBorders>
                  <w:vAlign w:val="center"/>
                </w:tcPr>
                <w:p w14:paraId="72C2BBD4">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主配套工程</w:t>
                  </w:r>
                </w:p>
              </w:tc>
              <w:tc>
                <w:tcPr>
                  <w:tcW w:w="1298" w:type="dxa"/>
                  <w:tcBorders>
                    <w:top w:val="single" w:color="auto" w:sz="12" w:space="0"/>
                    <w:bottom w:val="single" w:color="auto" w:sz="4" w:space="0"/>
                  </w:tcBorders>
                  <w:vAlign w:val="center"/>
                </w:tcPr>
                <w:p w14:paraId="295FB8AC">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w:t>
                  </w:r>
                </w:p>
              </w:tc>
              <w:tc>
                <w:tcPr>
                  <w:tcW w:w="1737" w:type="dxa"/>
                  <w:tcBorders>
                    <w:top w:val="single" w:color="auto" w:sz="12" w:space="0"/>
                  </w:tcBorders>
                  <w:vAlign w:val="center"/>
                </w:tcPr>
                <w:p w14:paraId="71FCE16A">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双层</w:t>
                  </w:r>
                  <w:r>
                    <w:rPr>
                      <w:rFonts w:hint="eastAsia" w:ascii="Times New Roman" w:hAnsi="Times New Roman" w:cs="Times New Roman"/>
                      <w:color w:val="000000" w:themeColor="text1"/>
                      <w:sz w:val="21"/>
                      <w:szCs w:val="21"/>
                      <w:lang w:val="en-US" w:eastAsia="zh-CN"/>
                    </w:rPr>
                    <w:t>S</w:t>
                  </w:r>
                  <w:r>
                    <w:rPr>
                      <w:rFonts w:hint="default" w:ascii="Times New Roman" w:hAnsi="Times New Roman" w:cs="Times New Roman"/>
                      <w:color w:val="000000" w:themeColor="text1"/>
                      <w:sz w:val="21"/>
                      <w:szCs w:val="21"/>
                    </w:rPr>
                    <w:t>F油罐</w:t>
                  </w:r>
                </w:p>
              </w:tc>
              <w:tc>
                <w:tcPr>
                  <w:tcW w:w="4500" w:type="dxa"/>
                  <w:vMerge w:val="restart"/>
                  <w:tcBorders>
                    <w:top w:val="single" w:color="auto" w:sz="12" w:space="0"/>
                  </w:tcBorders>
                  <w:vAlign w:val="center"/>
                </w:tcPr>
                <w:p w14:paraId="5B6C6C12">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是否满足《加油站地下水污染防治技术指南</w:t>
                  </w:r>
                  <w:r>
                    <w:rPr>
                      <w:rFonts w:hint="eastAsia" w:ascii="Times New Roman" w:hAnsi="Times New Roman" w:cs="Times New Roman"/>
                      <w:color w:val="000000" w:themeColor="text1"/>
                      <w:sz w:val="21"/>
                      <w:szCs w:val="21"/>
                      <w:lang w:eastAsia="zh-CN"/>
                    </w:rPr>
                    <w:t>（试行）》</w:t>
                  </w:r>
                  <w:r>
                    <w:rPr>
                      <w:rFonts w:hint="default" w:ascii="Times New Roman" w:hAnsi="Times New Roman" w:cs="Times New Roman"/>
                      <w:color w:val="000000" w:themeColor="text1"/>
                      <w:sz w:val="21"/>
                      <w:szCs w:val="21"/>
                    </w:rPr>
                    <w:t>及自治区环保厅《关于加快加油站地下油罐防渗改造有关工作的通知》相关要求</w:t>
                  </w:r>
                </w:p>
              </w:tc>
            </w:tr>
            <w:tr w14:paraId="3ACAD1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85" w:type="dxa"/>
                  <w:vMerge w:val="continue"/>
                  <w:tcBorders>
                    <w:right w:val="single" w:color="auto" w:sz="4" w:space="0"/>
                  </w:tcBorders>
                  <w:vAlign w:val="center"/>
                </w:tcPr>
                <w:p w14:paraId="33DA405D">
                  <w:pPr>
                    <w:jc w:val="center"/>
                    <w:rPr>
                      <w:rFonts w:hint="default" w:ascii="Times New Roman" w:hAnsi="Times New Roman" w:cs="Times New Roman"/>
                      <w:color w:val="000000" w:themeColor="text1"/>
                      <w:sz w:val="21"/>
                      <w:szCs w:val="21"/>
                    </w:rPr>
                  </w:pPr>
                </w:p>
              </w:tc>
              <w:tc>
                <w:tcPr>
                  <w:tcW w:w="1298" w:type="dxa"/>
                  <w:tcBorders>
                    <w:top w:val="single" w:color="auto" w:sz="4" w:space="0"/>
                    <w:left w:val="single" w:color="auto" w:sz="4" w:space="0"/>
                    <w:bottom w:val="single" w:color="auto" w:sz="4" w:space="0"/>
                    <w:right w:val="single" w:color="auto" w:sz="4" w:space="0"/>
                  </w:tcBorders>
                  <w:vAlign w:val="center"/>
                </w:tcPr>
                <w:p w14:paraId="374C99C4">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w:t>
                  </w:r>
                </w:p>
              </w:tc>
              <w:tc>
                <w:tcPr>
                  <w:tcW w:w="1737" w:type="dxa"/>
                  <w:tcBorders>
                    <w:left w:val="single" w:color="auto" w:sz="4" w:space="0"/>
                    <w:bottom w:val="single" w:color="auto" w:sz="4" w:space="0"/>
                  </w:tcBorders>
                  <w:vAlign w:val="center"/>
                </w:tcPr>
                <w:p w14:paraId="294FA744">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地下水防渗监测系统</w:t>
                  </w:r>
                </w:p>
              </w:tc>
              <w:tc>
                <w:tcPr>
                  <w:tcW w:w="4500" w:type="dxa"/>
                  <w:vMerge w:val="continue"/>
                  <w:tcBorders>
                    <w:bottom w:val="single" w:color="auto" w:sz="4" w:space="0"/>
                  </w:tcBorders>
                  <w:vAlign w:val="center"/>
                </w:tcPr>
                <w:p w14:paraId="2F298934">
                  <w:pPr>
                    <w:jc w:val="center"/>
                    <w:rPr>
                      <w:rFonts w:hint="default" w:ascii="Times New Roman" w:hAnsi="Times New Roman" w:cs="Times New Roman"/>
                      <w:color w:val="000000" w:themeColor="text1"/>
                      <w:sz w:val="21"/>
                      <w:szCs w:val="21"/>
                    </w:rPr>
                  </w:pPr>
                </w:p>
              </w:tc>
            </w:tr>
            <w:tr w14:paraId="1B58A5C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85" w:type="dxa"/>
                  <w:vMerge w:val="continue"/>
                  <w:tcBorders>
                    <w:bottom w:val="single" w:color="auto" w:sz="4" w:space="0"/>
                    <w:right w:val="single" w:color="auto" w:sz="4" w:space="0"/>
                  </w:tcBorders>
                  <w:vAlign w:val="center"/>
                </w:tcPr>
                <w:p w14:paraId="7313B8D4">
                  <w:pPr>
                    <w:jc w:val="center"/>
                    <w:rPr>
                      <w:rFonts w:hint="default" w:ascii="Times New Roman" w:hAnsi="Times New Roman" w:cs="Times New Roman"/>
                      <w:color w:val="000000" w:themeColor="text1"/>
                      <w:sz w:val="21"/>
                      <w:szCs w:val="21"/>
                    </w:rPr>
                  </w:pPr>
                </w:p>
              </w:tc>
              <w:tc>
                <w:tcPr>
                  <w:tcW w:w="1298" w:type="dxa"/>
                  <w:tcBorders>
                    <w:top w:val="single" w:color="auto" w:sz="4" w:space="0"/>
                    <w:left w:val="single" w:color="auto" w:sz="4" w:space="0"/>
                    <w:bottom w:val="single" w:color="auto" w:sz="4" w:space="0"/>
                    <w:right w:val="single" w:color="auto" w:sz="4" w:space="0"/>
                  </w:tcBorders>
                  <w:vAlign w:val="center"/>
                </w:tcPr>
                <w:p w14:paraId="06866DA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w:t>
                  </w:r>
                </w:p>
              </w:tc>
              <w:tc>
                <w:tcPr>
                  <w:tcW w:w="1737" w:type="dxa"/>
                  <w:tcBorders>
                    <w:left w:val="single" w:color="auto" w:sz="4" w:space="0"/>
                    <w:bottom w:val="single" w:color="auto" w:sz="4" w:space="0"/>
                  </w:tcBorders>
                  <w:vAlign w:val="center"/>
                </w:tcPr>
                <w:p w14:paraId="775200AB">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油气在线监测系统</w:t>
                  </w:r>
                </w:p>
              </w:tc>
              <w:tc>
                <w:tcPr>
                  <w:tcW w:w="4500" w:type="dxa"/>
                  <w:tcBorders>
                    <w:bottom w:val="single" w:color="auto" w:sz="4" w:space="0"/>
                  </w:tcBorders>
                  <w:vAlign w:val="center"/>
                </w:tcPr>
                <w:p w14:paraId="063033A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是否配备并正常运行</w:t>
                  </w:r>
                </w:p>
              </w:tc>
            </w:tr>
            <w:tr w14:paraId="1ED59F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85" w:type="dxa"/>
                  <w:tcBorders>
                    <w:top w:val="single" w:color="auto" w:sz="4" w:space="0"/>
                  </w:tcBorders>
                  <w:vAlign w:val="center"/>
                </w:tcPr>
                <w:p w14:paraId="4F845CC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废气</w:t>
                  </w:r>
                </w:p>
              </w:tc>
              <w:tc>
                <w:tcPr>
                  <w:tcW w:w="1298" w:type="dxa"/>
                  <w:tcBorders>
                    <w:top w:val="single" w:color="auto" w:sz="4" w:space="0"/>
                  </w:tcBorders>
                  <w:vAlign w:val="center"/>
                </w:tcPr>
                <w:p w14:paraId="13450D02">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非甲烷总烃</w:t>
                  </w:r>
                </w:p>
              </w:tc>
              <w:tc>
                <w:tcPr>
                  <w:tcW w:w="1737" w:type="dxa"/>
                  <w:tcBorders>
                    <w:top w:val="single" w:color="auto" w:sz="4" w:space="0"/>
                  </w:tcBorders>
                  <w:vAlign w:val="center"/>
                </w:tcPr>
                <w:p w14:paraId="3196ED06">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油气回收装置</w:t>
                  </w:r>
                </w:p>
              </w:tc>
              <w:tc>
                <w:tcPr>
                  <w:tcW w:w="4500" w:type="dxa"/>
                  <w:tcBorders>
                    <w:top w:val="single" w:color="auto" w:sz="4" w:space="0"/>
                  </w:tcBorders>
                  <w:vAlign w:val="center"/>
                </w:tcPr>
                <w:p w14:paraId="68ABB612">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加油</w:t>
                  </w:r>
                  <w:r>
                    <w:rPr>
                      <w:rFonts w:hint="eastAsia" w:ascii="Times New Roman" w:hAnsi="Times New Roman" w:cs="Times New Roman"/>
                      <w:color w:val="000000" w:themeColor="text1"/>
                      <w:sz w:val="21"/>
                      <w:szCs w:val="21"/>
                      <w:lang w:val="en-US" w:eastAsia="zh-CN"/>
                    </w:rPr>
                    <w:t>加气</w:t>
                  </w:r>
                  <w:r>
                    <w:rPr>
                      <w:rFonts w:hint="default" w:ascii="Times New Roman" w:hAnsi="Times New Roman" w:cs="Times New Roman"/>
                      <w:color w:val="000000" w:themeColor="text1"/>
                      <w:sz w:val="21"/>
                      <w:szCs w:val="21"/>
                    </w:rPr>
                    <w:t>站非甲烷总烃满足《大气污染物综合排放标准》（GB16297-1996）中无组织排放标准4.0mg/m</w:t>
                  </w:r>
                  <w:r>
                    <w:rPr>
                      <w:rFonts w:hint="default" w:ascii="Times New Roman" w:hAnsi="Times New Roman" w:cs="Times New Roman"/>
                      <w:color w:val="000000" w:themeColor="text1"/>
                      <w:sz w:val="21"/>
                      <w:szCs w:val="21"/>
                      <w:vertAlign w:val="superscript"/>
                    </w:rPr>
                    <w:t>3</w:t>
                  </w:r>
                  <w:r>
                    <w:rPr>
                      <w:rFonts w:hint="default" w:ascii="Times New Roman" w:hAnsi="Times New Roman" w:cs="Times New Roman"/>
                      <w:color w:val="000000" w:themeColor="text1"/>
                      <w:sz w:val="21"/>
                      <w:szCs w:val="21"/>
                    </w:rPr>
                    <w:t>的要求；</w:t>
                  </w:r>
                </w:p>
                <w:p w14:paraId="7403774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《加油站大气污染物排放标准》（GB20952-2007）中油气处理装置油气排放浓度≤25g/m</w:t>
                  </w:r>
                  <w:r>
                    <w:rPr>
                      <w:rFonts w:hint="default" w:ascii="Times New Roman" w:hAnsi="Times New Roman" w:cs="Times New Roman"/>
                      <w:color w:val="000000" w:themeColor="text1"/>
                      <w:sz w:val="21"/>
                      <w:szCs w:val="21"/>
                      <w:vertAlign w:val="superscript"/>
                    </w:rPr>
                    <w:t>3</w:t>
                  </w:r>
                  <w:r>
                    <w:rPr>
                      <w:rFonts w:hint="default" w:ascii="Times New Roman" w:hAnsi="Times New Roman" w:cs="Times New Roman"/>
                      <w:color w:val="000000" w:themeColor="text1"/>
                      <w:sz w:val="21"/>
                      <w:szCs w:val="21"/>
                    </w:rPr>
                    <w:t>。</w:t>
                  </w:r>
                </w:p>
              </w:tc>
            </w:tr>
            <w:tr w14:paraId="5D5285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85" w:type="dxa"/>
                  <w:tcBorders>
                    <w:top w:val="single" w:color="auto" w:sz="4" w:space="0"/>
                  </w:tcBorders>
                  <w:vAlign w:val="center"/>
                </w:tcPr>
                <w:p w14:paraId="5CE998C2">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废水</w:t>
                  </w:r>
                </w:p>
              </w:tc>
              <w:tc>
                <w:tcPr>
                  <w:tcW w:w="1298" w:type="dxa"/>
                  <w:tcBorders>
                    <w:top w:val="single" w:color="auto" w:sz="4" w:space="0"/>
                  </w:tcBorders>
                  <w:vAlign w:val="center"/>
                </w:tcPr>
                <w:p w14:paraId="0B1C653B">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生活污水</w:t>
                  </w:r>
                </w:p>
              </w:tc>
              <w:tc>
                <w:tcPr>
                  <w:tcW w:w="1737" w:type="dxa"/>
                  <w:tcBorders>
                    <w:top w:val="single" w:color="auto" w:sz="4" w:space="0"/>
                  </w:tcBorders>
                  <w:vAlign w:val="center"/>
                </w:tcPr>
                <w:p w14:paraId="5FCBA908">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排入园区污水管网</w:t>
                  </w:r>
                </w:p>
              </w:tc>
              <w:tc>
                <w:tcPr>
                  <w:tcW w:w="4500" w:type="dxa"/>
                  <w:tcBorders>
                    <w:top w:val="single" w:color="auto" w:sz="4" w:space="0"/>
                  </w:tcBorders>
                  <w:vAlign w:val="center"/>
                </w:tcPr>
                <w:p w14:paraId="3974EAF8">
                  <w:pPr>
                    <w:jc w:val="center"/>
                    <w:rPr>
                      <w:rFonts w:hint="eastAsia" w:ascii="Times New Roman" w:hAnsi="Times New Roman" w:eastAsia="宋体" w:cs="Times New Roman"/>
                      <w:color w:val="000000" w:themeColor="text1"/>
                      <w:sz w:val="21"/>
                      <w:szCs w:val="21"/>
                      <w:lang w:val="en-US" w:eastAsia="zh-CN"/>
                    </w:rPr>
                  </w:pPr>
                  <w:r>
                    <w:rPr>
                      <w:rFonts w:hint="eastAsia" w:ascii="Times New Roman" w:hAnsi="Times New Roman" w:cs="Times New Roman"/>
                      <w:color w:val="000000" w:themeColor="text1"/>
                      <w:sz w:val="21"/>
                      <w:szCs w:val="21"/>
                      <w:lang w:val="en-US" w:eastAsia="zh-CN"/>
                    </w:rPr>
                    <w:t>生活污水排放应满足《</w:t>
                  </w:r>
                  <w:r>
                    <w:rPr>
                      <w:rFonts w:hint="eastAsia" w:ascii="Times New Roman" w:hAnsi="Times New Roman"/>
                      <w:bCs/>
                      <w:color w:val="000000" w:themeColor="text1"/>
                      <w:kern w:val="0"/>
                      <w:sz w:val="21"/>
                      <w:szCs w:val="21"/>
                      <w:lang w:val="en-US" w:eastAsia="zh-CN"/>
                    </w:rPr>
                    <w:t>污水综合排放标准</w:t>
                  </w:r>
                  <w:r>
                    <w:rPr>
                      <w:rFonts w:hint="eastAsia" w:ascii="Times New Roman" w:hAnsi="Times New Roman" w:cs="Times New Roman"/>
                      <w:color w:val="000000" w:themeColor="text1"/>
                      <w:sz w:val="21"/>
                      <w:szCs w:val="21"/>
                      <w:lang w:val="en-US" w:eastAsia="zh-CN"/>
                    </w:rPr>
                    <w:t>》</w:t>
                  </w:r>
                  <w:r>
                    <w:rPr>
                      <w:rFonts w:hint="eastAsia" w:ascii="Times New Roman" w:hAnsi="Times New Roman"/>
                      <w:bCs/>
                      <w:color w:val="000000" w:themeColor="text1"/>
                      <w:kern w:val="0"/>
                      <w:sz w:val="21"/>
                      <w:szCs w:val="21"/>
                      <w:lang w:val="en-US" w:eastAsia="zh-CN"/>
                    </w:rPr>
                    <w:t>（GB8978-1996）三级标准限值要求</w:t>
                  </w:r>
                </w:p>
              </w:tc>
            </w:tr>
            <w:tr w14:paraId="51FE855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85" w:type="dxa"/>
                  <w:vAlign w:val="center"/>
                </w:tcPr>
                <w:p w14:paraId="21E41D96">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噪声</w:t>
                  </w:r>
                </w:p>
              </w:tc>
              <w:tc>
                <w:tcPr>
                  <w:tcW w:w="1298" w:type="dxa"/>
                  <w:vAlign w:val="center"/>
                </w:tcPr>
                <w:p w14:paraId="7B774C99">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Leq</w:t>
                  </w:r>
                </w:p>
              </w:tc>
              <w:tc>
                <w:tcPr>
                  <w:tcW w:w="1737" w:type="dxa"/>
                  <w:vAlign w:val="center"/>
                </w:tcPr>
                <w:p w14:paraId="7B7B6462">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加油机消声措施</w:t>
                  </w:r>
                </w:p>
              </w:tc>
              <w:tc>
                <w:tcPr>
                  <w:tcW w:w="4500" w:type="dxa"/>
                  <w:vAlign w:val="center"/>
                </w:tcPr>
                <w:p w14:paraId="214BB791">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是否满足《工业企业厂界环境噪声排放标准》（GB12348-2008）3类区标准</w:t>
                  </w:r>
                </w:p>
              </w:tc>
            </w:tr>
            <w:tr w14:paraId="56C8A41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85" w:type="dxa"/>
                  <w:vAlign w:val="center"/>
                </w:tcPr>
                <w:p w14:paraId="62EBB055">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危废</w:t>
                  </w:r>
                </w:p>
              </w:tc>
              <w:tc>
                <w:tcPr>
                  <w:tcW w:w="1298" w:type="dxa"/>
                  <w:vAlign w:val="center"/>
                </w:tcPr>
                <w:p w14:paraId="4E391F69">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检修残渣等</w:t>
                  </w:r>
                </w:p>
              </w:tc>
              <w:tc>
                <w:tcPr>
                  <w:tcW w:w="1737" w:type="dxa"/>
                  <w:vAlign w:val="center"/>
                </w:tcPr>
                <w:p w14:paraId="44CD5B0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清洗检修</w:t>
                  </w:r>
                  <w:r>
                    <w:rPr>
                      <w:rFonts w:hint="eastAsia" w:ascii="Times New Roman" w:hAnsi="Times New Roman" w:cs="Times New Roman"/>
                      <w:color w:val="000000" w:themeColor="text1"/>
                      <w:sz w:val="21"/>
                      <w:szCs w:val="21"/>
                      <w:lang w:val="en-US" w:eastAsia="zh-CN"/>
                    </w:rPr>
                    <w:t>处置</w:t>
                  </w:r>
                  <w:r>
                    <w:rPr>
                      <w:rFonts w:hint="default" w:ascii="Times New Roman" w:hAnsi="Times New Roman" w:cs="Times New Roman"/>
                      <w:color w:val="000000" w:themeColor="text1"/>
                      <w:sz w:val="21"/>
                      <w:szCs w:val="21"/>
                    </w:rPr>
                    <w:t>协议</w:t>
                  </w:r>
                  <w:r>
                    <w:rPr>
                      <w:rFonts w:hint="eastAsia" w:ascii="Times New Roman" w:hAnsi="Times New Roman" w:cs="Times New Roman"/>
                      <w:color w:val="000000" w:themeColor="text1"/>
                      <w:sz w:val="21"/>
                      <w:szCs w:val="21"/>
                      <w:lang w:eastAsia="zh-CN"/>
                    </w:rPr>
                    <w:t>，</w:t>
                  </w:r>
                  <w:r>
                    <w:rPr>
                      <w:rFonts w:hint="eastAsia" w:ascii="Times New Roman" w:hAnsi="Times New Roman" w:cs="Times New Roman"/>
                      <w:color w:val="000000" w:themeColor="text1"/>
                      <w:sz w:val="21"/>
                      <w:szCs w:val="21"/>
                      <w:lang w:val="en-US" w:eastAsia="zh-CN"/>
                    </w:rPr>
                    <w:t>废物暂存间</w:t>
                  </w:r>
                </w:p>
              </w:tc>
              <w:tc>
                <w:tcPr>
                  <w:tcW w:w="4500" w:type="dxa"/>
                  <w:vAlign w:val="center"/>
                </w:tcPr>
                <w:p w14:paraId="5010FA17">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是否与有资质单位签订检修协议，</w:t>
                  </w:r>
                  <w:r>
                    <w:rPr>
                      <w:rFonts w:hint="eastAsia" w:ascii="Times New Roman" w:hAnsi="Times New Roman" w:cs="Times New Roman"/>
                      <w:color w:val="000000" w:themeColor="text1"/>
                      <w:sz w:val="21"/>
                      <w:szCs w:val="21"/>
                      <w:lang w:val="en-US" w:eastAsia="zh-CN"/>
                    </w:rPr>
                    <w:t>站内设置危险废物暂存处（防渗、防风、防日晒）</w:t>
                  </w:r>
                </w:p>
              </w:tc>
            </w:tr>
            <w:tr w14:paraId="565817B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85" w:type="dxa"/>
                  <w:vAlign w:val="center"/>
                </w:tcPr>
                <w:p w14:paraId="681EEBB9">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风险</w:t>
                  </w:r>
                </w:p>
              </w:tc>
              <w:tc>
                <w:tcPr>
                  <w:tcW w:w="1298" w:type="dxa"/>
                  <w:vAlign w:val="center"/>
                </w:tcPr>
                <w:p w14:paraId="23E3F414">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w:t>
                  </w:r>
                </w:p>
              </w:tc>
              <w:tc>
                <w:tcPr>
                  <w:tcW w:w="1737" w:type="dxa"/>
                  <w:vAlign w:val="center"/>
                </w:tcPr>
                <w:p w14:paraId="7731B983">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灭火器、消防沙池等</w:t>
                  </w:r>
                </w:p>
              </w:tc>
              <w:tc>
                <w:tcPr>
                  <w:tcW w:w="4500" w:type="dxa"/>
                  <w:vAlign w:val="center"/>
                </w:tcPr>
                <w:p w14:paraId="08AF57E6">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按要求配置</w:t>
                  </w:r>
                </w:p>
              </w:tc>
            </w:tr>
            <w:tr w14:paraId="14FCD2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685" w:type="dxa"/>
                  <w:vAlign w:val="center"/>
                </w:tcPr>
                <w:p w14:paraId="5F0F6910">
                  <w:pPr>
                    <w:jc w:val="center"/>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其他</w:t>
                  </w:r>
                </w:p>
              </w:tc>
              <w:tc>
                <w:tcPr>
                  <w:tcW w:w="7535" w:type="dxa"/>
                  <w:gridSpan w:val="3"/>
                  <w:vAlign w:val="center"/>
                </w:tcPr>
                <w:p w14:paraId="2ED4A6CC">
                  <w:pPr>
                    <w:rPr>
                      <w:rFonts w:hint="default" w:ascii="Times New Roman" w:hAnsi="Times New Roman" w:cs="Times New Roman"/>
                      <w:color w:val="000000" w:themeColor="text1"/>
                      <w:sz w:val="21"/>
                      <w:szCs w:val="21"/>
                    </w:rPr>
                  </w:pPr>
                </w:p>
              </w:tc>
            </w:tr>
          </w:tbl>
          <w:p w14:paraId="649342BA">
            <w:pPr>
              <w:spacing w:line="240" w:lineRule="auto"/>
              <w:rPr>
                <w:rFonts w:hint="eastAsia"/>
                <w:color w:val="000000" w:themeColor="text1"/>
                <w:sz w:val="15"/>
                <w:szCs w:val="15"/>
                <w:lang w:val="en-US" w:eastAsia="zh-CN"/>
              </w:rPr>
            </w:pPr>
          </w:p>
          <w:p w14:paraId="55F36733">
            <w:pPr>
              <w:spacing w:line="360" w:lineRule="auto"/>
              <w:rPr>
                <w:rFonts w:hint="eastAsia"/>
                <w:color w:val="000000" w:themeColor="text1"/>
                <w:sz w:val="15"/>
                <w:szCs w:val="15"/>
                <w:lang w:val="en-US" w:eastAsia="zh-CN"/>
              </w:rPr>
            </w:pPr>
          </w:p>
          <w:p w14:paraId="5DEA9078">
            <w:pPr>
              <w:spacing w:line="360" w:lineRule="auto"/>
              <w:rPr>
                <w:rFonts w:hint="eastAsia"/>
                <w:color w:val="000000" w:themeColor="text1"/>
                <w:sz w:val="15"/>
                <w:szCs w:val="15"/>
                <w:lang w:val="en-US" w:eastAsia="zh-CN"/>
              </w:rPr>
            </w:pPr>
          </w:p>
          <w:p w14:paraId="6A8438DE">
            <w:pPr>
              <w:spacing w:line="360" w:lineRule="auto"/>
              <w:rPr>
                <w:rFonts w:hint="eastAsia"/>
                <w:color w:val="000000" w:themeColor="text1"/>
                <w:sz w:val="15"/>
                <w:szCs w:val="15"/>
                <w:lang w:val="en-US" w:eastAsia="zh-CN"/>
              </w:rPr>
            </w:pPr>
          </w:p>
          <w:p w14:paraId="3F62088D">
            <w:pPr>
              <w:spacing w:line="360" w:lineRule="auto"/>
              <w:rPr>
                <w:rFonts w:hint="eastAsia"/>
                <w:color w:val="000000" w:themeColor="text1"/>
                <w:sz w:val="15"/>
                <w:szCs w:val="15"/>
                <w:lang w:val="en-US" w:eastAsia="zh-CN"/>
              </w:rPr>
            </w:pPr>
          </w:p>
          <w:p w14:paraId="06C12A6F">
            <w:pPr>
              <w:spacing w:line="360" w:lineRule="auto"/>
              <w:rPr>
                <w:rFonts w:hint="eastAsia"/>
                <w:color w:val="000000" w:themeColor="text1"/>
                <w:sz w:val="15"/>
                <w:szCs w:val="15"/>
                <w:lang w:val="en-US" w:eastAsia="zh-CN"/>
              </w:rPr>
            </w:pPr>
          </w:p>
          <w:p w14:paraId="541F098C">
            <w:pPr>
              <w:spacing w:line="360" w:lineRule="auto"/>
              <w:rPr>
                <w:rFonts w:hint="eastAsia"/>
                <w:color w:val="000000" w:themeColor="text1"/>
                <w:sz w:val="15"/>
                <w:szCs w:val="15"/>
                <w:lang w:val="en-US" w:eastAsia="zh-CN"/>
              </w:rPr>
            </w:pPr>
          </w:p>
          <w:p w14:paraId="53A82635">
            <w:pPr>
              <w:spacing w:line="360" w:lineRule="auto"/>
              <w:rPr>
                <w:rFonts w:hint="eastAsia"/>
                <w:color w:val="000000" w:themeColor="text1"/>
                <w:sz w:val="15"/>
                <w:szCs w:val="15"/>
                <w:lang w:val="en-US" w:eastAsia="zh-CN"/>
              </w:rPr>
            </w:pPr>
          </w:p>
          <w:p w14:paraId="0938BA58">
            <w:pPr>
              <w:spacing w:line="360" w:lineRule="auto"/>
              <w:rPr>
                <w:rFonts w:hint="eastAsia"/>
                <w:color w:val="000000" w:themeColor="text1"/>
                <w:sz w:val="15"/>
                <w:szCs w:val="15"/>
                <w:lang w:val="en-US" w:eastAsia="zh-CN"/>
              </w:rPr>
            </w:pPr>
          </w:p>
          <w:p w14:paraId="6CC4B231">
            <w:pPr>
              <w:spacing w:line="360" w:lineRule="auto"/>
              <w:rPr>
                <w:rFonts w:hint="eastAsia"/>
                <w:color w:val="000000" w:themeColor="text1"/>
                <w:sz w:val="15"/>
                <w:szCs w:val="15"/>
                <w:lang w:val="en-US" w:eastAsia="zh-CN"/>
              </w:rPr>
            </w:pPr>
          </w:p>
          <w:p w14:paraId="687066B3">
            <w:pPr>
              <w:spacing w:line="360" w:lineRule="auto"/>
              <w:rPr>
                <w:rFonts w:hint="eastAsia"/>
                <w:color w:val="000000" w:themeColor="text1"/>
                <w:sz w:val="15"/>
                <w:szCs w:val="15"/>
                <w:lang w:val="en-US" w:eastAsia="zh-CN"/>
              </w:rPr>
            </w:pPr>
          </w:p>
          <w:p w14:paraId="1BB50ED1">
            <w:pPr>
              <w:spacing w:line="360" w:lineRule="auto"/>
              <w:rPr>
                <w:rFonts w:hint="eastAsia"/>
                <w:color w:val="000000" w:themeColor="text1"/>
                <w:sz w:val="15"/>
                <w:szCs w:val="15"/>
                <w:lang w:val="en-US" w:eastAsia="zh-CN"/>
              </w:rPr>
            </w:pPr>
          </w:p>
          <w:p w14:paraId="2F9E2F60">
            <w:pPr>
              <w:spacing w:line="360" w:lineRule="auto"/>
              <w:rPr>
                <w:rFonts w:hint="eastAsia"/>
                <w:color w:val="000000" w:themeColor="text1"/>
                <w:sz w:val="15"/>
                <w:szCs w:val="15"/>
                <w:lang w:val="en-US" w:eastAsia="zh-CN"/>
              </w:rPr>
            </w:pPr>
          </w:p>
          <w:p w14:paraId="53CA53C8">
            <w:pPr>
              <w:spacing w:line="360" w:lineRule="auto"/>
              <w:rPr>
                <w:rFonts w:hint="eastAsia"/>
                <w:color w:val="000000" w:themeColor="text1"/>
                <w:sz w:val="15"/>
                <w:szCs w:val="15"/>
                <w:lang w:val="en-US" w:eastAsia="zh-CN"/>
              </w:rPr>
            </w:pPr>
          </w:p>
          <w:p w14:paraId="1233D656">
            <w:pPr>
              <w:spacing w:line="360" w:lineRule="auto"/>
              <w:rPr>
                <w:rFonts w:hint="eastAsia"/>
                <w:color w:val="000000" w:themeColor="text1"/>
                <w:sz w:val="15"/>
                <w:szCs w:val="15"/>
                <w:lang w:val="en-US" w:eastAsia="zh-CN"/>
              </w:rPr>
            </w:pPr>
          </w:p>
          <w:p w14:paraId="472ACB68">
            <w:pPr>
              <w:spacing w:line="360" w:lineRule="auto"/>
              <w:rPr>
                <w:rFonts w:hint="eastAsia"/>
                <w:color w:val="000000" w:themeColor="text1"/>
                <w:sz w:val="15"/>
                <w:szCs w:val="15"/>
                <w:lang w:val="en-US" w:eastAsia="zh-CN"/>
              </w:rPr>
            </w:pPr>
          </w:p>
          <w:p w14:paraId="2F14BF67">
            <w:pPr>
              <w:spacing w:line="360" w:lineRule="auto"/>
              <w:rPr>
                <w:rFonts w:hint="eastAsia"/>
                <w:color w:val="000000" w:themeColor="text1"/>
                <w:sz w:val="15"/>
                <w:szCs w:val="15"/>
                <w:lang w:val="en-US" w:eastAsia="zh-CN"/>
              </w:rPr>
            </w:pPr>
          </w:p>
          <w:p w14:paraId="55AE8DCC">
            <w:pPr>
              <w:spacing w:line="360" w:lineRule="auto"/>
              <w:rPr>
                <w:rFonts w:hint="eastAsia"/>
                <w:color w:val="000000" w:themeColor="text1"/>
                <w:sz w:val="15"/>
                <w:szCs w:val="15"/>
                <w:lang w:val="en-US" w:eastAsia="zh-CN"/>
              </w:rPr>
            </w:pPr>
          </w:p>
          <w:p w14:paraId="62E37C39">
            <w:pPr>
              <w:spacing w:line="360" w:lineRule="auto"/>
              <w:rPr>
                <w:rFonts w:hint="eastAsia"/>
                <w:color w:val="000000" w:themeColor="text1"/>
                <w:sz w:val="15"/>
                <w:szCs w:val="15"/>
                <w:lang w:val="en-US" w:eastAsia="zh-CN"/>
              </w:rPr>
            </w:pPr>
          </w:p>
          <w:p w14:paraId="27627D75">
            <w:pPr>
              <w:spacing w:line="360" w:lineRule="auto"/>
              <w:rPr>
                <w:rFonts w:hint="eastAsia"/>
                <w:color w:val="000000" w:themeColor="text1"/>
                <w:sz w:val="15"/>
                <w:szCs w:val="15"/>
                <w:lang w:val="en-US" w:eastAsia="zh-CN"/>
              </w:rPr>
            </w:pPr>
          </w:p>
          <w:p w14:paraId="39A036CB">
            <w:pPr>
              <w:spacing w:line="360" w:lineRule="auto"/>
              <w:rPr>
                <w:rFonts w:hint="eastAsia"/>
                <w:color w:val="000000" w:themeColor="text1"/>
                <w:sz w:val="15"/>
                <w:szCs w:val="15"/>
                <w:lang w:val="en-US" w:eastAsia="zh-CN"/>
              </w:rPr>
            </w:pPr>
          </w:p>
          <w:p w14:paraId="1FD12282">
            <w:pPr>
              <w:spacing w:line="360" w:lineRule="auto"/>
              <w:rPr>
                <w:rFonts w:hint="eastAsia"/>
                <w:color w:val="000000" w:themeColor="text1"/>
                <w:sz w:val="15"/>
                <w:szCs w:val="15"/>
                <w:lang w:val="en-US" w:eastAsia="zh-CN"/>
              </w:rPr>
            </w:pPr>
          </w:p>
          <w:p w14:paraId="6174EB4C">
            <w:pPr>
              <w:spacing w:line="360" w:lineRule="auto"/>
              <w:rPr>
                <w:rFonts w:hint="eastAsia"/>
                <w:color w:val="000000" w:themeColor="text1"/>
                <w:sz w:val="15"/>
                <w:szCs w:val="15"/>
                <w:lang w:val="en-US" w:eastAsia="zh-CN"/>
              </w:rPr>
            </w:pPr>
          </w:p>
        </w:tc>
      </w:tr>
    </w:tbl>
    <w:p w14:paraId="066B696B">
      <w:pPr>
        <w:adjustRightInd w:val="0"/>
        <w:snapToGrid w:val="0"/>
        <w:jc w:val="left"/>
        <w:outlineLvl w:val="1"/>
        <w:rPr>
          <w:rFonts w:hint="eastAsia"/>
          <w:b/>
          <w:color w:val="000000" w:themeColor="text1"/>
          <w:sz w:val="32"/>
        </w:rPr>
      </w:pPr>
      <w:bookmarkStart w:id="34" w:name="_Toc355609315"/>
      <w:r>
        <w:rPr>
          <w:rFonts w:hint="eastAsia"/>
          <w:b/>
          <w:color w:val="000000" w:themeColor="text1"/>
          <w:sz w:val="32"/>
        </w:rPr>
        <w:t>建设项目采取的防治措施及治理效果</w:t>
      </w:r>
      <w:bookmarkEnd w:id="34"/>
    </w:p>
    <w:tbl>
      <w:tblPr>
        <w:tblStyle w:val="19"/>
        <w:tblW w:w="85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270"/>
        <w:gridCol w:w="1430"/>
        <w:gridCol w:w="1964"/>
        <w:gridCol w:w="3038"/>
      </w:tblGrid>
      <w:tr w14:paraId="4F6314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30" w:hRule="atLeast"/>
          <w:jc w:val="center"/>
        </w:trPr>
        <w:tc>
          <w:tcPr>
            <w:tcW w:w="802" w:type="dxa"/>
            <w:tcBorders>
              <w:tl2br w:val="nil"/>
              <w:tr2bl w:val="nil"/>
            </w:tcBorders>
            <w:vAlign w:val="center"/>
          </w:tcPr>
          <w:p w14:paraId="54750DAC">
            <w:pPr>
              <w:spacing w:line="320" w:lineRule="exact"/>
              <w:ind w:left="-137" w:leftChars="-57" w:right="-102" w:firstLine="240" w:firstLineChars="100"/>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rPr>
              <w:pict>
                <v:line id="_x0000_s1027" o:spid="_x0000_s1027" o:spt="20" style="position:absolute;left:0pt;margin-left:-4.6pt;margin-top:0.1pt;height:31.75pt;width:39.7pt;z-index:251661312;mso-width-relative:page;mso-height-relative:page;" filled="f" stroked="t" coordsize="21600,21600">
                  <v:path arrowok="t"/>
                  <v:fill on="f" focussize="0,0"/>
                  <v:stroke color="#000000"/>
                  <v:imagedata o:title=""/>
                  <o:lock v:ext="edit" aspectratio="f"/>
                </v:line>
              </w:pict>
            </w:r>
            <w:r>
              <w:rPr>
                <w:rFonts w:hint="default" w:ascii="Times New Roman" w:hAnsi="Times New Roman" w:eastAsia="宋体" w:cs="Times New Roman"/>
                <w:color w:val="000000" w:themeColor="text1"/>
                <w:sz w:val="24"/>
                <w:szCs w:val="24"/>
              </w:rPr>
              <w:t>内容</w:t>
            </w:r>
          </w:p>
          <w:p w14:paraId="16CF3BC9">
            <w:pPr>
              <w:spacing w:line="320" w:lineRule="exact"/>
              <w:ind w:left="-119" w:right="-102"/>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类型</w:t>
            </w:r>
          </w:p>
        </w:tc>
        <w:tc>
          <w:tcPr>
            <w:tcW w:w="1270" w:type="dxa"/>
            <w:tcBorders>
              <w:tl2br w:val="nil"/>
              <w:tr2bl w:val="nil"/>
            </w:tcBorders>
            <w:vAlign w:val="center"/>
          </w:tcPr>
          <w:p w14:paraId="3FB6F4FD">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排放源</w:t>
            </w:r>
          </w:p>
          <w:p w14:paraId="6B8F02D6">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(编号)</w:t>
            </w:r>
          </w:p>
        </w:tc>
        <w:tc>
          <w:tcPr>
            <w:tcW w:w="1430" w:type="dxa"/>
            <w:tcBorders>
              <w:tl2br w:val="nil"/>
              <w:tr2bl w:val="nil"/>
            </w:tcBorders>
            <w:vAlign w:val="center"/>
          </w:tcPr>
          <w:p w14:paraId="5F11DBA7">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污染物名称</w:t>
            </w:r>
          </w:p>
        </w:tc>
        <w:tc>
          <w:tcPr>
            <w:tcW w:w="1964" w:type="dxa"/>
            <w:tcBorders>
              <w:tl2br w:val="nil"/>
              <w:tr2bl w:val="nil"/>
            </w:tcBorders>
            <w:vAlign w:val="center"/>
          </w:tcPr>
          <w:p w14:paraId="40423177">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防治措施</w:t>
            </w:r>
          </w:p>
        </w:tc>
        <w:tc>
          <w:tcPr>
            <w:tcW w:w="3038" w:type="dxa"/>
            <w:tcBorders>
              <w:tl2br w:val="nil"/>
              <w:tr2bl w:val="nil"/>
            </w:tcBorders>
            <w:vAlign w:val="center"/>
          </w:tcPr>
          <w:p w14:paraId="1ACA3329">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预期治理效果</w:t>
            </w:r>
          </w:p>
        </w:tc>
      </w:tr>
      <w:tr w14:paraId="0BA2C3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08" w:hRule="atLeast"/>
          <w:jc w:val="center"/>
        </w:trPr>
        <w:tc>
          <w:tcPr>
            <w:tcW w:w="802" w:type="dxa"/>
            <w:vMerge w:val="restart"/>
            <w:tcBorders>
              <w:tl2br w:val="nil"/>
              <w:tr2bl w:val="nil"/>
            </w:tcBorders>
            <w:vAlign w:val="center"/>
          </w:tcPr>
          <w:p w14:paraId="0D90F4B8">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大</w:t>
            </w:r>
          </w:p>
          <w:p w14:paraId="0BD79B3C">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气</w:t>
            </w:r>
          </w:p>
          <w:p w14:paraId="4CF2EA35">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污</w:t>
            </w:r>
          </w:p>
          <w:p w14:paraId="088384BA">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染</w:t>
            </w:r>
          </w:p>
          <w:p w14:paraId="4D03D080">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物</w:t>
            </w:r>
          </w:p>
        </w:tc>
        <w:tc>
          <w:tcPr>
            <w:tcW w:w="1270" w:type="dxa"/>
            <w:tcBorders>
              <w:tl2br w:val="nil"/>
              <w:tr2bl w:val="nil"/>
            </w:tcBorders>
            <w:vAlign w:val="center"/>
          </w:tcPr>
          <w:p w14:paraId="05C65C0C">
            <w:pPr>
              <w:spacing w:line="320" w:lineRule="exact"/>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储油罐、加油机等</w:t>
            </w:r>
          </w:p>
        </w:tc>
        <w:tc>
          <w:tcPr>
            <w:tcW w:w="1430" w:type="dxa"/>
            <w:tcBorders>
              <w:tl2br w:val="nil"/>
              <w:tr2bl w:val="nil"/>
            </w:tcBorders>
            <w:vAlign w:val="center"/>
          </w:tcPr>
          <w:p w14:paraId="24952993">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非甲烷总烃</w:t>
            </w:r>
          </w:p>
        </w:tc>
        <w:tc>
          <w:tcPr>
            <w:tcW w:w="1964" w:type="dxa"/>
            <w:tcBorders>
              <w:tl2br w:val="nil"/>
              <w:tr2bl w:val="nil"/>
            </w:tcBorders>
            <w:vAlign w:val="center"/>
          </w:tcPr>
          <w:p w14:paraId="7DD110D5">
            <w:pPr>
              <w:spacing w:line="320" w:lineRule="exact"/>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采用自封式加油机和油气回收系统进行处理然后排放，同时配套油气在线监测系统</w:t>
            </w:r>
          </w:p>
        </w:tc>
        <w:tc>
          <w:tcPr>
            <w:tcW w:w="3038" w:type="dxa"/>
            <w:tcBorders>
              <w:tl2br w:val="nil"/>
              <w:tr2bl w:val="nil"/>
            </w:tcBorders>
            <w:vAlign w:val="center"/>
          </w:tcPr>
          <w:p w14:paraId="67CAFB62">
            <w:pPr>
              <w:spacing w:line="320" w:lineRule="exact"/>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满足GB16297-1996《大气污染物综合排放标准》表4中的二级标准和《加油站大气污染物排放标准》（GB20952-2007）中的标准。</w:t>
            </w:r>
          </w:p>
        </w:tc>
      </w:tr>
      <w:tr w14:paraId="0478B3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08" w:hRule="atLeast"/>
          <w:jc w:val="center"/>
        </w:trPr>
        <w:tc>
          <w:tcPr>
            <w:tcW w:w="802" w:type="dxa"/>
            <w:vMerge w:val="continue"/>
            <w:tcBorders>
              <w:tl2br w:val="nil"/>
              <w:tr2bl w:val="nil"/>
            </w:tcBorders>
            <w:vAlign w:val="center"/>
          </w:tcPr>
          <w:p w14:paraId="622E0C9C">
            <w:pPr>
              <w:spacing w:line="320" w:lineRule="exact"/>
              <w:jc w:val="center"/>
              <w:rPr>
                <w:color w:val="000000" w:themeColor="text1"/>
              </w:rPr>
            </w:pPr>
          </w:p>
        </w:tc>
        <w:tc>
          <w:tcPr>
            <w:tcW w:w="1270" w:type="dxa"/>
            <w:tcBorders>
              <w:tl2br w:val="nil"/>
              <w:tr2bl w:val="nil"/>
            </w:tcBorders>
            <w:vAlign w:val="center"/>
          </w:tcPr>
          <w:p w14:paraId="498D20CF">
            <w:pPr>
              <w:spacing w:line="320" w:lineRule="exact"/>
              <w:jc w:val="center"/>
              <w:rPr>
                <w:rFonts w:hint="eastAsia" w:ascii="Times New Roman" w:hAnsi="Times New Roman" w:eastAsia="宋体"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加气过程</w:t>
            </w:r>
          </w:p>
        </w:tc>
        <w:tc>
          <w:tcPr>
            <w:tcW w:w="1430" w:type="dxa"/>
            <w:tcBorders>
              <w:tl2br w:val="nil"/>
              <w:tr2bl w:val="nil"/>
            </w:tcBorders>
            <w:vAlign w:val="center"/>
          </w:tcPr>
          <w:p w14:paraId="77405C25">
            <w:pPr>
              <w:spacing w:line="320" w:lineRule="exact"/>
              <w:jc w:val="center"/>
              <w:rPr>
                <w:rFonts w:hint="eastAsia" w:ascii="Times New Roman" w:hAnsi="Times New Roman" w:eastAsia="宋体"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无组织排放天然气</w:t>
            </w:r>
          </w:p>
        </w:tc>
        <w:tc>
          <w:tcPr>
            <w:tcW w:w="1964" w:type="dxa"/>
            <w:tcBorders>
              <w:tl2br w:val="nil"/>
              <w:tr2bl w:val="nil"/>
            </w:tcBorders>
            <w:vAlign w:val="center"/>
          </w:tcPr>
          <w:p w14:paraId="64028867">
            <w:pPr>
              <w:spacing w:line="320" w:lineRule="exact"/>
              <w:jc w:val="center"/>
              <w:rPr>
                <w:rFonts w:hint="eastAsia" w:ascii="Times New Roman" w:hAnsi="Times New Roman" w:eastAsia="宋体"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自然通风</w:t>
            </w:r>
          </w:p>
        </w:tc>
        <w:tc>
          <w:tcPr>
            <w:tcW w:w="3038" w:type="dxa"/>
            <w:tcBorders>
              <w:tl2br w:val="nil"/>
              <w:tr2bl w:val="nil"/>
            </w:tcBorders>
            <w:vAlign w:val="center"/>
          </w:tcPr>
          <w:p w14:paraId="07CD3ABC">
            <w:pPr>
              <w:spacing w:line="320" w:lineRule="exact"/>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《加油站大气污染物排放标准》（GB20952-2007）中的标准。</w:t>
            </w:r>
          </w:p>
        </w:tc>
      </w:tr>
      <w:tr w14:paraId="3C73F3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31" w:hRule="atLeast"/>
          <w:jc w:val="center"/>
        </w:trPr>
        <w:tc>
          <w:tcPr>
            <w:tcW w:w="802" w:type="dxa"/>
            <w:vMerge w:val="restart"/>
            <w:tcBorders>
              <w:tl2br w:val="nil"/>
              <w:tr2bl w:val="nil"/>
            </w:tcBorders>
            <w:vAlign w:val="center"/>
          </w:tcPr>
          <w:p w14:paraId="05778218">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水</w:t>
            </w:r>
          </w:p>
          <w:p w14:paraId="19149CA9">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污</w:t>
            </w:r>
          </w:p>
          <w:p w14:paraId="3FFE56AC">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染</w:t>
            </w:r>
          </w:p>
          <w:p w14:paraId="74F51567">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物</w:t>
            </w:r>
          </w:p>
        </w:tc>
        <w:tc>
          <w:tcPr>
            <w:tcW w:w="1270" w:type="dxa"/>
            <w:tcBorders>
              <w:tl2br w:val="nil"/>
              <w:tr2bl w:val="nil"/>
            </w:tcBorders>
            <w:vAlign w:val="center"/>
          </w:tcPr>
          <w:p w14:paraId="1CDA9600">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生活污水</w:t>
            </w:r>
          </w:p>
        </w:tc>
        <w:tc>
          <w:tcPr>
            <w:tcW w:w="1430" w:type="dxa"/>
            <w:tcBorders>
              <w:tl2br w:val="nil"/>
              <w:tr2bl w:val="nil"/>
            </w:tcBorders>
            <w:vAlign w:val="center"/>
          </w:tcPr>
          <w:p w14:paraId="67CAE31E">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BOD</w:t>
            </w:r>
            <w:r>
              <w:rPr>
                <w:rFonts w:hint="default" w:ascii="Times New Roman" w:hAnsi="Times New Roman" w:eastAsia="宋体" w:cs="Times New Roman"/>
                <w:color w:val="000000" w:themeColor="text1"/>
                <w:sz w:val="24"/>
                <w:szCs w:val="24"/>
                <w:vertAlign w:val="subscript"/>
              </w:rPr>
              <w:t>5</w:t>
            </w:r>
            <w:r>
              <w:rPr>
                <w:rFonts w:hint="default" w:ascii="Times New Roman" w:hAnsi="Times New Roman" w:eastAsia="宋体" w:cs="Times New Roman"/>
                <w:color w:val="000000" w:themeColor="text1"/>
                <w:sz w:val="24"/>
                <w:szCs w:val="24"/>
              </w:rPr>
              <w:t>、COD</w:t>
            </w:r>
            <w:r>
              <w:rPr>
                <w:rFonts w:hint="default" w:ascii="Times New Roman" w:hAnsi="Times New Roman" w:eastAsia="宋体" w:cs="Times New Roman"/>
                <w:color w:val="000000" w:themeColor="text1"/>
                <w:sz w:val="24"/>
                <w:szCs w:val="24"/>
                <w:vertAlign w:val="subscript"/>
              </w:rPr>
              <w:t>cr</w:t>
            </w:r>
            <w:r>
              <w:rPr>
                <w:rFonts w:hint="default" w:ascii="Times New Roman" w:hAnsi="Times New Roman" w:eastAsia="宋体" w:cs="Times New Roman"/>
                <w:color w:val="000000" w:themeColor="text1"/>
                <w:sz w:val="24"/>
                <w:szCs w:val="24"/>
              </w:rPr>
              <w:t>、</w:t>
            </w:r>
          </w:p>
          <w:p w14:paraId="3AD50445">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SS、氨氮</w:t>
            </w:r>
          </w:p>
        </w:tc>
        <w:tc>
          <w:tcPr>
            <w:tcW w:w="1964" w:type="dxa"/>
            <w:tcBorders>
              <w:tl2br w:val="nil"/>
              <w:tr2bl w:val="nil"/>
            </w:tcBorders>
            <w:vAlign w:val="center"/>
          </w:tcPr>
          <w:p w14:paraId="0B7CA4D9">
            <w:pPr>
              <w:spacing w:line="320" w:lineRule="exact"/>
              <w:jc w:val="center"/>
              <w:rPr>
                <w:rFonts w:hint="eastAsia" w:ascii="Times New Roman" w:hAnsi="Times New Roman" w:eastAsia="宋体"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排入园区污水管网</w:t>
            </w:r>
          </w:p>
        </w:tc>
        <w:tc>
          <w:tcPr>
            <w:tcW w:w="3038" w:type="dxa"/>
            <w:vMerge w:val="restart"/>
            <w:tcBorders>
              <w:tl2br w:val="nil"/>
              <w:tr2bl w:val="nil"/>
            </w:tcBorders>
            <w:vAlign w:val="center"/>
          </w:tcPr>
          <w:p w14:paraId="56115655">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对环境影响较小</w:t>
            </w:r>
          </w:p>
        </w:tc>
      </w:tr>
      <w:tr w14:paraId="5173B2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98" w:hRule="atLeast"/>
          <w:jc w:val="center"/>
        </w:trPr>
        <w:tc>
          <w:tcPr>
            <w:tcW w:w="802" w:type="dxa"/>
            <w:vMerge w:val="continue"/>
            <w:tcBorders>
              <w:tl2br w:val="nil"/>
              <w:tr2bl w:val="nil"/>
            </w:tcBorders>
            <w:vAlign w:val="center"/>
          </w:tcPr>
          <w:p w14:paraId="540C81FD">
            <w:pPr>
              <w:spacing w:line="320" w:lineRule="exact"/>
              <w:ind w:left="-119" w:right="-102"/>
              <w:jc w:val="center"/>
              <w:rPr>
                <w:rFonts w:hint="default" w:ascii="Times New Roman" w:hAnsi="Times New Roman" w:eastAsia="宋体" w:cs="Times New Roman"/>
                <w:color w:val="000000" w:themeColor="text1"/>
                <w:sz w:val="24"/>
                <w:szCs w:val="24"/>
              </w:rPr>
            </w:pPr>
          </w:p>
        </w:tc>
        <w:tc>
          <w:tcPr>
            <w:tcW w:w="1270" w:type="dxa"/>
            <w:tcBorders>
              <w:tl2br w:val="nil"/>
              <w:tr2bl w:val="nil"/>
            </w:tcBorders>
            <w:vAlign w:val="center"/>
          </w:tcPr>
          <w:p w14:paraId="46FC111C">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油罐区</w:t>
            </w:r>
          </w:p>
        </w:tc>
        <w:tc>
          <w:tcPr>
            <w:tcW w:w="1430" w:type="dxa"/>
            <w:tcBorders>
              <w:tl2br w:val="nil"/>
              <w:tr2bl w:val="nil"/>
            </w:tcBorders>
            <w:vAlign w:val="center"/>
          </w:tcPr>
          <w:p w14:paraId="1D609186">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w:t>
            </w:r>
          </w:p>
        </w:tc>
        <w:tc>
          <w:tcPr>
            <w:tcW w:w="1964" w:type="dxa"/>
            <w:tcBorders>
              <w:tl2br w:val="nil"/>
              <w:tr2bl w:val="nil"/>
            </w:tcBorders>
            <w:vAlign w:val="center"/>
          </w:tcPr>
          <w:p w14:paraId="19F4F213">
            <w:pPr>
              <w:spacing w:line="320" w:lineRule="exact"/>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双层</w:t>
            </w:r>
            <w:r>
              <w:rPr>
                <w:rFonts w:hint="eastAsia" w:ascii="Times New Roman" w:hAnsi="Times New Roman" w:cs="Times New Roman"/>
                <w:color w:val="000000" w:themeColor="text1"/>
                <w:sz w:val="24"/>
                <w:szCs w:val="24"/>
                <w:lang w:val="en-US" w:eastAsia="zh-CN"/>
              </w:rPr>
              <w:t>S</w:t>
            </w:r>
            <w:r>
              <w:rPr>
                <w:rFonts w:hint="default" w:ascii="Times New Roman" w:hAnsi="Times New Roman" w:eastAsia="宋体" w:cs="Times New Roman"/>
                <w:color w:val="000000" w:themeColor="text1"/>
                <w:sz w:val="24"/>
                <w:szCs w:val="24"/>
              </w:rPr>
              <w:t>F储罐、地下水防渗监测系统、分区防渗等</w:t>
            </w:r>
          </w:p>
        </w:tc>
        <w:tc>
          <w:tcPr>
            <w:tcW w:w="3038" w:type="dxa"/>
            <w:vMerge w:val="continue"/>
            <w:tcBorders>
              <w:tl2br w:val="nil"/>
              <w:tr2bl w:val="nil"/>
            </w:tcBorders>
            <w:vAlign w:val="center"/>
          </w:tcPr>
          <w:p w14:paraId="03535644">
            <w:pPr>
              <w:spacing w:line="320" w:lineRule="exact"/>
              <w:ind w:left="-119" w:right="-102"/>
              <w:jc w:val="center"/>
              <w:rPr>
                <w:rFonts w:hint="default" w:ascii="Times New Roman" w:hAnsi="Times New Roman" w:eastAsia="宋体" w:cs="Times New Roman"/>
                <w:color w:val="000000" w:themeColor="text1"/>
                <w:sz w:val="24"/>
                <w:szCs w:val="24"/>
              </w:rPr>
            </w:pPr>
          </w:p>
        </w:tc>
      </w:tr>
      <w:tr w14:paraId="298B35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6" w:hRule="atLeast"/>
          <w:jc w:val="center"/>
        </w:trPr>
        <w:tc>
          <w:tcPr>
            <w:tcW w:w="802" w:type="dxa"/>
            <w:vMerge w:val="restart"/>
            <w:tcBorders>
              <w:tl2br w:val="nil"/>
              <w:tr2bl w:val="nil"/>
            </w:tcBorders>
            <w:vAlign w:val="center"/>
          </w:tcPr>
          <w:p w14:paraId="34FB7B8B">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固</w:t>
            </w:r>
          </w:p>
          <w:p w14:paraId="0427D698">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体</w:t>
            </w:r>
          </w:p>
          <w:p w14:paraId="36EE1675">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废</w:t>
            </w:r>
          </w:p>
          <w:p w14:paraId="6D5D3CCF">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物</w:t>
            </w:r>
          </w:p>
        </w:tc>
        <w:tc>
          <w:tcPr>
            <w:tcW w:w="1270" w:type="dxa"/>
            <w:tcBorders>
              <w:tl2br w:val="nil"/>
              <w:tr2bl w:val="nil"/>
            </w:tcBorders>
            <w:vAlign w:val="center"/>
          </w:tcPr>
          <w:p w14:paraId="345387BB">
            <w:pPr>
              <w:spacing w:line="320" w:lineRule="exact"/>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员工办公</w:t>
            </w:r>
          </w:p>
        </w:tc>
        <w:tc>
          <w:tcPr>
            <w:tcW w:w="1430" w:type="dxa"/>
            <w:tcBorders>
              <w:tl2br w:val="nil"/>
              <w:tr2bl w:val="nil"/>
            </w:tcBorders>
            <w:vAlign w:val="center"/>
          </w:tcPr>
          <w:p w14:paraId="640D36AF">
            <w:pPr>
              <w:spacing w:line="320" w:lineRule="exact"/>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生活垃圾</w:t>
            </w:r>
          </w:p>
        </w:tc>
        <w:tc>
          <w:tcPr>
            <w:tcW w:w="1964" w:type="dxa"/>
            <w:tcBorders>
              <w:tl2br w:val="nil"/>
              <w:tr2bl w:val="nil"/>
            </w:tcBorders>
            <w:vAlign w:val="center"/>
          </w:tcPr>
          <w:p w14:paraId="58AF4465">
            <w:pPr>
              <w:spacing w:line="320" w:lineRule="exact"/>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集中收集，委托园区环卫处置</w:t>
            </w:r>
          </w:p>
        </w:tc>
        <w:tc>
          <w:tcPr>
            <w:tcW w:w="3038" w:type="dxa"/>
            <w:tcBorders>
              <w:tl2br w:val="nil"/>
              <w:tr2bl w:val="nil"/>
            </w:tcBorders>
            <w:vAlign w:val="center"/>
          </w:tcPr>
          <w:p w14:paraId="1EDAAEC3">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固废均得到妥善的处置</w:t>
            </w:r>
          </w:p>
        </w:tc>
      </w:tr>
      <w:tr w14:paraId="623EA4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75" w:hRule="atLeast"/>
          <w:jc w:val="center"/>
        </w:trPr>
        <w:tc>
          <w:tcPr>
            <w:tcW w:w="802" w:type="dxa"/>
            <w:vMerge w:val="continue"/>
            <w:tcBorders>
              <w:tl2br w:val="nil"/>
              <w:tr2bl w:val="nil"/>
            </w:tcBorders>
            <w:vAlign w:val="center"/>
          </w:tcPr>
          <w:p w14:paraId="6A7BFFA1">
            <w:pPr>
              <w:spacing w:line="320" w:lineRule="exact"/>
              <w:ind w:left="-119" w:right="-102"/>
              <w:jc w:val="center"/>
              <w:rPr>
                <w:rFonts w:hint="default" w:ascii="Times New Roman" w:hAnsi="Times New Roman" w:eastAsia="宋体" w:cs="Times New Roman"/>
                <w:color w:val="000000" w:themeColor="text1"/>
                <w:sz w:val="24"/>
                <w:szCs w:val="24"/>
              </w:rPr>
            </w:pPr>
          </w:p>
        </w:tc>
        <w:tc>
          <w:tcPr>
            <w:tcW w:w="1270" w:type="dxa"/>
            <w:tcBorders>
              <w:tl2br w:val="nil"/>
              <w:tr2bl w:val="nil"/>
            </w:tcBorders>
            <w:vAlign w:val="center"/>
          </w:tcPr>
          <w:p w14:paraId="2E3C8C12">
            <w:pPr>
              <w:spacing w:line="320" w:lineRule="exact"/>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清洗、检修油罐过程</w:t>
            </w: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天然气压缩脱水过程</w:t>
            </w:r>
          </w:p>
        </w:tc>
        <w:tc>
          <w:tcPr>
            <w:tcW w:w="1430" w:type="dxa"/>
            <w:tcBorders>
              <w:tl2br w:val="nil"/>
              <w:tr2bl w:val="nil"/>
            </w:tcBorders>
            <w:vAlign w:val="center"/>
          </w:tcPr>
          <w:p w14:paraId="273BFFA9">
            <w:pPr>
              <w:spacing w:line="320" w:lineRule="exact"/>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残渣、废液</w:t>
            </w:r>
            <w:r>
              <w:rPr>
                <w:rFonts w:hint="eastAsia" w:ascii="Times New Roman" w:hAnsi="Times New Roman" w:cs="Times New Roman"/>
                <w:color w:val="000000" w:themeColor="text1"/>
                <w:sz w:val="24"/>
                <w:szCs w:val="24"/>
                <w:lang w:eastAsia="zh-CN"/>
              </w:rPr>
              <w:t>、</w:t>
            </w:r>
            <w:r>
              <w:rPr>
                <w:rFonts w:hint="eastAsia" w:ascii="Times New Roman" w:hAnsi="Times New Roman" w:cs="Times New Roman"/>
                <w:color w:val="000000" w:themeColor="text1"/>
                <w:sz w:val="24"/>
                <w:szCs w:val="24"/>
                <w:lang w:val="en-US" w:eastAsia="zh-CN"/>
              </w:rPr>
              <w:t>含油废水</w:t>
            </w:r>
            <w:r>
              <w:rPr>
                <w:rFonts w:hint="default" w:ascii="Times New Roman" w:hAnsi="Times New Roman" w:eastAsia="宋体" w:cs="Times New Roman"/>
                <w:color w:val="000000" w:themeColor="text1"/>
                <w:sz w:val="24"/>
                <w:szCs w:val="24"/>
              </w:rPr>
              <w:t>等</w:t>
            </w:r>
          </w:p>
        </w:tc>
        <w:tc>
          <w:tcPr>
            <w:tcW w:w="1964" w:type="dxa"/>
            <w:tcBorders>
              <w:tl2br w:val="nil"/>
              <w:tr2bl w:val="nil"/>
            </w:tcBorders>
            <w:vAlign w:val="center"/>
          </w:tcPr>
          <w:p w14:paraId="542EA563">
            <w:pPr>
              <w:spacing w:line="320" w:lineRule="exact"/>
              <w:jc w:val="center"/>
              <w:rPr>
                <w:rFonts w:hint="eastAsia" w:ascii="Times New Roman" w:hAnsi="Times New Roman" w:eastAsia="宋体" w:cs="Times New Roman"/>
                <w:color w:val="000000" w:themeColor="text1"/>
                <w:sz w:val="24"/>
                <w:szCs w:val="24"/>
                <w:lang w:val="en-US" w:eastAsia="zh-CN"/>
              </w:rPr>
            </w:pPr>
            <w:r>
              <w:rPr>
                <w:rFonts w:hint="eastAsia" w:ascii="Times New Roman" w:hAnsi="Times New Roman" w:cs="Times New Roman"/>
                <w:color w:val="000000" w:themeColor="text1"/>
                <w:sz w:val="24"/>
                <w:szCs w:val="24"/>
                <w:lang w:val="en-US" w:eastAsia="zh-CN"/>
              </w:rPr>
              <w:t>含油废水场站内暂存后委托有处理资质的单位进行回收和处理</w:t>
            </w:r>
          </w:p>
        </w:tc>
        <w:tc>
          <w:tcPr>
            <w:tcW w:w="3038" w:type="dxa"/>
            <w:tcBorders>
              <w:tl2br w:val="nil"/>
              <w:tr2bl w:val="nil"/>
            </w:tcBorders>
            <w:vAlign w:val="center"/>
          </w:tcPr>
          <w:p w14:paraId="20CEF4F7">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安全处置</w:t>
            </w:r>
          </w:p>
        </w:tc>
      </w:tr>
      <w:tr w14:paraId="320577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802" w:type="dxa"/>
            <w:tcBorders>
              <w:tl2br w:val="nil"/>
              <w:tr2bl w:val="nil"/>
            </w:tcBorders>
            <w:vAlign w:val="center"/>
          </w:tcPr>
          <w:p w14:paraId="3C794A7D">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噪</w:t>
            </w:r>
          </w:p>
          <w:p w14:paraId="0A8B67A7">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声</w:t>
            </w:r>
          </w:p>
        </w:tc>
        <w:tc>
          <w:tcPr>
            <w:tcW w:w="7702" w:type="dxa"/>
            <w:gridSpan w:val="4"/>
            <w:tcBorders>
              <w:tl2br w:val="nil"/>
              <w:tr2bl w:val="nil"/>
            </w:tcBorders>
            <w:vAlign w:val="center"/>
          </w:tcPr>
          <w:p w14:paraId="32A1AB1F">
            <w:pPr>
              <w:spacing w:line="320" w:lineRule="exact"/>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运营期间设备配置消声减震装置，同时严格控制气流速度，减少管道振动噪声。</w:t>
            </w:r>
          </w:p>
        </w:tc>
      </w:tr>
      <w:tr w14:paraId="22951B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802" w:type="dxa"/>
            <w:tcBorders>
              <w:tl2br w:val="nil"/>
              <w:tr2bl w:val="nil"/>
            </w:tcBorders>
            <w:vAlign w:val="center"/>
          </w:tcPr>
          <w:p w14:paraId="42BAF81C">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其</w:t>
            </w:r>
          </w:p>
          <w:p w14:paraId="5C6CCCA1">
            <w:pPr>
              <w:spacing w:line="320" w:lineRule="exact"/>
              <w:ind w:left="-119" w:right="-102"/>
              <w:jc w:val="center"/>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他</w:t>
            </w:r>
          </w:p>
        </w:tc>
        <w:tc>
          <w:tcPr>
            <w:tcW w:w="7702" w:type="dxa"/>
            <w:gridSpan w:val="4"/>
            <w:tcBorders>
              <w:tl2br w:val="nil"/>
              <w:tr2bl w:val="nil"/>
            </w:tcBorders>
            <w:vAlign w:val="center"/>
          </w:tcPr>
          <w:p w14:paraId="45E71921">
            <w:pPr>
              <w:spacing w:line="320" w:lineRule="exact"/>
              <w:ind w:right="-102"/>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加强管理，防止风险事故发生</w:t>
            </w:r>
          </w:p>
        </w:tc>
      </w:tr>
      <w:tr w14:paraId="7C557F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8504" w:type="dxa"/>
            <w:gridSpan w:val="5"/>
            <w:tcBorders>
              <w:tl2br w:val="nil"/>
              <w:tr2bl w:val="nil"/>
            </w:tcBorders>
            <w:vAlign w:val="center"/>
          </w:tcPr>
          <w:p w14:paraId="031FC752">
            <w:pPr>
              <w:spacing w:line="240" w:lineRule="auto"/>
              <w:rPr>
                <w:rFonts w:hint="default" w:ascii="Times New Roman" w:hAnsi="Times New Roman" w:eastAsia="宋体" w:cs="Times New Roman"/>
                <w:b/>
                <w:color w:val="000000" w:themeColor="text1"/>
                <w:sz w:val="28"/>
                <w:szCs w:val="28"/>
              </w:rPr>
            </w:pPr>
            <w:r>
              <w:rPr>
                <w:rFonts w:hint="default" w:ascii="Times New Roman" w:hAnsi="Times New Roman" w:eastAsia="宋体" w:cs="Times New Roman"/>
                <w:b/>
                <w:color w:val="000000" w:themeColor="text1"/>
                <w:sz w:val="28"/>
                <w:szCs w:val="28"/>
              </w:rPr>
              <w:t>生态保护措施及预期效果</w:t>
            </w:r>
          </w:p>
          <w:p w14:paraId="137E0B01">
            <w:pPr>
              <w:adjustRightInd w:val="0"/>
              <w:snapToGrid w:val="0"/>
              <w:spacing w:line="360" w:lineRule="auto"/>
              <w:ind w:firstLine="480" w:firstLineChars="200"/>
              <w:rPr>
                <w:rFonts w:hint="default" w:ascii="Times New Roman" w:hAnsi="Times New Roman" w:eastAsia="宋体" w:cs="Times New Roman"/>
                <w:color w:val="000000" w:themeColor="text1"/>
                <w:sz w:val="24"/>
                <w:szCs w:val="24"/>
              </w:rPr>
            </w:pPr>
            <w:r>
              <w:rPr>
                <w:rFonts w:hint="eastAsia" w:ascii="Times New Roman" w:hAnsi="Times New Roman"/>
                <w:color w:val="000000" w:themeColor="text1"/>
                <w:sz w:val="24"/>
              </w:rPr>
              <w:t>项目运营期间，应注重环保措施，以减少生产对项目区生态环境的影响。在措施合理的情况下，对区域生态环境有一定的改善作用。项目外排的污染物经相应的有效的措施处理后，对附近的空气、水体、土壤和植被等基本无大的影响。</w:t>
            </w:r>
          </w:p>
          <w:p w14:paraId="2A3798B7">
            <w:pPr>
              <w:spacing w:line="320" w:lineRule="exact"/>
              <w:ind w:right="-102"/>
              <w:rPr>
                <w:rFonts w:hint="default" w:ascii="Times New Roman" w:hAnsi="Times New Roman" w:eastAsia="宋体" w:cs="Times New Roman"/>
                <w:color w:val="000000" w:themeColor="text1"/>
                <w:sz w:val="24"/>
                <w:szCs w:val="24"/>
              </w:rPr>
            </w:pPr>
          </w:p>
          <w:p w14:paraId="2CA23AE0">
            <w:pPr>
              <w:spacing w:line="320" w:lineRule="exact"/>
              <w:ind w:right="-102"/>
              <w:rPr>
                <w:rFonts w:hint="default" w:ascii="Times New Roman" w:hAnsi="Times New Roman" w:eastAsia="宋体" w:cs="Times New Roman"/>
                <w:color w:val="000000" w:themeColor="text1"/>
                <w:sz w:val="24"/>
                <w:szCs w:val="24"/>
              </w:rPr>
            </w:pPr>
          </w:p>
          <w:p w14:paraId="1DE9DF5D">
            <w:pPr>
              <w:spacing w:line="320" w:lineRule="exact"/>
              <w:ind w:right="-102"/>
              <w:rPr>
                <w:rFonts w:hint="default" w:ascii="Times New Roman" w:hAnsi="Times New Roman" w:eastAsia="宋体" w:cs="Times New Roman"/>
                <w:color w:val="000000" w:themeColor="text1"/>
                <w:sz w:val="24"/>
                <w:szCs w:val="24"/>
              </w:rPr>
            </w:pPr>
          </w:p>
          <w:p w14:paraId="008E8452">
            <w:pPr>
              <w:spacing w:line="320" w:lineRule="exact"/>
              <w:ind w:right="-102"/>
              <w:rPr>
                <w:rFonts w:hint="default" w:ascii="Times New Roman" w:hAnsi="Times New Roman" w:eastAsia="宋体" w:cs="Times New Roman"/>
                <w:color w:val="000000" w:themeColor="text1"/>
                <w:sz w:val="24"/>
                <w:szCs w:val="24"/>
              </w:rPr>
            </w:pPr>
          </w:p>
          <w:p w14:paraId="162911E4">
            <w:pPr>
              <w:spacing w:line="320" w:lineRule="exact"/>
              <w:ind w:right="-102"/>
              <w:rPr>
                <w:rFonts w:hint="default" w:ascii="Times New Roman" w:hAnsi="Times New Roman" w:eastAsia="宋体" w:cs="Times New Roman"/>
                <w:color w:val="000000" w:themeColor="text1"/>
                <w:sz w:val="24"/>
                <w:szCs w:val="24"/>
              </w:rPr>
            </w:pPr>
          </w:p>
          <w:p w14:paraId="3E751404">
            <w:pPr>
              <w:spacing w:line="320" w:lineRule="exact"/>
              <w:ind w:right="-102"/>
              <w:rPr>
                <w:rFonts w:hint="default" w:ascii="Times New Roman" w:hAnsi="Times New Roman" w:eastAsia="宋体" w:cs="Times New Roman"/>
                <w:color w:val="000000" w:themeColor="text1"/>
                <w:sz w:val="24"/>
                <w:szCs w:val="24"/>
              </w:rPr>
            </w:pPr>
          </w:p>
        </w:tc>
      </w:tr>
    </w:tbl>
    <w:p w14:paraId="59443BED">
      <w:pPr>
        <w:adjustRightInd w:val="0"/>
        <w:snapToGrid w:val="0"/>
        <w:jc w:val="left"/>
        <w:textAlignment w:val="baseline"/>
        <w:outlineLvl w:val="1"/>
        <w:rPr>
          <w:b/>
          <w:color w:val="000000" w:themeColor="text1"/>
          <w:sz w:val="32"/>
        </w:rPr>
      </w:pPr>
      <w:r>
        <w:rPr>
          <w:rFonts w:hint="eastAsia"/>
          <w:b/>
          <w:color w:val="000000" w:themeColor="text1"/>
          <w:sz w:val="32"/>
          <w:lang w:val="zh-CN"/>
        </w:rPr>
        <w:t>结论与建议</w:t>
      </w:r>
    </w:p>
    <w:tbl>
      <w:tblPr>
        <w:tblStyle w:val="19"/>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14:paraId="67B76087">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504" w:type="dxa"/>
            <w:tcBorders>
              <w:top w:val="single" w:color="000000" w:sz="12" w:space="0"/>
              <w:bottom w:val="single" w:color="000000" w:sz="12" w:space="0"/>
            </w:tcBorders>
          </w:tcPr>
          <w:p w14:paraId="194E14BF">
            <w:pPr>
              <w:rPr>
                <w:rFonts w:ascii="宋体" w:cs="宋体"/>
                <w:b/>
                <w:bCs/>
                <w:color w:val="000000" w:themeColor="text1"/>
                <w:sz w:val="28"/>
                <w:szCs w:val="28"/>
              </w:rPr>
            </w:pPr>
            <w:r>
              <w:rPr>
                <w:rFonts w:hint="eastAsia" w:ascii="宋体" w:hAnsi="宋体" w:cs="宋体"/>
                <w:b/>
                <w:bCs/>
                <w:color w:val="000000" w:themeColor="text1"/>
                <w:sz w:val="28"/>
                <w:szCs w:val="28"/>
              </w:rPr>
              <w:t>一、结论</w:t>
            </w:r>
          </w:p>
          <w:p w14:paraId="22C8061E">
            <w:pPr>
              <w:spacing w:line="36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1</w:t>
            </w:r>
            <w:r>
              <w:rPr>
                <w:rFonts w:hint="eastAsia" w:ascii="Times New Roman" w:hAnsi="Times New Roman"/>
                <w:b/>
                <w:bCs/>
                <w:color w:val="000000" w:themeColor="text1"/>
                <w:sz w:val="24"/>
                <w:szCs w:val="24"/>
              </w:rPr>
              <w:t>、项目概况</w:t>
            </w:r>
          </w:p>
          <w:p w14:paraId="166A3063">
            <w:pPr>
              <w:spacing w:line="360" w:lineRule="auto"/>
              <w:ind w:firstLine="480" w:firstLineChars="200"/>
              <w:rPr>
                <w:rFonts w:hint="eastAsia" w:ascii="Times New Roman" w:hAnsi="Times New Roman"/>
                <w:color w:val="000000" w:themeColor="text1"/>
                <w:sz w:val="24"/>
                <w:szCs w:val="24"/>
                <w:lang w:eastAsia="zh-CN"/>
              </w:rPr>
            </w:pPr>
            <w:r>
              <w:rPr>
                <w:rFonts w:hint="eastAsia" w:ascii="Times New Roman" w:hAnsi="Times New Roman"/>
                <w:color w:val="000000" w:themeColor="text1"/>
                <w:sz w:val="24"/>
                <w:szCs w:val="24"/>
                <w:lang w:eastAsia="zh-CN"/>
              </w:rPr>
              <w:t>本项目位于</w:t>
            </w:r>
            <w:r>
              <w:rPr>
                <w:rFonts w:hint="default" w:ascii="Times New Roman" w:hAnsi="Times New Roman" w:eastAsia="宋体" w:cs="Times New Roman"/>
                <w:color w:val="000000" w:themeColor="text1"/>
                <w:lang w:eastAsia="zh-CN"/>
              </w:rPr>
              <w:t>昌吉高新</w:t>
            </w:r>
            <w:r>
              <w:rPr>
                <w:rFonts w:hint="eastAsia" w:ascii="Times New Roman" w:hAnsi="Times New Roman" w:cs="Times New Roman"/>
                <w:color w:val="000000" w:themeColor="text1"/>
                <w:lang w:val="en-US" w:eastAsia="zh-CN"/>
              </w:rPr>
              <w:t>技术</w:t>
            </w:r>
            <w:r>
              <w:rPr>
                <w:rFonts w:hint="default" w:ascii="Times New Roman" w:hAnsi="Times New Roman" w:eastAsia="宋体" w:cs="Times New Roman"/>
                <w:color w:val="000000" w:themeColor="text1"/>
                <w:lang w:eastAsia="zh-CN"/>
              </w:rPr>
              <w:t>产业开发区北环东路</w:t>
            </w:r>
            <w:r>
              <w:rPr>
                <w:rFonts w:hint="default" w:ascii="Times New Roman" w:hAnsi="Times New Roman" w:eastAsia="宋体" w:cs="Times New Roman"/>
                <w:color w:val="000000" w:themeColor="text1"/>
                <w:lang w:val="en-US" w:eastAsia="zh-CN"/>
              </w:rPr>
              <w:t>10号</w:t>
            </w:r>
            <w:r>
              <w:rPr>
                <w:rFonts w:hint="eastAsia" w:ascii="Times New Roman" w:hAnsi="Times New Roman"/>
                <w:color w:val="000000" w:themeColor="text1"/>
                <w:sz w:val="24"/>
                <w:szCs w:val="24"/>
                <w:lang w:eastAsia="zh-CN"/>
              </w:rPr>
              <w:t>，项目总投资</w:t>
            </w:r>
            <w:r>
              <w:rPr>
                <w:rFonts w:hint="eastAsia" w:ascii="Times New Roman" w:hAnsi="Times New Roman"/>
                <w:color w:val="000000" w:themeColor="text1"/>
                <w:sz w:val="24"/>
                <w:szCs w:val="24"/>
                <w:lang w:val="en-US" w:eastAsia="zh-CN"/>
              </w:rPr>
              <w:t>1500万元，其中环保</w:t>
            </w:r>
            <w:r>
              <w:rPr>
                <w:rFonts w:hint="eastAsia" w:ascii="Times New Roman" w:hAnsi="Times New Roman"/>
                <w:color w:val="000000" w:themeColor="text1"/>
                <w:sz w:val="24"/>
                <w:szCs w:val="24"/>
              </w:rPr>
              <w:t>投资为</w:t>
            </w:r>
            <w:r>
              <w:rPr>
                <w:rFonts w:hint="eastAsia" w:ascii="Times New Roman" w:hAnsi="Times New Roman"/>
                <w:color w:val="000000" w:themeColor="text1"/>
                <w:sz w:val="24"/>
                <w:szCs w:val="24"/>
                <w:lang w:val="en-US" w:eastAsia="zh-CN"/>
              </w:rPr>
              <w:t>10.5</w:t>
            </w:r>
            <w:r>
              <w:rPr>
                <w:rFonts w:hint="eastAsia" w:ascii="Times New Roman" w:hAnsi="Times New Roman"/>
                <w:color w:val="000000" w:themeColor="text1"/>
                <w:sz w:val="24"/>
                <w:szCs w:val="24"/>
              </w:rPr>
              <w:t>万元，占总投资的</w:t>
            </w:r>
            <w:r>
              <w:rPr>
                <w:rFonts w:hint="eastAsia" w:ascii="Times New Roman" w:hAnsi="Times New Roman"/>
                <w:color w:val="000000" w:themeColor="text1"/>
                <w:sz w:val="24"/>
                <w:szCs w:val="24"/>
                <w:lang w:val="en-US" w:eastAsia="zh-CN"/>
              </w:rPr>
              <w:t>0.7</w:t>
            </w:r>
            <w:r>
              <w:rPr>
                <w:rFonts w:ascii="Times New Roman" w:hAnsi="Times New Roman"/>
                <w:color w:val="000000" w:themeColor="text1"/>
                <w:sz w:val="24"/>
                <w:szCs w:val="24"/>
              </w:rPr>
              <w:t>%</w:t>
            </w:r>
            <w:r>
              <w:rPr>
                <w:rFonts w:hint="eastAsia" w:ascii="Times New Roman" w:hAnsi="Times New Roman"/>
                <w:color w:val="000000" w:themeColor="text1"/>
                <w:sz w:val="24"/>
                <w:szCs w:val="24"/>
                <w:lang w:eastAsia="zh-CN"/>
              </w:rPr>
              <w:t>。</w:t>
            </w:r>
            <w:r>
              <w:rPr>
                <w:rFonts w:hint="eastAsia" w:ascii="Times New Roman" w:hAnsi="Times New Roman"/>
                <w:color w:val="000000" w:themeColor="text1"/>
                <w:sz w:val="24"/>
                <w:szCs w:val="24"/>
              </w:rPr>
              <w:t>本项目</w:t>
            </w:r>
            <w:r>
              <w:rPr>
                <w:rFonts w:hint="eastAsia" w:ascii="Times New Roman" w:hAnsi="Times New Roman"/>
                <w:color w:val="000000" w:themeColor="text1"/>
                <w:sz w:val="24"/>
                <w:szCs w:val="24"/>
                <w:lang w:eastAsia="zh-CN"/>
              </w:rPr>
              <w:t>总占地面积</w:t>
            </w:r>
            <w:r>
              <w:rPr>
                <w:rFonts w:hint="eastAsia" w:ascii="Times New Roman" w:hAnsi="Times New Roman"/>
                <w:color w:val="000000" w:themeColor="text1"/>
                <w:sz w:val="24"/>
                <w:szCs w:val="24"/>
                <w:lang w:val="en-US" w:eastAsia="zh-CN"/>
              </w:rPr>
              <w:t>6666.7m</w:t>
            </w:r>
            <w:r>
              <w:rPr>
                <w:rFonts w:hint="eastAsia" w:ascii="Times New Roman" w:hAnsi="Times New Roman"/>
                <w:color w:val="000000" w:themeColor="text1"/>
                <w:sz w:val="24"/>
                <w:szCs w:val="24"/>
                <w:vertAlign w:val="superscript"/>
                <w:lang w:val="en-US" w:eastAsia="zh-CN"/>
              </w:rPr>
              <w:t>2</w:t>
            </w:r>
            <w:r>
              <w:rPr>
                <w:rFonts w:hint="eastAsia" w:ascii="Times New Roman" w:hAnsi="Times New Roman"/>
                <w:color w:val="000000" w:themeColor="text1"/>
                <w:sz w:val="24"/>
                <w:szCs w:val="24"/>
                <w:lang w:val="en-US" w:eastAsia="zh-CN"/>
              </w:rPr>
              <w:t>，主要建设内容包括站房、罩棚、储油罐、油气回收装置等主体建筑，以及站区配套的通信、仪表、配电、采暖、给排水、消防工程等</w:t>
            </w:r>
            <w:r>
              <w:rPr>
                <w:rFonts w:hint="eastAsia" w:ascii="Times New Roman" w:hAnsi="Times New Roman"/>
                <w:color w:val="000000" w:themeColor="text1"/>
                <w:sz w:val="24"/>
                <w:szCs w:val="24"/>
              </w:rPr>
              <w:t>。</w:t>
            </w:r>
          </w:p>
          <w:p w14:paraId="11B63C18">
            <w:pPr>
              <w:spacing w:line="36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2</w:t>
            </w:r>
            <w:r>
              <w:rPr>
                <w:rFonts w:hint="eastAsia" w:ascii="Times New Roman" w:hAnsi="Times New Roman"/>
                <w:b/>
                <w:bCs/>
                <w:color w:val="000000" w:themeColor="text1"/>
                <w:sz w:val="24"/>
                <w:szCs w:val="24"/>
              </w:rPr>
              <w:t>、环境现状评价</w:t>
            </w:r>
          </w:p>
          <w:p w14:paraId="11C9B614">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2.1</w:t>
            </w:r>
            <w:r>
              <w:rPr>
                <w:rFonts w:hint="eastAsia" w:ascii="Times New Roman" w:hAnsi="Times New Roman"/>
                <w:b/>
                <w:bCs/>
                <w:color w:val="000000" w:themeColor="text1"/>
                <w:sz w:val="24"/>
                <w:szCs w:val="24"/>
              </w:rPr>
              <w:t>、大气环境现状评价</w:t>
            </w:r>
          </w:p>
          <w:p w14:paraId="787D9A51">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评价区域大气环境中</w:t>
            </w:r>
            <w:r>
              <w:rPr>
                <w:rFonts w:ascii="Times New Roman" w:hAnsi="Times New Roman"/>
                <w:color w:val="000000" w:themeColor="text1"/>
                <w:sz w:val="24"/>
                <w:szCs w:val="24"/>
              </w:rPr>
              <w:t>SO</w:t>
            </w:r>
            <w:r>
              <w:rPr>
                <w:rFonts w:ascii="Times New Roman" w:hAnsi="Times New Roman"/>
                <w:color w:val="000000" w:themeColor="text1"/>
                <w:sz w:val="24"/>
                <w:szCs w:val="24"/>
                <w:vertAlign w:val="subscript"/>
              </w:rPr>
              <w:t>2</w:t>
            </w:r>
            <w:r>
              <w:rPr>
                <w:rFonts w:hint="eastAsia" w:ascii="Times New Roman" w:hAnsi="Times New Roman"/>
                <w:color w:val="000000" w:themeColor="text1"/>
                <w:sz w:val="24"/>
                <w:szCs w:val="24"/>
              </w:rPr>
              <w:t>、</w:t>
            </w:r>
            <w:r>
              <w:rPr>
                <w:rFonts w:ascii="Times New Roman" w:hAnsi="Times New Roman"/>
                <w:color w:val="000000" w:themeColor="text1"/>
                <w:sz w:val="24"/>
                <w:szCs w:val="24"/>
              </w:rPr>
              <w:t>NO</w:t>
            </w:r>
            <w:r>
              <w:rPr>
                <w:rFonts w:ascii="Times New Roman" w:hAnsi="Times New Roman"/>
                <w:color w:val="000000" w:themeColor="text1"/>
                <w:sz w:val="24"/>
                <w:szCs w:val="24"/>
                <w:vertAlign w:val="subscript"/>
              </w:rPr>
              <w:t>2</w:t>
            </w:r>
            <w:r>
              <w:rPr>
                <w:rFonts w:hint="eastAsia" w:ascii="Times New Roman" w:hAnsi="Times New Roman"/>
                <w:color w:val="000000" w:themeColor="text1"/>
                <w:sz w:val="24"/>
                <w:szCs w:val="24"/>
              </w:rPr>
              <w:t>、</w:t>
            </w:r>
            <w:r>
              <w:rPr>
                <w:rFonts w:ascii="Times New Roman" w:hAnsi="Times New Roman"/>
                <w:color w:val="000000" w:themeColor="text1"/>
                <w:sz w:val="24"/>
                <w:szCs w:val="24"/>
              </w:rPr>
              <w:t>PM</w:t>
            </w:r>
            <w:r>
              <w:rPr>
                <w:rFonts w:hint="eastAsia" w:ascii="Times New Roman" w:hAnsi="Times New Roman"/>
                <w:color w:val="000000" w:themeColor="text1"/>
                <w:sz w:val="24"/>
                <w:szCs w:val="24"/>
                <w:vertAlign w:val="subscript"/>
                <w:lang w:val="en-US" w:eastAsia="zh-CN"/>
              </w:rPr>
              <w:t>2.5</w:t>
            </w:r>
            <w:r>
              <w:rPr>
                <w:rFonts w:hint="eastAsia" w:ascii="Times New Roman" w:hAnsi="Times New Roman"/>
                <w:color w:val="000000" w:themeColor="text1"/>
                <w:sz w:val="24"/>
                <w:szCs w:val="24"/>
              </w:rPr>
              <w:t>污染物日均值最大占标率小于</w:t>
            </w:r>
            <w:r>
              <w:rPr>
                <w:rFonts w:ascii="Times New Roman" w:hAnsi="Times New Roman"/>
                <w:color w:val="000000" w:themeColor="text1"/>
                <w:sz w:val="24"/>
                <w:szCs w:val="24"/>
              </w:rPr>
              <w:t>100%</w:t>
            </w:r>
            <w:r>
              <w:rPr>
                <w:rFonts w:hint="eastAsia" w:ascii="Times New Roman" w:hAnsi="Times New Roman"/>
                <w:color w:val="000000" w:themeColor="text1"/>
                <w:sz w:val="24"/>
                <w:szCs w:val="24"/>
              </w:rPr>
              <w:t>，说明监测点</w:t>
            </w:r>
            <w:r>
              <w:rPr>
                <w:rFonts w:ascii="Times New Roman" w:hAnsi="Times New Roman"/>
                <w:color w:val="000000" w:themeColor="text1"/>
                <w:sz w:val="24"/>
                <w:szCs w:val="24"/>
              </w:rPr>
              <w:t>SO</w:t>
            </w:r>
            <w:r>
              <w:rPr>
                <w:rFonts w:ascii="Times New Roman" w:hAnsi="Times New Roman"/>
                <w:color w:val="000000" w:themeColor="text1"/>
                <w:sz w:val="24"/>
                <w:szCs w:val="24"/>
                <w:vertAlign w:val="subscript"/>
              </w:rPr>
              <w:t>2</w:t>
            </w:r>
            <w:r>
              <w:rPr>
                <w:rFonts w:hint="eastAsia" w:ascii="Times New Roman" w:hAnsi="Times New Roman"/>
                <w:color w:val="000000" w:themeColor="text1"/>
                <w:sz w:val="24"/>
                <w:szCs w:val="24"/>
              </w:rPr>
              <w:t>、</w:t>
            </w:r>
            <w:r>
              <w:rPr>
                <w:rFonts w:ascii="Times New Roman" w:hAnsi="Times New Roman"/>
                <w:color w:val="000000" w:themeColor="text1"/>
                <w:sz w:val="24"/>
                <w:szCs w:val="24"/>
              </w:rPr>
              <w:t>NO</w:t>
            </w:r>
            <w:r>
              <w:rPr>
                <w:rFonts w:ascii="Times New Roman" w:hAnsi="Times New Roman"/>
                <w:color w:val="000000" w:themeColor="text1"/>
                <w:sz w:val="24"/>
                <w:szCs w:val="24"/>
                <w:vertAlign w:val="subscript"/>
              </w:rPr>
              <w:t>2</w:t>
            </w:r>
            <w:r>
              <w:rPr>
                <w:rFonts w:hint="eastAsia" w:ascii="Times New Roman" w:hAnsi="Times New Roman"/>
                <w:color w:val="000000" w:themeColor="text1"/>
                <w:sz w:val="24"/>
                <w:szCs w:val="24"/>
              </w:rPr>
              <w:t>、</w:t>
            </w:r>
            <w:r>
              <w:rPr>
                <w:rFonts w:ascii="Times New Roman" w:hAnsi="Times New Roman"/>
                <w:color w:val="000000" w:themeColor="text1"/>
                <w:sz w:val="24"/>
                <w:szCs w:val="24"/>
              </w:rPr>
              <w:t>PM</w:t>
            </w:r>
            <w:r>
              <w:rPr>
                <w:rFonts w:hint="eastAsia" w:ascii="Times New Roman" w:hAnsi="Times New Roman"/>
                <w:color w:val="000000" w:themeColor="text1"/>
                <w:sz w:val="24"/>
                <w:szCs w:val="24"/>
                <w:vertAlign w:val="subscript"/>
                <w:lang w:val="en-US" w:eastAsia="zh-CN"/>
              </w:rPr>
              <w:t>2.5</w:t>
            </w:r>
            <w:r>
              <w:rPr>
                <w:rFonts w:hint="eastAsia" w:ascii="Times New Roman" w:hAnsi="Times New Roman"/>
                <w:color w:val="000000" w:themeColor="text1"/>
                <w:sz w:val="24"/>
                <w:szCs w:val="24"/>
              </w:rPr>
              <w:t>在监测期间的日均浓度全部满足《环境空气质量标准》（</w:t>
            </w:r>
            <w:r>
              <w:rPr>
                <w:rFonts w:ascii="Times New Roman" w:hAnsi="Times New Roman"/>
                <w:color w:val="000000" w:themeColor="text1"/>
                <w:sz w:val="24"/>
                <w:szCs w:val="24"/>
              </w:rPr>
              <w:t>GB3095-2012</w:t>
            </w:r>
            <w:r>
              <w:rPr>
                <w:rFonts w:hint="eastAsia" w:ascii="Times New Roman" w:hAnsi="Times New Roman"/>
                <w:color w:val="000000" w:themeColor="text1"/>
                <w:sz w:val="24"/>
                <w:szCs w:val="24"/>
              </w:rPr>
              <w:t>）中的二级</w:t>
            </w:r>
            <w:r>
              <w:rPr>
                <w:rFonts w:hint="eastAsia" w:ascii="Times New Roman" w:hAnsi="Times New Roman"/>
                <w:color w:val="000000" w:themeColor="text1"/>
                <w:kern w:val="0"/>
                <w:sz w:val="24"/>
                <w:szCs w:val="24"/>
              </w:rPr>
              <w:t>标准日均浓度限值</w:t>
            </w:r>
            <w:r>
              <w:rPr>
                <w:rFonts w:hint="eastAsia" w:ascii="Times New Roman" w:hAnsi="Times New Roman"/>
                <w:color w:val="000000" w:themeColor="text1"/>
                <w:sz w:val="24"/>
                <w:szCs w:val="24"/>
              </w:rPr>
              <w:t>。由此可见，拟建项目区周围大气环境质量良好</w:t>
            </w:r>
            <w:r>
              <w:rPr>
                <w:rFonts w:hint="eastAsia" w:ascii="Times New Roman" w:hAnsi="Times New Roman"/>
                <w:color w:val="000000" w:themeColor="text1"/>
                <w:sz w:val="24"/>
                <w:szCs w:val="24"/>
                <w:lang w:eastAsia="zh-CN"/>
              </w:rPr>
              <w:t>。</w:t>
            </w:r>
          </w:p>
          <w:p w14:paraId="21FB772B">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2.2</w:t>
            </w:r>
            <w:r>
              <w:rPr>
                <w:rFonts w:hint="eastAsia" w:ascii="Times New Roman" w:hAnsi="Times New Roman"/>
                <w:b/>
                <w:bCs/>
                <w:color w:val="000000" w:themeColor="text1"/>
                <w:sz w:val="24"/>
                <w:szCs w:val="24"/>
              </w:rPr>
              <w:t>、水环境现状评价</w:t>
            </w:r>
          </w:p>
          <w:p w14:paraId="4D951588">
            <w:pPr>
              <w:spacing w:line="360" w:lineRule="auto"/>
              <w:ind w:firstLine="480" w:firstLineChars="200"/>
              <w:rPr>
                <w:rFonts w:hint="eastAsia" w:ascii="Times New Roman" w:hAnsi="Times New Roman"/>
                <w:color w:val="000000" w:themeColor="text1"/>
                <w:sz w:val="24"/>
                <w:szCs w:val="24"/>
              </w:rPr>
            </w:pPr>
            <w:r>
              <w:rPr>
                <w:rFonts w:hint="default" w:ascii="Times New Roman" w:hAnsi="Times New Roman" w:eastAsia="宋体" w:cs="Times New Roman"/>
                <w:color w:val="000000" w:themeColor="text1"/>
                <w:sz w:val="24"/>
                <w:szCs w:val="24"/>
              </w:rPr>
              <w:t>评价区域</w:t>
            </w:r>
            <w:r>
              <w:rPr>
                <w:rFonts w:hint="eastAsia" w:ascii="Times New Roman" w:hAnsi="Times New Roman"/>
                <w:color w:val="000000" w:themeColor="text1"/>
                <w:sz w:val="24"/>
                <w:szCs w:val="24"/>
              </w:rPr>
              <w:t>监测的地下水</w:t>
            </w:r>
            <w:r>
              <w:rPr>
                <w:rFonts w:hint="eastAsia" w:ascii="Times New Roman" w:hAnsi="Times New Roman"/>
                <w:color w:val="000000" w:themeColor="text1"/>
                <w:sz w:val="24"/>
                <w:szCs w:val="24"/>
                <w:lang w:val="en-US" w:eastAsia="zh-CN"/>
              </w:rPr>
              <w:t>11</w:t>
            </w:r>
            <w:r>
              <w:rPr>
                <w:rFonts w:hint="eastAsia" w:ascii="Times New Roman" w:hAnsi="Times New Roman"/>
                <w:color w:val="000000" w:themeColor="text1"/>
                <w:sz w:val="24"/>
                <w:szCs w:val="24"/>
              </w:rPr>
              <w:t>项指标的单因子指数均＜</w:t>
            </w:r>
            <w:r>
              <w:rPr>
                <w:rFonts w:ascii="Times New Roman" w:hAnsi="Times New Roman"/>
                <w:color w:val="000000" w:themeColor="text1"/>
                <w:sz w:val="24"/>
                <w:szCs w:val="24"/>
              </w:rPr>
              <w:t>1</w:t>
            </w:r>
            <w:r>
              <w:rPr>
                <w:rFonts w:hint="eastAsia" w:ascii="Times New Roman" w:hAnsi="Times New Roman"/>
                <w:color w:val="000000" w:themeColor="text1"/>
                <w:sz w:val="24"/>
                <w:szCs w:val="24"/>
              </w:rPr>
              <w:t>，全都能够达到《地下水质量标准》（</w:t>
            </w:r>
            <w:r>
              <w:rPr>
                <w:rFonts w:ascii="Times New Roman" w:hAnsi="Times New Roman"/>
                <w:color w:val="000000" w:themeColor="text1"/>
                <w:sz w:val="24"/>
                <w:szCs w:val="24"/>
              </w:rPr>
              <w:t>GB/T14848-</w:t>
            </w:r>
            <w:r>
              <w:rPr>
                <w:rFonts w:hint="eastAsia" w:ascii="Times New Roman" w:hAnsi="Times New Roman"/>
                <w:color w:val="000000" w:themeColor="text1"/>
                <w:sz w:val="24"/>
                <w:szCs w:val="24"/>
                <w:lang w:val="en-US" w:eastAsia="zh-CN"/>
              </w:rPr>
              <w:t>2017</w:t>
            </w:r>
            <w:r>
              <w:rPr>
                <w:rFonts w:hint="eastAsia" w:ascii="Times New Roman" w:hAnsi="Times New Roman"/>
                <w:color w:val="000000" w:themeColor="text1"/>
                <w:sz w:val="24"/>
                <w:szCs w:val="24"/>
              </w:rPr>
              <w:t>）中的</w:t>
            </w:r>
            <w:r>
              <w:rPr>
                <w:rFonts w:hint="eastAsia" w:ascii="宋体" w:hAnsi="宋体" w:cs="宋体"/>
                <w:color w:val="000000" w:themeColor="text1"/>
                <w:sz w:val="24"/>
                <w:szCs w:val="24"/>
              </w:rPr>
              <w:t>Ⅲ</w:t>
            </w:r>
            <w:r>
              <w:rPr>
                <w:rFonts w:hint="eastAsia" w:ascii="Times New Roman" w:hAnsi="Times New Roman"/>
                <w:color w:val="000000" w:themeColor="text1"/>
                <w:sz w:val="24"/>
                <w:szCs w:val="24"/>
              </w:rPr>
              <w:t>类标准要求，总体来说项目区地下水水质较好。</w:t>
            </w:r>
          </w:p>
          <w:p w14:paraId="6481F48B">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2.3</w:t>
            </w:r>
            <w:r>
              <w:rPr>
                <w:rFonts w:hint="eastAsia" w:ascii="Times New Roman" w:hAnsi="Times New Roman"/>
                <w:b/>
                <w:bCs/>
                <w:color w:val="000000" w:themeColor="text1"/>
                <w:sz w:val="24"/>
                <w:szCs w:val="24"/>
              </w:rPr>
              <w:t>、声环境现状评价</w:t>
            </w:r>
          </w:p>
          <w:p w14:paraId="2F37B47C">
            <w:pPr>
              <w:topLinePunct/>
              <w:spacing w:line="360" w:lineRule="auto"/>
              <w:ind w:firstLine="480"/>
              <w:rPr>
                <w:rFonts w:ascii="宋体" w:cs="宋体"/>
                <w:color w:val="000000" w:themeColor="text1"/>
                <w:sz w:val="24"/>
                <w:szCs w:val="24"/>
              </w:rPr>
            </w:pPr>
            <w:r>
              <w:rPr>
                <w:rFonts w:hint="eastAsia" w:ascii="Times New Roman" w:hAnsi="Times New Roman"/>
                <w:snapToGrid w:val="0"/>
                <w:color w:val="000000" w:themeColor="text1"/>
                <w:sz w:val="24"/>
                <w:szCs w:val="24"/>
              </w:rPr>
              <w:t>项目区各监测点昼夜间噪声值均达到了《声环境质量标准》（</w:t>
            </w:r>
            <w:r>
              <w:rPr>
                <w:rFonts w:ascii="Times New Roman" w:hAnsi="Times New Roman"/>
                <w:snapToGrid w:val="0"/>
                <w:color w:val="000000" w:themeColor="text1"/>
                <w:sz w:val="24"/>
                <w:szCs w:val="24"/>
              </w:rPr>
              <w:t>GB3096-2008</w:t>
            </w:r>
            <w:r>
              <w:rPr>
                <w:rFonts w:hint="eastAsia" w:ascii="Times New Roman" w:hAnsi="Times New Roman"/>
                <w:snapToGrid w:val="0"/>
                <w:color w:val="000000" w:themeColor="text1"/>
                <w:sz w:val="24"/>
                <w:szCs w:val="24"/>
              </w:rPr>
              <w:t>）中的</w:t>
            </w:r>
            <w:r>
              <w:rPr>
                <w:rFonts w:hint="eastAsia" w:ascii="Times New Roman" w:hAnsi="Times New Roman"/>
                <w:snapToGrid w:val="0"/>
                <w:color w:val="000000" w:themeColor="text1"/>
                <w:sz w:val="24"/>
                <w:szCs w:val="24"/>
                <w:lang w:val="en-US" w:eastAsia="zh-CN"/>
              </w:rPr>
              <w:t>2</w:t>
            </w:r>
            <w:r>
              <w:rPr>
                <w:rFonts w:hint="eastAsia" w:ascii="Times New Roman" w:hAnsi="Times New Roman"/>
                <w:snapToGrid w:val="0"/>
                <w:color w:val="000000" w:themeColor="text1"/>
                <w:sz w:val="24"/>
                <w:szCs w:val="24"/>
              </w:rPr>
              <w:t>类噪声标准的要求，因此评价区域的声环境质量较好</w:t>
            </w:r>
            <w:r>
              <w:rPr>
                <w:rFonts w:hint="eastAsia" w:ascii="Times New Roman" w:hAnsi="Times New Roman"/>
                <w:color w:val="000000" w:themeColor="text1"/>
                <w:sz w:val="24"/>
                <w:szCs w:val="24"/>
              </w:rPr>
              <w:t>。</w:t>
            </w:r>
          </w:p>
          <w:p w14:paraId="2B0812F0">
            <w:pPr>
              <w:spacing w:line="360" w:lineRule="auto"/>
              <w:rPr>
                <w:rFonts w:hint="eastAsia" w:ascii="Times New Roman" w:hAnsi="Times New Roman"/>
                <w:b/>
                <w:bCs/>
                <w:color w:val="000000" w:themeColor="text1"/>
                <w:sz w:val="24"/>
                <w:szCs w:val="24"/>
              </w:rPr>
            </w:pPr>
            <w:r>
              <w:rPr>
                <w:rFonts w:ascii="Times New Roman" w:hAnsi="Times New Roman"/>
                <w:b/>
                <w:bCs/>
                <w:color w:val="000000" w:themeColor="text1"/>
                <w:sz w:val="24"/>
                <w:szCs w:val="24"/>
              </w:rPr>
              <w:t>3</w:t>
            </w:r>
            <w:r>
              <w:rPr>
                <w:rFonts w:hint="eastAsia" w:ascii="Times New Roman" w:hAnsi="Times New Roman"/>
                <w:b/>
                <w:bCs/>
                <w:color w:val="000000" w:themeColor="text1"/>
                <w:sz w:val="24"/>
                <w:szCs w:val="24"/>
              </w:rPr>
              <w:t>、环境影响评价结论</w:t>
            </w:r>
          </w:p>
          <w:p w14:paraId="6A8A88F8">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3.1</w:t>
            </w:r>
            <w:r>
              <w:rPr>
                <w:rFonts w:hint="eastAsia" w:ascii="Times New Roman" w:hAnsi="Times New Roman"/>
                <w:b/>
                <w:bCs/>
                <w:color w:val="000000" w:themeColor="text1"/>
                <w:sz w:val="24"/>
                <w:szCs w:val="24"/>
              </w:rPr>
              <w:t>、大气环境影响评价结论</w:t>
            </w:r>
          </w:p>
          <w:p w14:paraId="60B9E2A0">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eastAsia" w:ascii="Times New Roman" w:hAnsi="Times New Roman"/>
                <w:bCs/>
                <w:color w:val="000000" w:themeColor="text1"/>
                <w:kern w:val="0"/>
                <w:sz w:val="24"/>
                <w:szCs w:val="24"/>
                <w:lang w:val="en-US" w:eastAsia="zh-CN"/>
              </w:rPr>
              <w:t>（1）施工期</w:t>
            </w:r>
          </w:p>
          <w:p w14:paraId="17CA513D">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eastAsia" w:ascii="Times New Roman" w:hAnsi="Times New Roman"/>
                <w:bCs/>
                <w:color w:val="000000" w:themeColor="text1"/>
                <w:kern w:val="0"/>
                <w:sz w:val="24"/>
                <w:szCs w:val="24"/>
                <w:lang w:val="en-US" w:eastAsia="zh-CN"/>
              </w:rPr>
              <w:t>施工期扬尘产生量约为0.5t/a以及施工机械的尾气等，在采取相应措施后，施工期大气污染物有效降低，切施工期的污染是短暂的，随着施工期的结束，施工期相应的污染源均会消失。施工期对项目区噪声的大气环境影响是可接受的。</w:t>
            </w:r>
          </w:p>
          <w:p w14:paraId="098A580D">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eastAsia" w:ascii="Times New Roman" w:hAnsi="Times New Roman"/>
                <w:bCs/>
                <w:color w:val="000000" w:themeColor="text1"/>
                <w:kern w:val="0"/>
                <w:sz w:val="24"/>
                <w:szCs w:val="24"/>
                <w:lang w:val="en-US" w:eastAsia="zh-CN"/>
              </w:rPr>
              <w:t>（2）运营期</w:t>
            </w:r>
          </w:p>
          <w:p w14:paraId="285DFA37">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加油机及储罐配套油气回收装置，油气回收率约为90%，产生非甲烷总烃排放量约为</w:t>
            </w:r>
            <w:r>
              <w:rPr>
                <w:rFonts w:hint="eastAsia" w:ascii="Times New Roman" w:hAnsi="Times New Roman" w:cs="Times New Roman"/>
                <w:color w:val="000000" w:themeColor="text1"/>
                <w:sz w:val="24"/>
                <w:szCs w:val="24"/>
                <w:lang w:val="en-US" w:eastAsia="zh-CN"/>
              </w:rPr>
              <w:t>1.1</w:t>
            </w:r>
            <w:r>
              <w:rPr>
                <w:rFonts w:hint="default" w:ascii="Times New Roman" w:hAnsi="Times New Roman" w:cs="Times New Roman"/>
                <w:color w:val="000000" w:themeColor="text1"/>
                <w:sz w:val="24"/>
                <w:szCs w:val="24"/>
              </w:rPr>
              <w:t>t/a，浓度符合《大气污染物综合排放标准》（GB16297-1996）表2“无组织排放监控浓度限值”要求（周界外浓度最高点4.0mg/m3）；油气回收装置非甲烷总烃浓度满足《加油站大气污染物排放标准》（GB20952-2007）中浓度≤25g/m3，且油气回收装置排放口距地面应不低于4m的要求。</w:t>
            </w:r>
          </w:p>
          <w:p w14:paraId="29F764EC">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项目区位于</w:t>
            </w:r>
            <w:r>
              <w:rPr>
                <w:rFonts w:hint="eastAsia" w:ascii="Times New Roman" w:hAnsi="Times New Roman" w:cs="Times New Roman"/>
                <w:color w:val="000000" w:themeColor="text1"/>
                <w:sz w:val="24"/>
                <w:szCs w:val="24"/>
                <w:lang w:val="en-US" w:eastAsia="zh-CN"/>
              </w:rPr>
              <w:t>昌吉高新技术开发区北环路10号</w:t>
            </w:r>
            <w:r>
              <w:rPr>
                <w:rFonts w:hint="default" w:ascii="Times New Roman" w:hAnsi="Times New Roman" w:cs="Times New Roman"/>
                <w:color w:val="000000" w:themeColor="text1"/>
                <w:sz w:val="24"/>
                <w:szCs w:val="24"/>
              </w:rPr>
              <w:t>，站地开阔，空气流动良好，且车辆在站内停留时间较短，尾气排放量较小。</w:t>
            </w:r>
          </w:p>
          <w:p w14:paraId="12F840F0">
            <w:pPr>
              <w:spacing w:line="360" w:lineRule="auto"/>
              <w:ind w:firstLine="480" w:firstLineChars="200"/>
              <w:rPr>
                <w:rFonts w:hint="eastAsia" w:ascii="Times New Roman" w:hAnsi="Times New Roman"/>
                <w:bCs/>
                <w:color w:val="000000" w:themeColor="text1"/>
                <w:kern w:val="0"/>
                <w:sz w:val="24"/>
                <w:szCs w:val="24"/>
                <w:lang w:val="en-US" w:eastAsia="zh-CN"/>
              </w:rPr>
            </w:pPr>
            <w:r>
              <w:rPr>
                <w:rFonts w:hint="default" w:ascii="Times New Roman" w:hAnsi="Times New Roman" w:cs="Times New Roman"/>
                <w:color w:val="000000" w:themeColor="text1"/>
                <w:szCs w:val="24"/>
              </w:rPr>
              <w:t>综上，本项目正常运营情况下对周围环境空气影响较小。</w:t>
            </w:r>
          </w:p>
          <w:p w14:paraId="43CBEEB0">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3.2</w:t>
            </w:r>
            <w:r>
              <w:rPr>
                <w:rFonts w:hint="eastAsia" w:ascii="Times New Roman" w:hAnsi="Times New Roman"/>
                <w:b/>
                <w:bCs/>
                <w:color w:val="000000" w:themeColor="text1"/>
                <w:sz w:val="24"/>
                <w:szCs w:val="24"/>
              </w:rPr>
              <w:t>、水环境影响评价结论</w:t>
            </w:r>
          </w:p>
          <w:p w14:paraId="4A1EEE37">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eastAsia="zh-CN"/>
              </w:rPr>
              <w:t>（</w:t>
            </w:r>
            <w:r>
              <w:rPr>
                <w:rFonts w:hint="eastAsia" w:ascii="Times New Roman" w:hAnsi="Times New Roman"/>
                <w:color w:val="000000" w:themeColor="text1"/>
                <w:sz w:val="24"/>
                <w:szCs w:val="24"/>
                <w:lang w:val="en-US" w:eastAsia="zh-CN"/>
              </w:rPr>
              <w:t>1</w:t>
            </w:r>
            <w:r>
              <w:rPr>
                <w:rFonts w:hint="eastAsia" w:ascii="Times New Roman" w:hAnsi="Times New Roman"/>
                <w:color w:val="000000" w:themeColor="text1"/>
                <w:sz w:val="24"/>
                <w:szCs w:val="24"/>
                <w:lang w:eastAsia="zh-CN"/>
              </w:rPr>
              <w:t>）</w:t>
            </w:r>
            <w:r>
              <w:rPr>
                <w:rFonts w:hint="eastAsia" w:ascii="Times New Roman" w:hAnsi="Times New Roman"/>
                <w:color w:val="000000" w:themeColor="text1"/>
                <w:sz w:val="24"/>
                <w:szCs w:val="24"/>
                <w:lang w:val="en-US" w:eastAsia="zh-CN"/>
              </w:rPr>
              <w:t>施工期</w:t>
            </w:r>
          </w:p>
          <w:p w14:paraId="07E2976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textAlignment w:val="auto"/>
              <w:outlineLvl w:val="9"/>
              <w:rPr>
                <w:rFonts w:hint="default" w:ascii="Times New Roman" w:hAnsi="Times New Roman" w:eastAsia="宋体" w:cs="Times New Roman"/>
                <w:color w:val="000000" w:themeColor="text1"/>
                <w:sz w:val="24"/>
                <w:szCs w:val="24"/>
              </w:rPr>
            </w:pPr>
            <w:r>
              <w:rPr>
                <w:rFonts w:hint="default" w:ascii="Times New Roman" w:hAnsi="Times New Roman" w:eastAsia="宋体" w:cs="Times New Roman"/>
                <w:color w:val="000000" w:themeColor="text1"/>
                <w:sz w:val="24"/>
                <w:szCs w:val="24"/>
              </w:rPr>
              <w:t>施工过程产生施工废水主要为砼养护水，主要污染物质是悬浮物，该部分水以蒸发为主，不外排，故对周围环境影响较小。施工期生活污水排至施工人员驻地旱厕内，之后清掏外运，故对水环境影响较小。</w:t>
            </w:r>
          </w:p>
          <w:p w14:paraId="15165825">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eastAsia="zh-CN"/>
              </w:rPr>
              <w:t>（</w:t>
            </w:r>
            <w:r>
              <w:rPr>
                <w:rFonts w:hint="eastAsia" w:ascii="Times New Roman" w:hAnsi="Times New Roman"/>
                <w:color w:val="000000" w:themeColor="text1"/>
                <w:sz w:val="24"/>
                <w:szCs w:val="24"/>
                <w:lang w:val="en-US" w:eastAsia="zh-CN"/>
              </w:rPr>
              <w:t>2</w:t>
            </w:r>
            <w:r>
              <w:rPr>
                <w:rFonts w:hint="eastAsia" w:ascii="Times New Roman" w:hAnsi="Times New Roman"/>
                <w:color w:val="000000" w:themeColor="text1"/>
                <w:sz w:val="24"/>
                <w:szCs w:val="24"/>
                <w:lang w:eastAsia="zh-CN"/>
              </w:rPr>
              <w:t>）</w:t>
            </w:r>
            <w:r>
              <w:rPr>
                <w:rFonts w:hint="eastAsia" w:ascii="Times New Roman" w:hAnsi="Times New Roman"/>
                <w:color w:val="000000" w:themeColor="text1"/>
                <w:sz w:val="24"/>
                <w:szCs w:val="24"/>
                <w:lang w:val="en-US" w:eastAsia="zh-CN"/>
              </w:rPr>
              <w:t>运营期</w:t>
            </w:r>
          </w:p>
          <w:p w14:paraId="28C4F4CC">
            <w:pPr>
              <w:spacing w:line="360" w:lineRule="auto"/>
              <w:ind w:firstLine="480" w:firstLineChars="200"/>
              <w:rPr>
                <w:rFonts w:ascii="宋体" w:cs="宋体"/>
                <w:color w:val="000000" w:themeColor="text1"/>
                <w:sz w:val="24"/>
                <w:szCs w:val="24"/>
              </w:rPr>
            </w:pPr>
            <w:r>
              <w:rPr>
                <w:rFonts w:hint="eastAsia" w:ascii="Times New Roman" w:hAnsi="Times New Roman"/>
                <w:color w:val="000000" w:themeColor="text1"/>
                <w:sz w:val="24"/>
                <w:szCs w:val="24"/>
                <w:lang w:val="en-US" w:eastAsia="zh-CN"/>
              </w:rPr>
              <w:t>运营期的废水主要是工作人员产生的生活废水，排入园区下水管网，进入园区污水处理厂进行后续处理。基本对当地水环境基本无影响</w:t>
            </w:r>
            <w:r>
              <w:rPr>
                <w:rFonts w:hint="eastAsia" w:ascii="Times New Roman" w:hAnsi="Times New Roman"/>
                <w:color w:val="000000" w:themeColor="text1"/>
                <w:sz w:val="24"/>
                <w:szCs w:val="24"/>
                <w:lang w:eastAsia="zh-CN"/>
              </w:rPr>
              <w:t>。</w:t>
            </w:r>
          </w:p>
          <w:p w14:paraId="2E3E59EF">
            <w:pPr>
              <w:spacing w:line="360" w:lineRule="auto"/>
              <w:ind w:firstLine="482" w:firstLineChars="200"/>
              <w:rPr>
                <w:rFonts w:hint="eastAsia" w:ascii="Times New Roman" w:hAnsi="Times New Roman"/>
                <w:b/>
                <w:bCs/>
                <w:color w:val="000000" w:themeColor="text1"/>
                <w:sz w:val="24"/>
                <w:szCs w:val="24"/>
              </w:rPr>
            </w:pPr>
            <w:r>
              <w:rPr>
                <w:rFonts w:ascii="Times New Roman" w:hAnsi="Times New Roman"/>
                <w:b/>
                <w:bCs/>
                <w:color w:val="000000" w:themeColor="text1"/>
                <w:sz w:val="24"/>
                <w:szCs w:val="24"/>
              </w:rPr>
              <w:t>3.3</w:t>
            </w:r>
            <w:r>
              <w:rPr>
                <w:rFonts w:hint="eastAsia" w:ascii="Times New Roman" w:hAnsi="Times New Roman"/>
                <w:b/>
                <w:bCs/>
                <w:color w:val="000000" w:themeColor="text1"/>
                <w:sz w:val="24"/>
                <w:szCs w:val="24"/>
              </w:rPr>
              <w:t>、声环境影响评价结论</w:t>
            </w:r>
          </w:p>
          <w:p w14:paraId="1E1A56C3">
            <w:pPr>
              <w:spacing w:line="360" w:lineRule="auto"/>
              <w:ind w:firstLine="480" w:firstLineChars="200"/>
              <w:rPr>
                <w:rFonts w:hint="eastAsia" w:ascii="Times New Roman" w:hAnsi="Times New Roman"/>
                <w:b w:val="0"/>
                <w:bCs w:val="0"/>
                <w:color w:val="000000" w:themeColor="text1"/>
                <w:sz w:val="24"/>
                <w:szCs w:val="24"/>
                <w:lang w:val="en-US" w:eastAsia="zh-CN"/>
              </w:rPr>
            </w:pPr>
            <w:r>
              <w:rPr>
                <w:rFonts w:hint="eastAsia" w:ascii="Times New Roman" w:hAnsi="Times New Roman"/>
                <w:b w:val="0"/>
                <w:bCs w:val="0"/>
                <w:color w:val="000000" w:themeColor="text1"/>
                <w:sz w:val="24"/>
                <w:szCs w:val="24"/>
                <w:lang w:eastAsia="zh-CN"/>
              </w:rPr>
              <w:t>（</w:t>
            </w:r>
            <w:r>
              <w:rPr>
                <w:rFonts w:hint="eastAsia" w:ascii="Times New Roman" w:hAnsi="Times New Roman"/>
                <w:b w:val="0"/>
                <w:bCs w:val="0"/>
                <w:color w:val="000000" w:themeColor="text1"/>
                <w:sz w:val="24"/>
                <w:szCs w:val="24"/>
                <w:lang w:val="en-US" w:eastAsia="zh-CN"/>
              </w:rPr>
              <w:t>1</w:t>
            </w:r>
            <w:r>
              <w:rPr>
                <w:rFonts w:hint="eastAsia" w:ascii="Times New Roman" w:hAnsi="Times New Roman"/>
                <w:b w:val="0"/>
                <w:bCs w:val="0"/>
                <w:color w:val="000000" w:themeColor="text1"/>
                <w:sz w:val="24"/>
                <w:szCs w:val="24"/>
                <w:lang w:eastAsia="zh-CN"/>
              </w:rPr>
              <w:t>）</w:t>
            </w:r>
            <w:r>
              <w:rPr>
                <w:rFonts w:hint="eastAsia" w:ascii="Times New Roman" w:hAnsi="Times New Roman"/>
                <w:b w:val="0"/>
                <w:bCs w:val="0"/>
                <w:color w:val="000000" w:themeColor="text1"/>
                <w:sz w:val="24"/>
                <w:szCs w:val="24"/>
                <w:lang w:val="en-US" w:eastAsia="zh-CN"/>
              </w:rPr>
              <w:t>施工期</w:t>
            </w:r>
          </w:p>
          <w:p w14:paraId="7A0CD9CD">
            <w:pPr>
              <w:spacing w:line="360" w:lineRule="auto"/>
              <w:ind w:firstLine="480" w:firstLineChars="200"/>
              <w:rPr>
                <w:rFonts w:hint="eastAsia" w:ascii="Times New Roman" w:hAnsi="Times New Roman"/>
                <w:b w:val="0"/>
                <w:bCs w:val="0"/>
                <w:color w:val="000000" w:themeColor="text1"/>
                <w:sz w:val="24"/>
                <w:szCs w:val="24"/>
                <w:lang w:val="en-US" w:eastAsia="zh-CN"/>
              </w:rPr>
            </w:pPr>
            <w:r>
              <w:rPr>
                <w:rFonts w:hint="eastAsia" w:ascii="Times New Roman" w:hAnsi="Times New Roman"/>
                <w:b w:val="0"/>
                <w:bCs w:val="0"/>
                <w:color w:val="000000" w:themeColor="text1"/>
                <w:sz w:val="24"/>
                <w:szCs w:val="24"/>
                <w:lang w:val="en-US" w:eastAsia="zh-CN"/>
              </w:rPr>
              <w:t>施工期声环境污染主要是由于施工机械造成的，再严格采取本环评所提出的施工期噪声防治措施的前提下，施工期的噪声对周边的环境影响较小，且随着施工期的结束，施工噪声随之消失。</w:t>
            </w:r>
          </w:p>
          <w:p w14:paraId="45F53194">
            <w:pPr>
              <w:spacing w:line="360" w:lineRule="auto"/>
              <w:ind w:firstLine="480" w:firstLineChars="200"/>
              <w:rPr>
                <w:rFonts w:hint="eastAsia" w:ascii="Times New Roman" w:hAnsi="Times New Roman" w:eastAsia="宋体"/>
                <w:color w:val="000000" w:themeColor="text1"/>
                <w:sz w:val="24"/>
                <w:szCs w:val="24"/>
                <w:lang w:eastAsia="zh-CN"/>
              </w:rPr>
            </w:pPr>
            <w:r>
              <w:rPr>
                <w:rFonts w:hint="eastAsia" w:ascii="Times New Roman" w:hAnsi="Times New Roman"/>
                <w:color w:val="000000" w:themeColor="text1"/>
                <w:sz w:val="24"/>
                <w:szCs w:val="24"/>
                <w:lang w:eastAsia="zh-CN"/>
              </w:rPr>
              <w:t>（</w:t>
            </w:r>
            <w:r>
              <w:rPr>
                <w:rFonts w:hint="eastAsia" w:ascii="Times New Roman" w:hAnsi="Times New Roman"/>
                <w:color w:val="000000" w:themeColor="text1"/>
                <w:sz w:val="24"/>
                <w:szCs w:val="24"/>
                <w:lang w:val="en-US" w:eastAsia="zh-CN"/>
              </w:rPr>
              <w:t>2</w:t>
            </w:r>
            <w:r>
              <w:rPr>
                <w:rFonts w:hint="eastAsia" w:ascii="Times New Roman" w:hAnsi="Times New Roman"/>
                <w:color w:val="000000" w:themeColor="text1"/>
                <w:sz w:val="24"/>
                <w:szCs w:val="24"/>
                <w:lang w:eastAsia="zh-CN"/>
              </w:rPr>
              <w:t>）</w:t>
            </w:r>
            <w:r>
              <w:rPr>
                <w:rFonts w:hint="eastAsia" w:ascii="Times New Roman" w:hAnsi="Times New Roman"/>
                <w:color w:val="000000" w:themeColor="text1"/>
                <w:sz w:val="24"/>
                <w:szCs w:val="24"/>
                <w:lang w:val="en-US" w:eastAsia="zh-CN"/>
              </w:rPr>
              <w:t>运营期</w:t>
            </w:r>
          </w:p>
          <w:p w14:paraId="231D6547">
            <w:pPr>
              <w:spacing w:line="360" w:lineRule="auto"/>
              <w:ind w:firstLine="480" w:firstLineChars="200"/>
              <w:rPr>
                <w:rFonts w:hint="default" w:ascii="Times New Roman" w:hAnsi="Times New Roman" w:cs="Times New Roman"/>
                <w:color w:val="000000" w:themeColor="text1"/>
                <w:sz w:val="24"/>
                <w:szCs w:val="24"/>
              </w:rPr>
            </w:pPr>
            <w:r>
              <w:rPr>
                <w:rFonts w:hint="default" w:ascii="Times New Roman" w:hAnsi="Times New Roman" w:cs="Times New Roman"/>
                <w:color w:val="000000" w:themeColor="text1"/>
                <w:sz w:val="24"/>
                <w:szCs w:val="24"/>
              </w:rPr>
              <w:t>项目区选用低噪声加油设备，并设置减震垫；进出车辆通过采取进站减速、禁止鸣笛、加油时车辆熄火和平稳启动等措施后，使区域内的交通噪声降到最低。通过距离衰减后，项目区厂界噪声可满足《工业企业厂界环境噪声排放标准》（GB12348-2008）3类区标准，噪声对环境影响不大。</w:t>
            </w:r>
          </w:p>
          <w:p w14:paraId="63DDF3C0">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3.4</w:t>
            </w:r>
            <w:r>
              <w:rPr>
                <w:rFonts w:hint="eastAsia" w:ascii="Times New Roman" w:hAnsi="Times New Roman"/>
                <w:b/>
                <w:bCs/>
                <w:color w:val="000000" w:themeColor="text1"/>
                <w:sz w:val="24"/>
                <w:szCs w:val="24"/>
              </w:rPr>
              <w:t>、固体废物环境影响评价结论</w:t>
            </w:r>
          </w:p>
          <w:p w14:paraId="39A637E1">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eastAsia="zh-CN"/>
              </w:rPr>
              <w:t>（</w:t>
            </w:r>
            <w:r>
              <w:rPr>
                <w:rFonts w:hint="eastAsia" w:ascii="Times New Roman" w:hAnsi="Times New Roman"/>
                <w:color w:val="000000" w:themeColor="text1"/>
                <w:sz w:val="24"/>
                <w:szCs w:val="24"/>
                <w:lang w:val="en-US" w:eastAsia="zh-CN"/>
              </w:rPr>
              <w:t>1</w:t>
            </w:r>
            <w:r>
              <w:rPr>
                <w:rFonts w:hint="eastAsia" w:ascii="Times New Roman" w:hAnsi="Times New Roman"/>
                <w:color w:val="000000" w:themeColor="text1"/>
                <w:sz w:val="24"/>
                <w:szCs w:val="24"/>
                <w:lang w:eastAsia="zh-CN"/>
              </w:rPr>
              <w:t>）</w:t>
            </w:r>
            <w:r>
              <w:rPr>
                <w:rFonts w:hint="eastAsia" w:ascii="Times New Roman" w:hAnsi="Times New Roman"/>
                <w:color w:val="000000" w:themeColor="text1"/>
                <w:sz w:val="24"/>
                <w:szCs w:val="24"/>
                <w:lang w:val="en-US" w:eastAsia="zh-CN"/>
              </w:rPr>
              <w:t>施工期</w:t>
            </w:r>
          </w:p>
          <w:p w14:paraId="12A08E08">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val="en-US" w:eastAsia="zh-CN"/>
              </w:rPr>
              <w:t>本项目施工期的固体废物主要是施工人员生活垃圾和建筑垃圾，生活垃圾集中收集定期清运，建筑垃圾定期运至当地环卫部门指定的建筑垃圾堆存处。基本不会造成太大影响。</w:t>
            </w:r>
          </w:p>
          <w:p w14:paraId="7EC7FEE4">
            <w:pPr>
              <w:spacing w:line="360" w:lineRule="auto"/>
              <w:ind w:firstLine="480" w:firstLineChars="200"/>
              <w:rPr>
                <w:rFonts w:hint="eastAsia" w:ascii="Times New Roman" w:hAnsi="Times New Roman"/>
                <w:color w:val="000000" w:themeColor="text1"/>
                <w:sz w:val="24"/>
                <w:szCs w:val="24"/>
                <w:lang w:val="en-US" w:eastAsia="zh-CN"/>
              </w:rPr>
            </w:pPr>
            <w:r>
              <w:rPr>
                <w:rFonts w:hint="eastAsia" w:ascii="Times New Roman" w:hAnsi="Times New Roman"/>
                <w:color w:val="000000" w:themeColor="text1"/>
                <w:sz w:val="24"/>
                <w:szCs w:val="24"/>
                <w:lang w:eastAsia="zh-CN"/>
              </w:rPr>
              <w:t>（</w:t>
            </w:r>
            <w:r>
              <w:rPr>
                <w:rFonts w:hint="eastAsia" w:ascii="Times New Roman" w:hAnsi="Times New Roman"/>
                <w:color w:val="000000" w:themeColor="text1"/>
                <w:sz w:val="24"/>
                <w:szCs w:val="24"/>
                <w:lang w:val="en-US" w:eastAsia="zh-CN"/>
              </w:rPr>
              <w:t>2</w:t>
            </w:r>
            <w:r>
              <w:rPr>
                <w:rFonts w:hint="eastAsia" w:ascii="Times New Roman" w:hAnsi="Times New Roman"/>
                <w:color w:val="000000" w:themeColor="text1"/>
                <w:sz w:val="24"/>
                <w:szCs w:val="24"/>
                <w:lang w:eastAsia="zh-CN"/>
              </w:rPr>
              <w:t>）</w:t>
            </w:r>
            <w:r>
              <w:rPr>
                <w:rFonts w:hint="eastAsia" w:ascii="Times New Roman" w:hAnsi="Times New Roman"/>
                <w:color w:val="000000" w:themeColor="text1"/>
                <w:sz w:val="24"/>
                <w:szCs w:val="24"/>
                <w:lang w:val="en-US" w:eastAsia="zh-CN"/>
              </w:rPr>
              <w:t>运营期</w:t>
            </w:r>
          </w:p>
          <w:p w14:paraId="6C084C29">
            <w:pPr>
              <w:spacing w:line="360" w:lineRule="auto"/>
              <w:ind w:firstLine="480" w:firstLineChars="200"/>
              <w:rPr>
                <w:rFonts w:ascii="宋体" w:cs="宋体"/>
                <w:color w:val="000000" w:themeColor="text1"/>
                <w:sz w:val="24"/>
                <w:szCs w:val="24"/>
              </w:rPr>
            </w:pPr>
            <w:r>
              <w:rPr>
                <w:rFonts w:hint="eastAsia" w:ascii="宋体" w:hAnsi="宋体" w:cs="宋体"/>
                <w:color w:val="000000" w:themeColor="text1"/>
                <w:sz w:val="24"/>
                <w:szCs w:val="24"/>
                <w:lang w:val="en-US" w:eastAsia="zh-CN"/>
              </w:rPr>
              <w:t>本项目运营期的固体废物主要工作人员的生活垃圾，生活垃圾定期清运、卫生填埋。运营过程中产生的油泥、油水均由具有危险废物处理资质的单位进行回收处置</w:t>
            </w:r>
            <w:r>
              <w:rPr>
                <w:rFonts w:hint="eastAsia" w:ascii="宋体" w:hAnsi="宋体" w:cs="宋体"/>
                <w:color w:val="000000" w:themeColor="text1"/>
                <w:sz w:val="24"/>
                <w:szCs w:val="24"/>
              </w:rPr>
              <w:t>。</w:t>
            </w:r>
            <w:r>
              <w:rPr>
                <w:rFonts w:hint="eastAsia" w:ascii="宋体" w:hAnsi="宋体" w:cs="宋体"/>
                <w:color w:val="000000" w:themeColor="text1"/>
                <w:sz w:val="24"/>
                <w:szCs w:val="24"/>
                <w:lang w:val="en-US" w:eastAsia="zh-CN"/>
              </w:rPr>
              <w:t>再严格采取本环评提出的各项措施的前提下，本项目运营期固体废物对项目区环境的影响是可接受的。</w:t>
            </w:r>
          </w:p>
          <w:p w14:paraId="5C685977">
            <w:pPr>
              <w:spacing w:line="36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4</w:t>
            </w:r>
            <w:r>
              <w:rPr>
                <w:rFonts w:hint="eastAsia" w:ascii="Times New Roman" w:hAnsi="Times New Roman"/>
                <w:b/>
                <w:bCs/>
                <w:color w:val="000000" w:themeColor="text1"/>
                <w:sz w:val="24"/>
                <w:szCs w:val="24"/>
              </w:rPr>
              <w:t>、其他分析结论</w:t>
            </w:r>
          </w:p>
          <w:p w14:paraId="0B1B6FCB">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4.</w:t>
            </w:r>
            <w:r>
              <w:rPr>
                <w:rFonts w:hint="eastAsia" w:ascii="Times New Roman" w:hAnsi="Times New Roman"/>
                <w:b/>
                <w:bCs/>
                <w:color w:val="000000" w:themeColor="text1"/>
                <w:sz w:val="24"/>
                <w:szCs w:val="24"/>
                <w:lang w:val="en-US" w:eastAsia="zh-CN"/>
              </w:rPr>
              <w:t>1</w:t>
            </w:r>
            <w:r>
              <w:rPr>
                <w:rFonts w:hint="eastAsia" w:ascii="Times New Roman" w:hAnsi="Times New Roman"/>
                <w:b/>
                <w:bCs/>
                <w:color w:val="000000" w:themeColor="text1"/>
                <w:sz w:val="24"/>
                <w:szCs w:val="24"/>
              </w:rPr>
              <w:t>、产业政策符合性</w:t>
            </w:r>
          </w:p>
          <w:p w14:paraId="61923F47">
            <w:pPr>
              <w:spacing w:line="360" w:lineRule="auto"/>
              <w:ind w:firstLine="480" w:firstLineChars="200"/>
              <w:rPr>
                <w:rFonts w:ascii="宋体" w:cs="宋体"/>
                <w:color w:val="000000" w:themeColor="text1"/>
                <w:sz w:val="24"/>
                <w:szCs w:val="24"/>
              </w:rPr>
            </w:pPr>
            <w:r>
              <w:rPr>
                <w:rFonts w:hint="eastAsia" w:ascii="Times New Roman" w:hAnsi="Times New Roman"/>
                <w:color w:val="000000" w:themeColor="text1"/>
                <w:sz w:val="24"/>
                <w:szCs w:val="24"/>
              </w:rPr>
              <w:t>根据国家发展和改革委员会发布的《产业结构调整指导目录》（</w:t>
            </w:r>
            <w:r>
              <w:rPr>
                <w:rFonts w:ascii="Times New Roman" w:hAnsi="Times New Roman"/>
                <w:color w:val="000000" w:themeColor="text1"/>
                <w:sz w:val="24"/>
                <w:szCs w:val="24"/>
              </w:rPr>
              <w:t>2011</w:t>
            </w:r>
            <w:r>
              <w:rPr>
                <w:rFonts w:hint="eastAsia" w:ascii="Times New Roman" w:hAnsi="Times New Roman"/>
                <w:color w:val="000000" w:themeColor="text1"/>
                <w:sz w:val="24"/>
                <w:szCs w:val="24"/>
              </w:rPr>
              <w:t>年本）（修正）的相关规定，该项目属于</w:t>
            </w:r>
            <w:r>
              <w:rPr>
                <w:rFonts w:hint="eastAsia" w:ascii="Times New Roman" w:hAnsi="Times New Roman"/>
                <w:color w:val="000000" w:themeColor="text1"/>
                <w:sz w:val="24"/>
                <w:szCs w:val="24"/>
                <w:lang w:eastAsia="zh-CN"/>
              </w:rPr>
              <w:t>鼓励类</w:t>
            </w:r>
            <w:r>
              <w:rPr>
                <w:rFonts w:hint="eastAsia" w:ascii="Times New Roman" w:hAnsi="Times New Roman"/>
                <w:color w:val="000000" w:themeColor="text1"/>
                <w:sz w:val="24"/>
                <w:szCs w:val="24"/>
              </w:rPr>
              <w:t>，</w:t>
            </w:r>
            <w:r>
              <w:rPr>
                <w:rFonts w:hint="eastAsia" w:ascii="Times New Roman" w:hAnsi="Times New Roman"/>
                <w:color w:val="000000" w:themeColor="text1"/>
                <w:sz w:val="24"/>
                <w:szCs w:val="24"/>
                <w:lang w:eastAsia="zh-CN"/>
              </w:rPr>
              <w:t>符合国家有关法律、法规和政策规定；建设项目行业类别、生产工艺、产品、生产设备不涉及限制类和淘汰类，</w:t>
            </w:r>
            <w:r>
              <w:rPr>
                <w:rFonts w:hint="eastAsia" w:ascii="Times New Roman" w:hAnsi="Times New Roman"/>
                <w:color w:val="000000" w:themeColor="text1"/>
                <w:sz w:val="24"/>
                <w:szCs w:val="24"/>
              </w:rPr>
              <w:t>因此，项目建设符合国家的产业政策。</w:t>
            </w:r>
          </w:p>
          <w:p w14:paraId="116C3472">
            <w:pPr>
              <w:spacing w:line="360" w:lineRule="auto"/>
              <w:ind w:firstLine="482" w:firstLineChars="200"/>
              <w:rPr>
                <w:rFonts w:ascii="Times New Roman" w:hAnsi="Times New Roman"/>
                <w:color w:val="000000" w:themeColor="text1"/>
                <w:sz w:val="24"/>
                <w:szCs w:val="24"/>
              </w:rPr>
            </w:pPr>
            <w:r>
              <w:rPr>
                <w:rFonts w:ascii="Times New Roman" w:hAnsi="Times New Roman"/>
                <w:b/>
                <w:bCs/>
                <w:color w:val="000000" w:themeColor="text1"/>
                <w:sz w:val="24"/>
                <w:szCs w:val="24"/>
              </w:rPr>
              <w:t>4.</w:t>
            </w:r>
            <w:r>
              <w:rPr>
                <w:rFonts w:hint="eastAsia" w:ascii="Times New Roman" w:hAnsi="Times New Roman"/>
                <w:b/>
                <w:bCs/>
                <w:color w:val="000000" w:themeColor="text1"/>
                <w:sz w:val="24"/>
                <w:szCs w:val="24"/>
                <w:lang w:val="en-US" w:eastAsia="zh-CN"/>
              </w:rPr>
              <w:t>2</w:t>
            </w:r>
            <w:r>
              <w:rPr>
                <w:rFonts w:hint="eastAsia" w:ascii="Times New Roman" w:hAnsi="Times New Roman"/>
                <w:b/>
                <w:bCs/>
                <w:color w:val="000000" w:themeColor="text1"/>
                <w:sz w:val="24"/>
                <w:szCs w:val="24"/>
              </w:rPr>
              <w:t>、总量控制</w:t>
            </w:r>
          </w:p>
          <w:p w14:paraId="4C8451E0">
            <w:pPr>
              <w:spacing w:line="360" w:lineRule="auto"/>
              <w:ind w:firstLine="480" w:firstLineChars="200"/>
              <w:jc w:val="left"/>
              <w:rPr>
                <w:rFonts w:hint="default" w:ascii="Times New Roman" w:hAnsi="Times New Roman" w:cs="Times New Roman"/>
                <w:color w:val="000000" w:themeColor="text1"/>
              </w:rPr>
            </w:pPr>
            <w:r>
              <w:rPr>
                <w:rFonts w:hint="default" w:ascii="Times New Roman" w:hAnsi="Times New Roman" w:cs="Times New Roman"/>
                <w:color w:val="000000" w:themeColor="text1"/>
              </w:rPr>
              <w:t>根据该项目的排污状况及环保行政主管部门对总量控制提出的要求，提出总量控制指标如下，仅供环保行政主管部门参考。</w:t>
            </w:r>
          </w:p>
          <w:p w14:paraId="01ACDC5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default" w:ascii="Times New Roman" w:hAnsi="Times New Roman" w:cs="Times New Roman"/>
                <w:color w:val="000000" w:themeColor="text1"/>
              </w:rPr>
            </w:pPr>
            <w:r>
              <w:rPr>
                <w:rFonts w:hint="default" w:ascii="Times New Roman" w:hAnsi="Times New Roman" w:cs="Times New Roman"/>
                <w:color w:val="000000" w:themeColor="text1"/>
              </w:rPr>
              <w:t>（1）废水</w:t>
            </w:r>
          </w:p>
          <w:p w14:paraId="54049CA9">
            <w:pPr>
              <w:spacing w:line="360" w:lineRule="auto"/>
              <w:ind w:firstLine="480" w:firstLineChars="200"/>
              <w:jc w:val="left"/>
              <w:rPr>
                <w:rFonts w:hint="default" w:ascii="Times New Roman" w:hAnsi="Times New Roman" w:cs="Times New Roman"/>
                <w:color w:val="000000" w:themeColor="text1"/>
              </w:rPr>
            </w:pPr>
            <w:r>
              <w:rPr>
                <w:rFonts w:hint="default" w:ascii="Times New Roman" w:hAnsi="Times New Roman" w:cs="Times New Roman"/>
                <w:color w:val="000000" w:themeColor="text1"/>
              </w:rPr>
              <w:t>本项目废水主要为职工生活废水，生活废水</w:t>
            </w:r>
            <w:r>
              <w:rPr>
                <w:rFonts w:hint="default" w:ascii="Times New Roman" w:hAnsi="Times New Roman" w:cs="Times New Roman"/>
                <w:color w:val="000000" w:themeColor="text1"/>
                <w:lang w:eastAsia="zh-CN"/>
              </w:rPr>
              <w:t>排入污水管网汇集</w:t>
            </w:r>
            <w:r>
              <w:rPr>
                <w:rFonts w:hint="eastAsia" w:ascii="Times New Roman" w:hAnsi="Times New Roman" w:cs="Times New Roman"/>
                <w:color w:val="000000" w:themeColor="text1"/>
                <w:lang w:val="en-US" w:eastAsia="zh-CN"/>
              </w:rPr>
              <w:t>园区</w:t>
            </w:r>
            <w:r>
              <w:rPr>
                <w:rFonts w:hint="default" w:ascii="Times New Roman" w:hAnsi="Times New Roman" w:cs="Times New Roman"/>
                <w:color w:val="000000" w:themeColor="text1"/>
                <w:lang w:val="en-US" w:eastAsia="zh-CN"/>
              </w:rPr>
              <w:t>污水处理厂进行后续处理</w:t>
            </w:r>
            <w:r>
              <w:rPr>
                <w:rFonts w:hint="default" w:ascii="Times New Roman" w:hAnsi="Times New Roman" w:cs="Times New Roman"/>
                <w:color w:val="000000" w:themeColor="text1"/>
                <w:lang w:eastAsia="zh-CN"/>
              </w:rPr>
              <w:t>。废水总量控制指标由下游污水处理厂统一设置，</w:t>
            </w:r>
            <w:r>
              <w:rPr>
                <w:rFonts w:hint="default" w:ascii="Times New Roman" w:hAnsi="Times New Roman" w:cs="Times New Roman"/>
                <w:color w:val="000000" w:themeColor="text1"/>
                <w:lang w:val="en-US" w:eastAsia="zh-CN"/>
              </w:rPr>
              <w:t>为避免</w:t>
            </w:r>
            <w:r>
              <w:rPr>
                <w:rFonts w:hint="default" w:ascii="Times New Roman" w:hAnsi="Times New Roman" w:cs="Times New Roman"/>
                <w:color w:val="000000" w:themeColor="text1"/>
                <w:lang w:eastAsia="zh-CN"/>
              </w:rPr>
              <w:t>重复计算，本项目不设置废水总量控制指标</w:t>
            </w:r>
            <w:r>
              <w:rPr>
                <w:rFonts w:hint="default" w:ascii="Times New Roman" w:hAnsi="Times New Roman" w:cs="Times New Roman"/>
                <w:color w:val="000000" w:themeColor="text1"/>
              </w:rPr>
              <w:t>。</w:t>
            </w:r>
          </w:p>
          <w:p w14:paraId="3DC29F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rFonts w:hint="default" w:ascii="Times New Roman" w:hAnsi="Times New Roman" w:cs="Times New Roman"/>
                <w:color w:val="000000" w:themeColor="text1"/>
              </w:rPr>
            </w:pPr>
            <w:r>
              <w:rPr>
                <w:rFonts w:hint="default" w:ascii="Times New Roman" w:hAnsi="Times New Roman" w:cs="Times New Roman"/>
                <w:color w:val="000000" w:themeColor="text1"/>
                <w:lang w:eastAsia="zh-CN"/>
              </w:rPr>
              <w:t>（</w:t>
            </w:r>
            <w:r>
              <w:rPr>
                <w:rFonts w:hint="default" w:ascii="Times New Roman" w:hAnsi="Times New Roman" w:cs="Times New Roman"/>
                <w:color w:val="000000" w:themeColor="text1"/>
                <w:lang w:val="en-US" w:eastAsia="zh-CN"/>
              </w:rPr>
              <w:t>2</w:t>
            </w:r>
            <w:r>
              <w:rPr>
                <w:rFonts w:hint="default" w:ascii="Times New Roman" w:hAnsi="Times New Roman" w:cs="Times New Roman"/>
                <w:color w:val="000000" w:themeColor="text1"/>
                <w:lang w:eastAsia="zh-CN"/>
              </w:rPr>
              <w:t>）</w:t>
            </w:r>
            <w:r>
              <w:rPr>
                <w:rFonts w:hint="default" w:ascii="Times New Roman" w:hAnsi="Times New Roman" w:cs="Times New Roman"/>
                <w:color w:val="000000" w:themeColor="text1"/>
              </w:rPr>
              <w:t>废气</w:t>
            </w:r>
          </w:p>
          <w:p w14:paraId="0E417DD1">
            <w:pPr>
              <w:pStyle w:val="18"/>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cs="Times New Roman"/>
                <w:color w:val="000000" w:themeColor="text1"/>
                <w:lang w:val="en-US" w:eastAsia="zh-CN"/>
              </w:rPr>
            </w:pPr>
            <w:r>
              <w:rPr>
                <w:rFonts w:hint="default" w:ascii="Times New Roman" w:hAnsi="Times New Roman" w:cs="Times New Roman"/>
                <w:color w:val="000000" w:themeColor="text1"/>
              </w:rPr>
              <w:t>根据国家规定的总量控制污染物种类，结合本项目的排污特点、所在区域的环境质量现状等因素综合考虑，</w:t>
            </w:r>
            <w:r>
              <w:rPr>
                <w:rFonts w:hint="default" w:ascii="Times New Roman" w:hAnsi="Times New Roman" w:cs="Times New Roman"/>
                <w:color w:val="000000" w:themeColor="text1"/>
                <w:lang w:val="en-US" w:eastAsia="zh-CN"/>
              </w:rPr>
              <w:t>建议本项目不</w:t>
            </w:r>
            <w:r>
              <w:rPr>
                <w:rFonts w:hint="default" w:ascii="Times New Roman" w:hAnsi="Times New Roman" w:cs="Times New Roman"/>
                <w:color w:val="000000" w:themeColor="text1"/>
                <w:lang w:eastAsia="zh-CN"/>
              </w:rPr>
              <w:t>设置废气总量控制指标。</w:t>
            </w:r>
          </w:p>
          <w:p w14:paraId="71840F7F">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4.</w:t>
            </w:r>
            <w:r>
              <w:rPr>
                <w:rFonts w:hint="eastAsia" w:ascii="Times New Roman" w:hAnsi="Times New Roman"/>
                <w:b/>
                <w:bCs/>
                <w:color w:val="000000" w:themeColor="text1"/>
                <w:sz w:val="24"/>
                <w:szCs w:val="24"/>
                <w:lang w:val="en-US" w:eastAsia="zh-CN"/>
              </w:rPr>
              <w:t>3</w:t>
            </w:r>
            <w:r>
              <w:rPr>
                <w:rFonts w:hint="eastAsia" w:ascii="Times New Roman" w:hAnsi="Times New Roman"/>
                <w:b/>
                <w:bCs/>
                <w:color w:val="000000" w:themeColor="text1"/>
                <w:sz w:val="24"/>
                <w:szCs w:val="24"/>
              </w:rPr>
              <w:t>、环保投资</w:t>
            </w:r>
          </w:p>
          <w:p w14:paraId="525A623D">
            <w:pPr>
              <w:spacing w:line="360" w:lineRule="auto"/>
              <w:ind w:firstLine="480" w:firstLineChars="200"/>
              <w:rPr>
                <w:rFonts w:hint="eastAsia" w:ascii="Times New Roman" w:hAnsi="Times New Roman"/>
                <w:color w:val="000000" w:themeColor="text1"/>
                <w:sz w:val="24"/>
                <w:szCs w:val="24"/>
              </w:rPr>
            </w:pPr>
            <w:r>
              <w:rPr>
                <w:rFonts w:hint="eastAsia" w:ascii="Times New Roman" w:hAnsi="Times New Roman"/>
                <w:color w:val="000000" w:themeColor="text1"/>
                <w:sz w:val="24"/>
                <w:szCs w:val="24"/>
              </w:rPr>
              <w:t>本项目总投资</w:t>
            </w:r>
            <w:r>
              <w:rPr>
                <w:rFonts w:hint="eastAsia" w:ascii="Times New Roman" w:hAnsi="Times New Roman"/>
                <w:color w:val="000000" w:themeColor="text1"/>
                <w:sz w:val="24"/>
                <w:szCs w:val="24"/>
                <w:lang w:val="en-US" w:eastAsia="zh-CN"/>
              </w:rPr>
              <w:t>1500</w:t>
            </w:r>
            <w:r>
              <w:rPr>
                <w:rFonts w:hint="eastAsia" w:ascii="Times New Roman" w:hAnsi="Times New Roman"/>
                <w:color w:val="000000" w:themeColor="text1"/>
                <w:sz w:val="24"/>
                <w:szCs w:val="24"/>
              </w:rPr>
              <w:t>万元，其中环保投资</w:t>
            </w:r>
            <w:r>
              <w:rPr>
                <w:rFonts w:hint="eastAsia" w:ascii="Times New Roman" w:hAnsi="Times New Roman"/>
                <w:color w:val="000000" w:themeColor="text1"/>
                <w:sz w:val="24"/>
                <w:szCs w:val="24"/>
                <w:lang w:val="en-US" w:eastAsia="zh-CN"/>
              </w:rPr>
              <w:t>10.5</w:t>
            </w:r>
            <w:r>
              <w:rPr>
                <w:rFonts w:hint="eastAsia" w:ascii="Times New Roman" w:hAnsi="Times New Roman"/>
                <w:color w:val="000000" w:themeColor="text1"/>
                <w:sz w:val="24"/>
                <w:szCs w:val="24"/>
              </w:rPr>
              <w:t>万元，占总投资的</w:t>
            </w:r>
            <w:r>
              <w:rPr>
                <w:rFonts w:hint="eastAsia" w:ascii="Times New Roman" w:hAnsi="Times New Roman"/>
                <w:color w:val="000000" w:themeColor="text1"/>
                <w:sz w:val="24"/>
                <w:szCs w:val="24"/>
                <w:lang w:val="en-US" w:eastAsia="zh-CN"/>
              </w:rPr>
              <w:t>0.7</w:t>
            </w:r>
            <w:r>
              <w:rPr>
                <w:rFonts w:ascii="Times New Roman" w:hAnsi="Times New Roman"/>
                <w:color w:val="000000" w:themeColor="text1"/>
                <w:sz w:val="24"/>
                <w:szCs w:val="24"/>
              </w:rPr>
              <w:t>%</w:t>
            </w:r>
            <w:r>
              <w:rPr>
                <w:rFonts w:hint="eastAsia" w:ascii="Times New Roman" w:hAnsi="Times New Roman"/>
                <w:color w:val="000000" w:themeColor="text1"/>
                <w:sz w:val="24"/>
                <w:szCs w:val="24"/>
              </w:rPr>
              <w:t>。</w:t>
            </w:r>
          </w:p>
          <w:p w14:paraId="0889E674">
            <w:pPr>
              <w:spacing w:line="36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5</w:t>
            </w:r>
            <w:r>
              <w:rPr>
                <w:rFonts w:hint="eastAsia" w:ascii="Times New Roman" w:hAnsi="Times New Roman"/>
                <w:b/>
                <w:bCs/>
                <w:color w:val="000000" w:themeColor="text1"/>
                <w:sz w:val="24"/>
                <w:szCs w:val="24"/>
              </w:rPr>
              <w:t>、环境影响评价总结论</w:t>
            </w:r>
          </w:p>
          <w:p w14:paraId="7DB37161">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通过对本项目施工期和运营期形成的各方面污染进行分析论证，结果表明：项目选取工艺符合产业政策要求；在采取切实有效的污染防治措施的前提下，项目施工期运营期排放的污染物不会对相关区域的环境造成明显污染或不良影响。项目实施后，市场前景广阔，经济效益明显。同时建设项目具有环境可行性。</w:t>
            </w:r>
          </w:p>
          <w:p w14:paraId="725C055B">
            <w:pPr>
              <w:spacing w:line="360" w:lineRule="auto"/>
              <w:ind w:firstLine="480" w:firstLineChars="200"/>
              <w:rPr>
                <w:rFonts w:hint="eastAsia" w:ascii="Times New Roman" w:hAnsi="Times New Roman"/>
                <w:b w:val="0"/>
                <w:bCs w:val="0"/>
                <w:color w:val="000000" w:themeColor="text1"/>
                <w:sz w:val="24"/>
                <w:szCs w:val="24"/>
              </w:rPr>
            </w:pPr>
            <w:r>
              <w:rPr>
                <w:rFonts w:hint="eastAsia" w:ascii="Times New Roman" w:hAnsi="Times New Roman"/>
                <w:b w:val="0"/>
                <w:bCs w:val="0"/>
                <w:color w:val="000000" w:themeColor="text1"/>
                <w:sz w:val="24"/>
                <w:szCs w:val="24"/>
              </w:rPr>
              <w:t>建设单位在严格落实本环评所提出的各项环保措施的前提下，从环保的角度来看，建设项目是可行的。</w:t>
            </w:r>
          </w:p>
          <w:p w14:paraId="2BB94E8C">
            <w:pPr>
              <w:rPr>
                <w:rFonts w:ascii="宋体" w:cs="宋体"/>
                <w:b/>
                <w:bCs/>
                <w:color w:val="000000" w:themeColor="text1"/>
                <w:sz w:val="28"/>
                <w:szCs w:val="28"/>
              </w:rPr>
            </w:pPr>
            <w:r>
              <w:rPr>
                <w:rFonts w:hint="eastAsia" w:ascii="宋体" w:hAnsi="宋体" w:cs="宋体"/>
                <w:b/>
                <w:bCs/>
                <w:color w:val="000000" w:themeColor="text1"/>
                <w:sz w:val="28"/>
                <w:szCs w:val="28"/>
              </w:rPr>
              <w:t>二、要求和建议</w:t>
            </w:r>
          </w:p>
          <w:p w14:paraId="0ACA8ADF">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1</w:t>
            </w:r>
            <w:r>
              <w:rPr>
                <w:rFonts w:hint="eastAsia" w:ascii="Times New Roman" w:hAnsi="Times New Roman"/>
                <w:b/>
                <w:bCs/>
                <w:color w:val="000000" w:themeColor="text1"/>
                <w:sz w:val="24"/>
                <w:szCs w:val="24"/>
              </w:rPr>
              <w:t>、要求</w:t>
            </w:r>
          </w:p>
          <w:p w14:paraId="67609B10">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w:t>
            </w:r>
            <w:r>
              <w:rPr>
                <w:rFonts w:ascii="Times New Roman" w:hAnsi="Times New Roman"/>
                <w:color w:val="000000" w:themeColor="text1"/>
                <w:sz w:val="24"/>
                <w:szCs w:val="24"/>
              </w:rPr>
              <w:t>1</w:t>
            </w:r>
            <w:r>
              <w:rPr>
                <w:rFonts w:hint="eastAsia" w:ascii="Times New Roman" w:hAnsi="Times New Roman"/>
                <w:color w:val="000000" w:themeColor="text1"/>
                <w:sz w:val="24"/>
                <w:szCs w:val="24"/>
              </w:rPr>
              <w:t>）严格落实本环评提出各项环保措施，确保各污染物达标排放。</w:t>
            </w:r>
          </w:p>
          <w:p w14:paraId="78BF229E">
            <w:pPr>
              <w:adjustRightInd w:val="0"/>
              <w:snapToGrid w:val="0"/>
              <w:spacing w:line="360" w:lineRule="auto"/>
              <w:ind w:firstLine="480" w:firstLineChars="200"/>
              <w:rPr>
                <w:rFonts w:ascii="Times New Roman" w:hAnsi="Times New Roman"/>
                <w:b/>
                <w:bCs/>
                <w:color w:val="000000" w:themeColor="text1"/>
                <w:sz w:val="24"/>
                <w:szCs w:val="24"/>
              </w:rPr>
            </w:pPr>
            <w:r>
              <w:rPr>
                <w:rFonts w:hint="eastAsia" w:ascii="Times New Roman" w:hAnsi="Times New Roman"/>
                <w:color w:val="000000" w:themeColor="text1"/>
                <w:sz w:val="24"/>
                <w:szCs w:val="24"/>
              </w:rPr>
              <w:t>（</w:t>
            </w:r>
            <w:r>
              <w:rPr>
                <w:rFonts w:ascii="Times New Roman" w:hAnsi="Times New Roman"/>
                <w:color w:val="000000" w:themeColor="text1"/>
                <w:sz w:val="24"/>
                <w:szCs w:val="24"/>
              </w:rPr>
              <w:t>2</w:t>
            </w:r>
            <w:r>
              <w:rPr>
                <w:rFonts w:hint="eastAsia" w:ascii="Times New Roman" w:hAnsi="Times New Roman"/>
                <w:color w:val="000000" w:themeColor="text1"/>
                <w:sz w:val="24"/>
                <w:szCs w:val="24"/>
              </w:rPr>
              <w:t>）</w:t>
            </w:r>
            <w:r>
              <w:rPr>
                <w:rFonts w:hint="eastAsia"/>
                <w:color w:val="000000" w:themeColor="text1"/>
                <w:sz w:val="24"/>
                <w:szCs w:val="24"/>
              </w:rPr>
              <w:t>制定环保设施操作管理规程，建立健全各项环保岗位责任制，确保环保设施正常、稳定运行，防止污染事故发生，一旦发生事故排放，应立即停止生产系统的生产，并组织维修，待系统正常运转后，方能正常生产。</w:t>
            </w:r>
          </w:p>
          <w:p w14:paraId="71D64D61">
            <w:pPr>
              <w:spacing w:line="360" w:lineRule="auto"/>
              <w:ind w:firstLine="482" w:firstLineChars="200"/>
              <w:rPr>
                <w:rFonts w:ascii="Times New Roman" w:hAnsi="Times New Roman"/>
                <w:b/>
                <w:bCs/>
                <w:color w:val="000000" w:themeColor="text1"/>
                <w:sz w:val="24"/>
                <w:szCs w:val="24"/>
              </w:rPr>
            </w:pPr>
            <w:r>
              <w:rPr>
                <w:rFonts w:ascii="Times New Roman" w:hAnsi="Times New Roman"/>
                <w:b/>
                <w:bCs/>
                <w:color w:val="000000" w:themeColor="text1"/>
                <w:sz w:val="24"/>
                <w:szCs w:val="24"/>
              </w:rPr>
              <w:t>2</w:t>
            </w:r>
            <w:r>
              <w:rPr>
                <w:rFonts w:hint="eastAsia" w:ascii="Times New Roman" w:hAnsi="Times New Roman"/>
                <w:b/>
                <w:bCs/>
                <w:color w:val="000000" w:themeColor="text1"/>
                <w:sz w:val="24"/>
                <w:szCs w:val="24"/>
              </w:rPr>
              <w:t>、建议</w:t>
            </w:r>
          </w:p>
          <w:p w14:paraId="5A32C006">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w:t>
            </w:r>
            <w:r>
              <w:rPr>
                <w:rFonts w:ascii="Times New Roman" w:hAnsi="Times New Roman"/>
                <w:color w:val="000000" w:themeColor="text1"/>
                <w:sz w:val="24"/>
                <w:szCs w:val="24"/>
              </w:rPr>
              <w:t>1</w:t>
            </w:r>
            <w:r>
              <w:rPr>
                <w:rFonts w:hint="eastAsia" w:ascii="Times New Roman" w:hAnsi="Times New Roman"/>
                <w:color w:val="000000" w:themeColor="text1"/>
                <w:sz w:val="24"/>
                <w:szCs w:val="24"/>
              </w:rPr>
              <w:t>）切实加强各项环保设施的日常维护管理，定期检查运行情况，确保处理效果，尽量减轻各项污染物排放，以减轻对环境的影响。</w:t>
            </w:r>
          </w:p>
          <w:p w14:paraId="18A072FA">
            <w:pPr>
              <w:spacing w:line="360" w:lineRule="auto"/>
              <w:ind w:firstLine="480" w:firstLineChars="200"/>
              <w:rPr>
                <w:rFonts w:ascii="Times New Roman" w:hAnsi="Times New Roman"/>
                <w:color w:val="000000" w:themeColor="text1"/>
                <w:sz w:val="24"/>
                <w:szCs w:val="24"/>
              </w:rPr>
            </w:pPr>
            <w:r>
              <w:rPr>
                <w:rFonts w:hint="eastAsia" w:ascii="Times New Roman" w:hAnsi="Times New Roman"/>
                <w:color w:val="000000" w:themeColor="text1"/>
                <w:sz w:val="24"/>
                <w:szCs w:val="24"/>
              </w:rPr>
              <w:t>（</w:t>
            </w:r>
            <w:r>
              <w:rPr>
                <w:rFonts w:ascii="Times New Roman" w:hAnsi="Times New Roman"/>
                <w:color w:val="000000" w:themeColor="text1"/>
                <w:sz w:val="24"/>
                <w:szCs w:val="24"/>
              </w:rPr>
              <w:t>2</w:t>
            </w:r>
            <w:r>
              <w:rPr>
                <w:rFonts w:hint="eastAsia" w:ascii="Times New Roman" w:hAnsi="Times New Roman"/>
                <w:color w:val="000000" w:themeColor="text1"/>
                <w:sz w:val="24"/>
                <w:szCs w:val="24"/>
              </w:rPr>
              <w:t>）</w:t>
            </w:r>
            <w:r>
              <w:rPr>
                <w:rFonts w:hint="eastAsia"/>
                <w:color w:val="000000" w:themeColor="text1"/>
                <w:sz w:val="24"/>
                <w:szCs w:val="24"/>
              </w:rPr>
              <w:t>加强环境管理，保证污染防治措施的正常运行，定期进行环境保护教育，提高全厂职工的环境意识，制订严格而可行的环保指标作为考核的依据，保持该区域环境良好的局面。</w:t>
            </w:r>
          </w:p>
          <w:p w14:paraId="3200E1D7">
            <w:pPr>
              <w:spacing w:line="360" w:lineRule="auto"/>
              <w:ind w:firstLine="480" w:firstLineChars="200"/>
              <w:rPr>
                <w:rFonts w:ascii="Times New Roman" w:hAnsi="Times New Roman"/>
                <w:color w:val="000000" w:themeColor="text1"/>
                <w:sz w:val="24"/>
                <w:szCs w:val="24"/>
              </w:rPr>
            </w:pPr>
          </w:p>
          <w:p w14:paraId="58E64D12">
            <w:pPr>
              <w:spacing w:line="360" w:lineRule="auto"/>
              <w:ind w:firstLine="480" w:firstLineChars="200"/>
              <w:rPr>
                <w:rFonts w:ascii="Times New Roman" w:hAnsi="Times New Roman"/>
                <w:color w:val="000000" w:themeColor="text1"/>
                <w:sz w:val="24"/>
                <w:szCs w:val="24"/>
              </w:rPr>
            </w:pPr>
          </w:p>
          <w:p w14:paraId="043958C8">
            <w:pPr>
              <w:spacing w:line="360" w:lineRule="auto"/>
              <w:ind w:firstLine="480" w:firstLineChars="200"/>
              <w:rPr>
                <w:rFonts w:ascii="Times New Roman" w:hAnsi="Times New Roman"/>
                <w:color w:val="000000" w:themeColor="text1"/>
                <w:sz w:val="24"/>
                <w:szCs w:val="24"/>
              </w:rPr>
            </w:pPr>
          </w:p>
          <w:p w14:paraId="2FB88B08">
            <w:pPr>
              <w:spacing w:line="360" w:lineRule="auto"/>
              <w:ind w:firstLine="480" w:firstLineChars="200"/>
              <w:rPr>
                <w:rFonts w:ascii="Times New Roman" w:hAnsi="Times New Roman"/>
                <w:color w:val="000000" w:themeColor="text1"/>
                <w:sz w:val="24"/>
                <w:szCs w:val="24"/>
              </w:rPr>
            </w:pPr>
          </w:p>
          <w:p w14:paraId="5F061F28">
            <w:pPr>
              <w:spacing w:line="360" w:lineRule="auto"/>
              <w:ind w:firstLine="480" w:firstLineChars="200"/>
              <w:rPr>
                <w:rFonts w:ascii="Times New Roman" w:hAnsi="Times New Roman"/>
                <w:color w:val="000000" w:themeColor="text1"/>
                <w:sz w:val="24"/>
                <w:szCs w:val="24"/>
              </w:rPr>
            </w:pPr>
          </w:p>
          <w:p w14:paraId="17B915D7">
            <w:pPr>
              <w:spacing w:line="360" w:lineRule="auto"/>
              <w:ind w:firstLine="480" w:firstLineChars="200"/>
              <w:rPr>
                <w:rFonts w:ascii="Times New Roman" w:hAnsi="Times New Roman"/>
                <w:color w:val="000000" w:themeColor="text1"/>
                <w:sz w:val="24"/>
                <w:szCs w:val="24"/>
              </w:rPr>
            </w:pPr>
          </w:p>
          <w:p w14:paraId="67B85AF4">
            <w:pPr>
              <w:spacing w:line="360" w:lineRule="auto"/>
              <w:ind w:firstLine="480" w:firstLineChars="200"/>
              <w:rPr>
                <w:rFonts w:ascii="Times New Roman" w:hAnsi="Times New Roman"/>
                <w:color w:val="000000" w:themeColor="text1"/>
                <w:sz w:val="24"/>
                <w:szCs w:val="24"/>
              </w:rPr>
            </w:pPr>
          </w:p>
          <w:p w14:paraId="7B60842D">
            <w:pPr>
              <w:spacing w:line="360" w:lineRule="auto"/>
              <w:ind w:firstLine="480" w:firstLineChars="200"/>
              <w:rPr>
                <w:rFonts w:ascii="Times New Roman" w:hAnsi="Times New Roman"/>
                <w:color w:val="000000" w:themeColor="text1"/>
                <w:sz w:val="24"/>
                <w:szCs w:val="24"/>
              </w:rPr>
            </w:pPr>
          </w:p>
          <w:p w14:paraId="3FAEFB33">
            <w:pPr>
              <w:spacing w:line="360" w:lineRule="auto"/>
              <w:ind w:firstLine="480" w:firstLineChars="200"/>
              <w:rPr>
                <w:rFonts w:ascii="Times New Roman" w:hAnsi="Times New Roman"/>
                <w:color w:val="000000" w:themeColor="text1"/>
                <w:sz w:val="24"/>
                <w:szCs w:val="24"/>
              </w:rPr>
            </w:pPr>
          </w:p>
          <w:p w14:paraId="39B0DDE4">
            <w:pPr>
              <w:spacing w:line="360" w:lineRule="auto"/>
              <w:ind w:firstLine="480" w:firstLineChars="200"/>
              <w:rPr>
                <w:rFonts w:ascii="Times New Roman" w:hAnsi="Times New Roman"/>
                <w:color w:val="000000" w:themeColor="text1"/>
                <w:sz w:val="24"/>
                <w:szCs w:val="24"/>
              </w:rPr>
            </w:pPr>
          </w:p>
          <w:p w14:paraId="564B7921">
            <w:pPr>
              <w:spacing w:line="360" w:lineRule="auto"/>
              <w:ind w:firstLine="480" w:firstLineChars="200"/>
              <w:rPr>
                <w:rFonts w:ascii="Times New Roman" w:hAnsi="Times New Roman"/>
                <w:color w:val="000000" w:themeColor="text1"/>
                <w:sz w:val="24"/>
                <w:szCs w:val="24"/>
              </w:rPr>
            </w:pPr>
          </w:p>
          <w:p w14:paraId="48888361">
            <w:pPr>
              <w:spacing w:line="360" w:lineRule="auto"/>
              <w:ind w:firstLine="480" w:firstLineChars="200"/>
              <w:rPr>
                <w:rFonts w:ascii="Times New Roman" w:hAnsi="Times New Roman"/>
                <w:color w:val="000000" w:themeColor="text1"/>
                <w:sz w:val="24"/>
                <w:szCs w:val="24"/>
              </w:rPr>
            </w:pPr>
          </w:p>
          <w:p w14:paraId="1F3B787F">
            <w:pPr>
              <w:spacing w:line="360" w:lineRule="auto"/>
              <w:ind w:firstLine="480" w:firstLineChars="200"/>
              <w:rPr>
                <w:rFonts w:ascii="Times New Roman" w:hAnsi="Times New Roman"/>
                <w:color w:val="000000" w:themeColor="text1"/>
                <w:sz w:val="24"/>
                <w:szCs w:val="24"/>
              </w:rPr>
            </w:pPr>
          </w:p>
          <w:p w14:paraId="176906F6">
            <w:pPr>
              <w:spacing w:line="360" w:lineRule="auto"/>
              <w:ind w:firstLine="480" w:firstLineChars="200"/>
              <w:rPr>
                <w:rFonts w:ascii="Times New Roman" w:hAnsi="Times New Roman"/>
                <w:color w:val="000000" w:themeColor="text1"/>
                <w:sz w:val="24"/>
                <w:szCs w:val="24"/>
              </w:rPr>
            </w:pPr>
          </w:p>
          <w:p w14:paraId="56343373">
            <w:pPr>
              <w:spacing w:line="360" w:lineRule="auto"/>
              <w:ind w:firstLine="480" w:firstLineChars="200"/>
              <w:rPr>
                <w:rFonts w:ascii="Times New Roman" w:hAnsi="Times New Roman"/>
                <w:color w:val="000000" w:themeColor="text1"/>
                <w:sz w:val="24"/>
                <w:szCs w:val="24"/>
              </w:rPr>
            </w:pPr>
          </w:p>
          <w:p w14:paraId="39730F43">
            <w:pPr>
              <w:rPr>
                <w:color w:val="000000" w:themeColor="text1"/>
              </w:rPr>
            </w:pPr>
          </w:p>
        </w:tc>
      </w:tr>
    </w:tbl>
    <w:p w14:paraId="0624D27C">
      <w:pPr>
        <w:rPr>
          <w:color w:val="000000" w:themeColor="text1"/>
        </w:rPr>
      </w:pPr>
      <w:r>
        <w:rPr>
          <w:color w:val="000000" w:themeColor="text1"/>
        </w:rPr>
        <w:br w:type="page"/>
      </w:r>
    </w:p>
    <w:p w14:paraId="37D5E11F">
      <w:pPr>
        <w:rPr>
          <w:color w:val="000000" w:themeColor="text1"/>
        </w:rPr>
      </w:pPr>
    </w:p>
    <w:tbl>
      <w:tblPr>
        <w:tblStyle w:val="19"/>
        <w:tblW w:w="8504"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8504"/>
      </w:tblGrid>
      <w:tr w14:paraId="53D7F6A0">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c>
          <w:tcPr>
            <w:tcW w:w="8504" w:type="dxa"/>
            <w:tcBorders>
              <w:top w:val="single" w:color="000000" w:sz="12" w:space="0"/>
              <w:bottom w:val="single" w:color="000000" w:sz="12" w:space="0"/>
            </w:tcBorders>
          </w:tcPr>
          <w:p w14:paraId="553E1668">
            <w:pPr>
              <w:spacing w:line="480" w:lineRule="exact"/>
              <w:rPr>
                <w:color w:val="000000" w:themeColor="text1"/>
                <w:sz w:val="28"/>
              </w:rPr>
            </w:pPr>
            <w:r>
              <w:rPr>
                <w:rFonts w:hint="eastAsia"/>
                <w:color w:val="000000" w:themeColor="text1"/>
                <w:sz w:val="28"/>
              </w:rPr>
              <w:t>预审意见</w:t>
            </w:r>
            <w:r>
              <w:rPr>
                <w:color w:val="000000" w:themeColor="text1"/>
                <w:sz w:val="28"/>
              </w:rPr>
              <w:t>:</w:t>
            </w:r>
          </w:p>
          <w:p w14:paraId="41026864">
            <w:pPr>
              <w:spacing w:line="480" w:lineRule="exact"/>
              <w:ind w:left="-125"/>
              <w:jc w:val="center"/>
              <w:rPr>
                <w:color w:val="000000" w:themeColor="text1"/>
                <w:sz w:val="28"/>
              </w:rPr>
            </w:pPr>
          </w:p>
          <w:p w14:paraId="54919E7F">
            <w:pPr>
              <w:spacing w:line="480" w:lineRule="exact"/>
              <w:ind w:left="-125"/>
              <w:jc w:val="center"/>
              <w:rPr>
                <w:color w:val="000000" w:themeColor="text1"/>
                <w:sz w:val="28"/>
              </w:rPr>
            </w:pPr>
          </w:p>
          <w:p w14:paraId="2BAA4718">
            <w:pPr>
              <w:spacing w:line="480" w:lineRule="exact"/>
              <w:ind w:left="-125"/>
              <w:jc w:val="center"/>
              <w:rPr>
                <w:color w:val="000000" w:themeColor="text1"/>
                <w:sz w:val="28"/>
              </w:rPr>
            </w:pPr>
          </w:p>
          <w:p w14:paraId="2E85D515">
            <w:pPr>
              <w:spacing w:line="480" w:lineRule="exact"/>
              <w:ind w:left="-125"/>
              <w:jc w:val="center"/>
              <w:rPr>
                <w:color w:val="000000" w:themeColor="text1"/>
                <w:sz w:val="28"/>
              </w:rPr>
            </w:pPr>
          </w:p>
          <w:p w14:paraId="34C5A575">
            <w:pPr>
              <w:spacing w:line="480" w:lineRule="exact"/>
              <w:ind w:left="-125"/>
              <w:jc w:val="center"/>
              <w:rPr>
                <w:color w:val="000000" w:themeColor="text1"/>
                <w:sz w:val="28"/>
              </w:rPr>
            </w:pPr>
          </w:p>
          <w:p w14:paraId="5E387848">
            <w:pPr>
              <w:spacing w:line="480" w:lineRule="exact"/>
              <w:ind w:left="-125"/>
              <w:jc w:val="center"/>
              <w:rPr>
                <w:color w:val="000000" w:themeColor="text1"/>
                <w:sz w:val="28"/>
              </w:rPr>
            </w:pPr>
          </w:p>
          <w:p w14:paraId="57428EBD">
            <w:pPr>
              <w:spacing w:line="480" w:lineRule="exact"/>
              <w:ind w:left="-125"/>
              <w:jc w:val="center"/>
              <w:rPr>
                <w:color w:val="000000" w:themeColor="text1"/>
                <w:sz w:val="28"/>
              </w:rPr>
            </w:pPr>
          </w:p>
          <w:p w14:paraId="5642C47B">
            <w:pPr>
              <w:spacing w:line="480" w:lineRule="exact"/>
              <w:ind w:left="-125"/>
              <w:jc w:val="center"/>
              <w:rPr>
                <w:color w:val="000000" w:themeColor="text1"/>
                <w:sz w:val="28"/>
              </w:rPr>
            </w:pPr>
          </w:p>
          <w:p w14:paraId="6FDFF280">
            <w:pPr>
              <w:spacing w:line="480" w:lineRule="exact"/>
              <w:ind w:left="-125"/>
              <w:jc w:val="center"/>
              <w:rPr>
                <w:color w:val="000000" w:themeColor="text1"/>
                <w:sz w:val="28"/>
              </w:rPr>
            </w:pPr>
          </w:p>
          <w:p w14:paraId="1F96814B">
            <w:pPr>
              <w:spacing w:line="480" w:lineRule="exact"/>
              <w:ind w:left="-125"/>
              <w:jc w:val="center"/>
              <w:rPr>
                <w:color w:val="000000" w:themeColor="text1"/>
                <w:sz w:val="28"/>
              </w:rPr>
            </w:pPr>
          </w:p>
          <w:p w14:paraId="72D825A4">
            <w:pPr>
              <w:spacing w:line="480" w:lineRule="exact"/>
              <w:ind w:left="-125"/>
              <w:jc w:val="center"/>
              <w:rPr>
                <w:color w:val="000000" w:themeColor="text1"/>
                <w:sz w:val="28"/>
              </w:rPr>
            </w:pPr>
          </w:p>
          <w:p w14:paraId="4D2A3F36">
            <w:pPr>
              <w:spacing w:line="480" w:lineRule="exact"/>
              <w:ind w:left="-125"/>
              <w:jc w:val="center"/>
              <w:rPr>
                <w:color w:val="000000" w:themeColor="text1"/>
                <w:sz w:val="28"/>
              </w:rPr>
            </w:pPr>
          </w:p>
          <w:p w14:paraId="5B88383D">
            <w:pPr>
              <w:spacing w:line="480" w:lineRule="exact"/>
              <w:ind w:left="-125"/>
              <w:jc w:val="center"/>
              <w:rPr>
                <w:color w:val="000000" w:themeColor="text1"/>
                <w:sz w:val="28"/>
              </w:rPr>
            </w:pPr>
          </w:p>
          <w:p w14:paraId="6D76FD59">
            <w:pPr>
              <w:spacing w:line="480" w:lineRule="exact"/>
              <w:ind w:left="-125"/>
              <w:jc w:val="center"/>
              <w:rPr>
                <w:color w:val="000000" w:themeColor="text1"/>
                <w:sz w:val="28"/>
              </w:rPr>
            </w:pPr>
          </w:p>
          <w:p w14:paraId="5A7C9F85">
            <w:pPr>
              <w:spacing w:line="480" w:lineRule="exact"/>
              <w:ind w:left="-125"/>
              <w:jc w:val="center"/>
              <w:rPr>
                <w:color w:val="000000" w:themeColor="text1"/>
                <w:sz w:val="28"/>
              </w:rPr>
            </w:pPr>
          </w:p>
          <w:p w14:paraId="7B9FE3EE">
            <w:pPr>
              <w:spacing w:line="480" w:lineRule="exact"/>
              <w:ind w:left="-125"/>
              <w:jc w:val="center"/>
              <w:rPr>
                <w:color w:val="000000" w:themeColor="text1"/>
                <w:sz w:val="28"/>
              </w:rPr>
            </w:pPr>
          </w:p>
          <w:p w14:paraId="2B87D8D3">
            <w:pPr>
              <w:spacing w:line="480" w:lineRule="exact"/>
              <w:ind w:left="-125"/>
              <w:jc w:val="center"/>
              <w:rPr>
                <w:color w:val="000000" w:themeColor="text1"/>
                <w:sz w:val="28"/>
              </w:rPr>
            </w:pPr>
          </w:p>
          <w:p w14:paraId="01FF4B53">
            <w:pPr>
              <w:spacing w:line="480" w:lineRule="exact"/>
              <w:ind w:left="-125"/>
              <w:jc w:val="center"/>
              <w:rPr>
                <w:color w:val="000000" w:themeColor="text1"/>
                <w:sz w:val="28"/>
              </w:rPr>
            </w:pPr>
          </w:p>
          <w:p w14:paraId="70849937">
            <w:pPr>
              <w:spacing w:line="480" w:lineRule="exact"/>
              <w:ind w:left="-125"/>
              <w:jc w:val="center"/>
              <w:rPr>
                <w:color w:val="000000" w:themeColor="text1"/>
                <w:sz w:val="28"/>
              </w:rPr>
            </w:pPr>
          </w:p>
          <w:p w14:paraId="66B6DCB1">
            <w:pPr>
              <w:spacing w:line="480" w:lineRule="exact"/>
              <w:ind w:left="-125"/>
              <w:jc w:val="center"/>
              <w:rPr>
                <w:color w:val="000000" w:themeColor="text1"/>
                <w:sz w:val="28"/>
              </w:rPr>
            </w:pPr>
          </w:p>
          <w:p w14:paraId="2B3E2345">
            <w:pPr>
              <w:spacing w:line="480" w:lineRule="exact"/>
              <w:ind w:left="-125"/>
              <w:jc w:val="center"/>
              <w:rPr>
                <w:color w:val="000000" w:themeColor="text1"/>
                <w:sz w:val="28"/>
              </w:rPr>
            </w:pPr>
          </w:p>
          <w:p w14:paraId="0A6CBBC4">
            <w:pPr>
              <w:spacing w:line="480" w:lineRule="exact"/>
              <w:ind w:left="-125"/>
              <w:jc w:val="center"/>
              <w:rPr>
                <w:color w:val="000000" w:themeColor="text1"/>
                <w:sz w:val="28"/>
              </w:rPr>
            </w:pPr>
          </w:p>
          <w:p w14:paraId="2031204C">
            <w:pPr>
              <w:spacing w:line="480" w:lineRule="exact"/>
              <w:ind w:left="-125"/>
              <w:jc w:val="center"/>
              <w:rPr>
                <w:color w:val="000000" w:themeColor="text1"/>
                <w:sz w:val="28"/>
              </w:rPr>
            </w:pPr>
          </w:p>
          <w:p w14:paraId="0123B0CC">
            <w:pPr>
              <w:spacing w:line="480" w:lineRule="exact"/>
              <w:ind w:left="-125"/>
              <w:jc w:val="center"/>
              <w:rPr>
                <w:color w:val="000000" w:themeColor="text1"/>
                <w:sz w:val="28"/>
              </w:rPr>
            </w:pPr>
            <w:r>
              <w:rPr>
                <w:color w:val="000000" w:themeColor="text1"/>
                <w:sz w:val="28"/>
              </w:rPr>
              <w:t xml:space="preserve">                              </w:t>
            </w:r>
            <w:r>
              <w:rPr>
                <w:rFonts w:hint="eastAsia"/>
                <w:color w:val="000000" w:themeColor="text1"/>
                <w:sz w:val="28"/>
              </w:rPr>
              <w:t>公</w:t>
            </w:r>
            <w:r>
              <w:rPr>
                <w:color w:val="000000" w:themeColor="text1"/>
                <w:sz w:val="28"/>
              </w:rPr>
              <w:t xml:space="preserve">  </w:t>
            </w:r>
            <w:r>
              <w:rPr>
                <w:rFonts w:hint="eastAsia"/>
                <w:color w:val="000000" w:themeColor="text1"/>
                <w:sz w:val="28"/>
              </w:rPr>
              <w:t>章</w:t>
            </w:r>
          </w:p>
          <w:p w14:paraId="71CD5F3B">
            <w:pPr>
              <w:spacing w:line="480" w:lineRule="exact"/>
              <w:ind w:left="-125"/>
              <w:rPr>
                <w:color w:val="000000" w:themeColor="text1"/>
                <w:sz w:val="28"/>
              </w:rPr>
            </w:pPr>
          </w:p>
          <w:p w14:paraId="2630A6AD">
            <w:pPr>
              <w:spacing w:line="480" w:lineRule="exact"/>
              <w:ind w:firstLine="700" w:firstLineChars="250"/>
              <w:rPr>
                <w:color w:val="000000" w:themeColor="text1"/>
                <w:sz w:val="28"/>
              </w:rPr>
            </w:pPr>
            <w:r>
              <w:rPr>
                <w:rFonts w:hint="eastAsia"/>
                <w:color w:val="000000" w:themeColor="text1"/>
                <w:sz w:val="28"/>
              </w:rPr>
              <w:t>经办人：</w:t>
            </w:r>
            <w:r>
              <w:rPr>
                <w:color w:val="000000" w:themeColor="text1"/>
                <w:sz w:val="28"/>
              </w:rPr>
              <w:t xml:space="preserve">                            </w:t>
            </w:r>
            <w:r>
              <w:rPr>
                <w:rFonts w:hint="eastAsia"/>
                <w:color w:val="000000" w:themeColor="text1"/>
                <w:sz w:val="28"/>
              </w:rPr>
              <w:t>年</w:t>
            </w:r>
            <w:r>
              <w:rPr>
                <w:color w:val="000000" w:themeColor="text1"/>
                <w:sz w:val="28"/>
              </w:rPr>
              <w:t xml:space="preserve">     </w:t>
            </w:r>
            <w:r>
              <w:rPr>
                <w:rFonts w:hint="eastAsia"/>
                <w:color w:val="000000" w:themeColor="text1"/>
                <w:sz w:val="28"/>
              </w:rPr>
              <w:t>月</w:t>
            </w:r>
            <w:r>
              <w:rPr>
                <w:color w:val="000000" w:themeColor="text1"/>
                <w:sz w:val="28"/>
              </w:rPr>
              <w:t xml:space="preserve">     </w:t>
            </w:r>
            <w:r>
              <w:rPr>
                <w:rFonts w:hint="eastAsia"/>
                <w:color w:val="000000" w:themeColor="text1"/>
                <w:sz w:val="28"/>
              </w:rPr>
              <w:t>日</w:t>
            </w:r>
          </w:p>
          <w:p w14:paraId="1A0AC6E8">
            <w:pPr>
              <w:pStyle w:val="8"/>
              <w:spacing w:line="480" w:lineRule="exact"/>
              <w:rPr>
                <w:color w:val="000000" w:themeColor="text1"/>
              </w:rPr>
            </w:pPr>
            <w:r>
              <w:rPr>
                <w:rFonts w:hint="eastAsia"/>
                <w:color w:val="000000" w:themeColor="text1"/>
              </w:rPr>
              <w:t>下一级环境保护行政主管部门审查意见：</w:t>
            </w:r>
          </w:p>
          <w:p w14:paraId="500C2533">
            <w:pPr>
              <w:spacing w:line="480" w:lineRule="exact"/>
              <w:ind w:left="-125"/>
              <w:jc w:val="center"/>
              <w:rPr>
                <w:color w:val="000000" w:themeColor="text1"/>
                <w:sz w:val="28"/>
              </w:rPr>
            </w:pPr>
          </w:p>
          <w:p w14:paraId="60D5B146">
            <w:pPr>
              <w:spacing w:line="480" w:lineRule="exact"/>
              <w:ind w:left="-125"/>
              <w:jc w:val="center"/>
              <w:rPr>
                <w:color w:val="000000" w:themeColor="text1"/>
                <w:sz w:val="28"/>
              </w:rPr>
            </w:pPr>
          </w:p>
          <w:p w14:paraId="7F6A3FE7">
            <w:pPr>
              <w:spacing w:line="480" w:lineRule="exact"/>
              <w:ind w:left="-125"/>
              <w:jc w:val="center"/>
              <w:rPr>
                <w:color w:val="000000" w:themeColor="text1"/>
                <w:sz w:val="28"/>
              </w:rPr>
            </w:pPr>
          </w:p>
          <w:p w14:paraId="44F2F94C">
            <w:pPr>
              <w:spacing w:line="480" w:lineRule="exact"/>
              <w:ind w:left="-125"/>
              <w:jc w:val="center"/>
              <w:rPr>
                <w:color w:val="000000" w:themeColor="text1"/>
                <w:sz w:val="28"/>
              </w:rPr>
            </w:pPr>
          </w:p>
          <w:p w14:paraId="07E6F53E">
            <w:pPr>
              <w:spacing w:line="480" w:lineRule="exact"/>
              <w:ind w:left="-125"/>
              <w:jc w:val="center"/>
              <w:rPr>
                <w:color w:val="000000" w:themeColor="text1"/>
                <w:sz w:val="28"/>
              </w:rPr>
            </w:pPr>
          </w:p>
          <w:p w14:paraId="362A0717">
            <w:pPr>
              <w:spacing w:line="480" w:lineRule="exact"/>
              <w:ind w:left="-125"/>
              <w:jc w:val="center"/>
              <w:rPr>
                <w:color w:val="000000" w:themeColor="text1"/>
                <w:sz w:val="28"/>
              </w:rPr>
            </w:pPr>
          </w:p>
          <w:p w14:paraId="27EB9ADB">
            <w:pPr>
              <w:spacing w:line="480" w:lineRule="exact"/>
              <w:ind w:left="-125"/>
              <w:jc w:val="center"/>
              <w:rPr>
                <w:color w:val="000000" w:themeColor="text1"/>
                <w:sz w:val="28"/>
              </w:rPr>
            </w:pPr>
          </w:p>
          <w:p w14:paraId="385C1021">
            <w:pPr>
              <w:spacing w:line="480" w:lineRule="exact"/>
              <w:ind w:left="-125"/>
              <w:jc w:val="center"/>
              <w:rPr>
                <w:color w:val="000000" w:themeColor="text1"/>
                <w:sz w:val="28"/>
              </w:rPr>
            </w:pPr>
          </w:p>
          <w:p w14:paraId="604F2F81">
            <w:pPr>
              <w:spacing w:line="480" w:lineRule="exact"/>
              <w:ind w:left="-125"/>
              <w:jc w:val="center"/>
              <w:rPr>
                <w:color w:val="000000" w:themeColor="text1"/>
                <w:sz w:val="28"/>
              </w:rPr>
            </w:pPr>
          </w:p>
          <w:p w14:paraId="6F77F631">
            <w:pPr>
              <w:spacing w:line="480" w:lineRule="exact"/>
              <w:ind w:left="-125"/>
              <w:jc w:val="center"/>
              <w:rPr>
                <w:color w:val="000000" w:themeColor="text1"/>
                <w:sz w:val="28"/>
              </w:rPr>
            </w:pPr>
          </w:p>
          <w:p w14:paraId="7F16D9ED">
            <w:pPr>
              <w:spacing w:line="480" w:lineRule="exact"/>
              <w:ind w:left="-125"/>
              <w:jc w:val="center"/>
              <w:rPr>
                <w:color w:val="000000" w:themeColor="text1"/>
                <w:sz w:val="28"/>
              </w:rPr>
            </w:pPr>
          </w:p>
          <w:p w14:paraId="14B30F1C">
            <w:pPr>
              <w:spacing w:line="480" w:lineRule="exact"/>
              <w:ind w:left="-125"/>
              <w:jc w:val="center"/>
              <w:rPr>
                <w:color w:val="000000" w:themeColor="text1"/>
                <w:sz w:val="28"/>
              </w:rPr>
            </w:pPr>
          </w:p>
          <w:p w14:paraId="67905A37">
            <w:pPr>
              <w:spacing w:line="480" w:lineRule="exact"/>
              <w:ind w:left="-125"/>
              <w:jc w:val="center"/>
              <w:rPr>
                <w:color w:val="000000" w:themeColor="text1"/>
                <w:sz w:val="28"/>
              </w:rPr>
            </w:pPr>
          </w:p>
          <w:p w14:paraId="07E5FE7B">
            <w:pPr>
              <w:spacing w:line="480" w:lineRule="exact"/>
              <w:ind w:left="-125"/>
              <w:jc w:val="center"/>
              <w:rPr>
                <w:color w:val="000000" w:themeColor="text1"/>
                <w:sz w:val="28"/>
              </w:rPr>
            </w:pPr>
          </w:p>
          <w:p w14:paraId="71FEFF2D">
            <w:pPr>
              <w:spacing w:line="480" w:lineRule="exact"/>
              <w:ind w:left="-125"/>
              <w:jc w:val="center"/>
              <w:rPr>
                <w:color w:val="000000" w:themeColor="text1"/>
                <w:sz w:val="28"/>
              </w:rPr>
            </w:pPr>
          </w:p>
          <w:p w14:paraId="5B0BE171">
            <w:pPr>
              <w:spacing w:line="480" w:lineRule="exact"/>
              <w:ind w:left="-125"/>
              <w:jc w:val="center"/>
              <w:rPr>
                <w:color w:val="000000" w:themeColor="text1"/>
                <w:sz w:val="28"/>
              </w:rPr>
            </w:pPr>
          </w:p>
          <w:p w14:paraId="00C61054">
            <w:pPr>
              <w:spacing w:line="480" w:lineRule="exact"/>
              <w:ind w:left="-125"/>
              <w:jc w:val="center"/>
              <w:rPr>
                <w:color w:val="000000" w:themeColor="text1"/>
                <w:sz w:val="28"/>
              </w:rPr>
            </w:pPr>
          </w:p>
          <w:p w14:paraId="16447DAE">
            <w:pPr>
              <w:spacing w:line="480" w:lineRule="exact"/>
              <w:ind w:left="-125"/>
              <w:jc w:val="center"/>
              <w:rPr>
                <w:color w:val="000000" w:themeColor="text1"/>
                <w:sz w:val="28"/>
              </w:rPr>
            </w:pPr>
          </w:p>
          <w:p w14:paraId="6795132E">
            <w:pPr>
              <w:spacing w:line="480" w:lineRule="exact"/>
              <w:ind w:left="-125"/>
              <w:jc w:val="center"/>
              <w:rPr>
                <w:color w:val="000000" w:themeColor="text1"/>
                <w:sz w:val="28"/>
              </w:rPr>
            </w:pPr>
          </w:p>
          <w:p w14:paraId="6088C771">
            <w:pPr>
              <w:spacing w:line="480" w:lineRule="exact"/>
              <w:ind w:left="-125"/>
              <w:jc w:val="center"/>
              <w:rPr>
                <w:color w:val="000000" w:themeColor="text1"/>
                <w:sz w:val="28"/>
              </w:rPr>
            </w:pPr>
          </w:p>
          <w:p w14:paraId="77E94277">
            <w:pPr>
              <w:spacing w:line="480" w:lineRule="exact"/>
              <w:ind w:left="-125"/>
              <w:jc w:val="center"/>
              <w:rPr>
                <w:color w:val="000000" w:themeColor="text1"/>
                <w:sz w:val="28"/>
              </w:rPr>
            </w:pPr>
          </w:p>
          <w:p w14:paraId="47474C94">
            <w:pPr>
              <w:spacing w:line="480" w:lineRule="exact"/>
              <w:ind w:left="-125"/>
              <w:jc w:val="center"/>
              <w:rPr>
                <w:color w:val="000000" w:themeColor="text1"/>
                <w:sz w:val="28"/>
              </w:rPr>
            </w:pPr>
          </w:p>
          <w:p w14:paraId="2EDC0AEE">
            <w:pPr>
              <w:spacing w:line="480" w:lineRule="exact"/>
              <w:rPr>
                <w:color w:val="000000" w:themeColor="text1"/>
                <w:sz w:val="28"/>
              </w:rPr>
            </w:pPr>
          </w:p>
          <w:p w14:paraId="5A18846C">
            <w:pPr>
              <w:spacing w:line="480" w:lineRule="exact"/>
              <w:ind w:left="-125"/>
              <w:jc w:val="center"/>
              <w:rPr>
                <w:color w:val="000000" w:themeColor="text1"/>
                <w:sz w:val="28"/>
              </w:rPr>
            </w:pPr>
            <w:r>
              <w:rPr>
                <w:color w:val="000000" w:themeColor="text1"/>
                <w:sz w:val="28"/>
              </w:rPr>
              <w:t xml:space="preserve">                              </w:t>
            </w:r>
            <w:r>
              <w:rPr>
                <w:rFonts w:hint="eastAsia"/>
                <w:color w:val="000000" w:themeColor="text1"/>
                <w:sz w:val="28"/>
              </w:rPr>
              <w:t>公</w:t>
            </w:r>
            <w:r>
              <w:rPr>
                <w:color w:val="000000" w:themeColor="text1"/>
                <w:sz w:val="28"/>
              </w:rPr>
              <w:t xml:space="preserve">  </w:t>
            </w:r>
            <w:r>
              <w:rPr>
                <w:rFonts w:hint="eastAsia"/>
                <w:color w:val="000000" w:themeColor="text1"/>
                <w:sz w:val="28"/>
              </w:rPr>
              <w:t>章</w:t>
            </w:r>
          </w:p>
          <w:p w14:paraId="5F5E0B4F">
            <w:pPr>
              <w:spacing w:line="480" w:lineRule="exact"/>
              <w:ind w:left="-125"/>
              <w:rPr>
                <w:color w:val="000000" w:themeColor="text1"/>
                <w:sz w:val="28"/>
              </w:rPr>
            </w:pPr>
          </w:p>
          <w:p w14:paraId="722704D9">
            <w:pPr>
              <w:spacing w:line="480" w:lineRule="exact"/>
              <w:ind w:firstLine="700" w:firstLineChars="250"/>
              <w:rPr>
                <w:color w:val="000000" w:themeColor="text1"/>
                <w:sz w:val="28"/>
              </w:rPr>
            </w:pPr>
            <w:r>
              <w:rPr>
                <w:rFonts w:hint="eastAsia"/>
                <w:color w:val="000000" w:themeColor="text1"/>
                <w:sz w:val="28"/>
              </w:rPr>
              <w:t>经办人：</w:t>
            </w:r>
            <w:r>
              <w:rPr>
                <w:color w:val="000000" w:themeColor="text1"/>
                <w:sz w:val="28"/>
              </w:rPr>
              <w:t xml:space="preserve">                            </w:t>
            </w:r>
            <w:r>
              <w:rPr>
                <w:rFonts w:hint="eastAsia"/>
                <w:color w:val="000000" w:themeColor="text1"/>
                <w:sz w:val="28"/>
              </w:rPr>
              <w:t>年</w:t>
            </w:r>
            <w:r>
              <w:rPr>
                <w:color w:val="000000" w:themeColor="text1"/>
                <w:sz w:val="28"/>
              </w:rPr>
              <w:t xml:space="preserve">     </w:t>
            </w:r>
            <w:r>
              <w:rPr>
                <w:rFonts w:hint="eastAsia"/>
                <w:color w:val="000000" w:themeColor="text1"/>
                <w:sz w:val="28"/>
              </w:rPr>
              <w:t>月</w:t>
            </w:r>
            <w:r>
              <w:rPr>
                <w:color w:val="000000" w:themeColor="text1"/>
                <w:sz w:val="28"/>
              </w:rPr>
              <w:t xml:space="preserve">     </w:t>
            </w:r>
            <w:r>
              <w:rPr>
                <w:rFonts w:hint="eastAsia"/>
                <w:color w:val="000000" w:themeColor="text1"/>
                <w:sz w:val="28"/>
              </w:rPr>
              <w:t>日</w:t>
            </w:r>
          </w:p>
          <w:p w14:paraId="0A5B28F9">
            <w:pPr>
              <w:pStyle w:val="8"/>
              <w:spacing w:line="480" w:lineRule="exact"/>
              <w:rPr>
                <w:color w:val="000000" w:themeColor="text1"/>
              </w:rPr>
            </w:pPr>
          </w:p>
          <w:p w14:paraId="348C2952">
            <w:pPr>
              <w:pStyle w:val="8"/>
              <w:spacing w:line="480" w:lineRule="exact"/>
              <w:rPr>
                <w:color w:val="000000" w:themeColor="text1"/>
              </w:rPr>
            </w:pPr>
            <w:r>
              <w:rPr>
                <w:rFonts w:hint="eastAsia"/>
                <w:color w:val="000000" w:themeColor="text1"/>
              </w:rPr>
              <w:t>审批意见：</w:t>
            </w:r>
          </w:p>
          <w:p w14:paraId="248DE6E1">
            <w:pPr>
              <w:spacing w:line="480" w:lineRule="exact"/>
              <w:ind w:left="-125"/>
              <w:jc w:val="center"/>
              <w:rPr>
                <w:color w:val="000000" w:themeColor="text1"/>
                <w:sz w:val="28"/>
              </w:rPr>
            </w:pPr>
          </w:p>
          <w:p w14:paraId="26E75AA4">
            <w:pPr>
              <w:spacing w:line="480" w:lineRule="exact"/>
              <w:ind w:left="-125"/>
              <w:jc w:val="center"/>
              <w:rPr>
                <w:color w:val="000000" w:themeColor="text1"/>
                <w:sz w:val="28"/>
              </w:rPr>
            </w:pPr>
          </w:p>
          <w:p w14:paraId="3EF88EEF">
            <w:pPr>
              <w:spacing w:line="480" w:lineRule="exact"/>
              <w:ind w:left="-125"/>
              <w:jc w:val="center"/>
              <w:rPr>
                <w:color w:val="000000" w:themeColor="text1"/>
                <w:sz w:val="28"/>
              </w:rPr>
            </w:pPr>
          </w:p>
          <w:p w14:paraId="17F8A15D">
            <w:pPr>
              <w:spacing w:line="480" w:lineRule="exact"/>
              <w:ind w:left="-125"/>
              <w:jc w:val="center"/>
              <w:rPr>
                <w:color w:val="000000" w:themeColor="text1"/>
                <w:sz w:val="28"/>
              </w:rPr>
            </w:pPr>
          </w:p>
          <w:p w14:paraId="08CEB780">
            <w:pPr>
              <w:spacing w:line="480" w:lineRule="exact"/>
              <w:ind w:left="-125"/>
              <w:jc w:val="center"/>
              <w:rPr>
                <w:color w:val="000000" w:themeColor="text1"/>
                <w:sz w:val="28"/>
              </w:rPr>
            </w:pPr>
          </w:p>
          <w:p w14:paraId="3A6536CB">
            <w:pPr>
              <w:spacing w:line="480" w:lineRule="exact"/>
              <w:ind w:left="-125"/>
              <w:jc w:val="center"/>
              <w:rPr>
                <w:color w:val="000000" w:themeColor="text1"/>
                <w:sz w:val="28"/>
              </w:rPr>
            </w:pPr>
          </w:p>
          <w:p w14:paraId="008B95C5">
            <w:pPr>
              <w:spacing w:line="480" w:lineRule="exact"/>
              <w:ind w:left="-125"/>
              <w:jc w:val="center"/>
              <w:rPr>
                <w:color w:val="000000" w:themeColor="text1"/>
                <w:sz w:val="28"/>
              </w:rPr>
            </w:pPr>
          </w:p>
          <w:p w14:paraId="4EFC3AD1">
            <w:pPr>
              <w:spacing w:line="480" w:lineRule="exact"/>
              <w:ind w:left="-125"/>
              <w:jc w:val="center"/>
              <w:rPr>
                <w:color w:val="000000" w:themeColor="text1"/>
                <w:sz w:val="28"/>
              </w:rPr>
            </w:pPr>
          </w:p>
          <w:p w14:paraId="4EFE2ABA">
            <w:pPr>
              <w:spacing w:line="480" w:lineRule="exact"/>
              <w:ind w:left="-125"/>
              <w:jc w:val="center"/>
              <w:rPr>
                <w:color w:val="000000" w:themeColor="text1"/>
                <w:sz w:val="28"/>
              </w:rPr>
            </w:pPr>
          </w:p>
          <w:p w14:paraId="39333906">
            <w:pPr>
              <w:spacing w:line="480" w:lineRule="exact"/>
              <w:ind w:left="-125"/>
              <w:jc w:val="center"/>
              <w:rPr>
                <w:color w:val="000000" w:themeColor="text1"/>
                <w:sz w:val="28"/>
              </w:rPr>
            </w:pPr>
          </w:p>
          <w:p w14:paraId="26BCA2DD">
            <w:pPr>
              <w:spacing w:line="480" w:lineRule="exact"/>
              <w:ind w:left="-125"/>
              <w:jc w:val="center"/>
              <w:rPr>
                <w:color w:val="000000" w:themeColor="text1"/>
                <w:sz w:val="28"/>
              </w:rPr>
            </w:pPr>
          </w:p>
          <w:p w14:paraId="4FACEA4A">
            <w:pPr>
              <w:spacing w:line="480" w:lineRule="exact"/>
              <w:ind w:left="-125"/>
              <w:jc w:val="center"/>
              <w:rPr>
                <w:color w:val="000000" w:themeColor="text1"/>
                <w:sz w:val="28"/>
              </w:rPr>
            </w:pPr>
          </w:p>
          <w:p w14:paraId="11A67351">
            <w:pPr>
              <w:spacing w:line="480" w:lineRule="exact"/>
              <w:ind w:left="-125"/>
              <w:jc w:val="center"/>
              <w:rPr>
                <w:color w:val="000000" w:themeColor="text1"/>
                <w:sz w:val="28"/>
              </w:rPr>
            </w:pPr>
          </w:p>
          <w:p w14:paraId="40F3B02F">
            <w:pPr>
              <w:spacing w:line="480" w:lineRule="exact"/>
              <w:ind w:left="-125"/>
              <w:jc w:val="center"/>
              <w:rPr>
                <w:color w:val="000000" w:themeColor="text1"/>
                <w:sz w:val="28"/>
              </w:rPr>
            </w:pPr>
          </w:p>
          <w:p w14:paraId="680D4560">
            <w:pPr>
              <w:spacing w:line="480" w:lineRule="exact"/>
              <w:ind w:left="-125"/>
              <w:jc w:val="center"/>
              <w:rPr>
                <w:color w:val="000000" w:themeColor="text1"/>
                <w:sz w:val="28"/>
              </w:rPr>
            </w:pPr>
          </w:p>
          <w:p w14:paraId="4E912D9E">
            <w:pPr>
              <w:spacing w:line="480" w:lineRule="exact"/>
              <w:ind w:left="-125"/>
              <w:jc w:val="center"/>
              <w:rPr>
                <w:color w:val="000000" w:themeColor="text1"/>
                <w:sz w:val="28"/>
              </w:rPr>
            </w:pPr>
          </w:p>
          <w:p w14:paraId="60355BE2">
            <w:pPr>
              <w:spacing w:line="480" w:lineRule="exact"/>
              <w:ind w:left="-125"/>
              <w:jc w:val="center"/>
              <w:rPr>
                <w:color w:val="000000" w:themeColor="text1"/>
                <w:sz w:val="28"/>
              </w:rPr>
            </w:pPr>
          </w:p>
          <w:p w14:paraId="22E3B548">
            <w:pPr>
              <w:spacing w:line="480" w:lineRule="exact"/>
              <w:ind w:left="-125"/>
              <w:jc w:val="center"/>
              <w:rPr>
                <w:color w:val="000000" w:themeColor="text1"/>
                <w:sz w:val="28"/>
              </w:rPr>
            </w:pPr>
          </w:p>
          <w:p w14:paraId="2ED67ABD">
            <w:pPr>
              <w:spacing w:line="480" w:lineRule="exact"/>
              <w:ind w:left="-125"/>
              <w:jc w:val="center"/>
              <w:rPr>
                <w:color w:val="000000" w:themeColor="text1"/>
                <w:sz w:val="28"/>
              </w:rPr>
            </w:pPr>
          </w:p>
          <w:p w14:paraId="208D5957">
            <w:pPr>
              <w:spacing w:line="480" w:lineRule="exact"/>
              <w:ind w:left="-125"/>
              <w:jc w:val="center"/>
              <w:rPr>
                <w:color w:val="000000" w:themeColor="text1"/>
                <w:sz w:val="28"/>
              </w:rPr>
            </w:pPr>
          </w:p>
          <w:p w14:paraId="4F01395D">
            <w:pPr>
              <w:spacing w:line="480" w:lineRule="exact"/>
              <w:ind w:left="-125"/>
              <w:jc w:val="center"/>
              <w:rPr>
                <w:color w:val="000000" w:themeColor="text1"/>
                <w:sz w:val="28"/>
              </w:rPr>
            </w:pPr>
          </w:p>
          <w:p w14:paraId="4DB9F838">
            <w:pPr>
              <w:spacing w:line="480" w:lineRule="exact"/>
              <w:ind w:left="-125"/>
              <w:jc w:val="center"/>
              <w:rPr>
                <w:color w:val="000000" w:themeColor="text1"/>
                <w:sz w:val="28"/>
              </w:rPr>
            </w:pPr>
          </w:p>
          <w:p w14:paraId="13EA4AA6">
            <w:pPr>
              <w:spacing w:line="480" w:lineRule="exact"/>
              <w:ind w:left="-125"/>
              <w:jc w:val="center"/>
              <w:rPr>
                <w:color w:val="000000" w:themeColor="text1"/>
                <w:sz w:val="28"/>
              </w:rPr>
            </w:pPr>
          </w:p>
          <w:p w14:paraId="632072B3">
            <w:pPr>
              <w:spacing w:line="480" w:lineRule="exact"/>
              <w:rPr>
                <w:color w:val="000000" w:themeColor="text1"/>
                <w:sz w:val="28"/>
              </w:rPr>
            </w:pPr>
          </w:p>
          <w:p w14:paraId="204DC216">
            <w:pPr>
              <w:spacing w:line="480" w:lineRule="exact"/>
              <w:ind w:left="-125"/>
              <w:jc w:val="center"/>
              <w:rPr>
                <w:color w:val="000000" w:themeColor="text1"/>
                <w:sz w:val="28"/>
              </w:rPr>
            </w:pPr>
            <w:r>
              <w:rPr>
                <w:color w:val="000000" w:themeColor="text1"/>
                <w:sz w:val="28"/>
              </w:rPr>
              <w:t xml:space="preserve">                              </w:t>
            </w:r>
            <w:r>
              <w:rPr>
                <w:rFonts w:hint="eastAsia"/>
                <w:color w:val="000000" w:themeColor="text1"/>
                <w:sz w:val="28"/>
              </w:rPr>
              <w:t>公</w:t>
            </w:r>
            <w:r>
              <w:rPr>
                <w:color w:val="000000" w:themeColor="text1"/>
                <w:sz w:val="28"/>
              </w:rPr>
              <w:t xml:space="preserve">  </w:t>
            </w:r>
            <w:r>
              <w:rPr>
                <w:rFonts w:hint="eastAsia"/>
                <w:color w:val="000000" w:themeColor="text1"/>
                <w:sz w:val="28"/>
              </w:rPr>
              <w:t>章</w:t>
            </w:r>
          </w:p>
          <w:p w14:paraId="0BEE239B">
            <w:pPr>
              <w:spacing w:line="480" w:lineRule="exact"/>
              <w:rPr>
                <w:color w:val="000000" w:themeColor="text1"/>
                <w:sz w:val="28"/>
              </w:rPr>
            </w:pPr>
          </w:p>
          <w:p w14:paraId="790AB0D6">
            <w:pPr>
              <w:spacing w:line="560" w:lineRule="exact"/>
              <w:ind w:firstLine="840" w:firstLineChars="300"/>
              <w:rPr>
                <w:color w:val="000000" w:themeColor="text1"/>
                <w:sz w:val="28"/>
              </w:rPr>
            </w:pPr>
            <w:r>
              <w:rPr>
                <w:rFonts w:hint="eastAsia"/>
                <w:color w:val="000000" w:themeColor="text1"/>
                <w:sz w:val="28"/>
              </w:rPr>
              <w:t>经办人：</w:t>
            </w:r>
            <w:r>
              <w:rPr>
                <w:color w:val="000000" w:themeColor="text1"/>
                <w:sz w:val="28"/>
              </w:rPr>
              <w:t xml:space="preserve">                            </w:t>
            </w:r>
            <w:r>
              <w:rPr>
                <w:rFonts w:hint="eastAsia"/>
                <w:color w:val="000000" w:themeColor="text1"/>
                <w:sz w:val="28"/>
              </w:rPr>
              <w:t>年</w:t>
            </w:r>
            <w:r>
              <w:rPr>
                <w:color w:val="000000" w:themeColor="text1"/>
                <w:sz w:val="28"/>
              </w:rPr>
              <w:t xml:space="preserve">     </w:t>
            </w:r>
            <w:r>
              <w:rPr>
                <w:rFonts w:hint="eastAsia"/>
                <w:color w:val="000000" w:themeColor="text1"/>
                <w:sz w:val="28"/>
              </w:rPr>
              <w:t>月</w:t>
            </w:r>
            <w:r>
              <w:rPr>
                <w:color w:val="000000" w:themeColor="text1"/>
                <w:sz w:val="28"/>
              </w:rPr>
              <w:t xml:space="preserve">     </w:t>
            </w:r>
            <w:r>
              <w:rPr>
                <w:rFonts w:hint="eastAsia"/>
                <w:color w:val="000000" w:themeColor="text1"/>
                <w:sz w:val="28"/>
              </w:rPr>
              <w:t>日</w:t>
            </w:r>
          </w:p>
          <w:p w14:paraId="76AA18B6">
            <w:pPr>
              <w:rPr>
                <w:color w:val="000000" w:themeColor="text1"/>
              </w:rPr>
            </w:pPr>
          </w:p>
          <w:p w14:paraId="3B1148E0">
            <w:pPr>
              <w:spacing w:beforeLines="50" w:afterLines="50" w:line="360" w:lineRule="auto"/>
              <w:ind w:right="-108"/>
              <w:jc w:val="center"/>
              <w:rPr>
                <w:b/>
                <w:color w:val="000000" w:themeColor="text1"/>
                <w:sz w:val="32"/>
                <w:szCs w:val="32"/>
              </w:rPr>
            </w:pPr>
            <w:r>
              <w:rPr>
                <w:rFonts w:hint="eastAsia"/>
                <w:b/>
                <w:color w:val="000000" w:themeColor="text1"/>
                <w:sz w:val="32"/>
                <w:szCs w:val="32"/>
              </w:rPr>
              <w:t>注</w:t>
            </w:r>
            <w:r>
              <w:rPr>
                <w:b/>
                <w:color w:val="000000" w:themeColor="text1"/>
                <w:sz w:val="32"/>
                <w:szCs w:val="32"/>
              </w:rPr>
              <w:t xml:space="preserve">       </w:t>
            </w:r>
            <w:r>
              <w:rPr>
                <w:rFonts w:hint="eastAsia"/>
                <w:b/>
                <w:color w:val="000000" w:themeColor="text1"/>
                <w:sz w:val="32"/>
                <w:szCs w:val="32"/>
              </w:rPr>
              <w:t>释</w:t>
            </w:r>
          </w:p>
          <w:p w14:paraId="42D26A6C">
            <w:pPr>
              <w:spacing w:line="360" w:lineRule="auto"/>
              <w:ind w:right="-108" w:firstLine="600" w:firstLineChars="200"/>
              <w:rPr>
                <w:color w:val="000000" w:themeColor="text1"/>
                <w:sz w:val="30"/>
              </w:rPr>
            </w:pPr>
            <w:r>
              <w:rPr>
                <w:rFonts w:hint="eastAsia"/>
                <w:color w:val="000000" w:themeColor="text1"/>
                <w:sz w:val="30"/>
              </w:rPr>
              <w:t>一、本报告表应附以下附件、附图：</w:t>
            </w:r>
          </w:p>
          <w:p w14:paraId="1CA01AED">
            <w:pPr>
              <w:spacing w:line="360" w:lineRule="auto"/>
              <w:ind w:right="-108" w:firstLine="600"/>
              <w:rPr>
                <w:color w:val="000000" w:themeColor="text1"/>
                <w:sz w:val="30"/>
              </w:rPr>
            </w:pPr>
            <w:r>
              <w:rPr>
                <w:color w:val="000000" w:themeColor="text1"/>
                <w:sz w:val="30"/>
              </w:rPr>
              <w:t xml:space="preserve">    </w:t>
            </w:r>
            <w:r>
              <w:rPr>
                <w:rFonts w:hint="eastAsia"/>
                <w:color w:val="000000" w:themeColor="text1"/>
                <w:sz w:val="30"/>
              </w:rPr>
              <w:t>附件</w:t>
            </w:r>
            <w:r>
              <w:rPr>
                <w:color w:val="000000" w:themeColor="text1"/>
                <w:sz w:val="30"/>
              </w:rPr>
              <w:t xml:space="preserve">1  </w:t>
            </w:r>
            <w:r>
              <w:rPr>
                <w:rFonts w:hint="eastAsia"/>
                <w:color w:val="000000" w:themeColor="text1"/>
                <w:sz w:val="30"/>
              </w:rPr>
              <w:t>立项批准文件</w:t>
            </w:r>
          </w:p>
          <w:p w14:paraId="5D85391A">
            <w:pPr>
              <w:spacing w:line="360" w:lineRule="auto"/>
              <w:ind w:right="-108" w:firstLine="600"/>
              <w:rPr>
                <w:color w:val="000000" w:themeColor="text1"/>
                <w:sz w:val="30"/>
              </w:rPr>
            </w:pPr>
            <w:r>
              <w:rPr>
                <w:color w:val="000000" w:themeColor="text1"/>
                <w:sz w:val="30"/>
              </w:rPr>
              <w:t xml:space="preserve">    </w:t>
            </w:r>
            <w:r>
              <w:rPr>
                <w:rFonts w:hint="eastAsia"/>
                <w:color w:val="000000" w:themeColor="text1"/>
                <w:sz w:val="30"/>
              </w:rPr>
              <w:t>附件</w:t>
            </w:r>
            <w:r>
              <w:rPr>
                <w:color w:val="000000" w:themeColor="text1"/>
                <w:sz w:val="30"/>
              </w:rPr>
              <w:t xml:space="preserve">2  </w:t>
            </w:r>
            <w:r>
              <w:rPr>
                <w:rFonts w:hint="eastAsia"/>
                <w:color w:val="000000" w:themeColor="text1"/>
                <w:sz w:val="30"/>
              </w:rPr>
              <w:t>其他与环评有关的行政管理文件</w:t>
            </w:r>
          </w:p>
          <w:p w14:paraId="2CCB2E90">
            <w:pPr>
              <w:spacing w:line="360" w:lineRule="auto"/>
              <w:ind w:right="-108" w:firstLine="600"/>
              <w:rPr>
                <w:color w:val="000000" w:themeColor="text1"/>
                <w:sz w:val="30"/>
              </w:rPr>
            </w:pPr>
            <w:r>
              <w:rPr>
                <w:color w:val="000000" w:themeColor="text1"/>
                <w:sz w:val="30"/>
              </w:rPr>
              <w:t xml:space="preserve">    </w:t>
            </w:r>
            <w:r>
              <w:rPr>
                <w:rFonts w:hint="eastAsia"/>
                <w:color w:val="000000" w:themeColor="text1"/>
                <w:sz w:val="30"/>
              </w:rPr>
              <w:t>附图</w:t>
            </w:r>
            <w:r>
              <w:rPr>
                <w:color w:val="000000" w:themeColor="text1"/>
                <w:sz w:val="30"/>
              </w:rPr>
              <w:t xml:space="preserve">1  </w:t>
            </w:r>
            <w:r>
              <w:rPr>
                <w:rFonts w:hint="eastAsia"/>
                <w:color w:val="000000" w:themeColor="text1"/>
                <w:sz w:val="30"/>
              </w:rPr>
              <w:t>项目地理位置图（应反映行政区划、水系、标明纳污口位置和地形地貌等）</w:t>
            </w:r>
          </w:p>
          <w:p w14:paraId="55AE38EA">
            <w:pPr>
              <w:spacing w:line="360" w:lineRule="auto"/>
              <w:ind w:right="-108" w:firstLine="600"/>
              <w:rPr>
                <w:color w:val="000000" w:themeColor="text1"/>
                <w:sz w:val="30"/>
              </w:rPr>
            </w:pPr>
            <w:r>
              <w:rPr>
                <w:color w:val="000000" w:themeColor="text1"/>
                <w:sz w:val="30"/>
              </w:rPr>
              <w:t xml:space="preserve">    </w:t>
            </w:r>
            <w:r>
              <w:rPr>
                <w:rFonts w:hint="eastAsia"/>
                <w:color w:val="000000" w:themeColor="text1"/>
                <w:sz w:val="30"/>
              </w:rPr>
              <w:t>附图</w:t>
            </w:r>
            <w:r>
              <w:rPr>
                <w:color w:val="000000" w:themeColor="text1"/>
                <w:sz w:val="30"/>
              </w:rPr>
              <w:t xml:space="preserve">2  </w:t>
            </w:r>
            <w:r>
              <w:rPr>
                <w:rFonts w:hint="eastAsia"/>
                <w:color w:val="000000" w:themeColor="text1"/>
                <w:sz w:val="30"/>
              </w:rPr>
              <w:t>卫星影像图</w:t>
            </w:r>
          </w:p>
          <w:p w14:paraId="5C74A2D7">
            <w:pPr>
              <w:spacing w:line="360" w:lineRule="auto"/>
              <w:ind w:right="-108" w:firstLine="600"/>
              <w:rPr>
                <w:color w:val="000000" w:themeColor="text1"/>
                <w:sz w:val="30"/>
              </w:rPr>
            </w:pPr>
            <w:r>
              <w:rPr>
                <w:color w:val="000000" w:themeColor="text1"/>
                <w:sz w:val="30"/>
              </w:rPr>
              <w:t xml:space="preserve">    </w:t>
            </w:r>
            <w:r>
              <w:rPr>
                <w:rFonts w:hint="eastAsia"/>
                <w:color w:val="000000" w:themeColor="text1"/>
                <w:sz w:val="30"/>
              </w:rPr>
              <w:t>附图</w:t>
            </w:r>
            <w:r>
              <w:rPr>
                <w:color w:val="000000" w:themeColor="text1"/>
                <w:sz w:val="30"/>
              </w:rPr>
              <w:t xml:space="preserve">3  </w:t>
            </w:r>
            <w:r>
              <w:rPr>
                <w:rFonts w:hint="eastAsia"/>
                <w:color w:val="000000" w:themeColor="text1"/>
                <w:sz w:val="30"/>
              </w:rPr>
              <w:t>项目平面布置图</w:t>
            </w:r>
          </w:p>
          <w:p w14:paraId="3D65255E">
            <w:pPr>
              <w:spacing w:line="360" w:lineRule="auto"/>
              <w:ind w:right="-108" w:firstLine="600" w:firstLineChars="200"/>
              <w:rPr>
                <w:color w:val="000000" w:themeColor="text1"/>
                <w:sz w:val="30"/>
              </w:rPr>
            </w:pPr>
            <w:r>
              <w:rPr>
                <w:rFonts w:hint="eastAsia"/>
                <w:color w:val="000000" w:themeColor="text1"/>
                <w:sz w:val="30"/>
              </w:rPr>
              <w:t>二、如果本报告表不能说明项目产生的污染及环境造成的影响，应进行专项评价。根据建设项目的特点和当地环境特征，应选下列</w:t>
            </w:r>
            <w:r>
              <w:rPr>
                <w:color w:val="000000" w:themeColor="text1"/>
                <w:sz w:val="30"/>
              </w:rPr>
              <w:t>1-2</w:t>
            </w:r>
            <w:r>
              <w:rPr>
                <w:rFonts w:hint="eastAsia"/>
                <w:color w:val="000000" w:themeColor="text1"/>
                <w:sz w:val="30"/>
              </w:rPr>
              <w:t>项进行专项评价。</w:t>
            </w:r>
          </w:p>
          <w:p w14:paraId="5F08C4D2">
            <w:pPr>
              <w:spacing w:line="360" w:lineRule="auto"/>
              <w:ind w:right="-108" w:firstLine="600"/>
              <w:rPr>
                <w:color w:val="000000" w:themeColor="text1"/>
                <w:sz w:val="30"/>
              </w:rPr>
            </w:pPr>
            <w:r>
              <w:rPr>
                <w:color w:val="000000" w:themeColor="text1"/>
                <w:sz w:val="30"/>
              </w:rPr>
              <w:t xml:space="preserve">    1</w:t>
            </w:r>
            <w:r>
              <w:rPr>
                <w:rFonts w:hint="eastAsia"/>
                <w:color w:val="000000" w:themeColor="text1"/>
                <w:sz w:val="30"/>
              </w:rPr>
              <w:t>、大气环境影响专项评价</w:t>
            </w:r>
          </w:p>
          <w:p w14:paraId="38CB7D48">
            <w:pPr>
              <w:spacing w:line="360" w:lineRule="auto"/>
              <w:ind w:right="-108" w:firstLine="600"/>
              <w:rPr>
                <w:color w:val="000000" w:themeColor="text1"/>
                <w:sz w:val="30"/>
              </w:rPr>
            </w:pPr>
            <w:r>
              <w:rPr>
                <w:color w:val="000000" w:themeColor="text1"/>
                <w:sz w:val="30"/>
              </w:rPr>
              <w:t xml:space="preserve">    2</w:t>
            </w:r>
            <w:r>
              <w:rPr>
                <w:rFonts w:hint="eastAsia"/>
                <w:color w:val="000000" w:themeColor="text1"/>
                <w:sz w:val="30"/>
              </w:rPr>
              <w:t>、水环境影响专项评价（包括地表水和地下水）</w:t>
            </w:r>
          </w:p>
          <w:p w14:paraId="57833546">
            <w:pPr>
              <w:spacing w:line="360" w:lineRule="auto"/>
              <w:ind w:right="-108" w:firstLine="600"/>
              <w:rPr>
                <w:color w:val="000000" w:themeColor="text1"/>
                <w:sz w:val="30"/>
              </w:rPr>
            </w:pPr>
            <w:r>
              <w:rPr>
                <w:color w:val="000000" w:themeColor="text1"/>
                <w:sz w:val="30"/>
              </w:rPr>
              <w:t xml:space="preserve">    3</w:t>
            </w:r>
            <w:r>
              <w:rPr>
                <w:rFonts w:hint="eastAsia"/>
                <w:color w:val="000000" w:themeColor="text1"/>
                <w:sz w:val="30"/>
              </w:rPr>
              <w:t>、生态影响专项评价</w:t>
            </w:r>
          </w:p>
          <w:p w14:paraId="5C8015DF">
            <w:pPr>
              <w:spacing w:line="360" w:lineRule="auto"/>
              <w:ind w:right="-108" w:firstLine="600"/>
              <w:rPr>
                <w:color w:val="000000" w:themeColor="text1"/>
                <w:sz w:val="30"/>
              </w:rPr>
            </w:pPr>
            <w:r>
              <w:rPr>
                <w:color w:val="000000" w:themeColor="text1"/>
                <w:sz w:val="30"/>
              </w:rPr>
              <w:t xml:space="preserve">    4</w:t>
            </w:r>
            <w:r>
              <w:rPr>
                <w:rFonts w:hint="eastAsia"/>
                <w:color w:val="000000" w:themeColor="text1"/>
                <w:sz w:val="30"/>
              </w:rPr>
              <w:t>、声影响专项评价</w:t>
            </w:r>
          </w:p>
          <w:p w14:paraId="7FEE404F">
            <w:pPr>
              <w:spacing w:line="360" w:lineRule="auto"/>
              <w:ind w:right="-108" w:firstLine="600"/>
              <w:rPr>
                <w:color w:val="000000" w:themeColor="text1"/>
                <w:sz w:val="30"/>
              </w:rPr>
            </w:pPr>
            <w:r>
              <w:rPr>
                <w:color w:val="000000" w:themeColor="text1"/>
                <w:sz w:val="30"/>
              </w:rPr>
              <w:t xml:space="preserve">    5</w:t>
            </w:r>
            <w:r>
              <w:rPr>
                <w:rFonts w:hint="eastAsia"/>
                <w:color w:val="000000" w:themeColor="text1"/>
                <w:sz w:val="30"/>
              </w:rPr>
              <w:t>、土壤影响专项评价</w:t>
            </w:r>
          </w:p>
          <w:p w14:paraId="586E699F">
            <w:pPr>
              <w:spacing w:line="360" w:lineRule="auto"/>
              <w:ind w:right="-108" w:firstLine="600"/>
              <w:rPr>
                <w:color w:val="000000" w:themeColor="text1"/>
                <w:sz w:val="30"/>
              </w:rPr>
            </w:pPr>
            <w:r>
              <w:rPr>
                <w:color w:val="000000" w:themeColor="text1"/>
                <w:sz w:val="30"/>
              </w:rPr>
              <w:t xml:space="preserve">    6</w:t>
            </w:r>
            <w:r>
              <w:rPr>
                <w:rFonts w:hint="eastAsia"/>
                <w:color w:val="000000" w:themeColor="text1"/>
                <w:sz w:val="30"/>
              </w:rPr>
              <w:t>、固体废物影响专项评价</w:t>
            </w:r>
          </w:p>
          <w:p w14:paraId="47D0174C">
            <w:pPr>
              <w:spacing w:line="360" w:lineRule="auto"/>
              <w:ind w:right="-108" w:firstLine="600"/>
              <w:rPr>
                <w:color w:val="000000" w:themeColor="text1"/>
                <w:sz w:val="30"/>
              </w:rPr>
            </w:pPr>
            <w:r>
              <w:rPr>
                <w:rFonts w:hint="eastAsia"/>
                <w:color w:val="000000" w:themeColor="text1"/>
                <w:sz w:val="30"/>
              </w:rPr>
              <w:t>以上专项评价未包括的可另列专项，专项评价按照《环境影响评价技术导则》中的要求进行。</w:t>
            </w:r>
          </w:p>
          <w:p w14:paraId="0A92E0FA">
            <w:pPr>
              <w:spacing w:line="500" w:lineRule="exact"/>
              <w:ind w:firstLine="420" w:firstLineChars="150"/>
              <w:rPr>
                <w:color w:val="000000" w:themeColor="text1"/>
                <w:sz w:val="28"/>
              </w:rPr>
            </w:pPr>
          </w:p>
          <w:p w14:paraId="2700AD62">
            <w:pPr>
              <w:spacing w:line="500" w:lineRule="exact"/>
              <w:ind w:firstLine="420" w:firstLineChars="150"/>
              <w:rPr>
                <w:color w:val="000000" w:themeColor="text1"/>
                <w:sz w:val="28"/>
              </w:rPr>
            </w:pPr>
          </w:p>
          <w:p w14:paraId="04EF33C0">
            <w:pPr>
              <w:rPr>
                <w:color w:val="000000" w:themeColor="text1"/>
              </w:rPr>
            </w:pPr>
          </w:p>
        </w:tc>
      </w:tr>
    </w:tbl>
    <w:p w14:paraId="47129D3E">
      <w:pPr>
        <w:rPr>
          <w:color w:val="000000" w:themeColor="text1"/>
        </w:rPr>
      </w:pP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altName w:val="宋体"/>
    <w:panose1 w:val="02010601030101010101"/>
    <w:charset w:val="86"/>
    <w:family w:val="auto"/>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5E691">
    <w:pPr>
      <w:pStyle w:val="11"/>
    </w:pPr>
    <w:r>
      <w:pict>
        <v:shape id="_x0000_s2049" o:spid="_x0000_s204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0.5pt" joinstyle="miter"/>
          <v:imagedata o:title=""/>
          <o:lock v:ext="edit"/>
          <v:textbox inset="0mm,0mm,0mm,0mm" style="mso-fit-shape-to-text:t;">
            <w:txbxContent>
              <w:p w14:paraId="764122C1">
                <w:pPr>
                  <w:snapToGrid w:val="0"/>
                  <w:rPr>
                    <w:sz w:val="18"/>
                  </w:rPr>
                </w:pPr>
                <w:r>
                  <w:rPr>
                    <w:rFonts w:hint="eastAsia"/>
                  </w:rPr>
                  <w:t>第</w:t>
                </w:r>
                <w:r>
                  <w:rPr>
                    <w:sz w:val="18"/>
                  </w:rPr>
                  <w:t xml:space="preserve"> </w:t>
                </w:r>
                <w:r>
                  <w:rPr>
                    <w:sz w:val="18"/>
                  </w:rPr>
                  <w:fldChar w:fldCharType="begin"/>
                </w:r>
                <w:r>
                  <w:rPr>
                    <w:sz w:val="18"/>
                  </w:rPr>
                  <w:instrText xml:space="preserve"> PAGE  \* MERGEFORMAT </w:instrText>
                </w:r>
                <w:r>
                  <w:rPr>
                    <w:sz w:val="18"/>
                  </w:rPr>
                  <w:fldChar w:fldCharType="separate"/>
                </w:r>
                <w:r>
                  <w:t>47</w:t>
                </w:r>
                <w:r>
                  <w:rPr>
                    <w:sz w:val="18"/>
                  </w:rPr>
                  <w:fldChar w:fldCharType="end"/>
                </w:r>
                <w:r>
                  <w:rPr>
                    <w:sz w:val="18"/>
                  </w:rPr>
                  <w:t xml:space="preserve"> </w:t>
                </w:r>
                <w:r>
                  <w:rPr>
                    <w:rFonts w:hint="eastAsia"/>
                    <w:sz w:val="18"/>
                  </w:rPr>
                  <w:t>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71302">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FDD34C"/>
    <w:multiLevelType w:val="singleLevel"/>
    <w:tmpl w:val="58FDD34C"/>
    <w:lvl w:ilvl="0" w:tentative="0">
      <w:start w:val="2"/>
      <w:numFmt w:val="decimal"/>
      <w:suff w:val="nothing"/>
      <w:lvlText w:val="（%1）"/>
      <w:lvlJc w:val="left"/>
      <w:rPr>
        <w:rFonts w:cs="Times New Roman"/>
      </w:rPr>
    </w:lvl>
  </w:abstractNum>
  <w:abstractNum w:abstractNumId="1">
    <w:nsid w:val="58FED017"/>
    <w:multiLevelType w:val="singleLevel"/>
    <w:tmpl w:val="58FED017"/>
    <w:lvl w:ilvl="0" w:tentative="0">
      <w:start w:val="1"/>
      <w:numFmt w:val="decimal"/>
      <w:suff w:val="nothing"/>
      <w:lvlText w:val="%1、"/>
      <w:lvlJc w:val="left"/>
      <w:rPr>
        <w:rFonts w:cs="Times New Roman"/>
      </w:rPr>
    </w:lvl>
  </w:abstractNum>
  <w:abstractNum w:abstractNumId="2">
    <w:nsid w:val="58FF13DE"/>
    <w:multiLevelType w:val="singleLevel"/>
    <w:tmpl w:val="58FF13DE"/>
    <w:lvl w:ilvl="0" w:tentative="0">
      <w:start w:val="1"/>
      <w:numFmt w:val="decimal"/>
      <w:suff w:val="nothing"/>
      <w:lvlText w:val="（%1）"/>
      <w:lvlJc w:val="left"/>
      <w:rPr>
        <w:rFonts w:cs="Times New Roman"/>
      </w:rPr>
    </w:lvl>
  </w:abstractNum>
  <w:abstractNum w:abstractNumId="3">
    <w:nsid w:val="59764DDA"/>
    <w:multiLevelType w:val="singleLevel"/>
    <w:tmpl w:val="59764DDA"/>
    <w:lvl w:ilvl="0" w:tentative="0">
      <w:start w:val="1"/>
      <w:numFmt w:val="chineseCounting"/>
      <w:suff w:val="nothing"/>
      <w:lvlText w:val="%1、"/>
      <w:lvlJc w:val="left"/>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3B7174"/>
    <w:rsid w:val="003E6D83"/>
    <w:rsid w:val="00641071"/>
    <w:rsid w:val="006E0A57"/>
    <w:rsid w:val="006E2D1E"/>
    <w:rsid w:val="006F50DB"/>
    <w:rsid w:val="009213D7"/>
    <w:rsid w:val="00943FCC"/>
    <w:rsid w:val="00B62DD4"/>
    <w:rsid w:val="00B93F75"/>
    <w:rsid w:val="00BC1B7E"/>
    <w:rsid w:val="00EE3C0E"/>
    <w:rsid w:val="00EF1876"/>
    <w:rsid w:val="00F207B2"/>
    <w:rsid w:val="00FB3526"/>
    <w:rsid w:val="013F6146"/>
    <w:rsid w:val="01483AA4"/>
    <w:rsid w:val="01752A99"/>
    <w:rsid w:val="01D72DCF"/>
    <w:rsid w:val="025D7FA5"/>
    <w:rsid w:val="026E5BA2"/>
    <w:rsid w:val="02BA417C"/>
    <w:rsid w:val="04D86FFC"/>
    <w:rsid w:val="04DD0CD8"/>
    <w:rsid w:val="050342EC"/>
    <w:rsid w:val="060F316C"/>
    <w:rsid w:val="067E3220"/>
    <w:rsid w:val="06D33CCC"/>
    <w:rsid w:val="06FA3C3C"/>
    <w:rsid w:val="07B4649D"/>
    <w:rsid w:val="088239B0"/>
    <w:rsid w:val="092223C1"/>
    <w:rsid w:val="0932595A"/>
    <w:rsid w:val="09761DBA"/>
    <w:rsid w:val="09945D74"/>
    <w:rsid w:val="0A3B7236"/>
    <w:rsid w:val="0A655904"/>
    <w:rsid w:val="0AA97620"/>
    <w:rsid w:val="0ACD4675"/>
    <w:rsid w:val="0B4046E8"/>
    <w:rsid w:val="0B7C4305"/>
    <w:rsid w:val="0B8F7A23"/>
    <w:rsid w:val="0B9E3EA4"/>
    <w:rsid w:val="0BEB49BB"/>
    <w:rsid w:val="0BFA6E48"/>
    <w:rsid w:val="0C217569"/>
    <w:rsid w:val="0C241DDF"/>
    <w:rsid w:val="0C63691B"/>
    <w:rsid w:val="0CB26157"/>
    <w:rsid w:val="0D4815E3"/>
    <w:rsid w:val="0DD16B6E"/>
    <w:rsid w:val="0E3C016D"/>
    <w:rsid w:val="0E661921"/>
    <w:rsid w:val="0F267ABD"/>
    <w:rsid w:val="0F363CE2"/>
    <w:rsid w:val="0FAA35BC"/>
    <w:rsid w:val="0FE24B60"/>
    <w:rsid w:val="104834EE"/>
    <w:rsid w:val="112A4455"/>
    <w:rsid w:val="116E10FD"/>
    <w:rsid w:val="122777EF"/>
    <w:rsid w:val="12EB70A6"/>
    <w:rsid w:val="13717BC0"/>
    <w:rsid w:val="14702469"/>
    <w:rsid w:val="14884CBF"/>
    <w:rsid w:val="14E07C10"/>
    <w:rsid w:val="150D4ECD"/>
    <w:rsid w:val="15513D23"/>
    <w:rsid w:val="168D6AED"/>
    <w:rsid w:val="16DC112C"/>
    <w:rsid w:val="17013DDE"/>
    <w:rsid w:val="171361E3"/>
    <w:rsid w:val="17C10BBA"/>
    <w:rsid w:val="17C2775E"/>
    <w:rsid w:val="183631C0"/>
    <w:rsid w:val="19ED7C60"/>
    <w:rsid w:val="1A504434"/>
    <w:rsid w:val="1AAB6EE1"/>
    <w:rsid w:val="1AB36F6C"/>
    <w:rsid w:val="1ADD5842"/>
    <w:rsid w:val="1B4F5F80"/>
    <w:rsid w:val="1B81281F"/>
    <w:rsid w:val="1B933576"/>
    <w:rsid w:val="1BED562D"/>
    <w:rsid w:val="1D1A3539"/>
    <w:rsid w:val="1D861AEB"/>
    <w:rsid w:val="1DE93519"/>
    <w:rsid w:val="1E262B5A"/>
    <w:rsid w:val="1ED21C91"/>
    <w:rsid w:val="1F3A7D55"/>
    <w:rsid w:val="1F4C2867"/>
    <w:rsid w:val="1FB05753"/>
    <w:rsid w:val="20B5786A"/>
    <w:rsid w:val="2147032B"/>
    <w:rsid w:val="221854FB"/>
    <w:rsid w:val="221A12B3"/>
    <w:rsid w:val="2223557E"/>
    <w:rsid w:val="228D4E74"/>
    <w:rsid w:val="233C1252"/>
    <w:rsid w:val="23670E93"/>
    <w:rsid w:val="24AB4175"/>
    <w:rsid w:val="24D92E37"/>
    <w:rsid w:val="2538513D"/>
    <w:rsid w:val="26763780"/>
    <w:rsid w:val="2712042C"/>
    <w:rsid w:val="276409B4"/>
    <w:rsid w:val="27986706"/>
    <w:rsid w:val="27A979B3"/>
    <w:rsid w:val="280F7698"/>
    <w:rsid w:val="2A1D0DD9"/>
    <w:rsid w:val="2A243AE5"/>
    <w:rsid w:val="2AA73F62"/>
    <w:rsid w:val="2C453525"/>
    <w:rsid w:val="2C6E1FC3"/>
    <w:rsid w:val="2DCF6878"/>
    <w:rsid w:val="2DED1953"/>
    <w:rsid w:val="2E5255B9"/>
    <w:rsid w:val="2E6F35D1"/>
    <w:rsid w:val="2E9A3E6A"/>
    <w:rsid w:val="2EDF4AAD"/>
    <w:rsid w:val="2F583251"/>
    <w:rsid w:val="2F982B54"/>
    <w:rsid w:val="30326BA1"/>
    <w:rsid w:val="30517676"/>
    <w:rsid w:val="306A5DB5"/>
    <w:rsid w:val="306D3AF0"/>
    <w:rsid w:val="308E100D"/>
    <w:rsid w:val="314D1CAE"/>
    <w:rsid w:val="324A32EE"/>
    <w:rsid w:val="325C5B74"/>
    <w:rsid w:val="327679DA"/>
    <w:rsid w:val="33163850"/>
    <w:rsid w:val="33B33338"/>
    <w:rsid w:val="34847EA0"/>
    <w:rsid w:val="34C61048"/>
    <w:rsid w:val="34F609B4"/>
    <w:rsid w:val="35283707"/>
    <w:rsid w:val="355C1CAD"/>
    <w:rsid w:val="3634744B"/>
    <w:rsid w:val="36763120"/>
    <w:rsid w:val="36974313"/>
    <w:rsid w:val="36F007AE"/>
    <w:rsid w:val="375C3ECB"/>
    <w:rsid w:val="377A176F"/>
    <w:rsid w:val="37CB394C"/>
    <w:rsid w:val="37DC1257"/>
    <w:rsid w:val="38183F9C"/>
    <w:rsid w:val="386177DB"/>
    <w:rsid w:val="38980AB8"/>
    <w:rsid w:val="38983C5D"/>
    <w:rsid w:val="38FC104D"/>
    <w:rsid w:val="3937602F"/>
    <w:rsid w:val="3A2A3C6D"/>
    <w:rsid w:val="3A2D4668"/>
    <w:rsid w:val="3A9A7FA1"/>
    <w:rsid w:val="3AC32373"/>
    <w:rsid w:val="3B7122E1"/>
    <w:rsid w:val="3BAA0B61"/>
    <w:rsid w:val="3BB330B3"/>
    <w:rsid w:val="3BFA01DD"/>
    <w:rsid w:val="3CAF103E"/>
    <w:rsid w:val="3E963E1E"/>
    <w:rsid w:val="3EA32B6B"/>
    <w:rsid w:val="3EE50076"/>
    <w:rsid w:val="3EF64583"/>
    <w:rsid w:val="3F366671"/>
    <w:rsid w:val="3F3F4818"/>
    <w:rsid w:val="3F4D35B3"/>
    <w:rsid w:val="3F7B0DBB"/>
    <w:rsid w:val="3FB96353"/>
    <w:rsid w:val="3FE54C90"/>
    <w:rsid w:val="403401BB"/>
    <w:rsid w:val="403D28FF"/>
    <w:rsid w:val="40660C0F"/>
    <w:rsid w:val="40670104"/>
    <w:rsid w:val="406B4562"/>
    <w:rsid w:val="40AB66C0"/>
    <w:rsid w:val="40ED3D97"/>
    <w:rsid w:val="412D4353"/>
    <w:rsid w:val="41B96ADF"/>
    <w:rsid w:val="41C84B98"/>
    <w:rsid w:val="41C939A2"/>
    <w:rsid w:val="420E58AF"/>
    <w:rsid w:val="428341CB"/>
    <w:rsid w:val="42D449EF"/>
    <w:rsid w:val="42D95949"/>
    <w:rsid w:val="43F24E8D"/>
    <w:rsid w:val="442F763C"/>
    <w:rsid w:val="449F5312"/>
    <w:rsid w:val="451347D3"/>
    <w:rsid w:val="45E00A66"/>
    <w:rsid w:val="466808D5"/>
    <w:rsid w:val="469B1920"/>
    <w:rsid w:val="46B37E3F"/>
    <w:rsid w:val="46E54B82"/>
    <w:rsid w:val="46E900DD"/>
    <w:rsid w:val="473676D8"/>
    <w:rsid w:val="47843909"/>
    <w:rsid w:val="47F0530C"/>
    <w:rsid w:val="486B7999"/>
    <w:rsid w:val="489C1AFE"/>
    <w:rsid w:val="494C160A"/>
    <w:rsid w:val="4A3F5C2C"/>
    <w:rsid w:val="4A5D7244"/>
    <w:rsid w:val="4ABE2985"/>
    <w:rsid w:val="4B156A53"/>
    <w:rsid w:val="4B993508"/>
    <w:rsid w:val="4C2F45B9"/>
    <w:rsid w:val="4CC5541E"/>
    <w:rsid w:val="4D116269"/>
    <w:rsid w:val="4D1B5CC0"/>
    <w:rsid w:val="4E050CCB"/>
    <w:rsid w:val="4E2859C1"/>
    <w:rsid w:val="4E8C2E59"/>
    <w:rsid w:val="4EAB6255"/>
    <w:rsid w:val="4F315F01"/>
    <w:rsid w:val="4FC467BF"/>
    <w:rsid w:val="51011ED1"/>
    <w:rsid w:val="514753CA"/>
    <w:rsid w:val="51526200"/>
    <w:rsid w:val="51681073"/>
    <w:rsid w:val="518261EA"/>
    <w:rsid w:val="51D851B8"/>
    <w:rsid w:val="52EB45D0"/>
    <w:rsid w:val="532F77DB"/>
    <w:rsid w:val="536E2BB9"/>
    <w:rsid w:val="53703DC0"/>
    <w:rsid w:val="538A27CE"/>
    <w:rsid w:val="539D62F4"/>
    <w:rsid w:val="53BD4A1D"/>
    <w:rsid w:val="541E2480"/>
    <w:rsid w:val="54DA46FF"/>
    <w:rsid w:val="55737012"/>
    <w:rsid w:val="56120566"/>
    <w:rsid w:val="56124B65"/>
    <w:rsid w:val="56D16AAD"/>
    <w:rsid w:val="56DB3A4D"/>
    <w:rsid w:val="5704016B"/>
    <w:rsid w:val="57BC4437"/>
    <w:rsid w:val="57F642CD"/>
    <w:rsid w:val="58AC259D"/>
    <w:rsid w:val="59346D65"/>
    <w:rsid w:val="5977631F"/>
    <w:rsid w:val="59A45CE3"/>
    <w:rsid w:val="59D84C1D"/>
    <w:rsid w:val="59F77016"/>
    <w:rsid w:val="5A440FF4"/>
    <w:rsid w:val="5B3924C2"/>
    <w:rsid w:val="5BE066B5"/>
    <w:rsid w:val="5CFF39E2"/>
    <w:rsid w:val="5E270AC5"/>
    <w:rsid w:val="5E3B6437"/>
    <w:rsid w:val="5E97697D"/>
    <w:rsid w:val="5F590A11"/>
    <w:rsid w:val="5F941DAF"/>
    <w:rsid w:val="60426002"/>
    <w:rsid w:val="604336F8"/>
    <w:rsid w:val="60584187"/>
    <w:rsid w:val="61044D01"/>
    <w:rsid w:val="61E05706"/>
    <w:rsid w:val="62C25EB2"/>
    <w:rsid w:val="637A7352"/>
    <w:rsid w:val="63FC2E70"/>
    <w:rsid w:val="64AA0F5F"/>
    <w:rsid w:val="6538204A"/>
    <w:rsid w:val="65715103"/>
    <w:rsid w:val="65C27A89"/>
    <w:rsid w:val="65F85DCB"/>
    <w:rsid w:val="6600202A"/>
    <w:rsid w:val="66617875"/>
    <w:rsid w:val="675F41CD"/>
    <w:rsid w:val="67627783"/>
    <w:rsid w:val="679E79E5"/>
    <w:rsid w:val="6860396B"/>
    <w:rsid w:val="68AD777B"/>
    <w:rsid w:val="68B0246E"/>
    <w:rsid w:val="68D32F80"/>
    <w:rsid w:val="68F45446"/>
    <w:rsid w:val="68FC3A8E"/>
    <w:rsid w:val="69263634"/>
    <w:rsid w:val="6A1E59F2"/>
    <w:rsid w:val="6A8A3A04"/>
    <w:rsid w:val="6A8C0523"/>
    <w:rsid w:val="6AF1145F"/>
    <w:rsid w:val="6B1A391A"/>
    <w:rsid w:val="6B9D0DDD"/>
    <w:rsid w:val="6C9D4D51"/>
    <w:rsid w:val="6CBC4C43"/>
    <w:rsid w:val="6CC43660"/>
    <w:rsid w:val="6CE11A5E"/>
    <w:rsid w:val="6D455D45"/>
    <w:rsid w:val="6DBC2110"/>
    <w:rsid w:val="6DD12CD1"/>
    <w:rsid w:val="6DF300EA"/>
    <w:rsid w:val="6DFD2316"/>
    <w:rsid w:val="6EB07BBD"/>
    <w:rsid w:val="6EE161C0"/>
    <w:rsid w:val="6F4A485D"/>
    <w:rsid w:val="6F7E1571"/>
    <w:rsid w:val="6FB4741C"/>
    <w:rsid w:val="6FB941BB"/>
    <w:rsid w:val="6FD1723C"/>
    <w:rsid w:val="709A1EF7"/>
    <w:rsid w:val="70C31CC8"/>
    <w:rsid w:val="71405950"/>
    <w:rsid w:val="716F27E5"/>
    <w:rsid w:val="72C10C3C"/>
    <w:rsid w:val="73042EE0"/>
    <w:rsid w:val="741F06F3"/>
    <w:rsid w:val="748054A6"/>
    <w:rsid w:val="748C1B89"/>
    <w:rsid w:val="74B54B67"/>
    <w:rsid w:val="75502750"/>
    <w:rsid w:val="75513D9F"/>
    <w:rsid w:val="75B3022C"/>
    <w:rsid w:val="765538FC"/>
    <w:rsid w:val="76BC0F7F"/>
    <w:rsid w:val="770756AF"/>
    <w:rsid w:val="7752478D"/>
    <w:rsid w:val="775F2991"/>
    <w:rsid w:val="77E55936"/>
    <w:rsid w:val="78134003"/>
    <w:rsid w:val="784928A0"/>
    <w:rsid w:val="7A0113FB"/>
    <w:rsid w:val="7BB61B88"/>
    <w:rsid w:val="7C3015DB"/>
    <w:rsid w:val="7C3C63D0"/>
    <w:rsid w:val="7C4026C0"/>
    <w:rsid w:val="7C48041C"/>
    <w:rsid w:val="7CB94D1B"/>
    <w:rsid w:val="7CE0043F"/>
    <w:rsid w:val="7D300C9C"/>
    <w:rsid w:val="7D5331AD"/>
    <w:rsid w:val="7DB45ECA"/>
    <w:rsid w:val="7EA71181"/>
    <w:rsid w:val="7F500678"/>
    <w:rsid w:val="7F636680"/>
    <w:rsid w:val="7FA36CA5"/>
    <w:rsid w:val="7FE6116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99" w:semiHidden="0"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iPriority="99" w:semiHidden="0" w:name="Body Text Indent 2"/>
    <w:lsdException w:qFormat="1" w:uiPriority="99"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iPriority="99" w:semiHidden="0" w:name="HTML Preformatted"/>
    <w:lsdException w:qFormat="1" w:unhideWhenUsed="0" w:uiPriority="99" w:semiHidden="0" w:name="HTML Sample"/>
    <w:lsdException w:uiPriority="99" w:name="HTML Typewriter"/>
    <w:lsdException w:qFormat="1" w:unhideWhenUsed="0" w:uiPriority="99" w:semiHidden="0" w:name="HTML Variable"/>
    <w:lsdException w:qFormat="1" w:uiPriority="99" w:semiHidden="0"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4"/>
      <w:szCs w:val="22"/>
      <w:lang w:val="en-US" w:eastAsia="zh-CN" w:bidi="ar-SA"/>
    </w:rPr>
  </w:style>
  <w:style w:type="paragraph" w:styleId="2">
    <w:name w:val="heading 1"/>
    <w:basedOn w:val="1"/>
    <w:next w:val="1"/>
    <w:qFormat/>
    <w:locked/>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21">
    <w:name w:val="Default Paragraph Font"/>
    <w:semiHidden/>
    <w:qFormat/>
    <w:uiPriority w:val="99"/>
  </w:style>
  <w:style w:type="table" w:default="1" w:styleId="19">
    <w:name w:val="Normal Table"/>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pPr>
    <w:rPr>
      <w:szCs w:val="20"/>
    </w:rPr>
  </w:style>
  <w:style w:type="paragraph" w:styleId="4">
    <w:name w:val="annotation text"/>
    <w:basedOn w:val="1"/>
    <w:link w:val="40"/>
    <w:semiHidden/>
    <w:qFormat/>
    <w:uiPriority w:val="99"/>
    <w:pPr>
      <w:jc w:val="left"/>
    </w:pPr>
  </w:style>
  <w:style w:type="paragraph" w:styleId="5">
    <w:name w:val="Body Text"/>
    <w:basedOn w:val="1"/>
    <w:unhideWhenUsed/>
    <w:qFormat/>
    <w:uiPriority w:val="99"/>
    <w:pPr>
      <w:spacing w:after="120"/>
    </w:pPr>
    <w:rPr>
      <w:rFonts w:ascii="Times New Roman" w:hAnsi="Times New Roman" w:eastAsia="宋体" w:cs="Times New Roman"/>
    </w:rPr>
  </w:style>
  <w:style w:type="paragraph" w:styleId="6">
    <w:name w:val="Body Text Indent"/>
    <w:basedOn w:val="1"/>
    <w:link w:val="35"/>
    <w:qFormat/>
    <w:uiPriority w:val="99"/>
    <w:pPr>
      <w:ind w:left="720"/>
    </w:pPr>
    <w:rPr>
      <w:sz w:val="28"/>
    </w:rPr>
  </w:style>
  <w:style w:type="paragraph" w:styleId="7">
    <w:name w:val="Plain Text"/>
    <w:basedOn w:val="1"/>
    <w:link w:val="36"/>
    <w:qFormat/>
    <w:uiPriority w:val="99"/>
    <w:rPr>
      <w:rFonts w:ascii="宋体" w:hAnsi="Courier New" w:eastAsia="Times New Roman"/>
      <w:sz w:val="28"/>
    </w:rPr>
  </w:style>
  <w:style w:type="paragraph" w:styleId="8">
    <w:name w:val="Date"/>
    <w:basedOn w:val="1"/>
    <w:next w:val="1"/>
    <w:link w:val="37"/>
    <w:qFormat/>
    <w:uiPriority w:val="99"/>
    <w:rPr>
      <w:sz w:val="28"/>
    </w:rPr>
  </w:style>
  <w:style w:type="paragraph" w:styleId="9">
    <w:name w:val="Body Text Indent 2"/>
    <w:basedOn w:val="1"/>
    <w:unhideWhenUsed/>
    <w:qFormat/>
    <w:uiPriority w:val="99"/>
    <w:pPr>
      <w:spacing w:line="540" w:lineRule="exact"/>
      <w:ind w:firstLine="627"/>
    </w:pPr>
    <w:rPr>
      <w:rFonts w:eastAsia="方正仿宋简体"/>
      <w:sz w:val="28"/>
    </w:rPr>
  </w:style>
  <w:style w:type="paragraph" w:styleId="10">
    <w:name w:val="Balloon Text"/>
    <w:basedOn w:val="1"/>
    <w:link w:val="42"/>
    <w:semiHidden/>
    <w:qFormat/>
    <w:uiPriority w:val="99"/>
    <w:rPr>
      <w:sz w:val="18"/>
      <w:szCs w:val="18"/>
    </w:rPr>
  </w:style>
  <w:style w:type="paragraph" w:styleId="11">
    <w:name w:val="footer"/>
    <w:basedOn w:val="1"/>
    <w:link w:val="38"/>
    <w:qFormat/>
    <w:uiPriority w:val="99"/>
    <w:pPr>
      <w:tabs>
        <w:tab w:val="center" w:pos="4153"/>
        <w:tab w:val="right" w:pos="8306"/>
      </w:tabs>
      <w:snapToGrid w:val="0"/>
      <w:jc w:val="left"/>
    </w:pPr>
    <w:rPr>
      <w:sz w:val="18"/>
      <w:szCs w:val="18"/>
    </w:rPr>
  </w:style>
  <w:style w:type="paragraph" w:styleId="12">
    <w:name w:val="header"/>
    <w:basedOn w:val="1"/>
    <w:link w:val="39"/>
    <w:qFormat/>
    <w:uiPriority w:val="99"/>
    <w:pPr>
      <w:pBdr>
        <w:bottom w:val="single" w:color="auto" w:sz="6" w:space="1"/>
      </w:pBdr>
      <w:tabs>
        <w:tab w:val="center" w:pos="4153"/>
        <w:tab w:val="right" w:pos="8306"/>
      </w:tabs>
      <w:snapToGrid w:val="0"/>
      <w:jc w:val="center"/>
    </w:pPr>
    <w:rPr>
      <w:sz w:val="18"/>
      <w:szCs w:val="18"/>
    </w:rPr>
  </w:style>
  <w:style w:type="paragraph" w:styleId="13">
    <w:name w:val="List"/>
    <w:basedOn w:val="1"/>
    <w:next w:val="1"/>
    <w:unhideWhenUsed/>
    <w:qFormat/>
    <w:uiPriority w:val="99"/>
    <w:pPr>
      <w:ind w:left="420" w:hanging="420"/>
    </w:pPr>
  </w:style>
  <w:style w:type="paragraph" w:styleId="14">
    <w:name w:val="Body Text Indent 3"/>
    <w:basedOn w:val="1"/>
    <w:unhideWhenUsed/>
    <w:qFormat/>
    <w:uiPriority w:val="99"/>
    <w:pPr>
      <w:spacing w:after="120" w:afterLines="0" w:afterAutospacing="0"/>
      <w:ind w:left="420" w:leftChars="200"/>
    </w:pPr>
    <w:rPr>
      <w:sz w:val="16"/>
    </w:rPr>
  </w:style>
  <w:style w:type="paragraph" w:styleId="15">
    <w:name w:val="HTML Preformatted"/>
    <w:unhideWhenUsed/>
    <w:qFormat/>
    <w:uiPriority w:val="99"/>
    <w:rPr>
      <w:rFonts w:ascii="Courier New" w:hAnsi="Courier New" w:eastAsia="宋体" w:cs="Times New Roman"/>
      <w:sz w:val="20"/>
    </w:rPr>
  </w:style>
  <w:style w:type="paragraph" w:styleId="16">
    <w:name w:val="Normal (Web)"/>
    <w:basedOn w:val="1"/>
    <w:qFormat/>
    <w:uiPriority w:val="99"/>
    <w:pPr>
      <w:jc w:val="left"/>
    </w:pPr>
    <w:rPr>
      <w:kern w:val="0"/>
      <w:sz w:val="24"/>
    </w:rPr>
  </w:style>
  <w:style w:type="paragraph" w:styleId="17">
    <w:name w:val="annotation subject"/>
    <w:basedOn w:val="4"/>
    <w:next w:val="4"/>
    <w:link w:val="41"/>
    <w:semiHidden/>
    <w:qFormat/>
    <w:uiPriority w:val="99"/>
    <w:rPr>
      <w:b/>
      <w:bCs/>
    </w:rPr>
  </w:style>
  <w:style w:type="paragraph" w:styleId="18">
    <w:name w:val="Body Text First Indent 2"/>
    <w:next w:val="15"/>
    <w:unhideWhenUsed/>
    <w:qFormat/>
    <w:uiPriority w:val="99"/>
    <w:pPr>
      <w:spacing w:line="360" w:lineRule="auto"/>
      <w:ind w:firstLine="420" w:firstLineChars="200"/>
    </w:pPr>
    <w:rPr>
      <w:rFonts w:ascii="Times New Roman" w:hAnsi="Times New Roman" w:eastAsia="宋体" w:cs="Times New Roman"/>
      <w:sz w:val="24"/>
    </w:rPr>
  </w:style>
  <w:style w:type="table" w:styleId="20">
    <w:name w:val="Table Grid"/>
    <w:basedOn w:val="19"/>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99"/>
    <w:rPr>
      <w:rFonts w:cs="Times New Roman"/>
      <w:b/>
    </w:rPr>
  </w:style>
  <w:style w:type="character" w:styleId="23">
    <w:name w:val="page number"/>
    <w:basedOn w:val="21"/>
    <w:qFormat/>
    <w:uiPriority w:val="99"/>
    <w:rPr>
      <w:rFonts w:cs="Times New Roman"/>
    </w:rPr>
  </w:style>
  <w:style w:type="character" w:styleId="24">
    <w:name w:val="FollowedHyperlink"/>
    <w:basedOn w:val="21"/>
    <w:qFormat/>
    <w:uiPriority w:val="99"/>
    <w:rPr>
      <w:rFonts w:cs="Times New Roman"/>
      <w:color w:val="338DE6"/>
      <w:u w:val="none"/>
    </w:rPr>
  </w:style>
  <w:style w:type="character" w:styleId="25">
    <w:name w:val="Emphasis"/>
    <w:basedOn w:val="21"/>
    <w:qFormat/>
    <w:uiPriority w:val="99"/>
    <w:rPr>
      <w:rFonts w:cs="Times New Roman"/>
    </w:rPr>
  </w:style>
  <w:style w:type="character" w:styleId="26">
    <w:name w:val="HTML Definition"/>
    <w:basedOn w:val="21"/>
    <w:qFormat/>
    <w:uiPriority w:val="99"/>
    <w:rPr>
      <w:rFonts w:cs="Times New Roman"/>
    </w:rPr>
  </w:style>
  <w:style w:type="character" w:styleId="27">
    <w:name w:val="HTML Acronym"/>
    <w:basedOn w:val="21"/>
    <w:qFormat/>
    <w:uiPriority w:val="99"/>
    <w:rPr>
      <w:rFonts w:cs="Times New Roman"/>
    </w:rPr>
  </w:style>
  <w:style w:type="character" w:styleId="28">
    <w:name w:val="HTML Variable"/>
    <w:basedOn w:val="21"/>
    <w:qFormat/>
    <w:uiPriority w:val="99"/>
    <w:rPr>
      <w:rFonts w:cs="Times New Roman"/>
    </w:rPr>
  </w:style>
  <w:style w:type="character" w:styleId="29">
    <w:name w:val="Hyperlink"/>
    <w:basedOn w:val="21"/>
    <w:qFormat/>
    <w:uiPriority w:val="99"/>
    <w:rPr>
      <w:rFonts w:cs="Times New Roman"/>
      <w:color w:val="338DE6"/>
      <w:u w:val="none"/>
    </w:rPr>
  </w:style>
  <w:style w:type="character" w:styleId="30">
    <w:name w:val="HTML Code"/>
    <w:basedOn w:val="21"/>
    <w:qFormat/>
    <w:uiPriority w:val="99"/>
    <w:rPr>
      <w:rFonts w:ascii="monospace" w:hAnsi="monospace" w:cs="monospace"/>
      <w:sz w:val="21"/>
      <w:szCs w:val="21"/>
    </w:rPr>
  </w:style>
  <w:style w:type="character" w:styleId="31">
    <w:name w:val="annotation reference"/>
    <w:basedOn w:val="21"/>
    <w:semiHidden/>
    <w:qFormat/>
    <w:uiPriority w:val="99"/>
    <w:rPr>
      <w:rFonts w:cs="Times New Roman"/>
      <w:sz w:val="21"/>
      <w:szCs w:val="21"/>
    </w:rPr>
  </w:style>
  <w:style w:type="character" w:styleId="32">
    <w:name w:val="HTML Cite"/>
    <w:basedOn w:val="21"/>
    <w:qFormat/>
    <w:uiPriority w:val="99"/>
    <w:rPr>
      <w:rFonts w:cs="Times New Roman"/>
    </w:rPr>
  </w:style>
  <w:style w:type="character" w:styleId="33">
    <w:name w:val="HTML Keyboard"/>
    <w:basedOn w:val="21"/>
    <w:qFormat/>
    <w:uiPriority w:val="99"/>
    <w:rPr>
      <w:rFonts w:ascii="monospace" w:hAnsi="monospace" w:cs="monospace"/>
      <w:sz w:val="21"/>
      <w:szCs w:val="21"/>
    </w:rPr>
  </w:style>
  <w:style w:type="character" w:styleId="34">
    <w:name w:val="HTML Sample"/>
    <w:basedOn w:val="21"/>
    <w:qFormat/>
    <w:uiPriority w:val="99"/>
    <w:rPr>
      <w:rFonts w:ascii="monospace" w:hAnsi="monospace" w:cs="monospace"/>
      <w:sz w:val="21"/>
      <w:szCs w:val="21"/>
    </w:rPr>
  </w:style>
  <w:style w:type="character" w:customStyle="1" w:styleId="35">
    <w:name w:val="Body Text Indent Char"/>
    <w:basedOn w:val="21"/>
    <w:link w:val="6"/>
    <w:semiHidden/>
    <w:qFormat/>
    <w:locked/>
    <w:uiPriority w:val="99"/>
    <w:rPr>
      <w:rFonts w:ascii="Calibri" w:hAnsi="Calibri" w:cs="Times New Roman"/>
    </w:rPr>
  </w:style>
  <w:style w:type="character" w:customStyle="1" w:styleId="36">
    <w:name w:val="Plain Text Char"/>
    <w:basedOn w:val="21"/>
    <w:link w:val="7"/>
    <w:semiHidden/>
    <w:qFormat/>
    <w:locked/>
    <w:uiPriority w:val="99"/>
    <w:rPr>
      <w:rFonts w:ascii="宋体" w:hAnsi="Courier New" w:cs="Courier New"/>
      <w:sz w:val="21"/>
      <w:szCs w:val="21"/>
    </w:rPr>
  </w:style>
  <w:style w:type="character" w:customStyle="1" w:styleId="37">
    <w:name w:val="Date Char"/>
    <w:basedOn w:val="21"/>
    <w:link w:val="8"/>
    <w:semiHidden/>
    <w:qFormat/>
    <w:locked/>
    <w:uiPriority w:val="99"/>
    <w:rPr>
      <w:rFonts w:ascii="Calibri" w:hAnsi="Calibri" w:cs="Times New Roman"/>
    </w:rPr>
  </w:style>
  <w:style w:type="character" w:customStyle="1" w:styleId="38">
    <w:name w:val="Footer Char"/>
    <w:basedOn w:val="21"/>
    <w:link w:val="11"/>
    <w:semiHidden/>
    <w:qFormat/>
    <w:locked/>
    <w:uiPriority w:val="99"/>
    <w:rPr>
      <w:rFonts w:ascii="Calibri" w:hAnsi="Calibri" w:cs="Times New Roman"/>
      <w:sz w:val="18"/>
      <w:szCs w:val="18"/>
    </w:rPr>
  </w:style>
  <w:style w:type="character" w:customStyle="1" w:styleId="39">
    <w:name w:val="Header Char"/>
    <w:basedOn w:val="21"/>
    <w:link w:val="12"/>
    <w:semiHidden/>
    <w:qFormat/>
    <w:locked/>
    <w:uiPriority w:val="99"/>
    <w:rPr>
      <w:rFonts w:ascii="Calibri" w:hAnsi="Calibri" w:cs="Times New Roman"/>
      <w:sz w:val="18"/>
      <w:szCs w:val="18"/>
    </w:rPr>
  </w:style>
  <w:style w:type="character" w:customStyle="1" w:styleId="40">
    <w:name w:val="Comment Text Char"/>
    <w:basedOn w:val="21"/>
    <w:link w:val="4"/>
    <w:semiHidden/>
    <w:qFormat/>
    <w:uiPriority w:val="99"/>
    <w:rPr>
      <w:rFonts w:ascii="Calibri" w:hAnsi="Calibri"/>
    </w:rPr>
  </w:style>
  <w:style w:type="character" w:customStyle="1" w:styleId="41">
    <w:name w:val="Comment Subject Char"/>
    <w:basedOn w:val="40"/>
    <w:link w:val="17"/>
    <w:semiHidden/>
    <w:qFormat/>
    <w:uiPriority w:val="99"/>
    <w:rPr>
      <w:b/>
      <w:bCs/>
    </w:rPr>
  </w:style>
  <w:style w:type="character" w:customStyle="1" w:styleId="42">
    <w:name w:val="Balloon Text Char"/>
    <w:basedOn w:val="21"/>
    <w:link w:val="10"/>
    <w:semiHidden/>
    <w:qFormat/>
    <w:uiPriority w:val="99"/>
    <w:rPr>
      <w:rFonts w:ascii="Calibri" w:hAnsi="Calibri"/>
      <w:sz w:val="0"/>
      <w:szCs w:val="0"/>
    </w:rPr>
  </w:style>
  <w:style w:type="paragraph" w:customStyle="1" w:styleId="43">
    <w:name w:val="Default"/>
    <w:unhideWhenUsed/>
    <w:qFormat/>
    <w:uiPriority w:val="99"/>
    <w:pPr>
      <w:widowControl w:val="0"/>
      <w:autoSpaceDE w:val="0"/>
      <w:autoSpaceDN w:val="0"/>
      <w:adjustRightInd w:val="0"/>
      <w:spacing w:beforeLines="0" w:afterLines="0"/>
    </w:pPr>
    <w:rPr>
      <w:rFonts w:hint="default" w:ascii="宋体" w:hAnsi="宋体" w:eastAsia="宋体" w:cs="Times New Roman"/>
      <w:color w:val="000000"/>
      <w:sz w:val="24"/>
    </w:rPr>
  </w:style>
  <w:style w:type="paragraph" w:customStyle="1" w:styleId="44">
    <w:name w:val="农贸市场正文"/>
    <w:basedOn w:val="1"/>
    <w:qFormat/>
    <w:uiPriority w:val="0"/>
    <w:pPr>
      <w:spacing w:line="360" w:lineRule="auto"/>
      <w:ind w:firstLine="200" w:firstLineChars="200"/>
      <w:jc w:val="left"/>
    </w:pPr>
    <w:rPr>
      <w:snapToGrid w:val="0"/>
      <w:color w:val="000000"/>
      <w:kern w:val="0"/>
      <w:sz w:val="24"/>
      <w:szCs w:val="24"/>
    </w:rPr>
  </w:style>
  <w:style w:type="paragraph" w:customStyle="1" w:styleId="45">
    <w:name w:val="样式 宋体 首行缩进:  2 字符 段前: 自动 段后: 自动"/>
    <w:basedOn w:val="1"/>
    <w:qFormat/>
    <w:uiPriority w:val="0"/>
    <w:pPr>
      <w:spacing w:line="360" w:lineRule="auto"/>
      <w:ind w:firstLine="480" w:firstLineChars="200"/>
    </w:pPr>
    <w:rPr>
      <w:rFonts w:ascii="宋体" w:hAnsi="宋体" w:cs="宋体"/>
      <w:sz w:val="24"/>
    </w:rPr>
  </w:style>
  <w:style w:type="paragraph" w:customStyle="1" w:styleId="46">
    <w:name w:val="注居中"/>
    <w:basedOn w:val="1"/>
    <w:qFormat/>
    <w:uiPriority w:val="0"/>
    <w:pPr>
      <w:adjustRightInd w:val="0"/>
      <w:ind w:left="-107" w:leftChars="-51" w:right="-122" w:rightChars="-58"/>
      <w:jc w:val="center"/>
      <w:textAlignment w:val="baseline"/>
    </w:pPr>
    <w:rPr>
      <w:rFonts w:ascii="宋体" w:hAnsi="宋体"/>
      <w:color w:val="000000"/>
    </w:rPr>
  </w:style>
  <w:style w:type="paragraph" w:customStyle="1" w:styleId="47">
    <w:name w:val="报告表正文"/>
    <w:basedOn w:val="1"/>
    <w:qFormat/>
    <w:uiPriority w:val="0"/>
    <w:pPr>
      <w:adjustRightInd w:val="0"/>
      <w:spacing w:line="312" w:lineRule="auto"/>
      <w:ind w:left="113" w:right="113" w:firstLine="482"/>
      <w:jc w:val="left"/>
      <w:textAlignment w:val="baseline"/>
    </w:pPr>
    <w:rPr>
      <w:kern w:val="0"/>
      <w:sz w:val="24"/>
    </w:rPr>
  </w:style>
  <w:style w:type="paragraph" w:customStyle="1" w:styleId="48">
    <w:name w:val="表内容"/>
    <w:basedOn w:val="1"/>
    <w:next w:val="1"/>
    <w:qFormat/>
    <w:uiPriority w:val="0"/>
    <w:pPr>
      <w:spacing w:line="240" w:lineRule="auto"/>
      <w:ind w:firstLine="0" w:firstLineChars="0"/>
      <w:jc w:val="center"/>
    </w:pPr>
    <w:rPr>
      <w:rFonts w:ascii="Times New Roman" w:hAnsi="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oleObject" Target="embeddings/oleObject4.bin"/><Relationship Id="rId16" Type="http://schemas.openxmlformats.org/officeDocument/2006/relationships/image" Target="media/image8.png"/><Relationship Id="rId15" Type="http://schemas.openxmlformats.org/officeDocument/2006/relationships/image" Target="media/image7.wmf"/><Relationship Id="rId14" Type="http://schemas.openxmlformats.org/officeDocument/2006/relationships/oleObject" Target="embeddings/oleObject3.bin"/><Relationship Id="rId13" Type="http://schemas.openxmlformats.org/officeDocument/2006/relationships/image" Target="media/image6.png"/><Relationship Id="rId12" Type="http://schemas.openxmlformats.org/officeDocument/2006/relationships/image" Target="media/image5.jpeg"/><Relationship Id="rId11" Type="http://schemas.openxmlformats.org/officeDocument/2006/relationships/image" Target="media/image4.e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28"/>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jy</Company>
  <Pages>76</Pages>
  <Words>10790</Words>
  <Characters>12845</Characters>
  <Lines>0</Lines>
  <Paragraphs>0</Paragraphs>
  <TotalTime>4</TotalTime>
  <ScaleCrop>false</ScaleCrop>
  <LinksUpToDate>false</LinksUpToDate>
  <CharactersWithSpaces>13431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2016-12-21T03:17:00Z</dcterms:created>
  <dc:creator>zhanghc0916</dc:creator>
  <cp:lastModifiedBy>小麦啾</cp:lastModifiedBy>
  <cp:lastPrinted>2017-05-09T03:59:00Z</cp:lastPrinted>
  <dcterms:modified xsi:type="dcterms:W3CDTF">2025-11-18T10:32:35Z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eyJoZGlkIjoiM2Q5NDlmNDc3N2ZkYzk3ZGJmOTUwNTM0Mzc5MTVlNDMiLCJ1c2VySWQiOiIzMjQ5NjUzODcifQ==</vt:lpwstr>
  </property>
  <property fmtid="{D5CDD505-2E9C-101B-9397-08002B2CF9AE}" pid="4" name="ICV">
    <vt:lpwstr>BC6BEB875D85470A8A134F1D0691FE73_12</vt:lpwstr>
  </property>
</Properties>
</file>