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BC9F8">
      <w:pPr>
        <w:rPr>
          <w:rFonts w:ascii="仿宋_GB2312" w:hAnsi="仿宋_GB2312" w:eastAsia="仿宋_GB2312" w:cs="仿宋_GB2312"/>
          <w:sz w:val="36"/>
          <w:szCs w:val="36"/>
        </w:rPr>
      </w:pPr>
    </w:p>
    <w:p w14:paraId="1FEBE298">
      <w:pPr>
        <w:rPr>
          <w:rFonts w:ascii="仿宋_GB2312" w:hAnsi="仿宋_GB2312" w:eastAsia="仿宋_GB2312" w:cs="仿宋_GB2312"/>
          <w:sz w:val="36"/>
          <w:szCs w:val="36"/>
        </w:rPr>
      </w:pPr>
    </w:p>
    <w:p w14:paraId="01BABA8A">
      <w:pPr>
        <w:rPr>
          <w:rFonts w:ascii="仿宋_GB2312" w:hAnsi="仿宋_GB2312" w:eastAsia="仿宋_GB2312" w:cs="仿宋_GB2312"/>
          <w:sz w:val="36"/>
          <w:szCs w:val="36"/>
        </w:rPr>
      </w:pPr>
    </w:p>
    <w:p w14:paraId="76B7DDA7">
      <w:pPr>
        <w:rPr>
          <w:rFonts w:ascii="仿宋_GB2312" w:hAnsi="仿宋_GB2312" w:eastAsia="仿宋_GB2312" w:cs="仿宋_GB2312"/>
          <w:sz w:val="36"/>
          <w:szCs w:val="36"/>
        </w:rPr>
      </w:pPr>
    </w:p>
    <w:p w14:paraId="2892A3C1">
      <w:pPr>
        <w:rPr>
          <w:rFonts w:hint="eastAsia" w:ascii="仿宋_GB2312" w:hAnsi="仿宋_GB2312" w:eastAsia="仿宋_GB2312" w:cs="仿宋_GB2312"/>
          <w:sz w:val="36"/>
          <w:szCs w:val="36"/>
        </w:rPr>
      </w:pPr>
    </w:p>
    <w:p w14:paraId="65AEE85B">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14:paraId="12BF8F65">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1BD8A01B">
      <w:pPr>
        <w:bidi w:val="0"/>
      </w:pPr>
    </w:p>
    <w:p w14:paraId="141778E4">
      <w:pPr>
        <w:jc w:val="center"/>
        <w:rPr>
          <w:rFonts w:eastAsia="仿宋"/>
          <w:sz w:val="52"/>
          <w:szCs w:val="52"/>
        </w:rPr>
      </w:pPr>
    </w:p>
    <w:p w14:paraId="3EE90D0E">
      <w:pPr>
        <w:ind w:firstLine="1040"/>
        <w:rPr>
          <w:rFonts w:eastAsia="仿宋"/>
          <w:sz w:val="44"/>
          <w:szCs w:val="44"/>
        </w:rPr>
      </w:pPr>
    </w:p>
    <w:p w14:paraId="2F3D8C6C">
      <w:pPr>
        <w:pStyle w:val="13"/>
      </w:pPr>
    </w:p>
    <w:p w14:paraId="6B6B42AB">
      <w:pPr>
        <w:ind w:firstLine="1040"/>
        <w:rPr>
          <w:rFonts w:eastAsia="仿宋"/>
          <w:sz w:val="44"/>
          <w:szCs w:val="44"/>
        </w:rPr>
      </w:pPr>
    </w:p>
    <w:p w14:paraId="595F54D7">
      <w:pPr>
        <w:ind w:firstLine="1040"/>
        <w:rPr>
          <w:rFonts w:eastAsia="仿宋"/>
          <w:sz w:val="44"/>
          <w:szCs w:val="44"/>
        </w:rPr>
      </w:pPr>
    </w:p>
    <w:p w14:paraId="0AC37209">
      <w:pPr>
        <w:ind w:firstLine="1040"/>
        <w:rPr>
          <w:rFonts w:eastAsia="仿宋"/>
          <w:sz w:val="44"/>
          <w:szCs w:val="44"/>
        </w:rPr>
      </w:pPr>
    </w:p>
    <w:p w14:paraId="36220AB2">
      <w:pPr>
        <w:adjustRightInd w:val="0"/>
        <w:snapToGrid w:val="0"/>
        <w:spacing w:line="288" w:lineRule="auto"/>
        <w:ind w:firstLine="1040"/>
        <w:rPr>
          <w:rFonts w:hint="eastAsia" w:ascii="仿宋_GB2312" w:eastAsia="仿宋_GB2312"/>
          <w:sz w:val="32"/>
          <w:szCs w:val="32"/>
          <w:u w:val="single"/>
          <w:lang w:eastAsia="zh-CN"/>
        </w:rPr>
      </w:pPr>
      <w:r>
        <w:rPr>
          <w:rFonts w:hint="eastAsia" w:ascii="仿宋_GB2312" w:eastAsia="仿宋_GB2312"/>
          <w:sz w:val="36"/>
          <w:szCs w:val="36"/>
        </w:rPr>
        <w:t xml:space="preserve">项目名称：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新疆蓝山屯河科技股份有限</w:t>
      </w:r>
      <w:r>
        <w:rPr>
          <w:rFonts w:hint="eastAsia" w:ascii="仿宋_GB2312" w:eastAsia="仿宋_GB2312"/>
          <w:sz w:val="32"/>
          <w:szCs w:val="32"/>
          <w:u w:val="single"/>
          <w:lang w:eastAsia="zh-CN"/>
        </w:rPr>
        <w:t>公司中央研究</w:t>
      </w:r>
    </w:p>
    <w:p w14:paraId="6A12A1C5">
      <w:pPr>
        <w:adjustRightInd w:val="0"/>
        <w:snapToGrid w:val="0"/>
        <w:spacing w:line="288" w:lineRule="auto"/>
        <w:ind w:firstLine="2880" w:firstLineChars="900"/>
        <w:rPr>
          <w:rFonts w:hint="eastAsia" w:ascii="仿宋_GB2312" w:eastAsia="仿宋_GB2312"/>
          <w:sz w:val="36"/>
          <w:szCs w:val="36"/>
          <w:u w:val="single"/>
        </w:rPr>
      </w:pPr>
      <w:r>
        <w:rPr>
          <w:rFonts w:hint="eastAsia" w:ascii="仿宋_GB2312" w:eastAsia="仿宋_GB2312"/>
          <w:sz w:val="32"/>
          <w:szCs w:val="32"/>
          <w:u w:val="single"/>
          <w:lang w:eastAsia="zh-CN"/>
        </w:rPr>
        <w:t>院建设项目</w:t>
      </w:r>
      <w:r>
        <w:rPr>
          <w:rFonts w:hint="eastAsia" w:ascii="仿宋_GB2312" w:eastAsia="仿宋_GB2312"/>
          <w:sz w:val="32"/>
          <w:szCs w:val="32"/>
          <w:u w:val="single"/>
        </w:rPr>
        <w:t xml:space="preserve"> </w:t>
      </w:r>
    </w:p>
    <w:p w14:paraId="11D7F5F3">
      <w:pPr>
        <w:adjustRightInd w:val="0"/>
        <w:snapToGrid w:val="0"/>
        <w:spacing w:line="288" w:lineRule="auto"/>
        <w:ind w:firstLine="1040"/>
        <w:rPr>
          <w:rFonts w:ascii="仿宋_GB2312" w:eastAsia="仿宋_GB2312"/>
          <w:sz w:val="32"/>
          <w:szCs w:val="32"/>
          <w:u w:val="single"/>
        </w:rPr>
      </w:pPr>
      <w:r>
        <w:rPr>
          <w:rFonts w:hint="eastAsia" w:ascii="仿宋_GB2312" w:eastAsia="仿宋_GB2312"/>
          <w:sz w:val="36"/>
          <w:szCs w:val="36"/>
        </w:rPr>
        <w:t>建设单位（盖章）：</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新疆蓝山屯河科技股份有限公司</w:t>
      </w:r>
      <w:r>
        <w:rPr>
          <w:rFonts w:hint="eastAsia" w:ascii="仿宋_GB2312" w:eastAsia="仿宋_GB2312"/>
          <w:sz w:val="32"/>
          <w:szCs w:val="32"/>
          <w:u w:val="single"/>
        </w:rPr>
        <w:t xml:space="preserve"> </w:t>
      </w:r>
    </w:p>
    <w:p w14:paraId="5D6D8190">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2021年3月7日</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6149E2DC">
      <w:pPr>
        <w:adjustRightInd w:val="0"/>
        <w:snapToGrid w:val="0"/>
        <w:spacing w:line="288" w:lineRule="auto"/>
        <w:ind w:firstLine="1040"/>
        <w:rPr>
          <w:rFonts w:ascii="仿宋_GB2312" w:eastAsia="仿宋_GB2312"/>
          <w:sz w:val="36"/>
          <w:szCs w:val="36"/>
          <w:u w:val="single"/>
        </w:rPr>
      </w:pPr>
      <w:bookmarkStart w:id="0" w:name="_Hlk57884087"/>
    </w:p>
    <w:p w14:paraId="7F867606">
      <w:pPr>
        <w:adjustRightInd w:val="0"/>
        <w:snapToGrid w:val="0"/>
        <w:spacing w:line="288" w:lineRule="auto"/>
        <w:ind w:firstLine="1040"/>
        <w:rPr>
          <w:rFonts w:hint="eastAsia" w:ascii="仿宋_GB2312" w:eastAsia="仿宋_GB2312"/>
          <w:sz w:val="36"/>
          <w:szCs w:val="36"/>
        </w:rPr>
      </w:pPr>
    </w:p>
    <w:p w14:paraId="5193BFCC">
      <w:pPr>
        <w:adjustRightInd w:val="0"/>
        <w:snapToGrid w:val="0"/>
        <w:spacing w:line="288" w:lineRule="auto"/>
        <w:ind w:firstLine="1040"/>
        <w:rPr>
          <w:rFonts w:hint="eastAsia" w:ascii="仿宋_GB2312" w:eastAsia="仿宋_GB2312"/>
          <w:sz w:val="36"/>
          <w:szCs w:val="36"/>
        </w:rPr>
      </w:pPr>
    </w:p>
    <w:bookmarkEnd w:id="0"/>
    <w:p w14:paraId="7A147FD3">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14:paraId="3FA91A63">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3E43E233">
      <w:pPr>
        <w:pStyle w:val="14"/>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32"/>
        <w:gridCol w:w="1787"/>
        <w:gridCol w:w="2212"/>
        <w:gridCol w:w="2639"/>
      </w:tblGrid>
      <w:tr w14:paraId="1981B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2232" w:type="dxa"/>
            <w:noWrap w:val="0"/>
            <w:tcMar>
              <w:top w:w="16" w:type="dxa"/>
              <w:left w:w="16" w:type="dxa"/>
              <w:right w:w="16" w:type="dxa"/>
            </w:tcMar>
            <w:vAlign w:val="center"/>
          </w:tcPr>
          <w:p w14:paraId="159BC3F9">
            <w:pPr>
              <w:adjustRightInd w:val="0"/>
              <w:snapToGrid w:val="0"/>
              <w:jc w:val="center"/>
              <w:rPr>
                <w:rFonts w:ascii="宋体" w:hAnsi="宋体" w:cs="宋体"/>
                <w:szCs w:val="21"/>
              </w:rPr>
            </w:pPr>
            <w:r>
              <w:rPr>
                <w:rFonts w:hint="eastAsia" w:ascii="宋体" w:hAnsi="宋体" w:cs="宋体"/>
                <w:szCs w:val="21"/>
              </w:rPr>
              <w:t>建设项目名称</w:t>
            </w:r>
          </w:p>
        </w:tc>
        <w:tc>
          <w:tcPr>
            <w:tcW w:w="6638" w:type="dxa"/>
            <w:gridSpan w:val="3"/>
            <w:noWrap w:val="0"/>
            <w:vAlign w:val="center"/>
          </w:tcPr>
          <w:p w14:paraId="5D35EE10">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新疆蓝山屯河科技股份有限公司中央研究院建设项目</w:t>
            </w:r>
          </w:p>
        </w:tc>
      </w:tr>
      <w:tr w14:paraId="12E4F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232" w:type="dxa"/>
            <w:noWrap w:val="0"/>
            <w:tcMar>
              <w:top w:w="16" w:type="dxa"/>
              <w:left w:w="16" w:type="dxa"/>
              <w:right w:w="16" w:type="dxa"/>
            </w:tcMar>
            <w:vAlign w:val="center"/>
          </w:tcPr>
          <w:p w14:paraId="5EEBA91D">
            <w:pPr>
              <w:adjustRightInd w:val="0"/>
              <w:snapToGrid w:val="0"/>
              <w:jc w:val="center"/>
              <w:rPr>
                <w:rFonts w:ascii="宋体" w:hAnsi="宋体" w:cs="宋体"/>
                <w:szCs w:val="21"/>
              </w:rPr>
            </w:pPr>
            <w:r>
              <w:rPr>
                <w:rFonts w:hint="eastAsia" w:ascii="宋体" w:hAnsi="宋体" w:cs="宋体"/>
                <w:szCs w:val="21"/>
              </w:rPr>
              <w:t>项目代码</w:t>
            </w:r>
          </w:p>
        </w:tc>
        <w:tc>
          <w:tcPr>
            <w:tcW w:w="6638" w:type="dxa"/>
            <w:gridSpan w:val="3"/>
            <w:noWrap w:val="0"/>
            <w:vAlign w:val="center"/>
          </w:tcPr>
          <w:p w14:paraId="783BD64E">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2203-652312-07-01-683460</w:t>
            </w:r>
          </w:p>
        </w:tc>
      </w:tr>
      <w:tr w14:paraId="65056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232" w:type="dxa"/>
            <w:noWrap w:val="0"/>
            <w:tcMar>
              <w:top w:w="16" w:type="dxa"/>
              <w:left w:w="16" w:type="dxa"/>
              <w:right w:w="16" w:type="dxa"/>
            </w:tcMar>
            <w:vAlign w:val="center"/>
          </w:tcPr>
          <w:p w14:paraId="6B526739">
            <w:pPr>
              <w:adjustRightInd w:val="0"/>
              <w:snapToGrid w:val="0"/>
              <w:jc w:val="center"/>
              <w:rPr>
                <w:rFonts w:hint="eastAsia" w:ascii="宋体" w:hAnsi="宋体" w:cs="宋体"/>
                <w:szCs w:val="21"/>
              </w:rPr>
            </w:pPr>
            <w:r>
              <w:rPr>
                <w:rFonts w:hint="eastAsia" w:ascii="宋体" w:hAnsi="宋体" w:cs="宋体"/>
                <w:szCs w:val="21"/>
              </w:rPr>
              <w:t>建设单位联系人</w:t>
            </w:r>
          </w:p>
        </w:tc>
        <w:tc>
          <w:tcPr>
            <w:tcW w:w="1787" w:type="dxa"/>
            <w:noWrap w:val="0"/>
            <w:vAlign w:val="center"/>
          </w:tcPr>
          <w:p w14:paraId="43987097">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丁建萍</w:t>
            </w:r>
          </w:p>
        </w:tc>
        <w:tc>
          <w:tcPr>
            <w:tcW w:w="2212" w:type="dxa"/>
            <w:noWrap w:val="0"/>
            <w:vAlign w:val="center"/>
          </w:tcPr>
          <w:p w14:paraId="6F2AEEE2">
            <w:pPr>
              <w:adjustRightInd w:val="0"/>
              <w:snapToGrid w:val="0"/>
              <w:jc w:val="center"/>
              <w:rPr>
                <w:rFonts w:ascii="宋体" w:hAnsi="宋体" w:cs="宋体"/>
                <w:szCs w:val="21"/>
              </w:rPr>
            </w:pPr>
            <w:r>
              <w:rPr>
                <w:rFonts w:hint="eastAsia" w:ascii="宋体" w:hAnsi="宋体" w:cs="宋体"/>
                <w:szCs w:val="21"/>
              </w:rPr>
              <w:t>联系方式</w:t>
            </w:r>
          </w:p>
        </w:tc>
        <w:tc>
          <w:tcPr>
            <w:tcW w:w="2639" w:type="dxa"/>
            <w:noWrap w:val="0"/>
            <w:vAlign w:val="center"/>
          </w:tcPr>
          <w:p w14:paraId="67A79E4C">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13579415723</w:t>
            </w:r>
          </w:p>
        </w:tc>
      </w:tr>
      <w:tr w14:paraId="2DD4D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2" w:type="dxa"/>
            <w:noWrap w:val="0"/>
            <w:tcMar>
              <w:top w:w="16" w:type="dxa"/>
              <w:left w:w="16" w:type="dxa"/>
              <w:right w:w="16" w:type="dxa"/>
            </w:tcMar>
            <w:vAlign w:val="center"/>
          </w:tcPr>
          <w:p w14:paraId="204FD884">
            <w:pPr>
              <w:adjustRightInd w:val="0"/>
              <w:snapToGrid w:val="0"/>
              <w:jc w:val="center"/>
              <w:rPr>
                <w:rFonts w:ascii="宋体" w:hAnsi="宋体" w:cs="宋体"/>
                <w:szCs w:val="21"/>
              </w:rPr>
            </w:pPr>
            <w:r>
              <w:rPr>
                <w:rFonts w:hint="eastAsia" w:ascii="宋体" w:hAnsi="宋体" w:cs="宋体"/>
                <w:szCs w:val="21"/>
              </w:rPr>
              <w:t>建设地点</w:t>
            </w:r>
          </w:p>
        </w:tc>
        <w:tc>
          <w:tcPr>
            <w:tcW w:w="6638" w:type="dxa"/>
            <w:gridSpan w:val="3"/>
            <w:noWrap w:val="0"/>
            <w:vAlign w:val="center"/>
          </w:tcPr>
          <w:p w14:paraId="425F8313">
            <w:pPr>
              <w:adjustRightInd w:val="0"/>
              <w:snapToGrid w:val="0"/>
              <w:jc w:val="center"/>
              <w:rPr>
                <w:rFonts w:ascii="宋体" w:hAnsi="宋体" w:cs="宋体"/>
                <w:szCs w:val="21"/>
              </w:rPr>
            </w:pPr>
            <w:r>
              <w:rPr>
                <w:rFonts w:ascii="宋体" w:hAnsi="宋体" w:cs="宋体"/>
                <w:szCs w:val="21"/>
                <w:u w:val="single"/>
              </w:rPr>
              <w:t xml:space="preserve"> </w:t>
            </w:r>
            <w:r>
              <w:rPr>
                <w:rFonts w:hint="eastAsia" w:ascii="宋体" w:hAnsi="宋体" w:cs="宋体"/>
                <w:szCs w:val="21"/>
                <w:u w:val="single"/>
                <w:lang w:eastAsia="zh-CN"/>
              </w:rPr>
              <w:t>昌吉高新技术产业开发区新疆维格瑞生物科技有限公司</w:t>
            </w:r>
          </w:p>
        </w:tc>
      </w:tr>
      <w:tr w14:paraId="14B9D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2" w:type="dxa"/>
            <w:noWrap w:val="0"/>
            <w:tcMar>
              <w:top w:w="16" w:type="dxa"/>
              <w:left w:w="16" w:type="dxa"/>
              <w:right w:w="16" w:type="dxa"/>
            </w:tcMar>
            <w:vAlign w:val="center"/>
          </w:tcPr>
          <w:p w14:paraId="3D8A53EC">
            <w:pPr>
              <w:adjustRightInd w:val="0"/>
              <w:snapToGrid w:val="0"/>
              <w:jc w:val="center"/>
              <w:rPr>
                <w:rFonts w:ascii="宋体" w:hAnsi="宋体" w:cs="宋体"/>
                <w:szCs w:val="21"/>
              </w:rPr>
            </w:pPr>
            <w:r>
              <w:rPr>
                <w:rFonts w:hint="eastAsia" w:ascii="宋体" w:hAnsi="宋体" w:cs="宋体"/>
                <w:szCs w:val="21"/>
              </w:rPr>
              <w:t>地理坐标</w:t>
            </w:r>
          </w:p>
        </w:tc>
        <w:tc>
          <w:tcPr>
            <w:tcW w:w="6638" w:type="dxa"/>
            <w:gridSpan w:val="3"/>
            <w:noWrap w:val="0"/>
            <w:vAlign w:val="center"/>
          </w:tcPr>
          <w:p w14:paraId="254ED497">
            <w:pPr>
              <w:jc w:val="center"/>
              <w:rPr>
                <w:rFonts w:hint="eastAsia" w:ascii="宋体" w:hAnsi="宋体" w:cs="宋体"/>
                <w:szCs w:val="21"/>
              </w:rPr>
            </w:pP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u w:val="single"/>
                <w:lang w:val="en-US" w:eastAsia="zh-CN"/>
              </w:rPr>
              <w:t>87</w:t>
            </w:r>
            <w:r>
              <w:rPr>
                <w:rFonts w:ascii="宋体" w:hAnsi="宋体" w:cs="宋体"/>
                <w:szCs w:val="21"/>
                <w:u w:val="single"/>
              </w:rPr>
              <w:t xml:space="preserve"> </w:t>
            </w:r>
            <w:r>
              <w:rPr>
                <w:rFonts w:hint="eastAsia" w:ascii="宋体" w:hAnsi="宋体" w:cs="宋体"/>
                <w:szCs w:val="21"/>
              </w:rPr>
              <w:t>度</w:t>
            </w:r>
            <w:r>
              <w:rPr>
                <w:rFonts w:ascii="宋体" w:hAnsi="宋体" w:cs="宋体"/>
                <w:szCs w:val="21"/>
                <w:u w:val="single"/>
              </w:rPr>
              <w:t xml:space="preserve"> </w:t>
            </w:r>
            <w:r>
              <w:rPr>
                <w:rFonts w:hint="eastAsia" w:ascii="宋体" w:hAnsi="宋体" w:cs="宋体"/>
                <w:szCs w:val="21"/>
                <w:u w:val="single"/>
                <w:lang w:val="en-US" w:eastAsia="zh-CN"/>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u w:val="single"/>
              </w:rPr>
              <w:t xml:space="preserve"> </w:t>
            </w:r>
            <w:r>
              <w:rPr>
                <w:rFonts w:hint="eastAsia" w:ascii="宋体" w:hAnsi="宋体" w:cs="宋体"/>
                <w:szCs w:val="21"/>
                <w:u w:val="single"/>
                <w:lang w:val="en-US" w:eastAsia="zh-CN"/>
              </w:rPr>
              <w:t>19.961</w:t>
            </w:r>
            <w:r>
              <w:rPr>
                <w:rFonts w:ascii="宋体" w:hAnsi="宋体" w:cs="宋体"/>
                <w:szCs w:val="21"/>
                <w:u w:val="single"/>
              </w:rPr>
              <w:t xml:space="preserve"> </w:t>
            </w:r>
            <w:r>
              <w:rPr>
                <w:rFonts w:hint="eastAsia" w:ascii="宋体" w:hAnsi="宋体" w:cs="宋体"/>
                <w:szCs w:val="21"/>
              </w:rPr>
              <w:t>秒，</w:t>
            </w:r>
            <w:r>
              <w:rPr>
                <w:rFonts w:ascii="宋体" w:hAnsi="宋体" w:cs="宋体"/>
                <w:szCs w:val="21"/>
                <w:u w:val="single"/>
              </w:rPr>
              <w:t xml:space="preserve"> </w:t>
            </w:r>
            <w:r>
              <w:rPr>
                <w:rFonts w:hint="eastAsia" w:ascii="宋体" w:hAnsi="宋体" w:cs="宋体"/>
                <w:szCs w:val="21"/>
                <w:u w:val="single"/>
                <w:lang w:val="en-US" w:eastAsia="zh-CN"/>
              </w:rPr>
              <w:t>44</w:t>
            </w:r>
            <w:r>
              <w:rPr>
                <w:rFonts w:ascii="宋体" w:hAnsi="宋体" w:cs="宋体"/>
                <w:szCs w:val="21"/>
                <w:u w:val="single"/>
              </w:rPr>
              <w:t xml:space="preserve"> </w:t>
            </w:r>
            <w:r>
              <w:rPr>
                <w:rFonts w:hint="eastAsia" w:ascii="宋体" w:hAnsi="宋体" w:cs="宋体"/>
                <w:szCs w:val="21"/>
              </w:rPr>
              <w:t>度</w:t>
            </w:r>
            <w:r>
              <w:rPr>
                <w:rFonts w:ascii="宋体" w:hAnsi="宋体" w:cs="宋体"/>
                <w:szCs w:val="21"/>
                <w:u w:val="single"/>
              </w:rPr>
              <w:t xml:space="preserve"> </w:t>
            </w:r>
            <w:r>
              <w:rPr>
                <w:rFonts w:hint="eastAsia" w:ascii="宋体" w:hAnsi="宋体" w:cs="宋体"/>
                <w:szCs w:val="21"/>
                <w:u w:val="single"/>
                <w:lang w:val="en-US" w:eastAsia="zh-CN"/>
              </w:rPr>
              <w:t>05</w:t>
            </w:r>
            <w:r>
              <w:rPr>
                <w:rFonts w:ascii="宋体" w:hAnsi="宋体" w:cs="宋体"/>
                <w:szCs w:val="21"/>
                <w:u w:val="single"/>
              </w:rPr>
              <w:t xml:space="preserve"> </w:t>
            </w:r>
            <w:r>
              <w:rPr>
                <w:rFonts w:hint="eastAsia" w:ascii="宋体" w:hAnsi="宋体" w:cs="宋体"/>
                <w:szCs w:val="21"/>
              </w:rPr>
              <w:t>分</w:t>
            </w:r>
            <w:r>
              <w:rPr>
                <w:rFonts w:ascii="宋体" w:hAnsi="宋体" w:cs="宋体"/>
                <w:szCs w:val="21"/>
                <w:u w:val="single"/>
              </w:rPr>
              <w:t xml:space="preserve"> </w:t>
            </w:r>
            <w:r>
              <w:rPr>
                <w:rFonts w:hint="eastAsia" w:ascii="宋体" w:hAnsi="宋体" w:cs="宋体"/>
                <w:szCs w:val="21"/>
                <w:u w:val="single"/>
                <w:lang w:val="en-US" w:eastAsia="zh-CN"/>
              </w:rPr>
              <w:t>8.633</w:t>
            </w:r>
            <w:r>
              <w:rPr>
                <w:rFonts w:hint="eastAsia" w:ascii="宋体" w:hAnsi="宋体" w:cs="宋体"/>
                <w:szCs w:val="21"/>
              </w:rPr>
              <w:t>秒）</w:t>
            </w:r>
          </w:p>
        </w:tc>
      </w:tr>
      <w:tr w14:paraId="32066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2232" w:type="dxa"/>
            <w:noWrap w:val="0"/>
            <w:tcMar>
              <w:top w:w="16" w:type="dxa"/>
              <w:left w:w="16" w:type="dxa"/>
              <w:right w:w="16" w:type="dxa"/>
            </w:tcMar>
            <w:vAlign w:val="center"/>
          </w:tcPr>
          <w:p w14:paraId="0E2FC721">
            <w:pPr>
              <w:adjustRightInd w:val="0"/>
              <w:snapToGrid w:val="0"/>
              <w:jc w:val="center"/>
              <w:rPr>
                <w:rFonts w:hint="eastAsia" w:ascii="宋体" w:hAnsi="宋体" w:cs="宋体"/>
                <w:szCs w:val="21"/>
              </w:rPr>
            </w:pPr>
            <w:r>
              <w:rPr>
                <w:rFonts w:hint="eastAsia" w:ascii="宋体" w:hAnsi="宋体" w:cs="宋体"/>
                <w:szCs w:val="21"/>
              </w:rPr>
              <w:t>国民经济</w:t>
            </w:r>
          </w:p>
          <w:p w14:paraId="7238429E">
            <w:pPr>
              <w:adjustRightInd w:val="0"/>
              <w:snapToGrid w:val="0"/>
              <w:jc w:val="center"/>
              <w:rPr>
                <w:rFonts w:ascii="宋体" w:hAnsi="宋体" w:cs="宋体"/>
                <w:szCs w:val="21"/>
              </w:rPr>
            </w:pPr>
            <w:r>
              <w:rPr>
                <w:rFonts w:hint="eastAsia" w:ascii="宋体" w:hAnsi="宋体" w:cs="宋体"/>
                <w:szCs w:val="21"/>
              </w:rPr>
              <w:t>行业类别</w:t>
            </w:r>
          </w:p>
        </w:tc>
        <w:tc>
          <w:tcPr>
            <w:tcW w:w="1787" w:type="dxa"/>
            <w:noWrap w:val="0"/>
            <w:vAlign w:val="center"/>
          </w:tcPr>
          <w:p w14:paraId="7C52914E">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M7320工程和技术研究和试验发展</w:t>
            </w:r>
          </w:p>
        </w:tc>
        <w:tc>
          <w:tcPr>
            <w:tcW w:w="2212" w:type="dxa"/>
            <w:noWrap w:val="0"/>
            <w:vAlign w:val="center"/>
          </w:tcPr>
          <w:p w14:paraId="26E8F7BB">
            <w:pPr>
              <w:adjustRightInd w:val="0"/>
              <w:snapToGrid w:val="0"/>
              <w:jc w:val="center"/>
              <w:rPr>
                <w:rFonts w:ascii="宋体" w:hAnsi="宋体" w:cs="宋体"/>
                <w:szCs w:val="21"/>
              </w:rPr>
            </w:pPr>
            <w:bookmarkStart w:id="1" w:name="_Hlk49843745"/>
            <w:r>
              <w:rPr>
                <w:rFonts w:hint="eastAsia" w:ascii="宋体" w:hAnsi="宋体" w:cs="宋体"/>
                <w:szCs w:val="21"/>
              </w:rPr>
              <w:t>建设项目</w:t>
            </w:r>
          </w:p>
          <w:p w14:paraId="48D30C22">
            <w:pPr>
              <w:adjustRightInd w:val="0"/>
              <w:snapToGrid w:val="0"/>
              <w:jc w:val="center"/>
              <w:rPr>
                <w:rFonts w:ascii="宋体" w:hAnsi="宋体" w:cs="宋体"/>
                <w:szCs w:val="21"/>
              </w:rPr>
            </w:pPr>
            <w:r>
              <w:rPr>
                <w:rFonts w:hint="eastAsia" w:ascii="宋体" w:hAnsi="宋体" w:cs="宋体"/>
                <w:szCs w:val="21"/>
              </w:rPr>
              <w:t>行业类别</w:t>
            </w:r>
            <w:bookmarkEnd w:id="1"/>
          </w:p>
        </w:tc>
        <w:tc>
          <w:tcPr>
            <w:tcW w:w="2639" w:type="dxa"/>
            <w:noWrap w:val="0"/>
            <w:vAlign w:val="center"/>
          </w:tcPr>
          <w:p w14:paraId="5C781004">
            <w:pPr>
              <w:adjustRightInd w:val="0"/>
              <w:snapToGrid w:val="0"/>
              <w:rPr>
                <w:rFonts w:hint="default" w:ascii="宋体" w:hAnsi="宋体" w:eastAsia="宋体" w:cs="宋体"/>
                <w:szCs w:val="21"/>
                <w:lang w:val="en-US" w:eastAsia="zh-CN"/>
              </w:rPr>
            </w:pPr>
            <w:r>
              <w:rPr>
                <w:rFonts w:hint="eastAsia" w:ascii="宋体" w:hAnsi="宋体" w:cs="宋体"/>
                <w:szCs w:val="21"/>
                <w:lang w:eastAsia="zh-CN"/>
              </w:rPr>
              <w:t>四十五，专业实验室、研发（试验）基地，其他</w:t>
            </w:r>
          </w:p>
        </w:tc>
      </w:tr>
      <w:tr w14:paraId="657E1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32" w:type="dxa"/>
            <w:noWrap w:val="0"/>
            <w:tcMar>
              <w:top w:w="16" w:type="dxa"/>
              <w:left w:w="16" w:type="dxa"/>
              <w:right w:w="16" w:type="dxa"/>
            </w:tcMar>
            <w:vAlign w:val="center"/>
          </w:tcPr>
          <w:p w14:paraId="54E3AA75">
            <w:pPr>
              <w:adjustRightInd w:val="0"/>
              <w:snapToGrid w:val="0"/>
              <w:jc w:val="center"/>
              <w:rPr>
                <w:rFonts w:ascii="宋体" w:hAnsi="宋体" w:cs="宋体"/>
                <w:szCs w:val="21"/>
              </w:rPr>
            </w:pPr>
            <w:r>
              <w:rPr>
                <w:rFonts w:hint="eastAsia" w:ascii="宋体" w:hAnsi="宋体" w:cs="宋体"/>
                <w:szCs w:val="21"/>
              </w:rPr>
              <w:t>建设性质</w:t>
            </w:r>
          </w:p>
        </w:tc>
        <w:tc>
          <w:tcPr>
            <w:tcW w:w="1787" w:type="dxa"/>
            <w:noWrap w:val="0"/>
            <w:vAlign w:val="center"/>
          </w:tcPr>
          <w:p w14:paraId="3C99E58C">
            <w:pPr>
              <w:jc w:val="left"/>
              <w:rPr>
                <w:rFonts w:ascii="宋体" w:hAnsi="宋体" w:cs="宋体"/>
                <w:szCs w:val="21"/>
              </w:rPr>
            </w:pPr>
            <w:r>
              <w:rPr>
                <w:rFonts w:hint="eastAsia" w:ascii="宋体" w:hAnsi="宋体" w:cs="宋体"/>
                <w:szCs w:val="21"/>
              </w:rPr>
              <w:sym w:font="Wingdings 2" w:char="0052"/>
            </w:r>
            <w:r>
              <w:rPr>
                <w:rFonts w:hint="eastAsia" w:ascii="宋体" w:hAnsi="宋体" w:cs="宋体"/>
                <w:szCs w:val="21"/>
              </w:rPr>
              <w:t>新建（迁建）</w:t>
            </w:r>
          </w:p>
          <w:p w14:paraId="2EACC68A">
            <w:pPr>
              <w:jc w:val="left"/>
              <w:rPr>
                <w:rFonts w:hint="eastAsia" w:ascii="宋体" w:hAnsi="宋体" w:cs="宋体"/>
                <w:szCs w:val="21"/>
              </w:rPr>
            </w:pPr>
            <w:r>
              <w:rPr>
                <w:rFonts w:hint="eastAsia" w:ascii="宋体" w:hAnsi="宋体" w:cs="宋体"/>
                <w:szCs w:val="21"/>
              </w:rPr>
              <w:t>□改建</w:t>
            </w:r>
          </w:p>
          <w:p w14:paraId="7549B33F">
            <w:pPr>
              <w:jc w:val="left"/>
              <w:rPr>
                <w:rFonts w:hint="eastAsia" w:ascii="宋体" w:hAnsi="宋体" w:cs="宋体"/>
                <w:szCs w:val="21"/>
              </w:rPr>
            </w:pPr>
            <w:r>
              <w:rPr>
                <w:rFonts w:hint="eastAsia" w:ascii="宋体" w:hAnsi="宋体" w:cs="宋体"/>
                <w:szCs w:val="21"/>
              </w:rPr>
              <w:t>□扩建</w:t>
            </w:r>
          </w:p>
          <w:p w14:paraId="59DAD56E">
            <w:pPr>
              <w:jc w:val="left"/>
              <w:rPr>
                <w:rFonts w:ascii="宋体" w:hAnsi="宋体" w:cs="宋体"/>
                <w:szCs w:val="21"/>
              </w:rPr>
            </w:pPr>
            <w:r>
              <w:rPr>
                <w:rFonts w:hint="eastAsia" w:ascii="宋体" w:hAnsi="宋体" w:cs="宋体"/>
                <w:szCs w:val="21"/>
              </w:rPr>
              <w:t>□技术改造</w:t>
            </w:r>
          </w:p>
        </w:tc>
        <w:tc>
          <w:tcPr>
            <w:tcW w:w="2212" w:type="dxa"/>
            <w:noWrap w:val="0"/>
            <w:vAlign w:val="center"/>
          </w:tcPr>
          <w:p w14:paraId="4A3CA275">
            <w:pPr>
              <w:adjustRightInd w:val="0"/>
              <w:snapToGrid w:val="0"/>
              <w:jc w:val="center"/>
              <w:rPr>
                <w:rFonts w:hint="eastAsia" w:ascii="宋体" w:hAnsi="宋体" w:cs="宋体"/>
                <w:szCs w:val="21"/>
              </w:rPr>
            </w:pPr>
            <w:r>
              <w:rPr>
                <w:rFonts w:hint="eastAsia" w:ascii="宋体" w:hAnsi="宋体" w:cs="宋体"/>
                <w:szCs w:val="21"/>
              </w:rPr>
              <w:t>建设项目</w:t>
            </w:r>
          </w:p>
          <w:p w14:paraId="2EA29D00">
            <w:pPr>
              <w:adjustRightInd w:val="0"/>
              <w:snapToGrid w:val="0"/>
              <w:jc w:val="center"/>
              <w:rPr>
                <w:rFonts w:ascii="宋体" w:hAnsi="宋体" w:cs="宋体"/>
                <w:szCs w:val="21"/>
              </w:rPr>
            </w:pPr>
            <w:r>
              <w:rPr>
                <w:rFonts w:hint="eastAsia" w:ascii="宋体" w:hAnsi="宋体" w:cs="宋体"/>
                <w:szCs w:val="21"/>
              </w:rPr>
              <w:t>申报情形</w:t>
            </w:r>
          </w:p>
        </w:tc>
        <w:tc>
          <w:tcPr>
            <w:tcW w:w="2639" w:type="dxa"/>
            <w:noWrap w:val="0"/>
            <w:vAlign w:val="center"/>
          </w:tcPr>
          <w:p w14:paraId="4C711901">
            <w:pPr>
              <w:jc w:val="left"/>
              <w:rPr>
                <w:rFonts w:ascii="宋体" w:hAnsi="宋体" w:cs="宋体"/>
                <w:szCs w:val="21"/>
              </w:rPr>
            </w:pPr>
            <w:r>
              <w:rPr>
                <w:rFonts w:hint="eastAsia" w:ascii="宋体" w:hAnsi="宋体" w:cs="宋体"/>
                <w:szCs w:val="21"/>
              </w:rPr>
              <w:sym w:font="Wingdings 2" w:char="0052"/>
            </w:r>
            <w:r>
              <w:rPr>
                <w:rFonts w:hint="eastAsia" w:ascii="宋体" w:hAnsi="宋体" w:cs="宋体"/>
                <w:szCs w:val="21"/>
              </w:rPr>
              <w:t>首次申报项目</w:t>
            </w:r>
            <w:r>
              <w:rPr>
                <w:rFonts w:ascii="宋体" w:hAnsi="宋体" w:cs="宋体"/>
                <w:szCs w:val="21"/>
              </w:rPr>
              <w:t xml:space="preserve">             </w:t>
            </w:r>
          </w:p>
          <w:p w14:paraId="2BA18A82">
            <w:pPr>
              <w:jc w:val="left"/>
              <w:rPr>
                <w:rFonts w:ascii="宋体" w:hAnsi="宋体" w:cs="宋体"/>
                <w:szCs w:val="21"/>
              </w:rPr>
            </w:pPr>
            <w:r>
              <w:rPr>
                <w:rFonts w:hint="eastAsia" w:ascii="宋体" w:hAnsi="宋体" w:cs="宋体"/>
                <w:szCs w:val="21"/>
              </w:rPr>
              <w:t>□不予批准后再次申报项目</w:t>
            </w:r>
          </w:p>
          <w:p w14:paraId="1BE0FA67">
            <w:pPr>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超五年重新审核项目</w:t>
            </w:r>
            <w:r>
              <w:rPr>
                <w:rFonts w:ascii="宋体" w:hAnsi="宋体" w:cs="宋体"/>
                <w:szCs w:val="21"/>
              </w:rPr>
              <w:t xml:space="preserve">     </w:t>
            </w:r>
          </w:p>
          <w:p w14:paraId="6AC386B8">
            <w:pPr>
              <w:jc w:val="left"/>
              <w:rPr>
                <w:rFonts w:ascii="宋体" w:hAnsi="宋体" w:cs="宋体"/>
                <w:szCs w:val="21"/>
              </w:rPr>
            </w:pPr>
            <w:r>
              <w:rPr>
                <w:rFonts w:hint="eastAsia" w:ascii="宋体" w:hAnsi="宋体" w:cs="宋体"/>
                <w:szCs w:val="21"/>
              </w:rPr>
              <w:t>□重大变动重新报批项目</w:t>
            </w:r>
          </w:p>
        </w:tc>
      </w:tr>
      <w:tr w14:paraId="2D00D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232" w:type="dxa"/>
            <w:noWrap w:val="0"/>
            <w:tcMar>
              <w:top w:w="16" w:type="dxa"/>
              <w:left w:w="16" w:type="dxa"/>
              <w:right w:w="16" w:type="dxa"/>
            </w:tcMar>
            <w:vAlign w:val="center"/>
          </w:tcPr>
          <w:p w14:paraId="3394B00F">
            <w:pPr>
              <w:adjustRightInd w:val="0"/>
              <w:snapToGrid w:val="0"/>
              <w:jc w:val="center"/>
              <w:rPr>
                <w:rFonts w:hint="eastAsia" w:ascii="宋体" w:hAnsi="宋体" w:cs="宋体"/>
                <w:szCs w:val="21"/>
              </w:rPr>
            </w:pPr>
            <w:r>
              <w:rPr>
                <w:rFonts w:hint="eastAsia" w:ascii="宋体" w:hAnsi="宋体" w:cs="宋体"/>
                <w:szCs w:val="21"/>
              </w:rPr>
              <w:t>项目审批（核准</w:t>
            </w:r>
            <w:r>
              <w:rPr>
                <w:rFonts w:ascii="宋体" w:hAnsi="宋体" w:cs="宋体"/>
                <w:szCs w:val="21"/>
              </w:rPr>
              <w:t>/</w:t>
            </w:r>
          </w:p>
          <w:p w14:paraId="270BD7A5">
            <w:pPr>
              <w:adjustRightInd w:val="0"/>
              <w:snapToGrid w:val="0"/>
              <w:jc w:val="center"/>
              <w:rPr>
                <w:rFonts w:ascii="宋体" w:hAnsi="宋体" w:cs="宋体"/>
                <w:szCs w:val="21"/>
              </w:rPr>
            </w:pPr>
            <w:r>
              <w:rPr>
                <w:rFonts w:hint="eastAsia" w:ascii="宋体" w:hAnsi="宋体" w:cs="宋体"/>
                <w:szCs w:val="21"/>
              </w:rPr>
              <w:t>备案）部门（选填）</w:t>
            </w:r>
          </w:p>
        </w:tc>
        <w:tc>
          <w:tcPr>
            <w:tcW w:w="1787" w:type="dxa"/>
            <w:noWrap w:val="0"/>
            <w:vAlign w:val="center"/>
          </w:tcPr>
          <w:p w14:paraId="4B5ABB33">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昌吉高新技术产业开发区产业发展科技局</w:t>
            </w:r>
          </w:p>
        </w:tc>
        <w:tc>
          <w:tcPr>
            <w:tcW w:w="2212" w:type="dxa"/>
            <w:noWrap w:val="0"/>
            <w:vAlign w:val="center"/>
          </w:tcPr>
          <w:p w14:paraId="592F2E99">
            <w:pPr>
              <w:adjustRightInd w:val="0"/>
              <w:snapToGrid w:val="0"/>
              <w:jc w:val="center"/>
              <w:rPr>
                <w:rFonts w:hint="eastAsia" w:ascii="宋体" w:hAnsi="宋体" w:cs="宋体"/>
                <w:szCs w:val="21"/>
              </w:rPr>
            </w:pPr>
            <w:r>
              <w:rPr>
                <w:rFonts w:hint="eastAsia" w:ascii="宋体" w:hAnsi="宋体" w:cs="宋体"/>
                <w:szCs w:val="21"/>
              </w:rPr>
              <w:t>项目审批（核准</w:t>
            </w:r>
            <w:r>
              <w:rPr>
                <w:rFonts w:ascii="宋体" w:hAnsi="宋体" w:cs="宋体"/>
                <w:szCs w:val="21"/>
              </w:rPr>
              <w:t>/</w:t>
            </w:r>
          </w:p>
          <w:p w14:paraId="7482EDB0">
            <w:pPr>
              <w:adjustRightInd w:val="0"/>
              <w:snapToGrid w:val="0"/>
              <w:jc w:val="center"/>
              <w:rPr>
                <w:rFonts w:hint="eastAsia" w:ascii="宋体" w:hAnsi="宋体" w:cs="宋体"/>
                <w:szCs w:val="21"/>
              </w:rPr>
            </w:pPr>
            <w:r>
              <w:rPr>
                <w:rFonts w:hint="eastAsia" w:ascii="宋体" w:hAnsi="宋体" w:cs="宋体"/>
                <w:szCs w:val="21"/>
              </w:rPr>
              <w:t>备案）文号（选填）</w:t>
            </w:r>
          </w:p>
        </w:tc>
        <w:tc>
          <w:tcPr>
            <w:tcW w:w="2639" w:type="dxa"/>
            <w:noWrap w:val="0"/>
            <w:vAlign w:val="center"/>
          </w:tcPr>
          <w:p w14:paraId="4510C7A1">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昌高产发[2022]24号</w:t>
            </w:r>
          </w:p>
        </w:tc>
      </w:tr>
      <w:tr w14:paraId="5C8B1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232" w:type="dxa"/>
            <w:noWrap w:val="0"/>
            <w:tcMar>
              <w:top w:w="16" w:type="dxa"/>
              <w:left w:w="16" w:type="dxa"/>
              <w:right w:w="16" w:type="dxa"/>
            </w:tcMar>
            <w:vAlign w:val="center"/>
          </w:tcPr>
          <w:p w14:paraId="6310B19A">
            <w:pPr>
              <w:adjustRightInd w:val="0"/>
              <w:snapToGrid w:val="0"/>
              <w:jc w:val="center"/>
              <w:rPr>
                <w:rFonts w:ascii="宋体" w:hAnsi="宋体" w:cs="宋体"/>
                <w:szCs w:val="21"/>
              </w:rPr>
            </w:pPr>
            <w:r>
              <w:rPr>
                <w:rFonts w:hint="eastAsia" w:ascii="宋体" w:hAnsi="宋体" w:cs="宋体"/>
                <w:szCs w:val="21"/>
              </w:rPr>
              <w:t>总投资（万元）</w:t>
            </w:r>
          </w:p>
        </w:tc>
        <w:tc>
          <w:tcPr>
            <w:tcW w:w="1787" w:type="dxa"/>
            <w:noWrap w:val="0"/>
            <w:vAlign w:val="center"/>
          </w:tcPr>
          <w:p w14:paraId="07FB573A">
            <w:pPr>
              <w:adjustRightInd w:val="0"/>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20826</w:t>
            </w:r>
          </w:p>
        </w:tc>
        <w:tc>
          <w:tcPr>
            <w:tcW w:w="2212" w:type="dxa"/>
            <w:noWrap w:val="0"/>
            <w:tcMar>
              <w:top w:w="16" w:type="dxa"/>
              <w:left w:w="16" w:type="dxa"/>
              <w:right w:w="16" w:type="dxa"/>
            </w:tcMar>
            <w:vAlign w:val="center"/>
          </w:tcPr>
          <w:p w14:paraId="5E717F9B">
            <w:pPr>
              <w:adjustRightInd w:val="0"/>
              <w:snapToGrid w:val="0"/>
              <w:jc w:val="center"/>
              <w:rPr>
                <w:rFonts w:ascii="宋体" w:hAnsi="宋体" w:cs="宋体"/>
                <w:szCs w:val="21"/>
              </w:rPr>
            </w:pPr>
            <w:r>
              <w:rPr>
                <w:rFonts w:hint="eastAsia" w:ascii="宋体" w:hAnsi="宋体" w:cs="宋体"/>
                <w:szCs w:val="21"/>
              </w:rPr>
              <w:t>环保投资（万元）</w:t>
            </w:r>
          </w:p>
        </w:tc>
        <w:tc>
          <w:tcPr>
            <w:tcW w:w="2639" w:type="dxa"/>
            <w:noWrap w:val="0"/>
            <w:vAlign w:val="center"/>
          </w:tcPr>
          <w:p w14:paraId="23D00C0F">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14</w:t>
            </w:r>
          </w:p>
        </w:tc>
      </w:tr>
      <w:tr w14:paraId="3451D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2" w:type="dxa"/>
            <w:noWrap w:val="0"/>
            <w:tcMar>
              <w:top w:w="16" w:type="dxa"/>
              <w:left w:w="16" w:type="dxa"/>
              <w:right w:w="16" w:type="dxa"/>
            </w:tcMar>
            <w:vAlign w:val="center"/>
          </w:tcPr>
          <w:p w14:paraId="6CB376CB">
            <w:pPr>
              <w:adjustRightInd w:val="0"/>
              <w:snapToGrid w:val="0"/>
              <w:jc w:val="center"/>
              <w:rPr>
                <w:rFonts w:ascii="宋体" w:hAnsi="宋体" w:cs="宋体"/>
                <w:szCs w:val="21"/>
              </w:rPr>
            </w:pPr>
            <w:r>
              <w:rPr>
                <w:rFonts w:hint="eastAsia" w:ascii="宋体" w:hAnsi="宋体" w:cs="宋体"/>
                <w:szCs w:val="21"/>
              </w:rPr>
              <w:t>环保投资占比（</w:t>
            </w:r>
            <w:r>
              <w:rPr>
                <w:rFonts w:ascii="宋体" w:hAnsi="宋体" w:cs="宋体"/>
                <w:szCs w:val="21"/>
              </w:rPr>
              <w:t>%</w:t>
            </w:r>
            <w:r>
              <w:rPr>
                <w:rFonts w:hint="eastAsia" w:ascii="宋体" w:hAnsi="宋体" w:cs="宋体"/>
                <w:szCs w:val="21"/>
              </w:rPr>
              <w:t>）</w:t>
            </w:r>
          </w:p>
        </w:tc>
        <w:tc>
          <w:tcPr>
            <w:tcW w:w="1787" w:type="dxa"/>
            <w:noWrap w:val="0"/>
            <w:vAlign w:val="center"/>
          </w:tcPr>
          <w:p w14:paraId="23B64476">
            <w:pPr>
              <w:adjustRightInd w:val="0"/>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0.06</w:t>
            </w:r>
          </w:p>
        </w:tc>
        <w:tc>
          <w:tcPr>
            <w:tcW w:w="2212" w:type="dxa"/>
            <w:noWrap w:val="0"/>
            <w:tcMar>
              <w:top w:w="16" w:type="dxa"/>
              <w:left w:w="16" w:type="dxa"/>
              <w:right w:w="16" w:type="dxa"/>
            </w:tcMar>
            <w:vAlign w:val="center"/>
          </w:tcPr>
          <w:p w14:paraId="5424364B">
            <w:pPr>
              <w:adjustRightInd w:val="0"/>
              <w:snapToGrid w:val="0"/>
              <w:jc w:val="center"/>
              <w:rPr>
                <w:rFonts w:ascii="宋体" w:hAnsi="宋体" w:cs="宋体"/>
                <w:szCs w:val="21"/>
              </w:rPr>
            </w:pPr>
            <w:r>
              <w:rPr>
                <w:rFonts w:hint="eastAsia" w:ascii="宋体" w:hAnsi="宋体" w:cs="宋体"/>
                <w:szCs w:val="21"/>
              </w:rPr>
              <w:t>施工工期</w:t>
            </w:r>
          </w:p>
        </w:tc>
        <w:tc>
          <w:tcPr>
            <w:tcW w:w="2639" w:type="dxa"/>
            <w:noWrap w:val="0"/>
            <w:vAlign w:val="center"/>
          </w:tcPr>
          <w:p w14:paraId="68810BEA">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21个月</w:t>
            </w:r>
          </w:p>
        </w:tc>
      </w:tr>
      <w:tr w14:paraId="26B05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2" w:type="dxa"/>
            <w:noWrap w:val="0"/>
            <w:tcMar>
              <w:top w:w="16" w:type="dxa"/>
              <w:left w:w="16" w:type="dxa"/>
              <w:right w:w="16" w:type="dxa"/>
            </w:tcMar>
            <w:vAlign w:val="center"/>
          </w:tcPr>
          <w:p w14:paraId="17D55DE4">
            <w:pPr>
              <w:adjustRightInd w:val="0"/>
              <w:snapToGrid w:val="0"/>
              <w:jc w:val="center"/>
              <w:rPr>
                <w:rFonts w:hint="eastAsia" w:ascii="宋体" w:hAnsi="宋体" w:cs="宋体"/>
                <w:szCs w:val="21"/>
              </w:rPr>
            </w:pPr>
            <w:r>
              <w:rPr>
                <w:rFonts w:hint="eastAsia" w:ascii="宋体" w:hAnsi="宋体" w:cs="宋体"/>
                <w:szCs w:val="21"/>
              </w:rPr>
              <w:t>是否开工建设</w:t>
            </w:r>
          </w:p>
        </w:tc>
        <w:tc>
          <w:tcPr>
            <w:tcW w:w="1787" w:type="dxa"/>
            <w:noWrap w:val="0"/>
            <w:vAlign w:val="center"/>
          </w:tcPr>
          <w:p w14:paraId="04A3C74D">
            <w:pPr>
              <w:adjustRightInd w:val="0"/>
              <w:snapToGrid w:val="0"/>
              <w:rPr>
                <w:rFonts w:ascii="宋体" w:hAnsi="宋体" w:cs="宋体"/>
                <w:szCs w:val="21"/>
              </w:rPr>
            </w:pPr>
            <w:r>
              <w:rPr>
                <w:rFonts w:hint="eastAsia" w:ascii="宋体" w:hAnsi="宋体" w:cs="宋体"/>
                <w:szCs w:val="21"/>
              </w:rPr>
              <w:sym w:font="Wingdings 2" w:char="0052"/>
            </w:r>
            <w:r>
              <w:rPr>
                <w:rFonts w:hint="eastAsia" w:ascii="宋体" w:hAnsi="宋体" w:cs="宋体"/>
                <w:szCs w:val="21"/>
              </w:rPr>
              <w:t>否</w:t>
            </w:r>
          </w:p>
          <w:p w14:paraId="1F84DDE0">
            <w:pPr>
              <w:adjustRightInd w:val="0"/>
              <w:snapToGrid w:val="0"/>
              <w:rPr>
                <w:rFonts w:ascii="宋体" w:hAnsi="宋体" w:cs="宋体"/>
                <w:szCs w:val="21"/>
              </w:rPr>
            </w:pPr>
            <w:r>
              <w:rPr>
                <w:rFonts w:hint="eastAsia" w:ascii="宋体" w:hAnsi="宋体" w:cs="宋体"/>
                <w:szCs w:val="21"/>
              </w:rPr>
              <w:sym w:font="Wingdings 2" w:char="00A3"/>
            </w:r>
            <w:r>
              <w:rPr>
                <w:rFonts w:hint="eastAsia" w:ascii="宋体" w:hAnsi="宋体" w:cs="宋体"/>
                <w:szCs w:val="21"/>
              </w:rPr>
              <w:t>是：</w:t>
            </w:r>
          </w:p>
        </w:tc>
        <w:tc>
          <w:tcPr>
            <w:tcW w:w="2212" w:type="dxa"/>
            <w:noWrap w:val="0"/>
            <w:tcMar>
              <w:top w:w="16" w:type="dxa"/>
              <w:left w:w="16" w:type="dxa"/>
              <w:right w:w="16" w:type="dxa"/>
            </w:tcMar>
            <w:vAlign w:val="center"/>
          </w:tcPr>
          <w:p w14:paraId="5F023525">
            <w:pPr>
              <w:adjustRightInd w:val="0"/>
              <w:snapToGrid w:val="0"/>
              <w:jc w:val="center"/>
              <w:rPr>
                <w:rFonts w:ascii="宋体" w:hAnsi="宋体" w:cs="宋体"/>
                <w:spacing w:val="-6"/>
                <w:szCs w:val="21"/>
              </w:rPr>
            </w:pPr>
            <w:r>
              <w:rPr>
                <w:rFonts w:hint="eastAsia" w:ascii="宋体" w:hAnsi="宋体" w:cs="宋体"/>
                <w:spacing w:val="-6"/>
                <w:szCs w:val="21"/>
              </w:rPr>
              <w:t>用地（用海）</w:t>
            </w:r>
          </w:p>
          <w:p w14:paraId="0B5ED757">
            <w:pPr>
              <w:adjustRightInd w:val="0"/>
              <w:snapToGrid w:val="0"/>
              <w:jc w:val="center"/>
              <w:rPr>
                <w:rFonts w:hint="eastAsia" w:ascii="宋体" w:hAnsi="宋体" w:cs="宋体"/>
                <w:szCs w:val="21"/>
              </w:rPr>
            </w:pPr>
            <w:r>
              <w:rPr>
                <w:rFonts w:hint="eastAsia" w:ascii="宋体" w:hAnsi="宋体" w:cs="宋体"/>
                <w:spacing w:val="-6"/>
                <w:szCs w:val="21"/>
              </w:rPr>
              <w:t>面积（</w:t>
            </w:r>
            <w:r>
              <w:rPr>
                <w:rFonts w:ascii="宋体" w:hAnsi="宋体" w:cs="宋体"/>
                <w:spacing w:val="-6"/>
                <w:szCs w:val="21"/>
              </w:rPr>
              <w:t>m</w:t>
            </w:r>
            <w:r>
              <w:rPr>
                <w:rFonts w:ascii="宋体" w:hAnsi="宋体" w:cs="宋体"/>
                <w:spacing w:val="-6"/>
                <w:szCs w:val="21"/>
                <w:vertAlign w:val="superscript"/>
              </w:rPr>
              <w:t>2</w:t>
            </w:r>
            <w:r>
              <w:rPr>
                <w:rFonts w:hint="eastAsia" w:ascii="宋体" w:hAnsi="宋体" w:cs="宋体"/>
                <w:spacing w:val="-6"/>
                <w:szCs w:val="21"/>
              </w:rPr>
              <w:t>）</w:t>
            </w:r>
          </w:p>
        </w:tc>
        <w:tc>
          <w:tcPr>
            <w:tcW w:w="2639" w:type="dxa"/>
            <w:noWrap w:val="0"/>
            <w:vAlign w:val="center"/>
          </w:tcPr>
          <w:p w14:paraId="54DB44B0">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4505.85</w:t>
            </w:r>
          </w:p>
        </w:tc>
      </w:tr>
      <w:tr w14:paraId="58DA6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32" w:type="dxa"/>
            <w:noWrap w:val="0"/>
            <w:vAlign w:val="center"/>
          </w:tcPr>
          <w:p w14:paraId="7739A34D">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专项评价设置情况</w:t>
            </w:r>
          </w:p>
        </w:tc>
        <w:tc>
          <w:tcPr>
            <w:tcW w:w="6638" w:type="dxa"/>
            <w:gridSpan w:val="3"/>
            <w:noWrap w:val="0"/>
            <w:vAlign w:val="center"/>
          </w:tcPr>
          <w:p w14:paraId="1FE4F5FD">
            <w:pPr>
              <w:autoSpaceDE w:val="0"/>
              <w:autoSpaceDN w:val="0"/>
              <w:adjustRightInd w:val="0"/>
              <w:snapToGrid w:val="0"/>
              <w:jc w:val="center"/>
              <w:rPr>
                <w:rFonts w:hint="eastAsia" w:ascii="宋体" w:hAnsi="宋体" w:eastAsia="宋体" w:cs="宋体"/>
                <w:kern w:val="0"/>
                <w:szCs w:val="21"/>
                <w:lang w:eastAsia="zh-CN"/>
              </w:rPr>
            </w:pPr>
            <w:r>
              <w:rPr>
                <w:rFonts w:hint="eastAsia" w:ascii="宋体" w:hAnsi="宋体" w:cs="宋体"/>
                <w:kern w:val="0"/>
                <w:szCs w:val="21"/>
                <w:lang w:eastAsia="zh-CN"/>
              </w:rPr>
              <w:t>不设置</w:t>
            </w:r>
          </w:p>
        </w:tc>
      </w:tr>
      <w:tr w14:paraId="1922B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32" w:type="dxa"/>
            <w:noWrap w:val="0"/>
            <w:vAlign w:val="center"/>
          </w:tcPr>
          <w:p w14:paraId="69899AE4">
            <w:pPr>
              <w:autoSpaceDE w:val="0"/>
              <w:autoSpaceDN w:val="0"/>
              <w:adjustRightInd w:val="0"/>
              <w:snapToGrid w:val="0"/>
              <w:jc w:val="center"/>
              <w:rPr>
                <w:rFonts w:hint="eastAsia" w:ascii="宋体" w:hAnsi="宋体" w:cs="宋体"/>
                <w:kern w:val="0"/>
                <w:szCs w:val="21"/>
              </w:rPr>
            </w:pPr>
            <w:r>
              <w:rPr>
                <w:rFonts w:hint="eastAsia" w:ascii="宋体" w:hAnsi="宋体" w:cs="宋体"/>
                <w:szCs w:val="21"/>
              </w:rPr>
              <w:t>规划情况</w:t>
            </w:r>
          </w:p>
        </w:tc>
        <w:tc>
          <w:tcPr>
            <w:tcW w:w="6638" w:type="dxa"/>
            <w:gridSpan w:val="3"/>
            <w:noWrap w:val="0"/>
            <w:vAlign w:val="center"/>
          </w:tcPr>
          <w:p w14:paraId="306B661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lang w:val="en-US" w:eastAsia="zh-CN"/>
              </w:rPr>
            </w:pPr>
            <w:r>
              <w:rPr>
                <w:rFonts w:hint="eastAsia"/>
                <w:lang w:eastAsia="zh-CN"/>
              </w:rPr>
              <w:t>规划名称：《昌吉高新技术产业开发区总体规划（</w:t>
            </w:r>
            <w:r>
              <w:rPr>
                <w:rFonts w:hint="eastAsia"/>
                <w:lang w:val="en-US" w:eastAsia="zh-CN"/>
              </w:rPr>
              <w:t>2014-2030年</w:t>
            </w:r>
            <w:r>
              <w:rPr>
                <w:rFonts w:hint="eastAsia"/>
                <w:lang w:eastAsia="zh-CN"/>
              </w:rPr>
              <w:t>）》，未经政府审批</w:t>
            </w:r>
          </w:p>
        </w:tc>
      </w:tr>
      <w:tr w14:paraId="1FE26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32" w:type="dxa"/>
            <w:noWrap w:val="0"/>
            <w:vAlign w:val="center"/>
          </w:tcPr>
          <w:p w14:paraId="0EA42ECB">
            <w:pPr>
              <w:adjustRightInd w:val="0"/>
              <w:snapToGrid w:val="0"/>
              <w:jc w:val="center"/>
              <w:rPr>
                <w:rFonts w:ascii="宋体" w:hAnsi="宋体" w:cs="宋体"/>
                <w:szCs w:val="21"/>
              </w:rPr>
            </w:pPr>
            <w:r>
              <w:rPr>
                <w:rFonts w:hint="eastAsia" w:ascii="宋体" w:hAnsi="宋体" w:cs="宋体"/>
                <w:szCs w:val="21"/>
              </w:rPr>
              <w:t>规划环境影响</w:t>
            </w:r>
          </w:p>
          <w:p w14:paraId="61EA64A8">
            <w:pPr>
              <w:adjustRightInd w:val="0"/>
              <w:snapToGrid w:val="0"/>
              <w:jc w:val="center"/>
              <w:rPr>
                <w:rFonts w:hint="eastAsia" w:ascii="宋体" w:hAnsi="宋体" w:cs="宋体"/>
                <w:kern w:val="0"/>
                <w:szCs w:val="21"/>
              </w:rPr>
            </w:pPr>
            <w:r>
              <w:rPr>
                <w:rFonts w:hint="eastAsia" w:ascii="宋体" w:hAnsi="宋体" w:cs="宋体"/>
                <w:szCs w:val="21"/>
              </w:rPr>
              <w:t>评价情况</w:t>
            </w:r>
          </w:p>
        </w:tc>
        <w:tc>
          <w:tcPr>
            <w:tcW w:w="6638" w:type="dxa"/>
            <w:gridSpan w:val="3"/>
            <w:noWrap w:val="0"/>
            <w:vAlign w:val="center"/>
          </w:tcPr>
          <w:p w14:paraId="54F6AAC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宋体" w:hAnsi="宋体" w:cs="宋体"/>
                <w:kern w:val="0"/>
                <w:szCs w:val="21"/>
                <w:lang w:val="en-US"/>
              </w:rPr>
            </w:pPr>
            <w:r>
              <w:rPr>
                <w:rFonts w:hint="eastAsia" w:ascii="宋体" w:hAnsi="宋体" w:cs="宋体"/>
                <w:kern w:val="0"/>
                <w:szCs w:val="21"/>
                <w:lang w:eastAsia="zh-CN"/>
              </w:rPr>
              <w:t>《昌吉高新技术产业开发区总体规划（</w:t>
            </w:r>
            <w:r>
              <w:rPr>
                <w:rFonts w:hint="eastAsia" w:ascii="宋体" w:hAnsi="宋体" w:cs="宋体"/>
                <w:kern w:val="0"/>
                <w:szCs w:val="21"/>
                <w:lang w:val="en-US" w:eastAsia="zh-CN"/>
              </w:rPr>
              <w:t>2014-2030环境影响报告书</w:t>
            </w:r>
            <w:r>
              <w:rPr>
                <w:rFonts w:hint="eastAsia" w:ascii="宋体" w:hAnsi="宋体" w:cs="宋体"/>
                <w:kern w:val="0"/>
                <w:szCs w:val="21"/>
                <w:lang w:eastAsia="zh-CN"/>
              </w:rPr>
              <w:t>）》于</w:t>
            </w:r>
            <w:r>
              <w:rPr>
                <w:rFonts w:hint="eastAsia" w:ascii="宋体" w:hAnsi="宋体" w:cs="宋体"/>
                <w:kern w:val="0"/>
                <w:szCs w:val="21"/>
                <w:lang w:val="en-US" w:eastAsia="zh-CN"/>
              </w:rPr>
              <w:t>2015年由新疆维吾尔自治区环境保护厅批复，批复文号：新环函[2015]306号</w:t>
            </w:r>
          </w:p>
        </w:tc>
      </w:tr>
      <w:tr w14:paraId="2488D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32" w:type="dxa"/>
            <w:noWrap w:val="0"/>
            <w:vAlign w:val="center"/>
          </w:tcPr>
          <w:p w14:paraId="6A3891E0">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规划及规划环境</w:t>
            </w:r>
          </w:p>
          <w:p w14:paraId="1E7B6C86">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影响评价符合性分析</w:t>
            </w:r>
          </w:p>
        </w:tc>
        <w:tc>
          <w:tcPr>
            <w:tcW w:w="6638" w:type="dxa"/>
            <w:gridSpan w:val="3"/>
            <w:noWrap w:val="0"/>
            <w:vAlign w:val="center"/>
          </w:tcPr>
          <w:p w14:paraId="30EE2E9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eastAsia="zh-CN"/>
              </w:rPr>
              <w:t>新疆蓝山屯河聚酯有限公司</w:t>
            </w:r>
            <w:r>
              <w:rPr>
                <w:rFonts w:hint="eastAsia" w:ascii="宋体" w:hAnsi="宋体" w:cs="宋体"/>
                <w:kern w:val="0"/>
                <w:szCs w:val="21"/>
                <w:lang w:val="en-US" w:eastAsia="zh-CN"/>
              </w:rPr>
              <w:t>为新疆蓝山屯河科技股份有限公司</w:t>
            </w:r>
            <w:r>
              <w:rPr>
                <w:rFonts w:hint="eastAsia" w:ascii="宋体" w:hAnsi="宋体" w:cs="宋体"/>
                <w:kern w:val="0"/>
                <w:szCs w:val="21"/>
                <w:lang w:eastAsia="zh-CN"/>
              </w:rPr>
              <w:t>的全资子公司，位于昌吉高新技术产业开发区，</w:t>
            </w:r>
            <w:r>
              <w:rPr>
                <w:rFonts w:hint="eastAsia" w:ascii="宋体" w:hAnsi="宋体" w:cs="宋体"/>
                <w:kern w:val="0"/>
                <w:szCs w:val="21"/>
                <w:lang w:val="en-US" w:eastAsia="zh-CN"/>
              </w:rPr>
              <w:t>2021年改名为</w:t>
            </w:r>
            <w:r>
              <w:rPr>
                <w:rFonts w:hint="eastAsia" w:ascii="宋体" w:hAnsi="宋体" w:cs="宋体"/>
                <w:kern w:val="0"/>
                <w:szCs w:val="21"/>
                <w:lang w:eastAsia="zh-CN"/>
              </w:rPr>
              <w:t>新疆维格瑞生物科技有限公司</w:t>
            </w:r>
            <w:r>
              <w:rPr>
                <w:rFonts w:hint="eastAsia" w:ascii="宋体" w:hAnsi="宋体" w:cs="宋体"/>
                <w:kern w:val="0"/>
                <w:szCs w:val="21"/>
                <w:lang w:val="en-US" w:eastAsia="zh-CN"/>
              </w:rPr>
              <w:t>，</w:t>
            </w:r>
            <w:r>
              <w:rPr>
                <w:rFonts w:hint="eastAsia" w:ascii="宋体" w:hAnsi="宋体" w:cs="宋体"/>
                <w:kern w:val="0"/>
                <w:szCs w:val="21"/>
                <w:lang w:eastAsia="zh-CN"/>
              </w:rPr>
              <w:t>公司</w:t>
            </w:r>
            <w:r>
              <w:rPr>
                <w:rFonts w:hint="eastAsia" w:ascii="宋体" w:hAnsi="宋体" w:cs="宋体"/>
                <w:kern w:val="0"/>
                <w:szCs w:val="21"/>
                <w:lang w:val="en-US" w:eastAsia="zh-CN"/>
              </w:rPr>
              <w:t>主营产品包括PBAT、PBS等，属于聚酯类可生物降解树脂，属于战略性新兴高端材料</w:t>
            </w:r>
            <w:r>
              <w:rPr>
                <w:rFonts w:hint="eastAsia" w:ascii="宋体" w:hAnsi="宋体" w:cs="宋体"/>
                <w:kern w:val="0"/>
                <w:szCs w:val="21"/>
                <w:lang w:eastAsia="zh-CN"/>
              </w:rPr>
              <w:t>，符合《昌吉高新技术产业开发区总体规划（</w:t>
            </w:r>
            <w:r>
              <w:rPr>
                <w:rFonts w:hint="eastAsia" w:ascii="宋体" w:hAnsi="宋体" w:cs="宋体"/>
                <w:kern w:val="0"/>
                <w:szCs w:val="21"/>
                <w:lang w:val="en-US" w:eastAsia="zh-CN"/>
              </w:rPr>
              <w:t>2014-2030</w:t>
            </w:r>
            <w:r>
              <w:rPr>
                <w:rFonts w:hint="eastAsia" w:ascii="宋体" w:hAnsi="宋体" w:cs="宋体"/>
                <w:kern w:val="0"/>
                <w:szCs w:val="21"/>
                <w:lang w:eastAsia="zh-CN"/>
              </w:rPr>
              <w:t>）环境影响报告书》及审查意见（新环函</w:t>
            </w:r>
            <w:r>
              <w:rPr>
                <w:rFonts w:hint="eastAsia" w:ascii="宋体" w:hAnsi="宋体" w:cs="宋体"/>
                <w:kern w:val="0"/>
                <w:szCs w:val="21"/>
                <w:lang w:val="en-US" w:eastAsia="zh-CN"/>
              </w:rPr>
              <w:t>[2015]306号</w:t>
            </w:r>
            <w:r>
              <w:rPr>
                <w:rFonts w:hint="eastAsia" w:ascii="宋体" w:hAnsi="宋体" w:cs="宋体"/>
                <w:kern w:val="0"/>
                <w:szCs w:val="21"/>
                <w:lang w:eastAsia="zh-CN"/>
              </w:rPr>
              <w:t>）中园区产业定位要求。</w:t>
            </w:r>
          </w:p>
          <w:p w14:paraId="0F68CE9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kern w:val="0"/>
                <w:szCs w:val="21"/>
              </w:rPr>
            </w:pPr>
            <w:r>
              <w:rPr>
                <w:rFonts w:hint="eastAsia" w:ascii="宋体" w:hAnsi="宋体" w:cs="宋体"/>
                <w:kern w:val="0"/>
                <w:szCs w:val="21"/>
                <w:lang w:eastAsia="zh-CN"/>
              </w:rPr>
              <w:t>本项目选址位于新疆维格瑞生物科技有限公司，</w:t>
            </w:r>
            <w:r>
              <w:rPr>
                <w:rFonts w:hint="eastAsia" w:ascii="宋体" w:hAnsi="宋体" w:cs="宋体"/>
                <w:kern w:val="0"/>
                <w:szCs w:val="21"/>
                <w:lang w:val="en-US" w:eastAsia="zh-CN"/>
              </w:rPr>
              <w:t>属于</w:t>
            </w:r>
            <w:r>
              <w:rPr>
                <w:rFonts w:hint="eastAsia" w:ascii="宋体" w:hAnsi="宋体" w:cs="宋体"/>
                <w:kern w:val="0"/>
                <w:szCs w:val="21"/>
                <w:lang w:eastAsia="zh-CN"/>
              </w:rPr>
              <w:t>新兴高端材料配套的研发基地</w:t>
            </w:r>
            <w:r>
              <w:rPr>
                <w:rFonts w:hint="eastAsia" w:ascii="宋体" w:hAnsi="宋体" w:cs="宋体"/>
                <w:kern w:val="0"/>
                <w:szCs w:val="21"/>
                <w:lang w:val="en-US" w:eastAsia="zh-CN"/>
              </w:rPr>
              <w:t>项目</w:t>
            </w:r>
            <w:r>
              <w:rPr>
                <w:rFonts w:hint="eastAsia" w:ascii="宋体" w:hAnsi="宋体" w:cs="宋体"/>
                <w:kern w:val="0"/>
                <w:szCs w:val="21"/>
                <w:lang w:eastAsia="zh-CN"/>
              </w:rPr>
              <w:t>，主要建设内容包括研发大楼和试验区两部分，研发楼使用的水、电均依托新疆维格瑞生物科技有限公司。企业用地属园区企业厂区内三类工业用地，不另占用园区用地，符合规划环评要求。</w:t>
            </w:r>
          </w:p>
        </w:tc>
      </w:tr>
      <w:tr w14:paraId="57775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99" w:hRule="atLeast"/>
          <w:jc w:val="center"/>
        </w:trPr>
        <w:tc>
          <w:tcPr>
            <w:tcW w:w="2232" w:type="dxa"/>
            <w:noWrap w:val="0"/>
            <w:vAlign w:val="center"/>
          </w:tcPr>
          <w:p w14:paraId="31B5F417">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其他符合性分析</w:t>
            </w:r>
          </w:p>
        </w:tc>
        <w:tc>
          <w:tcPr>
            <w:tcW w:w="6638" w:type="dxa"/>
            <w:gridSpan w:val="3"/>
            <w:noWrap w:val="0"/>
            <w:vAlign w:val="center"/>
          </w:tcPr>
          <w:p w14:paraId="799FC5E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lang w:val="en-US" w:eastAsia="zh-CN"/>
              </w:rPr>
            </w:pPr>
            <w:r>
              <w:rPr>
                <w:rFonts w:hint="eastAsia"/>
                <w:lang w:val="en-US" w:eastAsia="zh-CN"/>
              </w:rPr>
              <w:t>（1）产业政策符合性：</w:t>
            </w:r>
          </w:p>
          <w:p w14:paraId="5EE5B18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本项目属于与新兴高端材料研发配套的研发基地建设项目，根据《产业结构调整指导目录》（2019年本），本项目属于“第一类 鼓励类 三十一、科技服务业</w:t>
            </w:r>
            <w:r>
              <w:rPr>
                <w:rFonts w:hint="default" w:ascii="Times New Roman" w:hAnsi="Times New Roman" w:eastAsia="宋体" w:cs="Times New Roman"/>
                <w:lang w:val="en-US" w:eastAsia="zh-CN"/>
              </w:rPr>
              <w:t>10</w:t>
            </w:r>
            <w:r>
              <w:rPr>
                <w:rFonts w:hint="eastAsia" w:ascii="Times New Roman" w:hAnsi="Times New Roman" w:eastAsia="宋体" w:cs="Times New Roman"/>
                <w:lang w:val="en-US" w:eastAsia="zh-CN"/>
              </w:rPr>
              <w:t>、国家级工程（技术）研究中心、国家产业创新中心、国家</w:t>
            </w:r>
            <w:r>
              <w:rPr>
                <w:rFonts w:hint="default" w:ascii="Times New Roman" w:hAnsi="Times New Roman" w:eastAsia="宋体" w:cs="Times New Roman"/>
                <w:lang w:val="en-US" w:eastAsia="zh-CN"/>
              </w:rPr>
              <w:t>农业高新技术产业示范、国家农业科技园区、国家认定的企业技术中心、国家实验室、国家重点实验室、国家重大科技基础设施、高新技术创业服务中心、绿色技术创新基地平台、新产品开发设计中心、科教基础设施、产业集群综合公共服务平台、中试基地、实验基地建设</w:t>
            </w:r>
            <w:r>
              <w:rPr>
                <w:rFonts w:hint="eastAsia" w:ascii="Times New Roman" w:hAnsi="Times New Roman" w:eastAsia="宋体" w:cs="Times New Roman"/>
                <w:lang w:val="en-US" w:eastAsia="zh-CN"/>
              </w:rPr>
              <w:t>，符合国家产业政策。</w:t>
            </w:r>
          </w:p>
          <w:p w14:paraId="7A7830D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lang w:val="en-US" w:eastAsia="zh-CN"/>
              </w:rPr>
            </w:pPr>
            <w:r>
              <w:rPr>
                <w:rFonts w:hint="eastAsia"/>
                <w:lang w:val="en-US" w:eastAsia="zh-CN"/>
              </w:rPr>
              <w:t>（2）“三线一单”符合性分析</w:t>
            </w:r>
          </w:p>
          <w:p w14:paraId="4F43DF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lang w:val="en-US" w:eastAsia="zh-CN"/>
              </w:rPr>
            </w:pPr>
            <w:r>
              <w:rPr>
                <w:rFonts w:hint="eastAsia"/>
                <w:lang w:val="en-US" w:eastAsia="zh-CN"/>
              </w:rPr>
              <w:t>①项目与《新疆维吾尔自治区“三线一单”生态环境分区管控方案》符合性如下：</w:t>
            </w:r>
          </w:p>
          <w:p w14:paraId="5722CD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lang w:val="en-US" w:eastAsia="zh-CN"/>
              </w:rPr>
            </w:pPr>
            <w:r>
              <w:rPr>
                <w:rFonts w:hint="eastAsia" w:ascii="Times New Roman" w:hAnsi="Times New Roman" w:eastAsia="宋体" w:cs="Times New Roman"/>
                <w:color w:val="auto"/>
                <w:lang w:val="en-US" w:eastAsia="zh-CN"/>
              </w:rPr>
              <w:t>根据《新疆维吾尔自治区“三线一单”生态环境分区管控方案》（新政发[2021]18号），新疆维吾尔自治区按照优先保护单元、重点控制单元和一般管控单元，实施分类管控。从新疆维吾尔自治区环境管控单元分类，本项目位于乌-昌-石地区，属重点管控单元，该单元着力优化空间布局，不断提升资源利用效率，有针对性地加强污染物排放管控和环境风险防控，解决生态环境质量不达标、生态环境风险高等问题。本项目新建研发楼和试验区进行办公和实验，不进行工业生产，基本不新增</w:t>
            </w:r>
            <w:r>
              <w:rPr>
                <w:rFonts w:hint="eastAsia" w:cs="Times New Roman"/>
                <w:color w:val="auto"/>
                <w:lang w:val="en-US" w:eastAsia="zh-CN"/>
              </w:rPr>
              <w:t>区域</w:t>
            </w:r>
            <w:r>
              <w:rPr>
                <w:rFonts w:hint="eastAsia" w:ascii="Times New Roman" w:hAnsi="Times New Roman" w:eastAsia="宋体" w:cs="Times New Roman"/>
                <w:color w:val="auto"/>
                <w:lang w:val="en-US" w:eastAsia="zh-CN"/>
              </w:rPr>
              <w:t>主要污染物排放，符合《新疆维吾尔自治区“三线一单”分区管控方案》管控要求。</w:t>
            </w:r>
          </w:p>
          <w:p w14:paraId="3FED7F9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lang w:val="en-US" w:eastAsia="zh-CN"/>
              </w:rPr>
            </w:pPr>
            <w:r>
              <w:rPr>
                <w:rFonts w:hint="eastAsia"/>
                <w:lang w:val="en-US" w:eastAsia="zh-CN"/>
              </w:rPr>
              <w:t>②项目与《昌吉回族自治州“三线一单”生态环境分区管控方案》符合性分析如下：</w:t>
            </w:r>
          </w:p>
          <w:p w14:paraId="0BA0EEBB">
            <w:pPr>
              <w:keepNext w:val="0"/>
              <w:keepLines w:val="0"/>
              <w:pageBreakBefore w:val="0"/>
              <w:widowControl w:val="0"/>
              <w:kinsoku/>
              <w:wordWrap/>
              <w:overflowPunct/>
              <w:topLinePunct w:val="0"/>
              <w:bidi w:val="0"/>
              <w:spacing w:line="360" w:lineRule="auto"/>
              <w:ind w:firstLine="420" w:firstLineChars="200"/>
              <w:textAlignment w:val="auto"/>
              <w:rPr>
                <w:rFonts w:hint="default" w:eastAsia="宋体"/>
                <w:lang w:val="en-US" w:eastAsia="zh-CN"/>
              </w:rPr>
            </w:pPr>
            <w:r>
              <w:rPr>
                <w:rFonts w:hint="eastAsia"/>
                <w:lang w:eastAsia="zh-CN"/>
              </w:rPr>
              <w:t>本</w:t>
            </w:r>
            <w:r>
              <w:rPr>
                <w:rFonts w:hint="eastAsia"/>
              </w:rPr>
              <w:t>项目</w:t>
            </w:r>
            <w:r>
              <w:rPr>
                <w:rFonts w:hint="eastAsia"/>
                <w:lang w:eastAsia="zh-CN"/>
              </w:rPr>
              <w:t>位于昌吉国家高新技术产业开发区内，</w:t>
            </w:r>
            <w:r>
              <w:rPr>
                <w:rFonts w:hint="eastAsia"/>
                <w:lang w:val="en-US" w:eastAsia="zh-CN"/>
              </w:rPr>
              <w:t>根据《昌吉回族自治州“三线一单”生态环境》（见图1），项目所在地环境管控单元编码：ZH65230120002</w:t>
            </w:r>
            <w:r>
              <w:rPr>
                <w:rFonts w:hint="eastAsia"/>
              </w:rPr>
              <w:t>。</w:t>
            </w:r>
            <w:r>
              <w:rPr>
                <w:rFonts w:hint="eastAsia"/>
                <w:lang w:val="en-US" w:eastAsia="zh-CN"/>
              </w:rPr>
              <w:t>该区的要素属性为：大气高排放重点管控区。相关要求见表1。</w:t>
            </w:r>
          </w:p>
          <w:p w14:paraId="115FB936">
            <w:pPr>
              <w:keepNext w:val="0"/>
              <w:keepLines w:val="0"/>
              <w:pageBreakBefore w:val="0"/>
              <w:widowControl w:val="0"/>
              <w:kinsoku/>
              <w:wordWrap/>
              <w:overflowPunct/>
              <w:topLinePunct w:val="0"/>
              <w:bidi w:val="0"/>
              <w:spacing w:line="360" w:lineRule="auto"/>
              <w:ind w:firstLine="338" w:firstLineChars="200"/>
              <w:textAlignment w:val="auto"/>
              <w:rPr>
                <w:rFonts w:hint="eastAsia"/>
                <w:b/>
                <w:bCs/>
                <w:spacing w:val="-6"/>
                <w:w w:val="90"/>
                <w:sz w:val="20"/>
                <w:szCs w:val="22"/>
                <w:lang w:val="en-US" w:eastAsia="zh-CN"/>
              </w:rPr>
            </w:pPr>
          </w:p>
          <w:p w14:paraId="56294E6D">
            <w:pPr>
              <w:keepNext w:val="0"/>
              <w:keepLines w:val="0"/>
              <w:pageBreakBefore w:val="0"/>
              <w:widowControl w:val="0"/>
              <w:kinsoku/>
              <w:wordWrap/>
              <w:overflowPunct/>
              <w:topLinePunct w:val="0"/>
              <w:bidi w:val="0"/>
              <w:spacing w:line="360" w:lineRule="auto"/>
              <w:ind w:firstLine="338" w:firstLineChars="200"/>
              <w:textAlignment w:val="auto"/>
              <w:rPr>
                <w:rFonts w:hint="eastAsia"/>
                <w:b/>
                <w:bCs/>
                <w:spacing w:val="-6"/>
                <w:w w:val="90"/>
                <w:sz w:val="20"/>
                <w:szCs w:val="22"/>
                <w:lang w:val="en-US" w:eastAsia="zh-CN"/>
              </w:rPr>
            </w:pPr>
          </w:p>
          <w:p w14:paraId="4FED4FD3">
            <w:pPr>
              <w:keepNext w:val="0"/>
              <w:keepLines w:val="0"/>
              <w:pageBreakBefore w:val="0"/>
              <w:widowControl w:val="0"/>
              <w:kinsoku/>
              <w:wordWrap/>
              <w:overflowPunct/>
              <w:topLinePunct w:val="0"/>
              <w:bidi w:val="0"/>
              <w:spacing w:line="360" w:lineRule="auto"/>
              <w:ind w:firstLine="338" w:firstLineChars="200"/>
              <w:textAlignment w:val="auto"/>
              <w:rPr>
                <w:rFonts w:hint="eastAsia"/>
                <w:b/>
                <w:bCs/>
                <w:spacing w:val="-6"/>
                <w:w w:val="90"/>
                <w:sz w:val="20"/>
                <w:szCs w:val="22"/>
                <w:lang w:val="en-US" w:eastAsia="zh-CN"/>
              </w:rPr>
            </w:pPr>
          </w:p>
          <w:p w14:paraId="4A761045">
            <w:pPr>
              <w:keepNext w:val="0"/>
              <w:keepLines w:val="0"/>
              <w:pageBreakBefore w:val="0"/>
              <w:widowControl w:val="0"/>
              <w:kinsoku/>
              <w:wordWrap/>
              <w:overflowPunct/>
              <w:topLinePunct w:val="0"/>
              <w:bidi w:val="0"/>
              <w:spacing w:line="360" w:lineRule="auto"/>
              <w:ind w:firstLine="338" w:firstLineChars="200"/>
              <w:textAlignment w:val="auto"/>
              <w:rPr>
                <w:rFonts w:hint="default"/>
                <w:b/>
                <w:bCs/>
                <w:spacing w:val="-6"/>
                <w:w w:val="90"/>
                <w:sz w:val="20"/>
                <w:szCs w:val="22"/>
                <w:lang w:val="en-US" w:eastAsia="zh-CN"/>
              </w:rPr>
            </w:pPr>
            <w:r>
              <w:rPr>
                <w:rFonts w:hint="eastAsia"/>
                <w:b/>
                <w:bCs/>
                <w:spacing w:val="-6"/>
                <w:w w:val="90"/>
                <w:sz w:val="20"/>
                <w:szCs w:val="22"/>
                <w:lang w:val="en-US" w:eastAsia="zh-CN"/>
              </w:rPr>
              <w:t>表1  项目与《昌吉回族自治州“三线一单”生态环境分区管控方案》符合性</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4621"/>
              <w:gridCol w:w="1106"/>
            </w:tblGrid>
            <w:tr w14:paraId="21E7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2816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序号</w:t>
                  </w:r>
                </w:p>
              </w:tc>
              <w:tc>
                <w:tcPr>
                  <w:tcW w:w="4621" w:type="dxa"/>
                  <w:noWrap w:val="0"/>
                  <w:vAlign w:val="center"/>
                </w:tcPr>
                <w:p w14:paraId="0D8F4B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方案要求</w:t>
                  </w:r>
                </w:p>
              </w:tc>
              <w:tc>
                <w:tcPr>
                  <w:tcW w:w="1106" w:type="dxa"/>
                  <w:noWrap w:val="0"/>
                  <w:vAlign w:val="center"/>
                </w:tcPr>
                <w:p w14:paraId="6F220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符合性分析</w:t>
                  </w:r>
                </w:p>
              </w:tc>
            </w:tr>
            <w:tr w14:paraId="45AB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2" w:type="dxa"/>
                  <w:gridSpan w:val="3"/>
                  <w:noWrap w:val="0"/>
                  <w:vAlign w:val="center"/>
                </w:tcPr>
                <w:p w14:paraId="7B147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空间布局约束</w:t>
                  </w:r>
                </w:p>
              </w:tc>
            </w:tr>
            <w:tr w14:paraId="4567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6ADD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A6.1-1</w:t>
                  </w:r>
                </w:p>
              </w:tc>
              <w:tc>
                <w:tcPr>
                  <w:tcW w:w="4621" w:type="dxa"/>
                  <w:noWrap w:val="0"/>
                  <w:vAlign w:val="center"/>
                </w:tcPr>
                <w:p w14:paraId="66B1A7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根据产业集聚区块的功能定位，建立分区差别化的产业准入条件。严格控制重要水系源头地区和重要生态功能区“高污染、高环境风险产品”工业项目准入。优化完善区域产业布局，合理规划布局“高污染、高环境风险产品”工业项目，鼓励对“高污染、高环境风险产品”工业项目进行淘汰和提升改造。合理规划居住区与工业功能区，在居住区和工业区、工业企业之间设置防护绿化隔离带</w:t>
                  </w:r>
                </w:p>
              </w:tc>
              <w:tc>
                <w:tcPr>
                  <w:tcW w:w="1106" w:type="dxa"/>
                  <w:noWrap w:val="0"/>
                  <w:vAlign w:val="center"/>
                </w:tcPr>
                <w:p w14:paraId="09F38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不涉及</w:t>
                  </w:r>
                </w:p>
              </w:tc>
            </w:tr>
            <w:tr w14:paraId="1235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0BACB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A6.1-2</w:t>
                  </w:r>
                </w:p>
              </w:tc>
              <w:tc>
                <w:tcPr>
                  <w:tcW w:w="4621" w:type="dxa"/>
                  <w:noWrap w:val="0"/>
                  <w:vAlign w:val="center"/>
                </w:tcPr>
                <w:p w14:paraId="1B65B1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大气环境重点管控区内：禁止引进国家和自治区明令禁止或淘汰的产业及工艺、园区规划的项目；引进符合国家产业政策和清洁生产要求的、采用先进生产工艺和设备的、自动化程度高的、具有可靠先进的污染治理技术的生产项目</w:t>
                  </w:r>
                </w:p>
              </w:tc>
              <w:tc>
                <w:tcPr>
                  <w:tcW w:w="1106" w:type="dxa"/>
                  <w:noWrap w:val="0"/>
                  <w:vAlign w:val="center"/>
                </w:tcPr>
                <w:p w14:paraId="365BE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不涉及</w:t>
                  </w:r>
                </w:p>
              </w:tc>
            </w:tr>
            <w:tr w14:paraId="0A6C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28CF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A6.1-3</w:t>
                  </w:r>
                </w:p>
              </w:tc>
              <w:tc>
                <w:tcPr>
                  <w:tcW w:w="4621" w:type="dxa"/>
                  <w:noWrap w:val="0"/>
                  <w:vAlign w:val="center"/>
                </w:tcPr>
                <w:p w14:paraId="18694A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水环境重点管控区内：制定产业准入对污染排放不达标的企业限期整改，确保水污染物达标排放；加快推进生态园区建设和循环化改造，完善污水集中处理设施及再生水回用系统，加强配套管网建设，并确保稳定运行，工业废水必须经预处理达到集中处理要求后，方可进入污水集中处理设施，不断提高污水集中处理中水回用率。加强城镇配套管网建设，提高城镇生活污水出水排放标准，推进城镇生活污水深度治理，提高污水厂脱氮除磷效率。对农业污染重点管控区，推进畜禽养殖禁养区、限养区的划定，限期依法关闭或搬迁禁养区内的畜禽养殖场，对现有规模化畜禽养殖配套建设粪便污水贮存、处理、利用设施，鼓励设施农业循环发展模式，推进养殖废弃物资源化利用。控制化肥农药使用量，推进农膜回收及加工再利用，农药化肥等包装废弃物的安全收集处置设施建设，降低农业污染负荷</w:t>
                  </w:r>
                </w:p>
              </w:tc>
              <w:tc>
                <w:tcPr>
                  <w:tcW w:w="1106" w:type="dxa"/>
                  <w:noWrap w:val="0"/>
                  <w:vAlign w:val="center"/>
                </w:tcPr>
                <w:p w14:paraId="061858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不涉及</w:t>
                  </w:r>
                </w:p>
              </w:tc>
            </w:tr>
            <w:tr w14:paraId="6B5C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455688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A6.1-4</w:t>
                  </w:r>
                </w:p>
              </w:tc>
              <w:tc>
                <w:tcPr>
                  <w:tcW w:w="4621" w:type="dxa"/>
                  <w:noWrap w:val="0"/>
                  <w:vAlign w:val="top"/>
                </w:tcPr>
                <w:p w14:paraId="744031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土壤环境重点管控区内：引入新建产业或企业时，应结合产业发展规划，充分考虑企业类型、污染物排放特征以及外环境情况等因素，避免企业形成交叉污染；涉重金属、持久性有机物等有毒有害污染物工业企业退出用地，须经评估、治理，满足后续相应用地土壤环境质量要求。</w:t>
                  </w:r>
                </w:p>
              </w:tc>
              <w:tc>
                <w:tcPr>
                  <w:tcW w:w="1106" w:type="dxa"/>
                  <w:noWrap w:val="0"/>
                  <w:vAlign w:val="center"/>
                </w:tcPr>
                <w:p w14:paraId="6883D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不涉及</w:t>
                  </w:r>
                </w:p>
              </w:tc>
            </w:tr>
            <w:tr w14:paraId="13A7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28CF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6"/>
                      <w:w w:val="90"/>
                      <w:sz w:val="20"/>
                      <w:szCs w:val="22"/>
                      <w:vertAlign w:val="baseline"/>
                      <w:lang w:eastAsia="zh-CN"/>
                    </w:rPr>
                  </w:pPr>
                </w:p>
              </w:tc>
              <w:tc>
                <w:tcPr>
                  <w:tcW w:w="4621" w:type="dxa"/>
                  <w:noWrap w:val="0"/>
                  <w:vAlign w:val="center"/>
                </w:tcPr>
                <w:p w14:paraId="6E35E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入园企业需符合园区产业发展定位，产业发展以装备制造、新材料产业、生物科技、食品产业、现代服务业为主导</w:t>
                  </w:r>
                </w:p>
              </w:tc>
              <w:tc>
                <w:tcPr>
                  <w:tcW w:w="1106" w:type="dxa"/>
                  <w:noWrap w:val="0"/>
                  <w:vAlign w:val="center"/>
                </w:tcPr>
                <w:p w14:paraId="4C3F5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本项目与新材料产业配套，符合产业定位</w:t>
                  </w:r>
                </w:p>
              </w:tc>
            </w:tr>
            <w:tr w14:paraId="1F25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196DE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6"/>
                      <w:w w:val="90"/>
                      <w:sz w:val="20"/>
                      <w:szCs w:val="22"/>
                      <w:vertAlign w:val="baseline"/>
                      <w:lang w:eastAsia="zh-CN"/>
                    </w:rPr>
                  </w:pPr>
                </w:p>
              </w:tc>
              <w:tc>
                <w:tcPr>
                  <w:tcW w:w="4621" w:type="dxa"/>
                  <w:noWrap w:val="0"/>
                  <w:vAlign w:val="center"/>
                </w:tcPr>
                <w:p w14:paraId="773EA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以水定产，严格限制发展高耗水、环境影响较大的行业</w:t>
                  </w:r>
                </w:p>
              </w:tc>
              <w:tc>
                <w:tcPr>
                  <w:tcW w:w="1106" w:type="dxa"/>
                  <w:noWrap w:val="0"/>
                  <w:vAlign w:val="center"/>
                </w:tcPr>
                <w:p w14:paraId="08804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不涉及</w:t>
                  </w:r>
                </w:p>
              </w:tc>
            </w:tr>
            <w:tr w14:paraId="0057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2" w:type="dxa"/>
                  <w:gridSpan w:val="3"/>
                  <w:noWrap w:val="0"/>
                  <w:vAlign w:val="center"/>
                </w:tcPr>
                <w:p w14:paraId="2FA90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污染物排放管控</w:t>
                  </w:r>
                </w:p>
              </w:tc>
            </w:tr>
            <w:tr w14:paraId="142A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594F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A6.2</w:t>
                  </w:r>
                </w:p>
              </w:tc>
              <w:tc>
                <w:tcPr>
                  <w:tcW w:w="4621" w:type="dxa"/>
                  <w:noWrap w:val="0"/>
                  <w:vAlign w:val="center"/>
                </w:tcPr>
                <w:p w14:paraId="5AF94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严格实施污染物总量控制制度，根据区域环境质量改善目标，削减污染物排放总量。新建工业项目污染物排放水平要达到同行业国内先进水平。加快落实污水处理厂建设及提升改造，推进工业园区（工业企业）污水处理综合利用设施建设，所有企业实现稳定达标排放。加强土壤和地下水污染防治与修复</w:t>
                  </w:r>
                </w:p>
              </w:tc>
              <w:tc>
                <w:tcPr>
                  <w:tcW w:w="1106" w:type="dxa"/>
                  <w:noWrap w:val="0"/>
                  <w:vAlign w:val="center"/>
                </w:tcPr>
                <w:p w14:paraId="19ECD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不涉及</w:t>
                  </w:r>
                </w:p>
              </w:tc>
            </w:tr>
            <w:tr w14:paraId="0595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3874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6"/>
                      <w:w w:val="90"/>
                      <w:sz w:val="20"/>
                      <w:szCs w:val="22"/>
                      <w:vertAlign w:val="baseline"/>
                      <w:lang w:eastAsia="zh-CN"/>
                    </w:rPr>
                  </w:pPr>
                </w:p>
              </w:tc>
              <w:tc>
                <w:tcPr>
                  <w:tcW w:w="4621" w:type="dxa"/>
                  <w:noWrap w:val="0"/>
                  <w:vAlign w:val="center"/>
                </w:tcPr>
                <w:p w14:paraId="0740B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新（改、扩）建项目应执行最严格的大气污染物排放标准</w:t>
                  </w:r>
                </w:p>
              </w:tc>
              <w:tc>
                <w:tcPr>
                  <w:tcW w:w="1106" w:type="dxa"/>
                  <w:noWrap w:val="0"/>
                  <w:vAlign w:val="center"/>
                </w:tcPr>
                <w:p w14:paraId="10F5F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符合要求</w:t>
                  </w:r>
                </w:p>
              </w:tc>
            </w:tr>
            <w:tr w14:paraId="3DCB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B7E6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6"/>
                      <w:w w:val="90"/>
                      <w:sz w:val="20"/>
                      <w:szCs w:val="22"/>
                      <w:vertAlign w:val="baseline"/>
                      <w:lang w:eastAsia="zh-CN"/>
                    </w:rPr>
                  </w:pPr>
                </w:p>
              </w:tc>
              <w:tc>
                <w:tcPr>
                  <w:tcW w:w="4621" w:type="dxa"/>
                  <w:noWrap w:val="0"/>
                  <w:vAlign w:val="center"/>
                </w:tcPr>
                <w:p w14:paraId="01045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PM</w:t>
                  </w:r>
                  <w:r>
                    <w:rPr>
                      <w:rFonts w:hint="eastAsia" w:ascii="Times New Roman" w:hAnsi="Times New Roman" w:eastAsia="宋体" w:cs="Times New Roman"/>
                      <w:spacing w:val="-6"/>
                      <w:w w:val="90"/>
                      <w:sz w:val="20"/>
                      <w:szCs w:val="22"/>
                      <w:vertAlign w:val="subscript"/>
                      <w:lang w:val="en-US" w:eastAsia="zh-CN"/>
                    </w:rPr>
                    <w:t>2.5</w:t>
                  </w:r>
                  <w:r>
                    <w:rPr>
                      <w:rFonts w:hint="eastAsia" w:ascii="Times New Roman" w:hAnsi="Times New Roman" w:eastAsia="宋体" w:cs="Times New Roman"/>
                      <w:spacing w:val="-6"/>
                      <w:w w:val="90"/>
                      <w:sz w:val="20"/>
                      <w:szCs w:val="22"/>
                      <w:vertAlign w:val="baseline"/>
                      <w:lang w:val="en-US" w:eastAsia="zh-CN"/>
                    </w:rPr>
                    <w:t>年均浓度不达标城市，禁止新（改、扩）建未落实SO</w:t>
                  </w:r>
                  <w:r>
                    <w:rPr>
                      <w:rFonts w:hint="eastAsia" w:ascii="Times New Roman" w:hAnsi="Times New Roman" w:eastAsia="宋体" w:cs="Times New Roman"/>
                      <w:spacing w:val="-6"/>
                      <w:w w:val="90"/>
                      <w:sz w:val="20"/>
                      <w:szCs w:val="22"/>
                      <w:vertAlign w:val="subscript"/>
                      <w:lang w:val="en-US" w:eastAsia="zh-CN"/>
                    </w:rPr>
                    <w:t>2</w:t>
                  </w:r>
                  <w:r>
                    <w:rPr>
                      <w:rFonts w:hint="eastAsia" w:ascii="Times New Roman" w:hAnsi="Times New Roman" w:eastAsia="宋体" w:cs="Times New Roman"/>
                      <w:spacing w:val="-6"/>
                      <w:w w:val="90"/>
                      <w:sz w:val="20"/>
                      <w:szCs w:val="22"/>
                      <w:vertAlign w:val="baseline"/>
                      <w:lang w:val="en-US" w:eastAsia="zh-CN"/>
                    </w:rPr>
                    <w:t>、NOx、烟粉尘、挥发性有机物（VOCs）等四项大气污染物总量指标昌吉州区域内倍量替代的项目</w:t>
                  </w:r>
                </w:p>
              </w:tc>
              <w:tc>
                <w:tcPr>
                  <w:tcW w:w="1106" w:type="dxa"/>
                  <w:noWrap w:val="0"/>
                  <w:vAlign w:val="center"/>
                </w:tcPr>
                <w:p w14:paraId="46812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不涉及</w:t>
                  </w:r>
                </w:p>
              </w:tc>
            </w:tr>
            <w:tr w14:paraId="494A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D7AB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6"/>
                      <w:w w:val="90"/>
                      <w:sz w:val="20"/>
                      <w:szCs w:val="22"/>
                      <w:vertAlign w:val="baseline"/>
                      <w:lang w:eastAsia="zh-CN"/>
                    </w:rPr>
                  </w:pPr>
                </w:p>
              </w:tc>
              <w:tc>
                <w:tcPr>
                  <w:tcW w:w="4621" w:type="dxa"/>
                  <w:noWrap w:val="0"/>
                  <w:vAlign w:val="center"/>
                </w:tcPr>
                <w:p w14:paraId="4C4B8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严格限制石化、化工、包装印刷、工业涂装等高VOCs排放建设项目，严格涉及VOCs建设项目环境影响评价，实行区域内VOCs排放倍量削减替代，并将替代方案落实到企业排污许可证中，纳入环境执法管理。新、改、扩建涉及VOCs排放项目，应从源头加强控制，使用低（无）VOCs含量的原辅材料，加强废气收集，安装高效治理设施</w:t>
                  </w:r>
                </w:p>
              </w:tc>
              <w:tc>
                <w:tcPr>
                  <w:tcW w:w="1106" w:type="dxa"/>
                  <w:noWrap w:val="0"/>
                  <w:vAlign w:val="center"/>
                </w:tcPr>
                <w:p w14:paraId="57806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本项目不属于工业生产项目，产生的少量VOCs采用高效治理措施</w:t>
                  </w:r>
                </w:p>
              </w:tc>
            </w:tr>
            <w:tr w14:paraId="79B5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2" w:type="dxa"/>
                  <w:gridSpan w:val="3"/>
                  <w:noWrap w:val="0"/>
                  <w:vAlign w:val="center"/>
                </w:tcPr>
                <w:p w14:paraId="79225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环境风险防控</w:t>
                  </w:r>
                </w:p>
              </w:tc>
            </w:tr>
            <w:tr w14:paraId="1DA2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9488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6"/>
                      <w:w w:val="90"/>
                      <w:sz w:val="20"/>
                      <w:szCs w:val="22"/>
                      <w:vertAlign w:val="baseline"/>
                      <w:lang w:val="en-US" w:eastAsia="zh-CN"/>
                    </w:rPr>
                  </w:pPr>
                  <w:r>
                    <w:rPr>
                      <w:rFonts w:hint="eastAsia"/>
                      <w:spacing w:val="-6"/>
                      <w:w w:val="90"/>
                      <w:sz w:val="20"/>
                      <w:szCs w:val="22"/>
                      <w:vertAlign w:val="baseline"/>
                      <w:lang w:val="en-US" w:eastAsia="zh-CN"/>
                    </w:rPr>
                    <w:t>6.3</w:t>
                  </w:r>
                </w:p>
              </w:tc>
              <w:tc>
                <w:tcPr>
                  <w:tcW w:w="4621" w:type="dxa"/>
                  <w:noWrap w:val="0"/>
                  <w:vAlign w:val="center"/>
                </w:tcPr>
                <w:p w14:paraId="0A858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定期评估邻近环境敏感区的工业企业、工业集聚区环境和健康风险。强化工业集聚区企业环境风险防范设施设备建设和正常运行监管，加强重点环境风险管控企业应急预案制定，建立常态化的企业隐患排查整治监管机制，加强风险防控体系建设</w:t>
                  </w:r>
                </w:p>
              </w:tc>
              <w:tc>
                <w:tcPr>
                  <w:tcW w:w="1106" w:type="dxa"/>
                  <w:noWrap w:val="0"/>
                  <w:vAlign w:val="center"/>
                </w:tcPr>
                <w:p w14:paraId="413B3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不涉及</w:t>
                  </w:r>
                </w:p>
              </w:tc>
            </w:tr>
            <w:tr w14:paraId="385A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8D18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6"/>
                      <w:w w:val="90"/>
                      <w:sz w:val="20"/>
                      <w:szCs w:val="22"/>
                      <w:vertAlign w:val="baseline"/>
                      <w:lang w:eastAsia="zh-CN"/>
                    </w:rPr>
                  </w:pPr>
                </w:p>
              </w:tc>
              <w:tc>
                <w:tcPr>
                  <w:tcW w:w="4621" w:type="dxa"/>
                  <w:noWrap w:val="0"/>
                  <w:vAlign w:val="center"/>
                </w:tcPr>
                <w:p w14:paraId="27F04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严格落实错峰生产方案和重污染天气应急相应措施</w:t>
                  </w:r>
                </w:p>
              </w:tc>
              <w:tc>
                <w:tcPr>
                  <w:tcW w:w="1106" w:type="dxa"/>
                  <w:noWrap w:val="0"/>
                  <w:vAlign w:val="center"/>
                </w:tcPr>
                <w:p w14:paraId="03AB2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按要求落实</w:t>
                  </w:r>
                </w:p>
              </w:tc>
            </w:tr>
            <w:tr w14:paraId="1878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42CD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6"/>
                      <w:w w:val="90"/>
                      <w:sz w:val="20"/>
                      <w:szCs w:val="22"/>
                      <w:vertAlign w:val="baseline"/>
                      <w:lang w:eastAsia="zh-CN"/>
                    </w:rPr>
                  </w:pPr>
                </w:p>
              </w:tc>
              <w:tc>
                <w:tcPr>
                  <w:tcW w:w="4621" w:type="dxa"/>
                  <w:noWrap w:val="0"/>
                  <w:vAlign w:val="center"/>
                </w:tcPr>
                <w:p w14:paraId="70E6B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生产、使用、贮存、运输、回收、处置、排放有毒有害物质的单位和个人，应当采取措施，防止有毒有害物质渗漏，流失、扬散，避免土壤收到污染</w:t>
                  </w:r>
                </w:p>
              </w:tc>
              <w:tc>
                <w:tcPr>
                  <w:tcW w:w="1106" w:type="dxa"/>
                  <w:noWrap w:val="0"/>
                  <w:vAlign w:val="center"/>
                </w:tcPr>
                <w:p w14:paraId="7C4C8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6"/>
                      <w:w w:val="90"/>
                      <w:sz w:val="20"/>
                      <w:szCs w:val="22"/>
                      <w:vertAlign w:val="baseline"/>
                      <w:lang w:val="en-US" w:eastAsia="zh-CN"/>
                    </w:rPr>
                  </w:pPr>
                  <w:r>
                    <w:rPr>
                      <w:rFonts w:hint="eastAsia" w:ascii="Times New Roman" w:hAnsi="Times New Roman" w:eastAsia="宋体" w:cs="Times New Roman"/>
                      <w:spacing w:val="-6"/>
                      <w:w w:val="90"/>
                      <w:sz w:val="20"/>
                      <w:szCs w:val="22"/>
                      <w:vertAlign w:val="baseline"/>
                      <w:lang w:val="en-US" w:eastAsia="zh-CN"/>
                    </w:rPr>
                    <w:t>不涉及</w:t>
                  </w:r>
                </w:p>
              </w:tc>
            </w:tr>
          </w:tbl>
          <w:p w14:paraId="760DB3AD">
            <w:pPr>
              <w:keepNext w:val="0"/>
              <w:keepLines w:val="0"/>
              <w:pageBreakBefore w:val="0"/>
              <w:widowControl w:val="0"/>
              <w:kinsoku/>
              <w:wordWrap/>
              <w:overflowPunct/>
              <w:topLinePunct w:val="0"/>
              <w:bidi w:val="0"/>
              <w:spacing w:line="360" w:lineRule="auto"/>
              <w:ind w:firstLine="420" w:firstLineChars="200"/>
              <w:textAlignment w:val="auto"/>
              <w:rPr>
                <w:rFonts w:hint="eastAsia"/>
                <w:lang w:eastAsia="zh-CN"/>
              </w:rPr>
            </w:pPr>
            <w:r>
              <w:rPr>
                <w:rFonts w:hint="eastAsia"/>
                <w:lang w:eastAsia="zh-CN"/>
              </w:rPr>
              <w:t>根据分析，本项目的建设符合产业政策，</w:t>
            </w:r>
            <w:r>
              <w:rPr>
                <w:rFonts w:hint="eastAsia"/>
                <w:lang w:val="en-US" w:eastAsia="zh-CN"/>
              </w:rPr>
              <w:t>符合《昌吉回族自治州“三线一单”生态环境分区管控方案》相关要求，</w:t>
            </w:r>
            <w:r>
              <w:rPr>
                <w:rFonts w:hint="eastAsia"/>
                <w:lang w:eastAsia="zh-CN"/>
              </w:rPr>
              <w:t>其建设不违背地方生态保护、环境质量、资源利用和相关环境准入的要求。</w:t>
            </w:r>
          </w:p>
          <w:p w14:paraId="467145C2">
            <w:pPr>
              <w:pStyle w:val="13"/>
              <w:rPr>
                <w:rFonts w:hint="eastAsia"/>
                <w:lang w:eastAsia="zh-CN"/>
              </w:rPr>
            </w:pPr>
          </w:p>
          <w:p w14:paraId="5D40A1F2">
            <w:pPr>
              <w:rPr>
                <w:rFonts w:hint="eastAsia"/>
                <w:lang w:eastAsia="zh-CN"/>
              </w:rPr>
            </w:pPr>
          </w:p>
          <w:p w14:paraId="172FA3A3">
            <w:pPr>
              <w:pStyle w:val="13"/>
              <w:rPr>
                <w:rFonts w:hint="eastAsia"/>
                <w:lang w:eastAsia="zh-CN"/>
              </w:rPr>
            </w:pPr>
          </w:p>
          <w:p w14:paraId="2D55CEFB">
            <w:pPr>
              <w:rPr>
                <w:rFonts w:hint="eastAsia"/>
                <w:lang w:eastAsia="zh-CN"/>
              </w:rPr>
            </w:pPr>
          </w:p>
          <w:p w14:paraId="39B3EAE1">
            <w:pPr>
              <w:pStyle w:val="13"/>
              <w:rPr>
                <w:rFonts w:hint="eastAsia"/>
                <w:lang w:eastAsia="zh-CN"/>
              </w:rPr>
            </w:pPr>
          </w:p>
          <w:p w14:paraId="36BE1188">
            <w:pPr>
              <w:rPr>
                <w:rFonts w:hint="eastAsia"/>
                <w:lang w:eastAsia="zh-CN"/>
              </w:rPr>
            </w:pPr>
          </w:p>
          <w:p w14:paraId="6C635F70">
            <w:pPr>
              <w:pStyle w:val="13"/>
              <w:rPr>
                <w:rFonts w:hint="eastAsia"/>
                <w:lang w:eastAsia="zh-CN"/>
              </w:rPr>
            </w:pPr>
          </w:p>
          <w:p w14:paraId="6F2DF552">
            <w:pPr>
              <w:rPr>
                <w:rFonts w:hint="eastAsia"/>
                <w:lang w:eastAsia="zh-CN"/>
              </w:rPr>
            </w:pPr>
          </w:p>
          <w:p w14:paraId="771D53E6">
            <w:pPr>
              <w:pStyle w:val="13"/>
              <w:rPr>
                <w:rFonts w:hint="eastAsia"/>
                <w:lang w:eastAsia="zh-CN"/>
              </w:rPr>
            </w:pPr>
          </w:p>
          <w:p w14:paraId="4959DD52">
            <w:pPr>
              <w:rPr>
                <w:rFonts w:hint="eastAsia"/>
                <w:lang w:eastAsia="zh-CN"/>
              </w:rPr>
            </w:pPr>
          </w:p>
          <w:p w14:paraId="5AA82BAA">
            <w:pPr>
              <w:pStyle w:val="13"/>
              <w:rPr>
                <w:rFonts w:hint="eastAsia"/>
                <w:lang w:eastAsia="zh-CN"/>
              </w:rPr>
            </w:pPr>
          </w:p>
          <w:p w14:paraId="33BDFE83">
            <w:pPr>
              <w:rPr>
                <w:rFonts w:hint="eastAsia"/>
                <w:lang w:eastAsia="zh-CN"/>
              </w:rPr>
            </w:pPr>
          </w:p>
          <w:p w14:paraId="69815907">
            <w:pPr>
              <w:pStyle w:val="13"/>
              <w:rPr>
                <w:rFonts w:hint="default"/>
                <w:lang w:val="en-US" w:eastAsia="zh-CN"/>
              </w:rPr>
            </w:pPr>
          </w:p>
        </w:tc>
      </w:tr>
    </w:tbl>
    <w:p w14:paraId="005E68EF">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41AEB374">
      <w:pPr>
        <w:pStyle w:val="14"/>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1"/>
      </w:tblGrid>
      <w:tr w14:paraId="73DB9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4" w:hRule="atLeast"/>
          <w:jc w:val="center"/>
        </w:trPr>
        <w:tc>
          <w:tcPr>
            <w:tcW w:w="823" w:type="dxa"/>
            <w:noWrap w:val="0"/>
            <w:vAlign w:val="center"/>
          </w:tcPr>
          <w:p w14:paraId="57B43678">
            <w:pPr>
              <w:pStyle w:val="14"/>
              <w:adjustRightInd w:val="0"/>
              <w:snapToGrid w:val="0"/>
              <w:spacing w:before="0" w:beforeAutospacing="0" w:after="0" w:afterAutospacing="0"/>
              <w:jc w:val="center"/>
              <w:rPr>
                <w:rFonts w:cs="宋体"/>
                <w:sz w:val="21"/>
                <w:szCs w:val="21"/>
              </w:rPr>
            </w:pPr>
            <w:r>
              <w:rPr>
                <w:rFonts w:hint="eastAsia" w:cs="宋体"/>
                <w:sz w:val="21"/>
                <w:szCs w:val="21"/>
              </w:rPr>
              <w:t>建设内容</w:t>
            </w:r>
          </w:p>
        </w:tc>
        <w:tc>
          <w:tcPr>
            <w:tcW w:w="8161" w:type="dxa"/>
            <w:noWrap w:val="0"/>
            <w:vAlign w:val="top"/>
          </w:tcPr>
          <w:p w14:paraId="60BC8039">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b/>
                <w:bCs/>
                <w:lang w:eastAsia="zh-CN"/>
              </w:rPr>
            </w:pPr>
            <w:r>
              <w:rPr>
                <w:rFonts w:hint="eastAsia"/>
                <w:b/>
                <w:bCs/>
                <w:lang w:eastAsia="zh-CN"/>
              </w:rPr>
              <w:t>一、主要建设内容</w:t>
            </w:r>
          </w:p>
          <w:p w14:paraId="2772E8D6">
            <w:pPr>
              <w:keepNext w:val="0"/>
              <w:keepLines w:val="0"/>
              <w:pageBreakBefore w:val="0"/>
              <w:widowControl w:val="0"/>
              <w:kinsoku/>
              <w:wordWrap/>
              <w:overflowPunct/>
              <w:topLinePunct w:val="0"/>
              <w:bidi w:val="0"/>
              <w:spacing w:line="360" w:lineRule="auto"/>
              <w:ind w:firstLine="420" w:firstLineChars="200"/>
              <w:textAlignment w:val="auto"/>
              <w:rPr>
                <w:rFonts w:hint="default"/>
                <w:lang w:val="en-US" w:eastAsia="zh-CN"/>
              </w:rPr>
            </w:pPr>
            <w:r>
              <w:rPr>
                <w:rFonts w:hint="default"/>
                <w:lang w:val="en-US" w:eastAsia="zh-CN"/>
              </w:rPr>
              <w:t>本项目位于</w:t>
            </w:r>
            <w:r>
              <w:rPr>
                <w:rFonts w:hint="eastAsia"/>
                <w:lang w:val="en-US" w:eastAsia="zh-CN"/>
              </w:rPr>
              <w:t>昌吉高新技术产业开发区新疆维格瑞生物科技有限公司厂区内</w:t>
            </w:r>
            <w:r>
              <w:rPr>
                <w:rFonts w:hint="default"/>
                <w:lang w:val="en-US" w:eastAsia="zh-CN"/>
              </w:rPr>
              <w:t>，厂址中心地理坐标为E</w:t>
            </w:r>
            <w:r>
              <w:rPr>
                <w:rFonts w:hint="eastAsia"/>
                <w:lang w:val="en-US" w:eastAsia="zh-CN"/>
              </w:rPr>
              <w:t>87</w:t>
            </w:r>
            <w:r>
              <w:rPr>
                <w:rFonts w:hint="default"/>
                <w:lang w:val="en-US" w:eastAsia="zh-CN"/>
              </w:rPr>
              <w:t>°</w:t>
            </w:r>
            <w:r>
              <w:rPr>
                <w:rFonts w:hint="eastAsia"/>
                <w:lang w:val="en-US" w:eastAsia="zh-CN"/>
              </w:rPr>
              <w:t>0</w:t>
            </w:r>
            <w:r>
              <w:rPr>
                <w:rFonts w:hint="default"/>
                <w:lang w:val="en-US" w:eastAsia="zh-CN"/>
              </w:rPr>
              <w:t>'</w:t>
            </w:r>
            <w:r>
              <w:rPr>
                <w:rFonts w:hint="eastAsia"/>
                <w:lang w:val="en-US" w:eastAsia="zh-CN"/>
              </w:rPr>
              <w:t>19.961</w:t>
            </w:r>
            <w:r>
              <w:rPr>
                <w:rFonts w:hint="default"/>
                <w:lang w:val="en-US" w:eastAsia="zh-CN"/>
              </w:rPr>
              <w:t>"，N</w:t>
            </w:r>
            <w:r>
              <w:rPr>
                <w:rFonts w:hint="eastAsia"/>
                <w:lang w:val="en-US" w:eastAsia="zh-CN"/>
              </w:rPr>
              <w:t>44</w:t>
            </w: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8.633</w:t>
            </w:r>
            <w:r>
              <w:rPr>
                <w:rFonts w:hint="default"/>
                <w:lang w:val="en-US" w:eastAsia="zh-CN"/>
              </w:rPr>
              <w:t>"。项目建设地点</w:t>
            </w:r>
            <w:r>
              <w:rPr>
                <w:rFonts w:hint="eastAsia"/>
                <w:lang w:val="en-US" w:eastAsia="zh-CN"/>
              </w:rPr>
              <w:t>东侧为维修车间、</w:t>
            </w:r>
            <w:r>
              <w:rPr>
                <w:rFonts w:hint="default"/>
                <w:lang w:val="en-US" w:eastAsia="zh-CN"/>
              </w:rPr>
              <w:t>南侧为</w:t>
            </w:r>
            <w:r>
              <w:rPr>
                <w:rFonts w:hint="eastAsia"/>
                <w:lang w:val="en-US" w:eastAsia="zh-CN"/>
              </w:rPr>
              <w:t>行政办公大楼，北侧为原料库，西侧为厂区道路。项目综合行政办公和试验于一体，主要设置包括：</w:t>
            </w:r>
            <w:r>
              <w:rPr>
                <w:rFonts w:hint="eastAsia"/>
                <w:sz w:val="21"/>
                <w:szCs w:val="21"/>
                <w:lang w:eastAsia="zh-CN"/>
              </w:rPr>
              <w:t>特种聚酯合成实验室、热塑性弹性体合成实验室、生物降解材料合成实验室、生物基原料合成实验室、轻量化材料发泡实验室、纺织材料实验室（纺丝）、材料改性与加工应用研究实验室、综合测试分析</w:t>
            </w:r>
            <w:r>
              <w:rPr>
                <w:rFonts w:hint="eastAsia"/>
                <w:sz w:val="21"/>
                <w:szCs w:val="21"/>
                <w:lang w:val="en-US" w:eastAsia="zh-CN"/>
              </w:rPr>
              <w:t>等。</w:t>
            </w:r>
          </w:p>
          <w:p w14:paraId="3673D970">
            <w:pPr>
              <w:keepNext w:val="0"/>
              <w:keepLines w:val="0"/>
              <w:pageBreakBefore w:val="0"/>
              <w:widowControl w:val="0"/>
              <w:kinsoku/>
              <w:wordWrap/>
              <w:overflowPunct/>
              <w:topLinePunct w:val="0"/>
              <w:bidi w:val="0"/>
              <w:spacing w:line="360" w:lineRule="auto"/>
              <w:ind w:firstLine="420" w:firstLineChars="200"/>
              <w:textAlignment w:val="auto"/>
              <w:rPr>
                <w:rFonts w:hint="eastAsia"/>
                <w:lang w:val="en-US" w:eastAsia="zh-CN"/>
              </w:rPr>
            </w:pPr>
            <w:r>
              <w:rPr>
                <w:rFonts w:hint="eastAsia"/>
                <w:lang w:val="en-US" w:eastAsia="zh-CN"/>
              </w:rPr>
              <w:t>本项目新增员工100人</w:t>
            </w:r>
            <w:r>
              <w:rPr>
                <w:rFonts w:hint="eastAsia"/>
                <w:color w:val="auto"/>
                <w:lang w:val="en-US" w:eastAsia="zh-CN"/>
              </w:rPr>
              <w:t>，日工作8h，年工作300d。</w:t>
            </w:r>
            <w:r>
              <w:rPr>
                <w:rFonts w:hint="default"/>
                <w:color w:val="auto"/>
                <w:lang w:val="en-US" w:eastAsia="zh-CN"/>
              </w:rPr>
              <w:t>项目地理位置见图</w:t>
            </w:r>
            <w:r>
              <w:rPr>
                <w:rFonts w:hint="eastAsia"/>
                <w:color w:val="auto"/>
                <w:lang w:val="en-US" w:eastAsia="zh-CN"/>
              </w:rPr>
              <w:t>2，项目在</w:t>
            </w:r>
            <w:r>
              <w:rPr>
                <w:rFonts w:hint="eastAsia" w:ascii="Times New Roman" w:hAnsi="Times New Roman" w:eastAsia="宋体" w:cs="Times New Roman"/>
                <w:color w:val="auto"/>
                <w:kern w:val="2"/>
                <w:sz w:val="21"/>
                <w:szCs w:val="24"/>
                <w:lang w:val="en-US" w:eastAsia="zh-CN" w:bidi="ar-SA"/>
              </w:rPr>
              <w:t>新疆维格瑞生物科技有限公司</w:t>
            </w:r>
            <w:r>
              <w:rPr>
                <w:rFonts w:hint="eastAsia"/>
                <w:color w:val="auto"/>
                <w:lang w:val="en-US" w:eastAsia="zh-CN"/>
              </w:rPr>
              <w:t>位置示意图见图3</w:t>
            </w:r>
            <w:r>
              <w:rPr>
                <w:rFonts w:hint="default"/>
                <w:color w:val="auto"/>
                <w:lang w:val="en-US" w:eastAsia="zh-CN"/>
              </w:rPr>
              <w:t>。</w:t>
            </w:r>
            <w:r>
              <w:rPr>
                <w:rFonts w:hint="eastAsia"/>
                <w:color w:val="auto"/>
                <w:lang w:val="en-US" w:eastAsia="zh-CN"/>
              </w:rPr>
              <w:t>本项目组成</w:t>
            </w:r>
            <w:r>
              <w:rPr>
                <w:rFonts w:hint="eastAsia"/>
                <w:lang w:val="en-US" w:eastAsia="zh-CN"/>
              </w:rPr>
              <w:t>见表2。</w:t>
            </w:r>
          </w:p>
          <w:p w14:paraId="323BC53F">
            <w:pPr>
              <w:keepNext w:val="0"/>
              <w:keepLines w:val="0"/>
              <w:pageBreakBefore w:val="0"/>
              <w:widowControl w:val="0"/>
              <w:kinsoku/>
              <w:wordWrap/>
              <w:overflowPunct/>
              <w:topLinePunct w:val="0"/>
              <w:autoSpaceDE/>
              <w:autoSpaceDN/>
              <w:bidi w:val="0"/>
              <w:adjustRightInd w:val="0"/>
              <w:snapToGrid w:val="0"/>
              <w:spacing w:before="157" w:beforeLines="50"/>
              <w:ind w:firstLine="422" w:firstLineChars="200"/>
              <w:jc w:val="center"/>
              <w:textAlignment w:val="auto"/>
              <w:rPr>
                <w:rFonts w:hint="default"/>
                <w:b/>
                <w:bCs/>
                <w:lang w:val="en-US" w:eastAsia="zh-CN"/>
              </w:rPr>
            </w:pPr>
            <w:r>
              <w:rPr>
                <w:rFonts w:hint="eastAsia"/>
                <w:b/>
                <w:bCs/>
                <w:lang w:val="en-US" w:eastAsia="zh-CN"/>
              </w:rPr>
              <w:t>表2  项目工程组成一览表</w:t>
            </w:r>
          </w:p>
          <w:tbl>
            <w:tblPr>
              <w:tblStyle w:val="17"/>
              <w:tblW w:w="7935"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02"/>
              <w:gridCol w:w="5819"/>
            </w:tblGrid>
            <w:tr w14:paraId="43DE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12" w:space="0"/>
                    <w:left w:val="single" w:color="auto" w:sz="0" w:space="0"/>
                    <w:bottom w:val="single" w:color="auto" w:sz="4" w:space="0"/>
                  </w:tcBorders>
                  <w:noWrap w:val="0"/>
                  <w:vAlign w:val="center"/>
                </w:tcPr>
                <w:p w14:paraId="383F1784">
                  <w:pPr>
                    <w:spacing w:line="240" w:lineRule="auto"/>
                    <w:ind w:firstLine="0" w:firstLineChars="0"/>
                    <w:jc w:val="center"/>
                    <w:rPr>
                      <w:rFonts w:hint="default"/>
                      <w:kern w:val="2"/>
                      <w:sz w:val="21"/>
                      <w:szCs w:val="24"/>
                      <w:lang w:val="en-US" w:eastAsia="zh-CN" w:bidi="ar-SA"/>
                    </w:rPr>
                  </w:pPr>
                  <w:r>
                    <w:rPr>
                      <w:rFonts w:hint="eastAsia"/>
                      <w:lang w:eastAsia="zh-CN"/>
                    </w:rPr>
                    <w:t>工程类别</w:t>
                  </w:r>
                </w:p>
              </w:tc>
              <w:tc>
                <w:tcPr>
                  <w:tcW w:w="1402" w:type="dxa"/>
                  <w:tcBorders>
                    <w:top w:val="single" w:color="auto" w:sz="12" w:space="0"/>
                    <w:bottom w:val="single" w:color="auto" w:sz="4" w:space="0"/>
                  </w:tcBorders>
                  <w:noWrap w:val="0"/>
                  <w:vAlign w:val="center"/>
                </w:tcPr>
                <w:p w14:paraId="76193CF3">
                  <w:pPr>
                    <w:spacing w:line="240" w:lineRule="auto"/>
                    <w:ind w:firstLine="0" w:firstLineChars="0"/>
                    <w:jc w:val="center"/>
                    <w:rPr>
                      <w:rFonts w:hint="eastAsia"/>
                      <w:lang w:eastAsia="zh-CN"/>
                    </w:rPr>
                  </w:pPr>
                  <w:r>
                    <w:rPr>
                      <w:rFonts w:hint="eastAsia"/>
                      <w:lang w:eastAsia="zh-CN"/>
                    </w:rPr>
                    <w:t>工程</w:t>
                  </w:r>
                </w:p>
                <w:p w14:paraId="4606A65C">
                  <w:pPr>
                    <w:spacing w:line="240" w:lineRule="auto"/>
                    <w:ind w:firstLine="0" w:firstLineChars="0"/>
                    <w:jc w:val="center"/>
                    <w:rPr>
                      <w:rFonts w:hint="eastAsia"/>
                      <w:kern w:val="2"/>
                      <w:sz w:val="21"/>
                      <w:szCs w:val="24"/>
                      <w:lang w:val="en-US" w:eastAsia="zh-CN" w:bidi="ar-SA"/>
                    </w:rPr>
                  </w:pPr>
                  <w:r>
                    <w:rPr>
                      <w:rFonts w:hint="eastAsia"/>
                      <w:lang w:eastAsia="zh-CN"/>
                    </w:rPr>
                    <w:t>名称</w:t>
                  </w:r>
                </w:p>
              </w:tc>
              <w:tc>
                <w:tcPr>
                  <w:tcW w:w="5819" w:type="dxa"/>
                  <w:tcBorders>
                    <w:top w:val="single" w:color="auto" w:sz="12" w:space="0"/>
                    <w:bottom w:val="single" w:color="auto" w:sz="4" w:space="0"/>
                    <w:right w:val="single" w:color="auto" w:sz="12" w:space="0"/>
                  </w:tcBorders>
                  <w:noWrap w:val="0"/>
                  <w:vAlign w:val="center"/>
                </w:tcPr>
                <w:p w14:paraId="78562274">
                  <w:pPr>
                    <w:spacing w:line="240" w:lineRule="auto"/>
                    <w:ind w:firstLine="0" w:firstLineChars="0"/>
                    <w:jc w:val="center"/>
                    <w:rPr>
                      <w:rFonts w:hint="eastAsia"/>
                      <w:kern w:val="2"/>
                      <w:sz w:val="21"/>
                      <w:szCs w:val="24"/>
                      <w:lang w:val="en-US" w:eastAsia="zh-CN" w:bidi="ar-SA"/>
                    </w:rPr>
                  </w:pPr>
                  <w:r>
                    <w:rPr>
                      <w:rFonts w:hint="eastAsia"/>
                      <w:lang w:eastAsia="zh-CN"/>
                    </w:rPr>
                    <w:t>主要工程内容</w:t>
                  </w:r>
                </w:p>
              </w:tc>
            </w:tr>
            <w:tr w14:paraId="2D51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tcBorders>
                  <w:noWrap w:val="0"/>
                  <w:vAlign w:val="center"/>
                </w:tcPr>
                <w:p w14:paraId="0EF338C8">
                  <w:pPr>
                    <w:spacing w:line="240" w:lineRule="auto"/>
                    <w:ind w:firstLine="0" w:firstLineChars="0"/>
                    <w:jc w:val="center"/>
                    <w:rPr>
                      <w:rFonts w:hint="eastAsia"/>
                      <w:lang w:val="en-US" w:eastAsia="zh-CN"/>
                    </w:rPr>
                  </w:pPr>
                  <w:r>
                    <w:rPr>
                      <w:rFonts w:hint="eastAsia"/>
                    </w:rPr>
                    <w:t>主体工程</w:t>
                  </w:r>
                </w:p>
                <w:p w14:paraId="4DB62703">
                  <w:pPr>
                    <w:adjustRightInd w:val="0"/>
                    <w:snapToGrid w:val="0"/>
                    <w:jc w:val="left"/>
                    <w:rPr>
                      <w:rFonts w:hint="default"/>
                      <w:lang w:val="en-US" w:eastAsia="zh-CN"/>
                    </w:rPr>
                  </w:pPr>
                </w:p>
              </w:tc>
              <w:tc>
                <w:tcPr>
                  <w:tcW w:w="1402" w:type="dxa"/>
                  <w:tcBorders>
                    <w:top w:val="single" w:color="auto" w:sz="4" w:space="0"/>
                    <w:bottom w:val="single" w:color="auto" w:sz="4" w:space="0"/>
                  </w:tcBorders>
                  <w:noWrap w:val="0"/>
                  <w:vAlign w:val="center"/>
                </w:tcPr>
                <w:p w14:paraId="6B3C81A4">
                  <w:pPr>
                    <w:spacing w:line="240" w:lineRule="auto"/>
                    <w:ind w:firstLine="0" w:firstLineChars="0"/>
                    <w:jc w:val="center"/>
                    <w:rPr>
                      <w:rFonts w:hint="default"/>
                      <w:lang w:val="en-US" w:eastAsia="zh-CN"/>
                    </w:rPr>
                  </w:pPr>
                  <w:r>
                    <w:rPr>
                      <w:rFonts w:hint="eastAsia"/>
                      <w:lang w:eastAsia="zh-CN"/>
                    </w:rPr>
                    <w:t>研发大楼</w:t>
                  </w:r>
                </w:p>
              </w:tc>
              <w:tc>
                <w:tcPr>
                  <w:tcW w:w="5819" w:type="dxa"/>
                  <w:tcBorders>
                    <w:top w:val="single" w:color="auto" w:sz="4" w:space="0"/>
                    <w:bottom w:val="single" w:color="auto" w:sz="4" w:space="0"/>
                    <w:right w:val="single" w:color="auto" w:sz="12" w:space="0"/>
                  </w:tcBorders>
                  <w:noWrap w:val="0"/>
                  <w:vAlign w:val="center"/>
                </w:tcPr>
                <w:p w14:paraId="327CADB4">
                  <w:pPr>
                    <w:spacing w:line="240" w:lineRule="auto"/>
                    <w:ind w:firstLine="0" w:firstLineChars="0"/>
                    <w:jc w:val="center"/>
                    <w:rPr>
                      <w:rFonts w:hint="default" w:eastAsia="宋体"/>
                      <w:lang w:val="en-US" w:eastAsia="zh-CN"/>
                    </w:rPr>
                  </w:pPr>
                  <w:r>
                    <w:rPr>
                      <w:rFonts w:hint="eastAsia"/>
                      <w:lang w:val="en-US" w:eastAsia="zh-CN"/>
                    </w:rPr>
                    <w:t>5F砖混结构大楼，占地面积2489.46㎡</w:t>
                  </w:r>
                  <w:r>
                    <w:rPr>
                      <w:rFonts w:hint="eastAsia"/>
                    </w:rPr>
                    <w:t>，</w:t>
                  </w:r>
                  <w:r>
                    <w:rPr>
                      <w:rFonts w:hint="eastAsia"/>
                      <w:lang w:val="en-US" w:eastAsia="zh-CN"/>
                    </w:rPr>
                    <w:t>1～4层层高不低于4.8m，5层层高不低于3.6m。</w:t>
                  </w:r>
                  <w:r>
                    <w:rPr>
                      <w:rFonts w:hint="eastAsia"/>
                      <w:lang w:eastAsia="zh-CN"/>
                    </w:rPr>
                    <w:t>一层包括展厅、</w:t>
                  </w:r>
                  <w:r>
                    <w:rPr>
                      <w:rFonts w:hint="eastAsia"/>
                      <w:lang w:val="en-US" w:eastAsia="zh-CN"/>
                    </w:rPr>
                    <w:t>特种聚酯实验</w:t>
                  </w:r>
                  <w:r>
                    <w:rPr>
                      <w:rFonts w:hint="eastAsia"/>
                      <w:lang w:eastAsia="zh-CN"/>
                    </w:rPr>
                    <w:t>区、助剂室、备件库、弹性实验室等；二层包括</w:t>
                  </w:r>
                  <w:r>
                    <w:rPr>
                      <w:rFonts w:hint="eastAsia"/>
                      <w:lang w:val="en-US" w:eastAsia="zh-CN"/>
                    </w:rPr>
                    <w:t>改性实验室，超临界发泡实验室、化学工程工艺研究区等；三层包括加工助剂研发区、高性能材料实验区、生物基原料实验区等；四层包括生物降解材料合成；五层包括综合测试分析中心、轻量化材料实验室。各实验室按照国家标准化实验室规范建设，具有暖通（电采暖）、气体通风、给排水、电气等功能</w:t>
                  </w:r>
                </w:p>
              </w:tc>
            </w:tr>
            <w:tr w14:paraId="7D3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tcBorders>
                  <w:noWrap w:val="0"/>
                  <w:vAlign w:val="top"/>
                </w:tcPr>
                <w:p w14:paraId="4CCD7CD1">
                  <w:pPr>
                    <w:adjustRightInd w:val="0"/>
                    <w:snapToGrid w:val="0"/>
                    <w:jc w:val="left"/>
                    <w:rPr>
                      <w:rFonts w:hint="default"/>
                      <w:lang w:val="en-US" w:eastAsia="zh-CN"/>
                    </w:rPr>
                  </w:pPr>
                </w:p>
              </w:tc>
              <w:tc>
                <w:tcPr>
                  <w:tcW w:w="1402" w:type="dxa"/>
                  <w:tcBorders>
                    <w:top w:val="single" w:color="auto" w:sz="4" w:space="0"/>
                    <w:bottom w:val="single" w:color="auto" w:sz="4" w:space="0"/>
                  </w:tcBorders>
                  <w:noWrap w:val="0"/>
                  <w:vAlign w:val="center"/>
                </w:tcPr>
                <w:p w14:paraId="531E6B73">
                  <w:pPr>
                    <w:spacing w:line="240" w:lineRule="auto"/>
                    <w:ind w:firstLine="0" w:firstLineChars="0"/>
                    <w:jc w:val="center"/>
                    <w:rPr>
                      <w:rFonts w:hint="default"/>
                      <w:lang w:val="en-US" w:eastAsia="zh-CN"/>
                    </w:rPr>
                  </w:pPr>
                  <w:r>
                    <w:rPr>
                      <w:rFonts w:hint="eastAsia"/>
                      <w:lang w:eastAsia="zh-CN"/>
                    </w:rPr>
                    <w:t>试验区</w:t>
                  </w:r>
                </w:p>
              </w:tc>
              <w:tc>
                <w:tcPr>
                  <w:tcW w:w="5819" w:type="dxa"/>
                  <w:tcBorders>
                    <w:top w:val="single" w:color="auto" w:sz="4" w:space="0"/>
                    <w:bottom w:val="single" w:color="auto" w:sz="4" w:space="0"/>
                    <w:right w:val="single" w:color="auto" w:sz="12" w:space="0"/>
                  </w:tcBorders>
                  <w:noWrap w:val="0"/>
                  <w:vAlign w:val="center"/>
                </w:tcPr>
                <w:p w14:paraId="2B45C5A1">
                  <w:pPr>
                    <w:spacing w:line="240" w:lineRule="auto"/>
                    <w:ind w:firstLine="0" w:firstLineChars="0"/>
                    <w:jc w:val="center"/>
                    <w:rPr>
                      <w:rFonts w:hint="default"/>
                      <w:lang w:val="en-US" w:eastAsia="zh-CN"/>
                    </w:rPr>
                  </w:pPr>
                  <w:r>
                    <w:rPr>
                      <w:rFonts w:hint="eastAsia"/>
                      <w:lang w:val="en-US" w:eastAsia="zh-CN"/>
                    </w:rPr>
                    <w:t>1F钢筋混凝土框架结构，层高15m，占地面积2016.39㎡，主要分为改性测试区、挤出测试区、聚酯测试区和聚合测试区</w:t>
                  </w:r>
                </w:p>
              </w:tc>
            </w:tr>
            <w:tr w14:paraId="00C8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tcBorders>
                  <w:noWrap w:val="0"/>
                  <w:vAlign w:val="center"/>
                </w:tcPr>
                <w:p w14:paraId="155CD0AB">
                  <w:pPr>
                    <w:adjustRightInd w:val="0"/>
                    <w:snapToGrid w:val="0"/>
                    <w:jc w:val="center"/>
                    <w:rPr>
                      <w:rFonts w:hint="default"/>
                      <w:lang w:val="en-US" w:eastAsia="zh-CN"/>
                    </w:rPr>
                  </w:pPr>
                  <w:r>
                    <w:rPr>
                      <w:rFonts w:hint="eastAsia"/>
                      <w:lang w:val="en-US" w:eastAsia="zh-CN"/>
                    </w:rPr>
                    <w:t>依托工程</w:t>
                  </w:r>
                </w:p>
              </w:tc>
              <w:tc>
                <w:tcPr>
                  <w:tcW w:w="1402" w:type="dxa"/>
                  <w:tcBorders>
                    <w:top w:val="single" w:color="auto" w:sz="4" w:space="0"/>
                    <w:bottom w:val="single" w:color="auto" w:sz="4" w:space="0"/>
                  </w:tcBorders>
                  <w:noWrap w:val="0"/>
                  <w:vAlign w:val="center"/>
                </w:tcPr>
                <w:p w14:paraId="7EF76E63">
                  <w:pPr>
                    <w:spacing w:line="240" w:lineRule="auto"/>
                    <w:ind w:firstLine="0" w:firstLineChars="0"/>
                    <w:jc w:val="center"/>
                    <w:rPr>
                      <w:rFonts w:hint="default"/>
                      <w:lang w:val="en-US" w:eastAsia="zh-CN"/>
                    </w:rPr>
                  </w:pPr>
                  <w:r>
                    <w:rPr>
                      <w:rFonts w:hint="eastAsia"/>
                      <w:lang w:eastAsia="zh-CN"/>
                    </w:rPr>
                    <w:t>供水系统</w:t>
                  </w:r>
                </w:p>
              </w:tc>
              <w:tc>
                <w:tcPr>
                  <w:tcW w:w="5819" w:type="dxa"/>
                  <w:tcBorders>
                    <w:top w:val="single" w:color="auto" w:sz="4" w:space="0"/>
                    <w:bottom w:val="single" w:color="auto" w:sz="4" w:space="0"/>
                    <w:right w:val="single" w:color="auto" w:sz="12" w:space="0"/>
                  </w:tcBorders>
                  <w:noWrap w:val="0"/>
                  <w:vAlign w:val="center"/>
                </w:tcPr>
                <w:p w14:paraId="02D2EB4A">
                  <w:pPr>
                    <w:spacing w:line="240" w:lineRule="auto"/>
                    <w:ind w:firstLine="0" w:firstLineChars="0"/>
                    <w:jc w:val="center"/>
                    <w:rPr>
                      <w:rFonts w:hint="default"/>
                      <w:lang w:val="en-US" w:eastAsia="zh-CN"/>
                    </w:rPr>
                  </w:pPr>
                  <w:r>
                    <w:rPr>
                      <w:rFonts w:hint="eastAsia"/>
                      <w:lang w:val="en-US" w:eastAsia="zh-CN"/>
                    </w:rPr>
                    <w:t>来自昌吉高新区自来水厂，通过新疆维格瑞生物科技有限公司给水系统提供，研发大楼屋顶设置水箱，室内设纯水器等。</w:t>
                  </w:r>
                </w:p>
              </w:tc>
            </w:tr>
            <w:tr w14:paraId="649D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tcBorders>
                  <w:noWrap w:val="0"/>
                  <w:vAlign w:val="center"/>
                </w:tcPr>
                <w:p w14:paraId="657C0F90">
                  <w:pPr>
                    <w:adjustRightInd w:val="0"/>
                    <w:snapToGrid w:val="0"/>
                    <w:jc w:val="center"/>
                    <w:rPr>
                      <w:rFonts w:hint="default"/>
                      <w:lang w:val="en-US" w:eastAsia="zh-CN"/>
                    </w:rPr>
                  </w:pPr>
                </w:p>
              </w:tc>
              <w:tc>
                <w:tcPr>
                  <w:tcW w:w="1402" w:type="dxa"/>
                  <w:tcBorders>
                    <w:top w:val="single" w:color="auto" w:sz="4" w:space="0"/>
                    <w:bottom w:val="single" w:color="auto" w:sz="4" w:space="0"/>
                  </w:tcBorders>
                  <w:noWrap w:val="0"/>
                  <w:vAlign w:val="center"/>
                </w:tcPr>
                <w:p w14:paraId="78F6B660">
                  <w:pPr>
                    <w:spacing w:line="240" w:lineRule="auto"/>
                    <w:ind w:firstLine="0" w:firstLineChars="0"/>
                    <w:jc w:val="center"/>
                    <w:rPr>
                      <w:rFonts w:hint="eastAsia"/>
                      <w:lang w:eastAsia="zh-CN"/>
                    </w:rPr>
                  </w:pPr>
                  <w:r>
                    <w:rPr>
                      <w:rFonts w:hint="eastAsia"/>
                      <w:lang w:eastAsia="zh-CN"/>
                    </w:rPr>
                    <w:t>供热系统</w:t>
                  </w:r>
                </w:p>
              </w:tc>
              <w:tc>
                <w:tcPr>
                  <w:tcW w:w="5819" w:type="dxa"/>
                  <w:tcBorders>
                    <w:top w:val="single" w:color="auto" w:sz="4" w:space="0"/>
                    <w:bottom w:val="single" w:color="auto" w:sz="4" w:space="0"/>
                    <w:right w:val="single" w:color="auto" w:sz="12" w:space="0"/>
                  </w:tcBorders>
                  <w:noWrap w:val="0"/>
                  <w:vAlign w:val="center"/>
                </w:tcPr>
                <w:p w14:paraId="75BC789B">
                  <w:pPr>
                    <w:spacing w:line="240" w:lineRule="auto"/>
                    <w:ind w:firstLine="0" w:firstLineChars="0"/>
                    <w:jc w:val="center"/>
                    <w:rPr>
                      <w:rFonts w:hint="eastAsia" w:eastAsia="宋体"/>
                      <w:lang w:val="en-US" w:eastAsia="zh-CN"/>
                    </w:rPr>
                  </w:pPr>
                  <w:r>
                    <w:rPr>
                      <w:rFonts w:hint="eastAsia"/>
                      <w:lang w:val="en-US" w:eastAsia="zh-CN"/>
                    </w:rPr>
                    <w:t>本项目研发楼与试验区用热采用</w:t>
                  </w:r>
                  <w:r>
                    <w:rPr>
                      <w:rFonts w:hint="eastAsia"/>
                      <w:color w:val="auto"/>
                      <w:lang w:val="en-US" w:eastAsia="zh-CN"/>
                    </w:rPr>
                    <w:t>电加热；冬季采暖依托新疆维格瑞生物科技有限公司3台25t/h热媒炉提供</w:t>
                  </w:r>
                </w:p>
              </w:tc>
            </w:tr>
            <w:tr w14:paraId="11AE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tcBorders>
                  <w:noWrap w:val="0"/>
                  <w:vAlign w:val="center"/>
                </w:tcPr>
                <w:p w14:paraId="2B654265">
                  <w:pPr>
                    <w:adjustRightInd w:val="0"/>
                    <w:snapToGrid w:val="0"/>
                    <w:jc w:val="center"/>
                    <w:rPr>
                      <w:rFonts w:hint="default"/>
                      <w:lang w:val="en-US" w:eastAsia="zh-CN"/>
                    </w:rPr>
                  </w:pPr>
                </w:p>
              </w:tc>
              <w:tc>
                <w:tcPr>
                  <w:tcW w:w="1402" w:type="dxa"/>
                  <w:tcBorders>
                    <w:top w:val="single" w:color="auto" w:sz="4" w:space="0"/>
                    <w:bottom w:val="single" w:color="auto" w:sz="4" w:space="0"/>
                  </w:tcBorders>
                  <w:noWrap w:val="0"/>
                  <w:vAlign w:val="center"/>
                </w:tcPr>
                <w:p w14:paraId="302488E7">
                  <w:pPr>
                    <w:spacing w:line="240" w:lineRule="auto"/>
                    <w:ind w:firstLine="0" w:firstLineChars="0"/>
                    <w:jc w:val="center"/>
                    <w:rPr>
                      <w:rFonts w:hint="default"/>
                      <w:lang w:val="en-US" w:eastAsia="zh-CN"/>
                    </w:rPr>
                  </w:pPr>
                  <w:r>
                    <w:rPr>
                      <w:rFonts w:hint="eastAsia"/>
                      <w:lang w:val="en-US" w:eastAsia="zh-CN"/>
                    </w:rPr>
                    <w:t>消防系统</w:t>
                  </w:r>
                </w:p>
              </w:tc>
              <w:tc>
                <w:tcPr>
                  <w:tcW w:w="5819" w:type="dxa"/>
                  <w:tcBorders>
                    <w:top w:val="single" w:color="auto" w:sz="4" w:space="0"/>
                    <w:bottom w:val="single" w:color="auto" w:sz="4" w:space="0"/>
                    <w:right w:val="single" w:color="auto" w:sz="12" w:space="0"/>
                  </w:tcBorders>
                  <w:noWrap w:val="0"/>
                  <w:vAlign w:val="center"/>
                </w:tcPr>
                <w:p w14:paraId="4FAC6CF9">
                  <w:pPr>
                    <w:spacing w:line="240" w:lineRule="auto"/>
                    <w:ind w:firstLine="0" w:firstLineChars="0"/>
                    <w:jc w:val="center"/>
                    <w:rPr>
                      <w:rFonts w:hint="default"/>
                      <w:lang w:val="en-US" w:eastAsia="zh-CN"/>
                    </w:rPr>
                  </w:pPr>
                  <w:r>
                    <w:rPr>
                      <w:rFonts w:hint="eastAsia"/>
                      <w:lang w:val="en-US" w:eastAsia="zh-CN"/>
                    </w:rPr>
                    <w:t>消防水源来自新疆维格瑞生物科技有限公司现有泵房及消防水池（1620m³和10000m³两座），建筑物室外环状给水管网上设室外消火栓，间距不大于120m。室内设SN65单出口消火栓，室内设湿式自动喷水灭火系统。火灾初期消防用水可由屋顶水箱供给</w:t>
                  </w:r>
                </w:p>
              </w:tc>
            </w:tr>
            <w:tr w14:paraId="54C8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tcBorders>
                  <w:noWrap w:val="0"/>
                  <w:vAlign w:val="center"/>
                </w:tcPr>
                <w:p w14:paraId="08F036F8">
                  <w:pPr>
                    <w:adjustRightInd w:val="0"/>
                    <w:snapToGrid w:val="0"/>
                    <w:jc w:val="center"/>
                    <w:rPr>
                      <w:rFonts w:hint="default"/>
                      <w:lang w:val="en-US" w:eastAsia="zh-CN"/>
                    </w:rPr>
                  </w:pPr>
                </w:p>
              </w:tc>
              <w:tc>
                <w:tcPr>
                  <w:tcW w:w="1402" w:type="dxa"/>
                  <w:tcBorders>
                    <w:top w:val="single" w:color="auto" w:sz="4" w:space="0"/>
                    <w:bottom w:val="single" w:color="auto" w:sz="4" w:space="0"/>
                  </w:tcBorders>
                  <w:noWrap w:val="0"/>
                  <w:vAlign w:val="center"/>
                </w:tcPr>
                <w:p w14:paraId="77CAE570">
                  <w:pPr>
                    <w:spacing w:line="240" w:lineRule="auto"/>
                    <w:ind w:firstLine="0" w:firstLineChars="0"/>
                    <w:jc w:val="center"/>
                    <w:rPr>
                      <w:rFonts w:hint="eastAsia"/>
                      <w:lang w:eastAsia="zh-CN"/>
                    </w:rPr>
                  </w:pPr>
                  <w:r>
                    <w:rPr>
                      <w:rFonts w:hint="eastAsia"/>
                      <w:lang w:eastAsia="zh-CN"/>
                    </w:rPr>
                    <w:t>危废暂存间</w:t>
                  </w:r>
                </w:p>
              </w:tc>
              <w:tc>
                <w:tcPr>
                  <w:tcW w:w="5819" w:type="dxa"/>
                  <w:tcBorders>
                    <w:top w:val="single" w:color="auto" w:sz="4" w:space="0"/>
                    <w:bottom w:val="single" w:color="auto" w:sz="4" w:space="0"/>
                    <w:right w:val="single" w:color="auto" w:sz="12" w:space="0"/>
                  </w:tcBorders>
                  <w:noWrap w:val="0"/>
                  <w:vAlign w:val="center"/>
                </w:tcPr>
                <w:p w14:paraId="7E48F0C9">
                  <w:pPr>
                    <w:spacing w:line="240" w:lineRule="auto"/>
                    <w:ind w:firstLine="0" w:firstLineChars="0"/>
                    <w:jc w:val="center"/>
                    <w:rPr>
                      <w:rFonts w:hint="default"/>
                      <w:lang w:val="en-US" w:eastAsia="zh-CN"/>
                    </w:rPr>
                  </w:pPr>
                  <w:r>
                    <w:rPr>
                      <w:rFonts w:hint="eastAsia"/>
                      <w:lang w:val="en-US" w:eastAsia="zh-CN"/>
                    </w:rPr>
                    <w:t>依托</w:t>
                  </w:r>
                  <w:r>
                    <w:rPr>
                      <w:rFonts w:hint="eastAsia"/>
                      <w:lang w:eastAsia="zh-CN"/>
                    </w:rPr>
                    <w:t>维格瑞生物科技有限公司</w:t>
                  </w:r>
                  <w:r>
                    <w:rPr>
                      <w:rFonts w:hint="eastAsia"/>
                      <w:lang w:val="en-US" w:eastAsia="zh-CN"/>
                    </w:rPr>
                    <w:t>现有200㎡危废暂存间，已通过环保验收，符合《危险废物贮存污染控制标准》（GB18597-2001）标准要求</w:t>
                  </w:r>
                </w:p>
              </w:tc>
            </w:tr>
            <w:tr w14:paraId="36B3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Borders>
                    <w:left w:val="single" w:color="auto" w:sz="4" w:space="0"/>
                  </w:tcBorders>
                  <w:noWrap w:val="0"/>
                  <w:vAlign w:val="center"/>
                </w:tcPr>
                <w:p w14:paraId="501073C5">
                  <w:pPr>
                    <w:adjustRightInd w:val="0"/>
                    <w:snapToGrid w:val="0"/>
                    <w:jc w:val="center"/>
                    <w:rPr>
                      <w:rFonts w:hint="default"/>
                      <w:lang w:val="en-US" w:eastAsia="zh-CN"/>
                    </w:rPr>
                  </w:pPr>
                  <w:r>
                    <w:rPr>
                      <w:rFonts w:hint="eastAsia"/>
                      <w:lang w:val="en-US" w:eastAsia="zh-CN"/>
                    </w:rPr>
                    <w:t>储运工程</w:t>
                  </w:r>
                </w:p>
              </w:tc>
              <w:tc>
                <w:tcPr>
                  <w:tcW w:w="1402" w:type="dxa"/>
                  <w:tcBorders>
                    <w:top w:val="single" w:color="auto" w:sz="4" w:space="0"/>
                    <w:bottom w:val="single" w:color="auto" w:sz="4" w:space="0"/>
                  </w:tcBorders>
                  <w:noWrap w:val="0"/>
                  <w:vAlign w:val="center"/>
                </w:tcPr>
                <w:p w14:paraId="57EEAEDE">
                  <w:pPr>
                    <w:spacing w:line="240" w:lineRule="auto"/>
                    <w:ind w:firstLine="0" w:firstLineChars="0"/>
                    <w:jc w:val="center"/>
                    <w:rPr>
                      <w:rFonts w:hint="eastAsia"/>
                      <w:lang w:eastAsia="zh-CN"/>
                    </w:rPr>
                  </w:pPr>
                  <w:r>
                    <w:rPr>
                      <w:rFonts w:hint="eastAsia"/>
                      <w:lang w:eastAsia="zh-CN"/>
                    </w:rPr>
                    <w:t>药剂库</w:t>
                  </w:r>
                </w:p>
              </w:tc>
              <w:tc>
                <w:tcPr>
                  <w:tcW w:w="5819" w:type="dxa"/>
                  <w:tcBorders>
                    <w:top w:val="single" w:color="auto" w:sz="4" w:space="0"/>
                    <w:bottom w:val="single" w:color="auto" w:sz="4" w:space="0"/>
                    <w:right w:val="single" w:color="auto" w:sz="12" w:space="0"/>
                  </w:tcBorders>
                  <w:noWrap w:val="0"/>
                  <w:vAlign w:val="center"/>
                </w:tcPr>
                <w:p w14:paraId="3ED1B838">
                  <w:pPr>
                    <w:spacing w:line="240" w:lineRule="auto"/>
                    <w:ind w:firstLine="0" w:firstLineChars="0"/>
                    <w:jc w:val="center"/>
                    <w:rPr>
                      <w:rFonts w:hint="eastAsia"/>
                      <w:lang w:eastAsia="zh-CN"/>
                    </w:rPr>
                  </w:pPr>
                  <w:r>
                    <w:rPr>
                      <w:rFonts w:hint="eastAsia"/>
                      <w:lang w:eastAsia="zh-CN"/>
                    </w:rPr>
                    <w:t>研发楼</w:t>
                  </w:r>
                  <w:r>
                    <w:rPr>
                      <w:rFonts w:hint="eastAsia"/>
                      <w:lang w:val="en-US" w:eastAsia="zh-CN"/>
                    </w:rPr>
                    <w:t>各</w:t>
                  </w:r>
                  <w:r>
                    <w:rPr>
                      <w:rFonts w:hint="eastAsia"/>
                      <w:lang w:eastAsia="zh-CN"/>
                    </w:rPr>
                    <w:t>层均设置专用助剂室，</w:t>
                  </w:r>
                  <w:r>
                    <w:rPr>
                      <w:rFonts w:hint="eastAsia"/>
                      <w:lang w:val="en-US" w:eastAsia="zh-CN"/>
                    </w:rPr>
                    <w:t>分别</w:t>
                  </w:r>
                  <w:r>
                    <w:rPr>
                      <w:rFonts w:hint="eastAsia"/>
                      <w:lang w:eastAsia="zh-CN"/>
                    </w:rPr>
                    <w:t>占地</w:t>
                  </w:r>
                  <w:r>
                    <w:rPr>
                      <w:rFonts w:hint="eastAsia"/>
                      <w:lang w:val="en-US" w:eastAsia="zh-CN"/>
                    </w:rPr>
                    <w:t>57.16㎡，</w:t>
                  </w:r>
                  <w:r>
                    <w:rPr>
                      <w:rFonts w:hint="eastAsia"/>
                      <w:lang w:eastAsia="zh-CN"/>
                    </w:rPr>
                    <w:t>主要存放聚合实验相关助剂</w:t>
                  </w:r>
                </w:p>
              </w:tc>
            </w:tr>
            <w:tr w14:paraId="3B02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02851CAE">
                  <w:pPr>
                    <w:adjustRightInd w:val="0"/>
                    <w:snapToGrid w:val="0"/>
                    <w:jc w:val="center"/>
                    <w:rPr>
                      <w:rFonts w:hint="eastAsia"/>
                      <w:lang w:val="en-US" w:eastAsia="zh-CN"/>
                    </w:rPr>
                  </w:pPr>
                </w:p>
              </w:tc>
              <w:tc>
                <w:tcPr>
                  <w:tcW w:w="1402" w:type="dxa"/>
                  <w:tcBorders>
                    <w:top w:val="single" w:color="auto" w:sz="4" w:space="0"/>
                    <w:bottom w:val="single" w:color="auto" w:sz="4" w:space="0"/>
                  </w:tcBorders>
                  <w:noWrap w:val="0"/>
                  <w:vAlign w:val="center"/>
                </w:tcPr>
                <w:p w14:paraId="27F8DB0D">
                  <w:pPr>
                    <w:spacing w:line="240" w:lineRule="auto"/>
                    <w:ind w:firstLine="0" w:firstLineChars="0"/>
                    <w:jc w:val="center"/>
                    <w:rPr>
                      <w:rFonts w:hint="eastAsia"/>
                      <w:lang w:eastAsia="zh-CN"/>
                    </w:rPr>
                  </w:pPr>
                  <w:r>
                    <w:rPr>
                      <w:rFonts w:hint="eastAsia"/>
                      <w:lang w:eastAsia="zh-CN"/>
                    </w:rPr>
                    <w:t>成品室</w:t>
                  </w:r>
                </w:p>
              </w:tc>
              <w:tc>
                <w:tcPr>
                  <w:tcW w:w="5819" w:type="dxa"/>
                  <w:tcBorders>
                    <w:top w:val="single" w:color="auto" w:sz="4" w:space="0"/>
                    <w:bottom w:val="single" w:color="auto" w:sz="4" w:space="0"/>
                    <w:right w:val="single" w:color="auto" w:sz="12" w:space="0"/>
                  </w:tcBorders>
                  <w:noWrap w:val="0"/>
                  <w:vAlign w:val="center"/>
                </w:tcPr>
                <w:p w14:paraId="4DCCC2B1">
                  <w:pPr>
                    <w:spacing w:line="240" w:lineRule="auto"/>
                    <w:ind w:firstLine="0" w:firstLineChars="0"/>
                    <w:jc w:val="center"/>
                    <w:rPr>
                      <w:rFonts w:hint="eastAsia"/>
                      <w:lang w:eastAsia="zh-CN"/>
                    </w:rPr>
                  </w:pPr>
                  <w:r>
                    <w:rPr>
                      <w:rFonts w:hint="eastAsia"/>
                      <w:lang w:eastAsia="zh-CN"/>
                    </w:rPr>
                    <w:t>研发楼二楼设置成品库，存放实验的部分成品</w:t>
                  </w:r>
                </w:p>
              </w:tc>
            </w:tr>
            <w:tr w14:paraId="2C37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66CF7DA9">
                  <w:pPr>
                    <w:adjustRightInd w:val="0"/>
                    <w:snapToGrid w:val="0"/>
                    <w:jc w:val="center"/>
                    <w:rPr>
                      <w:rFonts w:hint="eastAsia"/>
                      <w:lang w:val="en-US" w:eastAsia="zh-CN"/>
                    </w:rPr>
                  </w:pPr>
                </w:p>
              </w:tc>
              <w:tc>
                <w:tcPr>
                  <w:tcW w:w="1402" w:type="dxa"/>
                  <w:tcBorders>
                    <w:top w:val="single" w:color="auto" w:sz="4" w:space="0"/>
                    <w:bottom w:val="single" w:color="auto" w:sz="4" w:space="0"/>
                  </w:tcBorders>
                  <w:noWrap w:val="0"/>
                  <w:vAlign w:val="center"/>
                </w:tcPr>
                <w:p w14:paraId="5A357A1A">
                  <w:pPr>
                    <w:spacing w:line="240" w:lineRule="auto"/>
                    <w:ind w:firstLine="0" w:firstLineChars="0"/>
                    <w:jc w:val="center"/>
                    <w:rPr>
                      <w:rFonts w:hint="eastAsia"/>
                      <w:lang w:eastAsia="zh-CN"/>
                    </w:rPr>
                  </w:pPr>
                  <w:r>
                    <w:rPr>
                      <w:rFonts w:hint="eastAsia"/>
                      <w:lang w:eastAsia="zh-CN"/>
                    </w:rPr>
                    <w:t>耗材库</w:t>
                  </w:r>
                </w:p>
              </w:tc>
              <w:tc>
                <w:tcPr>
                  <w:tcW w:w="5819" w:type="dxa"/>
                  <w:tcBorders>
                    <w:top w:val="single" w:color="auto" w:sz="4" w:space="0"/>
                    <w:bottom w:val="single" w:color="auto" w:sz="4" w:space="0"/>
                    <w:right w:val="single" w:color="auto" w:sz="12" w:space="0"/>
                  </w:tcBorders>
                  <w:noWrap w:val="0"/>
                  <w:vAlign w:val="center"/>
                </w:tcPr>
                <w:p w14:paraId="26FB03D3">
                  <w:pPr>
                    <w:spacing w:line="240" w:lineRule="auto"/>
                    <w:ind w:firstLine="0" w:firstLineChars="0"/>
                    <w:jc w:val="center"/>
                    <w:rPr>
                      <w:rFonts w:hint="default"/>
                      <w:lang w:val="en-US" w:eastAsia="zh-CN"/>
                    </w:rPr>
                  </w:pPr>
                  <w:r>
                    <w:rPr>
                      <w:rFonts w:hint="eastAsia"/>
                      <w:lang w:eastAsia="zh-CN"/>
                    </w:rPr>
                    <w:t>试验区设置专用耗材库，集中存放实验过程的相关药剂</w:t>
                  </w:r>
                  <w:r>
                    <w:rPr>
                      <w:rFonts w:hint="eastAsia"/>
                      <w:lang w:val="en-US" w:eastAsia="zh-CN"/>
                    </w:rPr>
                    <w:t>并按照药品库规范进行管理</w:t>
                  </w:r>
                </w:p>
              </w:tc>
            </w:tr>
            <w:tr w14:paraId="029E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Borders>
                    <w:top w:val="single" w:color="auto" w:sz="4" w:space="0"/>
                    <w:left w:val="single" w:color="auto" w:sz="4" w:space="0"/>
                  </w:tcBorders>
                  <w:noWrap w:val="0"/>
                  <w:vAlign w:val="center"/>
                </w:tcPr>
                <w:p w14:paraId="5B4CA47E">
                  <w:pPr>
                    <w:adjustRightInd w:val="0"/>
                    <w:snapToGrid w:val="0"/>
                    <w:jc w:val="center"/>
                    <w:rPr>
                      <w:rFonts w:hint="default"/>
                      <w:lang w:val="en-US" w:eastAsia="zh-CN"/>
                    </w:rPr>
                  </w:pPr>
                  <w:r>
                    <w:rPr>
                      <w:rFonts w:hint="eastAsia"/>
                      <w:lang w:val="en-US" w:eastAsia="zh-CN"/>
                    </w:rPr>
                    <w:t>环保工程</w:t>
                  </w:r>
                </w:p>
              </w:tc>
              <w:tc>
                <w:tcPr>
                  <w:tcW w:w="1402" w:type="dxa"/>
                  <w:tcBorders>
                    <w:top w:val="single" w:color="auto" w:sz="4" w:space="0"/>
                    <w:bottom w:val="single" w:color="auto" w:sz="4" w:space="0"/>
                  </w:tcBorders>
                  <w:noWrap w:val="0"/>
                  <w:vAlign w:val="center"/>
                </w:tcPr>
                <w:p w14:paraId="39FE933F">
                  <w:pPr>
                    <w:adjustRightInd w:val="0"/>
                    <w:snapToGrid w:val="0"/>
                    <w:jc w:val="center"/>
                    <w:rPr>
                      <w:rFonts w:hint="default"/>
                      <w:lang w:val="en-US" w:eastAsia="zh-CN"/>
                    </w:rPr>
                  </w:pPr>
                  <w:r>
                    <w:rPr>
                      <w:rFonts w:hint="eastAsia"/>
                      <w:lang w:val="en-US" w:eastAsia="zh-CN"/>
                    </w:rPr>
                    <w:t>废气治理</w:t>
                  </w:r>
                </w:p>
              </w:tc>
              <w:tc>
                <w:tcPr>
                  <w:tcW w:w="5819" w:type="dxa"/>
                  <w:tcBorders>
                    <w:top w:val="single" w:color="auto" w:sz="4" w:space="0"/>
                    <w:bottom w:val="single" w:color="auto" w:sz="4" w:space="0"/>
                    <w:right w:val="single" w:color="auto" w:sz="12" w:space="0"/>
                  </w:tcBorders>
                  <w:noWrap w:val="0"/>
                  <w:vAlign w:val="center"/>
                </w:tcPr>
                <w:p w14:paraId="6449DEF1">
                  <w:pPr>
                    <w:spacing w:line="240" w:lineRule="auto"/>
                    <w:ind w:firstLine="0" w:firstLineChars="0"/>
                    <w:jc w:val="center"/>
                    <w:rPr>
                      <w:rFonts w:hint="default"/>
                      <w:lang w:val="en-US" w:eastAsia="zh-CN"/>
                    </w:rPr>
                  </w:pPr>
                  <w:r>
                    <w:rPr>
                      <w:rFonts w:hint="eastAsia"/>
                      <w:lang w:eastAsia="zh-CN"/>
                    </w:rPr>
                    <w:t>研发楼中实验室产生的少量废气通过通风橱收集，排气扇排放；试验区聚合、热塑、密炼等测试过程中，产生的挥发性有机废气在废气产生点处设置集气罩收集，采用光氧</w:t>
                  </w:r>
                  <w:r>
                    <w:rPr>
                      <w:rFonts w:hint="eastAsia"/>
                      <w:lang w:val="en-US" w:eastAsia="zh-CN"/>
                    </w:rPr>
                    <w:t>+活性炭吸附处理后，通过15m排气筒排放</w:t>
                  </w:r>
                </w:p>
              </w:tc>
            </w:tr>
            <w:tr w14:paraId="6884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4C74ED48">
                  <w:pPr>
                    <w:adjustRightInd w:val="0"/>
                    <w:snapToGrid w:val="0"/>
                    <w:jc w:val="center"/>
                    <w:rPr>
                      <w:rFonts w:hint="default"/>
                      <w:lang w:val="en-US" w:eastAsia="zh-CN"/>
                    </w:rPr>
                  </w:pPr>
                </w:p>
              </w:tc>
              <w:tc>
                <w:tcPr>
                  <w:tcW w:w="1402" w:type="dxa"/>
                  <w:tcBorders>
                    <w:top w:val="single" w:color="auto" w:sz="4" w:space="0"/>
                    <w:bottom w:val="single" w:color="auto" w:sz="4" w:space="0"/>
                  </w:tcBorders>
                  <w:noWrap w:val="0"/>
                  <w:vAlign w:val="center"/>
                </w:tcPr>
                <w:p w14:paraId="560C2C32">
                  <w:pPr>
                    <w:adjustRightInd w:val="0"/>
                    <w:snapToGrid w:val="0"/>
                    <w:jc w:val="center"/>
                    <w:rPr>
                      <w:rFonts w:hint="default"/>
                      <w:lang w:val="en-US" w:eastAsia="zh-CN"/>
                    </w:rPr>
                  </w:pPr>
                  <w:r>
                    <w:rPr>
                      <w:rFonts w:hint="eastAsia"/>
                      <w:lang w:val="en-US" w:eastAsia="zh-CN"/>
                    </w:rPr>
                    <w:t>废水处理</w:t>
                  </w:r>
                </w:p>
              </w:tc>
              <w:tc>
                <w:tcPr>
                  <w:tcW w:w="5819" w:type="dxa"/>
                  <w:tcBorders>
                    <w:top w:val="single" w:color="auto" w:sz="4" w:space="0"/>
                    <w:bottom w:val="single" w:color="auto" w:sz="4" w:space="0"/>
                    <w:right w:val="single" w:color="auto" w:sz="12" w:space="0"/>
                  </w:tcBorders>
                  <w:noWrap w:val="0"/>
                  <w:vAlign w:val="center"/>
                </w:tcPr>
                <w:p w14:paraId="34716140">
                  <w:pPr>
                    <w:spacing w:line="240" w:lineRule="auto"/>
                    <w:ind w:firstLine="0" w:firstLineChars="0"/>
                    <w:jc w:val="center"/>
                    <w:rPr>
                      <w:rFonts w:hint="default"/>
                      <w:lang w:val="en-US" w:eastAsia="zh-CN"/>
                    </w:rPr>
                  </w:pPr>
                  <w:r>
                    <w:rPr>
                      <w:rFonts w:hint="eastAsia"/>
                      <w:lang w:eastAsia="zh-CN"/>
                    </w:rPr>
                    <w:t>生活污水直接排入园区下水管网；试验区废水排入</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lang w:eastAsia="zh-CN"/>
                    </w:rPr>
                    <w:t>污水处理站处理后达标排放</w:t>
                  </w:r>
                </w:p>
              </w:tc>
            </w:tr>
            <w:tr w14:paraId="514B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7341AEA6">
                  <w:pPr>
                    <w:adjustRightInd w:val="0"/>
                    <w:snapToGrid w:val="0"/>
                    <w:jc w:val="center"/>
                    <w:rPr>
                      <w:rFonts w:hint="default"/>
                      <w:lang w:val="en-US" w:eastAsia="zh-CN"/>
                    </w:rPr>
                  </w:pPr>
                </w:p>
              </w:tc>
              <w:tc>
                <w:tcPr>
                  <w:tcW w:w="1402" w:type="dxa"/>
                  <w:tcBorders>
                    <w:top w:val="single" w:color="auto" w:sz="4" w:space="0"/>
                    <w:bottom w:val="single" w:color="auto" w:sz="4" w:space="0"/>
                  </w:tcBorders>
                  <w:noWrap w:val="0"/>
                  <w:vAlign w:val="center"/>
                </w:tcPr>
                <w:p w14:paraId="50691338">
                  <w:pPr>
                    <w:adjustRightInd w:val="0"/>
                    <w:snapToGrid w:val="0"/>
                    <w:jc w:val="center"/>
                    <w:rPr>
                      <w:rFonts w:hint="default"/>
                      <w:lang w:val="en-US" w:eastAsia="zh-CN"/>
                    </w:rPr>
                  </w:pPr>
                  <w:r>
                    <w:rPr>
                      <w:rFonts w:hint="eastAsia"/>
                      <w:lang w:val="en-US" w:eastAsia="zh-CN"/>
                    </w:rPr>
                    <w:t>废液收集</w:t>
                  </w:r>
                </w:p>
              </w:tc>
              <w:tc>
                <w:tcPr>
                  <w:tcW w:w="5819" w:type="dxa"/>
                  <w:tcBorders>
                    <w:top w:val="single" w:color="auto" w:sz="4" w:space="0"/>
                    <w:bottom w:val="single" w:color="auto" w:sz="4" w:space="0"/>
                    <w:right w:val="single" w:color="auto" w:sz="12" w:space="0"/>
                  </w:tcBorders>
                  <w:noWrap w:val="0"/>
                  <w:vAlign w:val="center"/>
                </w:tcPr>
                <w:p w14:paraId="12F75DEE">
                  <w:pPr>
                    <w:spacing w:line="240" w:lineRule="auto"/>
                    <w:ind w:firstLine="0" w:firstLineChars="0"/>
                    <w:jc w:val="center"/>
                    <w:rPr>
                      <w:rFonts w:hint="default"/>
                      <w:lang w:val="en-US" w:eastAsia="zh-CN"/>
                    </w:rPr>
                  </w:pPr>
                  <w:r>
                    <w:rPr>
                      <w:rFonts w:hint="eastAsia"/>
                      <w:lang w:val="en-US" w:eastAsia="zh-CN"/>
                    </w:rPr>
                    <w:t>研发楼各层均设置实验废液收集罐，按照规程要求，定期送危废暂存间</w:t>
                  </w:r>
                </w:p>
              </w:tc>
            </w:tr>
            <w:tr w14:paraId="7B34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05AFB5F0">
                  <w:pPr>
                    <w:adjustRightInd w:val="0"/>
                    <w:snapToGrid w:val="0"/>
                    <w:jc w:val="center"/>
                    <w:rPr>
                      <w:rFonts w:hint="default"/>
                      <w:lang w:val="en-US" w:eastAsia="zh-CN"/>
                    </w:rPr>
                  </w:pPr>
                </w:p>
              </w:tc>
              <w:tc>
                <w:tcPr>
                  <w:tcW w:w="1402" w:type="dxa"/>
                  <w:tcBorders>
                    <w:top w:val="single" w:color="auto" w:sz="4" w:space="0"/>
                    <w:bottom w:val="single" w:color="auto" w:sz="4" w:space="0"/>
                  </w:tcBorders>
                  <w:noWrap w:val="0"/>
                  <w:vAlign w:val="center"/>
                </w:tcPr>
                <w:p w14:paraId="6BF5DE3E">
                  <w:pPr>
                    <w:adjustRightInd w:val="0"/>
                    <w:snapToGrid w:val="0"/>
                    <w:jc w:val="center"/>
                    <w:rPr>
                      <w:rFonts w:hint="default"/>
                      <w:lang w:val="en-US" w:eastAsia="zh-CN"/>
                    </w:rPr>
                  </w:pPr>
                  <w:r>
                    <w:rPr>
                      <w:rFonts w:hint="eastAsia"/>
                      <w:lang w:val="en-US" w:eastAsia="zh-CN"/>
                    </w:rPr>
                    <w:t>噪声治理</w:t>
                  </w:r>
                </w:p>
              </w:tc>
              <w:tc>
                <w:tcPr>
                  <w:tcW w:w="5819" w:type="dxa"/>
                  <w:tcBorders>
                    <w:top w:val="single" w:color="auto" w:sz="4" w:space="0"/>
                    <w:bottom w:val="single" w:color="auto" w:sz="4" w:space="0"/>
                    <w:right w:val="single" w:color="auto" w:sz="12" w:space="0"/>
                  </w:tcBorders>
                  <w:noWrap w:val="0"/>
                  <w:vAlign w:val="center"/>
                </w:tcPr>
                <w:p w14:paraId="49837D98">
                  <w:pPr>
                    <w:spacing w:line="240" w:lineRule="auto"/>
                    <w:ind w:firstLine="0" w:firstLineChars="0"/>
                    <w:jc w:val="center"/>
                    <w:rPr>
                      <w:rFonts w:hint="default"/>
                      <w:lang w:val="en-US" w:eastAsia="zh-CN"/>
                    </w:rPr>
                  </w:pPr>
                  <w:r>
                    <w:rPr>
                      <w:rFonts w:hint="eastAsia"/>
                      <w:lang w:eastAsia="zh-CN"/>
                    </w:rPr>
                    <w:t>混合机、冲击试验机、真空泵</w:t>
                  </w:r>
                  <w:r>
                    <w:rPr>
                      <w:rFonts w:hint="eastAsia"/>
                      <w:lang w:val="en-US" w:eastAsia="zh-CN"/>
                    </w:rPr>
                    <w:t>等噪声设备产生的</w:t>
                  </w:r>
                  <w:r>
                    <w:rPr>
                      <w:rFonts w:hint="eastAsia"/>
                      <w:lang w:eastAsia="zh-CN"/>
                    </w:rPr>
                    <w:t>噪声采用</w:t>
                  </w:r>
                  <w:r>
                    <w:rPr>
                      <w:rFonts w:hint="eastAsia"/>
                    </w:rPr>
                    <w:t>厂房隔声</w:t>
                  </w:r>
                  <w:r>
                    <w:rPr>
                      <w:rFonts w:hint="eastAsia"/>
                      <w:lang w:eastAsia="zh-CN"/>
                    </w:rPr>
                    <w:t>和周边绿化措施进行控制</w:t>
                  </w:r>
                </w:p>
              </w:tc>
            </w:tr>
            <w:tr w14:paraId="02D7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4E66122D">
                  <w:pPr>
                    <w:adjustRightInd w:val="0"/>
                    <w:snapToGrid w:val="0"/>
                    <w:jc w:val="center"/>
                    <w:rPr>
                      <w:rFonts w:hint="default"/>
                      <w:lang w:val="en-US" w:eastAsia="zh-CN"/>
                    </w:rPr>
                  </w:pPr>
                </w:p>
              </w:tc>
              <w:tc>
                <w:tcPr>
                  <w:tcW w:w="1402" w:type="dxa"/>
                  <w:vMerge w:val="restart"/>
                  <w:tcBorders>
                    <w:top w:val="single" w:color="auto" w:sz="4" w:space="0"/>
                  </w:tcBorders>
                  <w:noWrap w:val="0"/>
                  <w:vAlign w:val="center"/>
                </w:tcPr>
                <w:p w14:paraId="7DED565A">
                  <w:pPr>
                    <w:adjustRightInd w:val="0"/>
                    <w:snapToGrid w:val="0"/>
                    <w:jc w:val="center"/>
                    <w:rPr>
                      <w:rFonts w:hint="default"/>
                      <w:lang w:val="en-US" w:eastAsia="zh-CN"/>
                    </w:rPr>
                  </w:pPr>
                  <w:r>
                    <w:rPr>
                      <w:rFonts w:hint="eastAsia"/>
                      <w:lang w:val="en-US" w:eastAsia="zh-CN"/>
                    </w:rPr>
                    <w:t>固废治理</w:t>
                  </w:r>
                </w:p>
              </w:tc>
              <w:tc>
                <w:tcPr>
                  <w:tcW w:w="5819" w:type="dxa"/>
                  <w:tcBorders>
                    <w:top w:val="single" w:color="auto" w:sz="4" w:space="0"/>
                    <w:bottom w:val="single" w:color="auto" w:sz="4" w:space="0"/>
                    <w:right w:val="single" w:color="auto" w:sz="12" w:space="0"/>
                  </w:tcBorders>
                  <w:noWrap w:val="0"/>
                  <w:vAlign w:val="center"/>
                </w:tcPr>
                <w:p w14:paraId="4B7381D7">
                  <w:pPr>
                    <w:spacing w:line="240" w:lineRule="auto"/>
                    <w:ind w:firstLine="0" w:firstLineChars="0"/>
                    <w:jc w:val="center"/>
                    <w:rPr>
                      <w:rFonts w:hint="default"/>
                      <w:lang w:val="en-US" w:eastAsia="zh-CN"/>
                    </w:rPr>
                  </w:pPr>
                  <w:r>
                    <w:rPr>
                      <w:rFonts w:hint="eastAsia"/>
                      <w:lang w:eastAsia="zh-CN"/>
                    </w:rPr>
                    <w:t>实验过程产生的部分酯类聚合物、边角料和粉碎机收集的粉尘，</w:t>
                  </w:r>
                  <w:r>
                    <w:rPr>
                      <w:rFonts w:hint="eastAsia"/>
                      <w:lang w:val="en-US" w:eastAsia="zh-CN"/>
                    </w:rPr>
                    <w:t>按照《一般工业固体废物贮存和填埋污染控制标准》（GB18599-2020）要求集中收集，定期送当地废品回收站</w:t>
                  </w:r>
                </w:p>
              </w:tc>
            </w:tr>
            <w:tr w14:paraId="6E7B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14A03FC3">
                  <w:pPr>
                    <w:adjustRightInd w:val="0"/>
                    <w:snapToGrid w:val="0"/>
                    <w:jc w:val="center"/>
                    <w:rPr>
                      <w:rFonts w:hint="default"/>
                      <w:lang w:val="en-US" w:eastAsia="zh-CN"/>
                    </w:rPr>
                  </w:pPr>
                </w:p>
              </w:tc>
              <w:tc>
                <w:tcPr>
                  <w:tcW w:w="1402" w:type="dxa"/>
                  <w:vMerge w:val="continue"/>
                  <w:noWrap w:val="0"/>
                  <w:vAlign w:val="center"/>
                </w:tcPr>
                <w:p w14:paraId="672FC333">
                  <w:pPr>
                    <w:adjustRightInd w:val="0"/>
                    <w:snapToGrid w:val="0"/>
                    <w:jc w:val="center"/>
                    <w:rPr>
                      <w:rFonts w:hint="eastAsia"/>
                      <w:lang w:val="en-US" w:eastAsia="zh-CN"/>
                    </w:rPr>
                  </w:pPr>
                </w:p>
              </w:tc>
              <w:tc>
                <w:tcPr>
                  <w:tcW w:w="5819" w:type="dxa"/>
                  <w:tcBorders>
                    <w:top w:val="single" w:color="auto" w:sz="4" w:space="0"/>
                    <w:bottom w:val="single" w:color="auto" w:sz="4" w:space="0"/>
                    <w:right w:val="single" w:color="auto" w:sz="12" w:space="0"/>
                  </w:tcBorders>
                  <w:noWrap w:val="0"/>
                  <w:vAlign w:val="center"/>
                </w:tcPr>
                <w:p w14:paraId="7100689C">
                  <w:pPr>
                    <w:spacing w:line="240" w:lineRule="auto"/>
                    <w:ind w:firstLine="0" w:firstLineChars="0"/>
                    <w:jc w:val="center"/>
                    <w:rPr>
                      <w:rFonts w:hint="eastAsia"/>
                      <w:lang w:eastAsia="zh-CN"/>
                    </w:rPr>
                  </w:pPr>
                  <w:r>
                    <w:rPr>
                      <w:rFonts w:hint="eastAsia"/>
                      <w:lang w:val="en-US" w:eastAsia="zh-CN"/>
                    </w:rPr>
                    <w:t>研发楼和试验区设置垃圾箱，生活垃圾</w:t>
                  </w:r>
                  <w:r>
                    <w:rPr>
                      <w:rFonts w:hint="eastAsia"/>
                      <w:lang w:eastAsia="zh-CN"/>
                    </w:rPr>
                    <w:t>由园区环卫定期清运</w:t>
                  </w:r>
                </w:p>
              </w:tc>
            </w:tr>
            <w:tr w14:paraId="07BF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40D4AB76">
                  <w:pPr>
                    <w:adjustRightInd w:val="0"/>
                    <w:snapToGrid w:val="0"/>
                    <w:jc w:val="center"/>
                    <w:rPr>
                      <w:rFonts w:hint="default"/>
                      <w:lang w:val="en-US" w:eastAsia="zh-CN"/>
                    </w:rPr>
                  </w:pPr>
                </w:p>
              </w:tc>
              <w:tc>
                <w:tcPr>
                  <w:tcW w:w="1402" w:type="dxa"/>
                  <w:vMerge w:val="continue"/>
                  <w:noWrap w:val="0"/>
                  <w:vAlign w:val="center"/>
                </w:tcPr>
                <w:p w14:paraId="20768BA4">
                  <w:pPr>
                    <w:adjustRightInd w:val="0"/>
                    <w:snapToGrid w:val="0"/>
                    <w:jc w:val="center"/>
                    <w:rPr>
                      <w:rFonts w:hint="default"/>
                      <w:lang w:val="en-US" w:eastAsia="zh-CN"/>
                    </w:rPr>
                  </w:pPr>
                </w:p>
              </w:tc>
              <w:tc>
                <w:tcPr>
                  <w:tcW w:w="5819" w:type="dxa"/>
                  <w:tcBorders>
                    <w:top w:val="single" w:color="auto" w:sz="4" w:space="0"/>
                    <w:bottom w:val="single" w:color="auto" w:sz="4" w:space="0"/>
                    <w:right w:val="single" w:color="auto" w:sz="12" w:space="0"/>
                  </w:tcBorders>
                  <w:noWrap w:val="0"/>
                  <w:vAlign w:val="center"/>
                </w:tcPr>
                <w:p w14:paraId="7F9711C6">
                  <w:pPr>
                    <w:spacing w:line="240" w:lineRule="auto"/>
                    <w:ind w:firstLine="0" w:firstLineChars="0"/>
                    <w:jc w:val="center"/>
                    <w:rPr>
                      <w:rFonts w:hint="default"/>
                      <w:lang w:val="en-US" w:eastAsia="zh-CN"/>
                    </w:rPr>
                  </w:pPr>
                  <w:r>
                    <w:rPr>
                      <w:rFonts w:hint="eastAsia"/>
                      <w:lang w:eastAsia="zh-CN"/>
                    </w:rPr>
                    <w:t>实验室废液、沾染有机溶剂或废酸的一次性用品（</w:t>
                  </w:r>
                  <w:r>
                    <w:rPr>
                      <w:rFonts w:hint="eastAsia"/>
                      <w:lang w:val="en-US" w:eastAsia="zh-CN"/>
                    </w:rPr>
                    <w:t>900-047-49</w:t>
                  </w:r>
                  <w:r>
                    <w:rPr>
                      <w:rFonts w:hint="eastAsia"/>
                      <w:lang w:eastAsia="zh-CN"/>
                    </w:rPr>
                    <w:t>）</w:t>
                  </w:r>
                  <w:r>
                    <w:rPr>
                      <w:rFonts w:hint="eastAsia"/>
                      <w:lang w:val="en-US" w:eastAsia="zh-CN"/>
                    </w:rPr>
                    <w:t>等危险废物采用</w:t>
                  </w:r>
                  <w:r>
                    <w:rPr>
                      <w:rFonts w:hint="eastAsia"/>
                      <w:lang w:eastAsia="zh-CN"/>
                    </w:rPr>
                    <w:t>密封桶收集，依托</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lang w:eastAsia="zh-CN"/>
                    </w:rPr>
                    <w:t>危废暂存间暂存，定期委托有资质的单位处理</w:t>
                  </w:r>
                </w:p>
              </w:tc>
            </w:tr>
            <w:tr w14:paraId="1B58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4F493F28">
                  <w:pPr>
                    <w:adjustRightInd w:val="0"/>
                    <w:snapToGrid w:val="0"/>
                    <w:jc w:val="center"/>
                    <w:rPr>
                      <w:rFonts w:hint="default"/>
                      <w:lang w:val="en-US" w:eastAsia="zh-CN"/>
                    </w:rPr>
                  </w:pPr>
                </w:p>
              </w:tc>
              <w:tc>
                <w:tcPr>
                  <w:tcW w:w="1402" w:type="dxa"/>
                  <w:vMerge w:val="continue"/>
                  <w:noWrap w:val="0"/>
                  <w:vAlign w:val="center"/>
                </w:tcPr>
                <w:p w14:paraId="25FC2C8A">
                  <w:pPr>
                    <w:adjustRightInd w:val="0"/>
                    <w:snapToGrid w:val="0"/>
                    <w:jc w:val="center"/>
                    <w:rPr>
                      <w:rFonts w:hint="default"/>
                      <w:lang w:val="en-US" w:eastAsia="zh-CN"/>
                    </w:rPr>
                  </w:pPr>
                </w:p>
              </w:tc>
              <w:tc>
                <w:tcPr>
                  <w:tcW w:w="5819" w:type="dxa"/>
                  <w:tcBorders>
                    <w:top w:val="single" w:color="auto" w:sz="4" w:space="0"/>
                    <w:bottom w:val="single" w:color="auto" w:sz="4" w:space="0"/>
                    <w:right w:val="single" w:color="auto" w:sz="12" w:space="0"/>
                  </w:tcBorders>
                  <w:noWrap w:val="0"/>
                  <w:vAlign w:val="center"/>
                </w:tcPr>
                <w:p w14:paraId="2CEB88B7">
                  <w:pPr>
                    <w:spacing w:line="240" w:lineRule="auto"/>
                    <w:ind w:firstLine="0" w:firstLineChars="0"/>
                    <w:jc w:val="center"/>
                    <w:rPr>
                      <w:rFonts w:hint="default"/>
                      <w:lang w:val="en-US" w:eastAsia="zh-CN"/>
                    </w:rPr>
                  </w:pPr>
                  <w:r>
                    <w:rPr>
                      <w:rFonts w:hint="eastAsia"/>
                      <w:lang w:val="en-US" w:eastAsia="zh-CN"/>
                    </w:rPr>
                    <w:t>转动设备</w:t>
                  </w:r>
                  <w:r>
                    <w:rPr>
                      <w:rFonts w:hint="eastAsia"/>
                      <w:lang w:eastAsia="zh-CN"/>
                    </w:rPr>
                    <w:t>产生的废机油（</w:t>
                  </w:r>
                  <w:r>
                    <w:rPr>
                      <w:rFonts w:hint="eastAsia"/>
                      <w:lang w:val="en-US" w:eastAsia="zh-CN"/>
                    </w:rPr>
                    <w:t>900-217-08</w:t>
                  </w:r>
                  <w:r>
                    <w:rPr>
                      <w:rFonts w:hint="eastAsia"/>
                      <w:lang w:eastAsia="zh-CN"/>
                    </w:rPr>
                    <w:t>）按危废管理要求收集，依托</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lang w:eastAsia="zh-CN"/>
                    </w:rPr>
                    <w:t>危废暂存间暂存，</w:t>
                  </w:r>
                  <w:r>
                    <w:rPr>
                      <w:rFonts w:hint="eastAsia"/>
                      <w:lang w:val="en-US" w:eastAsia="zh-CN"/>
                    </w:rPr>
                    <w:t>定期委托有资质的单位处理</w:t>
                  </w:r>
                </w:p>
              </w:tc>
            </w:tr>
            <w:tr w14:paraId="5CD7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tcBorders>
                  <w:noWrap w:val="0"/>
                  <w:vAlign w:val="center"/>
                </w:tcPr>
                <w:p w14:paraId="5D8C2C62">
                  <w:pPr>
                    <w:adjustRightInd w:val="0"/>
                    <w:snapToGrid w:val="0"/>
                    <w:jc w:val="center"/>
                    <w:rPr>
                      <w:rFonts w:hint="default"/>
                      <w:lang w:val="en-US" w:eastAsia="zh-CN"/>
                    </w:rPr>
                  </w:pPr>
                </w:p>
              </w:tc>
              <w:tc>
                <w:tcPr>
                  <w:tcW w:w="1402" w:type="dxa"/>
                  <w:vMerge w:val="continue"/>
                  <w:tcBorders>
                    <w:bottom w:val="single" w:color="auto" w:sz="4" w:space="0"/>
                  </w:tcBorders>
                  <w:noWrap w:val="0"/>
                  <w:vAlign w:val="center"/>
                </w:tcPr>
                <w:p w14:paraId="46528835">
                  <w:pPr>
                    <w:adjustRightInd w:val="0"/>
                    <w:snapToGrid w:val="0"/>
                    <w:jc w:val="center"/>
                    <w:rPr>
                      <w:rFonts w:hint="default"/>
                      <w:lang w:val="en-US" w:eastAsia="zh-CN"/>
                    </w:rPr>
                  </w:pPr>
                </w:p>
              </w:tc>
              <w:tc>
                <w:tcPr>
                  <w:tcW w:w="5819" w:type="dxa"/>
                  <w:tcBorders>
                    <w:top w:val="single" w:color="auto" w:sz="4" w:space="0"/>
                    <w:bottom w:val="single" w:color="auto" w:sz="4" w:space="0"/>
                    <w:right w:val="single" w:color="auto" w:sz="12" w:space="0"/>
                  </w:tcBorders>
                  <w:noWrap w:val="0"/>
                  <w:vAlign w:val="center"/>
                </w:tcPr>
                <w:p w14:paraId="055B684D">
                  <w:pPr>
                    <w:spacing w:line="240" w:lineRule="auto"/>
                    <w:ind w:firstLine="0" w:firstLineChars="0"/>
                    <w:jc w:val="center"/>
                    <w:rPr>
                      <w:rFonts w:hint="eastAsia"/>
                      <w:lang w:val="en-US" w:eastAsia="zh-CN"/>
                    </w:rPr>
                  </w:pPr>
                  <w:r>
                    <w:rPr>
                      <w:rFonts w:hint="eastAsia" w:ascii="Times New Roman" w:hAnsi="Times New Roman" w:eastAsia="宋体" w:cs="Times New Roman"/>
                      <w:color w:val="000000"/>
                      <w:kern w:val="2"/>
                      <w:sz w:val="21"/>
                      <w:szCs w:val="24"/>
                      <w:lang w:val="en-US" w:eastAsia="zh-CN" w:bidi="ar-SA"/>
                    </w:rPr>
                    <w:t>活性炭吸附设施运行产生的废活性炭(900-047-49)，更换后依托新疆维格瑞生物科技有限公司危废暂存间暂存，定期委托有资质的单位处理</w:t>
                  </w:r>
                </w:p>
              </w:tc>
            </w:tr>
            <w:tr w14:paraId="02F5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left w:val="single" w:color="auto" w:sz="4" w:space="0"/>
                    <w:bottom w:val="single" w:color="auto" w:sz="12" w:space="0"/>
                  </w:tcBorders>
                  <w:noWrap w:val="0"/>
                  <w:vAlign w:val="center"/>
                </w:tcPr>
                <w:p w14:paraId="7FA703DC">
                  <w:pPr>
                    <w:adjustRightInd w:val="0"/>
                    <w:snapToGrid w:val="0"/>
                    <w:jc w:val="center"/>
                    <w:rPr>
                      <w:rFonts w:hint="default"/>
                      <w:lang w:val="en-US" w:eastAsia="zh-CN"/>
                    </w:rPr>
                  </w:pPr>
                </w:p>
              </w:tc>
              <w:tc>
                <w:tcPr>
                  <w:tcW w:w="1402" w:type="dxa"/>
                  <w:tcBorders>
                    <w:top w:val="single" w:color="auto" w:sz="4" w:space="0"/>
                    <w:bottom w:val="single" w:color="auto" w:sz="12" w:space="0"/>
                  </w:tcBorders>
                  <w:noWrap w:val="0"/>
                  <w:vAlign w:val="center"/>
                </w:tcPr>
                <w:p w14:paraId="217AA378">
                  <w:pPr>
                    <w:adjustRightInd w:val="0"/>
                    <w:snapToGrid w:val="0"/>
                    <w:jc w:val="center"/>
                    <w:rPr>
                      <w:rFonts w:hint="default"/>
                      <w:lang w:val="en-US" w:eastAsia="zh-CN"/>
                    </w:rPr>
                  </w:pPr>
                  <w:r>
                    <w:rPr>
                      <w:rFonts w:hint="eastAsia"/>
                      <w:lang w:val="en-US" w:eastAsia="zh-CN"/>
                    </w:rPr>
                    <w:t>环境风险</w:t>
                  </w:r>
                </w:p>
              </w:tc>
              <w:tc>
                <w:tcPr>
                  <w:tcW w:w="5819" w:type="dxa"/>
                  <w:tcBorders>
                    <w:top w:val="single" w:color="auto" w:sz="4" w:space="0"/>
                    <w:bottom w:val="single" w:color="auto" w:sz="12" w:space="0"/>
                    <w:right w:val="single" w:color="auto" w:sz="12" w:space="0"/>
                  </w:tcBorders>
                  <w:noWrap w:val="0"/>
                  <w:vAlign w:val="center"/>
                </w:tcPr>
                <w:p w14:paraId="65A3949A">
                  <w:pPr>
                    <w:spacing w:line="240" w:lineRule="auto"/>
                    <w:ind w:firstLine="0" w:firstLineChars="0"/>
                    <w:jc w:val="center"/>
                    <w:rPr>
                      <w:rFonts w:hint="default"/>
                      <w:lang w:val="en-US" w:eastAsia="zh-CN"/>
                    </w:rPr>
                  </w:pPr>
                  <w:r>
                    <w:rPr>
                      <w:rFonts w:hint="eastAsia"/>
                      <w:lang w:eastAsia="zh-CN"/>
                    </w:rPr>
                    <w:t>设置火灾自动报警系统及自动喷淋灭火系统</w:t>
                  </w:r>
                </w:p>
              </w:tc>
            </w:tr>
          </w:tbl>
          <w:p w14:paraId="104DD00B">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b/>
                <w:bCs/>
                <w:lang w:eastAsia="zh-CN"/>
              </w:rPr>
            </w:pPr>
            <w:r>
              <w:rPr>
                <w:rFonts w:hint="eastAsia"/>
                <w:b/>
                <w:bCs/>
                <w:lang w:eastAsia="zh-CN"/>
              </w:rPr>
              <w:t>二、原辅材料用量</w:t>
            </w:r>
          </w:p>
          <w:p w14:paraId="22A07746">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本项目实验过程涉及多种化学药剂，其中用量较大的药剂主要包括己二酸、丁二酸二甲酯、BDO、EEA、单甘酯等，主要耗材及可能与污染物排放相关的药剂见表3。</w:t>
            </w:r>
          </w:p>
          <w:p w14:paraId="32D0D024">
            <w:pPr>
              <w:pStyle w:val="5"/>
              <w:spacing w:before="156"/>
              <w:rPr>
                <w:rFonts w:hint="default" w:eastAsia="宋体"/>
                <w:lang w:val="en-US" w:eastAsia="zh-CN"/>
              </w:rPr>
            </w:pPr>
            <w:r>
              <w:rPr>
                <w:rFonts w:hint="eastAsia"/>
              </w:rPr>
              <w:t>表</w:t>
            </w:r>
            <w:r>
              <w:rPr>
                <w:rFonts w:hint="eastAsia" w:ascii="Times New Roman" w:hAnsi="Times New Roman"/>
                <w:lang w:val="en-US" w:eastAsia="zh-CN"/>
              </w:rPr>
              <w:t>3</w:t>
            </w:r>
            <w:r>
              <w:rPr>
                <w:rFonts w:hint="eastAsia"/>
              </w:rPr>
              <w:t xml:space="preserve">  </w:t>
            </w:r>
            <w:r>
              <w:rPr>
                <w:rFonts w:hint="eastAsia"/>
                <w:lang w:eastAsia="zh-CN"/>
              </w:rPr>
              <w:t>部分</w:t>
            </w:r>
            <w:r>
              <w:rPr>
                <w:rFonts w:hint="eastAsia"/>
                <w:lang w:val="en-US" w:eastAsia="zh-CN"/>
              </w:rPr>
              <w:t>实验耗材的年用量</w:t>
            </w:r>
          </w:p>
          <w:tbl>
            <w:tblPr>
              <w:tblStyle w:val="16"/>
              <w:tblW w:w="7935"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851"/>
              <w:gridCol w:w="628"/>
              <w:gridCol w:w="634"/>
              <w:gridCol w:w="551"/>
              <w:gridCol w:w="1319"/>
              <w:gridCol w:w="1690"/>
              <w:gridCol w:w="634"/>
            </w:tblGrid>
            <w:tr w14:paraId="17D6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12" w:space="0"/>
                    <w:left w:val="single" w:color="auto" w:sz="0" w:space="0"/>
                    <w:bottom w:val="single" w:color="000000" w:sz="4" w:space="0"/>
                    <w:right w:val="single" w:color="000000" w:sz="4" w:space="0"/>
                  </w:tcBorders>
                  <w:shd w:val="clear" w:color="auto" w:fill="FFFFFF"/>
                  <w:noWrap w:val="0"/>
                  <w:vAlign w:val="center"/>
                </w:tcPr>
                <w:p w14:paraId="1A63444C">
                  <w:pPr>
                    <w:spacing w:line="240"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序号</w:t>
                  </w:r>
                </w:p>
              </w:tc>
              <w:tc>
                <w:tcPr>
                  <w:tcW w:w="0" w:type="auto"/>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A12FD76">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实验耗材</w:t>
                  </w:r>
                </w:p>
              </w:tc>
              <w:tc>
                <w:tcPr>
                  <w:tcW w:w="0" w:type="auto"/>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CB63A2F">
                  <w:pPr>
                    <w:spacing w:line="240"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单位</w:t>
                  </w:r>
                </w:p>
              </w:tc>
              <w:tc>
                <w:tcPr>
                  <w:tcW w:w="0" w:type="auto"/>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BB97E40">
                  <w:pPr>
                    <w:spacing w:line="240"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用量</w:t>
                  </w:r>
                </w:p>
              </w:tc>
              <w:tc>
                <w:tcPr>
                  <w:tcW w:w="551"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CC3C785">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131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2A8B126">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实验耗材</w:t>
                  </w:r>
                </w:p>
              </w:tc>
              <w:tc>
                <w:tcPr>
                  <w:tcW w:w="0" w:type="auto"/>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7FC75F9">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单位</w:t>
                  </w:r>
                </w:p>
              </w:tc>
              <w:tc>
                <w:tcPr>
                  <w:tcW w:w="0" w:type="auto"/>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7C9C56D">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用量</w:t>
                  </w:r>
                </w:p>
              </w:tc>
            </w:tr>
            <w:tr w14:paraId="1317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C84CD">
                  <w:pPr>
                    <w:spacing w:line="240" w:lineRule="auto"/>
                    <w:ind w:firstLine="0" w:firstLineChars="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18495">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己二酸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0BCCC">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83199">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0.05</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CD441">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11</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51105">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PUD</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02BC8">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kg</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EE875E8">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160</w:t>
                  </w:r>
                </w:p>
              </w:tc>
            </w:tr>
            <w:tr w14:paraId="6F0B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5E3C1">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FD579">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丁二酸二甲酯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95F1C">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kg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9CD7B">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50</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36778">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10B2D">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水性树脂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A4897">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68D1DC5">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5</w:t>
                  </w:r>
                </w:p>
              </w:tc>
            </w:tr>
            <w:tr w14:paraId="1EBB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8F0E5">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E5997">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EEA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0E693">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kg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F4F5C">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A8DE6">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13</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F6482">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聚酯阻燃剂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92765">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kg</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B916417">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350</w:t>
                  </w:r>
                </w:p>
              </w:tc>
            </w:tr>
            <w:tr w14:paraId="477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C6F39">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B8A90">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单甘脂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D1E6A">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118B3">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0.5</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8E26A">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14</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31D7D">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无卤阻燃剂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15D7C">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kg</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C7C4D08">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50</w:t>
                  </w:r>
                </w:p>
              </w:tc>
            </w:tr>
            <w:tr w14:paraId="32DE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57199">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F53E6">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聚碳酸亚丙酯树脂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00F5C">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5FCF7">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0.3</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B2790">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E9B97">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滑石粉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FFAAB">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C939F71">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30</w:t>
                  </w:r>
                </w:p>
              </w:tc>
            </w:tr>
            <w:tr w14:paraId="4E47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6E480">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3F0D5">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抗氧剂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0EF1A">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A1F6F">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5A0D3">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16</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50C2F">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异状物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203A1">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556790">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15.2</w:t>
                  </w:r>
                </w:p>
              </w:tc>
            </w:tr>
            <w:tr w14:paraId="7D7F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FD1F2">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616E7">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聚乙烯蜡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A610A">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C2430">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9D23F">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17</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59CB9">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甲醇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5DB8C">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瓶（约500mL）</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A07770F">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40</w:t>
                  </w:r>
                </w:p>
              </w:tc>
            </w:tr>
            <w:tr w14:paraId="150F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6B655">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02162">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1,4丁二醇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89469">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C1BC2">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7BFFA">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52034">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苯乙烯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5C5BA">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瓶（约500mL）</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BB56942">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4</w:t>
                  </w:r>
                </w:p>
              </w:tc>
            </w:tr>
            <w:tr w14:paraId="334D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D253D">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28C0F">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PBAT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B76E1">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B19AE">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190</w:t>
                  </w: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C9C10">
                  <w:pPr>
                    <w:spacing w:line="240" w:lineRule="auto"/>
                    <w:ind w:firstLine="0" w:firstLine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19</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8D71C">
                  <w:pPr>
                    <w:spacing w:line="240" w:lineRule="auto"/>
                    <w:ind w:firstLine="0" w:firstLine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乙酸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E5C16">
                  <w:pPr>
                    <w:spacing w:line="240" w:lineRule="auto"/>
                    <w:ind w:firstLine="0" w:firstLine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瓶（约500mL）</w:t>
                  </w:r>
                </w:p>
              </w:tc>
              <w:tc>
                <w:tcPr>
                  <w:tcW w:w="0" w:type="auto"/>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F7B8E38">
                  <w:pPr>
                    <w:spacing w:line="240" w:lineRule="auto"/>
                    <w:ind w:firstLine="0" w:firstLine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w:t>
                  </w:r>
                </w:p>
              </w:tc>
            </w:tr>
            <w:tr w14:paraId="4F2D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41582EB">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0" w:type="auto"/>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E9763C5">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PBS树脂</w:t>
                  </w:r>
                </w:p>
              </w:tc>
              <w:tc>
                <w:tcPr>
                  <w:tcW w:w="0" w:type="auto"/>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E8472BE">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t</w:t>
                  </w:r>
                </w:p>
              </w:tc>
              <w:tc>
                <w:tcPr>
                  <w:tcW w:w="0" w:type="auto"/>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2A992F0">
                  <w:pPr>
                    <w:spacing w:line="240" w:lineRule="auto"/>
                    <w:ind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5.6</w:t>
                  </w:r>
                </w:p>
              </w:tc>
              <w:tc>
                <w:tcPr>
                  <w:tcW w:w="55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9104896">
                  <w:pPr>
                    <w:spacing w:line="240" w:lineRule="auto"/>
                    <w:ind w:firstLine="0" w:firstLine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20</w:t>
                  </w:r>
                </w:p>
              </w:tc>
              <w:tc>
                <w:tcPr>
                  <w:tcW w:w="131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50F53FA">
                  <w:pPr>
                    <w:spacing w:line="240" w:lineRule="auto"/>
                    <w:ind w:firstLine="0" w:firstLine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四氢呋喃</w:t>
                  </w:r>
                </w:p>
              </w:tc>
              <w:tc>
                <w:tcPr>
                  <w:tcW w:w="0" w:type="auto"/>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A118BD1">
                  <w:pPr>
                    <w:spacing w:line="240" w:lineRule="auto"/>
                    <w:ind w:firstLine="0" w:firstLine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瓶（约500mL）</w:t>
                  </w:r>
                </w:p>
              </w:tc>
              <w:tc>
                <w:tcPr>
                  <w:tcW w:w="0" w:type="auto"/>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5E10FCA">
                  <w:pPr>
                    <w:spacing w:line="240" w:lineRule="auto"/>
                    <w:ind w:firstLine="0" w:firstLine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1</w:t>
                  </w:r>
                </w:p>
              </w:tc>
            </w:tr>
          </w:tbl>
          <w:p w14:paraId="5B58F5D0">
            <w:pPr>
              <w:pStyle w:val="13"/>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bCs/>
                <w:color w:val="000000"/>
                <w:sz w:val="24"/>
                <w:szCs w:val="24"/>
                <w:lang w:val="en-US" w:eastAsia="zh-CN" w:bidi="ar-SA"/>
              </w:rPr>
            </w:pPr>
            <w:r>
              <w:rPr>
                <w:rFonts w:hint="eastAsia" w:ascii="Times New Roman" w:hAnsi="Times New Roman" w:eastAsia="宋体" w:cs="Times New Roman"/>
                <w:b/>
                <w:bCs/>
                <w:color w:val="000000"/>
                <w:sz w:val="24"/>
                <w:szCs w:val="24"/>
                <w:lang w:val="en-US" w:eastAsia="zh-CN" w:bidi="ar-SA"/>
              </w:rPr>
              <w:t>四、主要设备</w:t>
            </w:r>
          </w:p>
          <w:p w14:paraId="4DF16D26">
            <w:pPr>
              <w:keepNext w:val="0"/>
              <w:keepLines w:val="0"/>
              <w:pageBreakBefore w:val="0"/>
              <w:widowControl w:val="0"/>
              <w:kinsoku/>
              <w:wordWrap/>
              <w:overflowPunct/>
              <w:topLinePunct w:val="0"/>
              <w:bidi w:val="0"/>
              <w:spacing w:line="360" w:lineRule="auto"/>
              <w:ind w:firstLine="420" w:firstLineChars="200"/>
              <w:textAlignment w:val="auto"/>
              <w:rPr>
                <w:rFonts w:hint="default"/>
                <w:lang w:val="en-US" w:eastAsia="zh-CN"/>
              </w:rPr>
            </w:pPr>
            <w:r>
              <w:rPr>
                <w:rFonts w:hint="eastAsia"/>
                <w:lang w:val="en-US" w:eastAsia="zh-CN"/>
              </w:rPr>
              <w:t>研发楼及试验区内设置的主要设备见表4。</w:t>
            </w:r>
          </w:p>
          <w:p w14:paraId="1A1F008A">
            <w:pPr>
              <w:pStyle w:val="2"/>
              <w:keepNext w:val="0"/>
              <w:keepLines w:val="0"/>
              <w:pageBreakBefore w:val="0"/>
              <w:widowControl w:val="0"/>
              <w:numPr>
                <w:ilvl w:val="0"/>
                <w:numId w:val="0"/>
              </w:numPr>
              <w:kinsoku/>
              <w:wordWrap/>
              <w:overflowPunct/>
              <w:topLinePunct w:val="0"/>
              <w:bidi w:val="0"/>
              <w:spacing w:line="360" w:lineRule="auto"/>
              <w:jc w:val="center"/>
              <w:textAlignment w:val="auto"/>
              <w:rPr>
                <w:rFonts w:hint="default" w:ascii="黑体" w:hAnsi="黑体" w:eastAsia="宋体" w:cs="Times New Roman"/>
                <w:b/>
                <w:color w:val="auto"/>
                <w:kern w:val="0"/>
                <w:sz w:val="21"/>
                <w:szCs w:val="20"/>
                <w:lang w:val="en-US" w:eastAsia="zh-CN" w:bidi="ar-SA"/>
              </w:rPr>
            </w:pPr>
            <w:r>
              <w:rPr>
                <w:rFonts w:hint="eastAsia" w:ascii="黑体" w:hAnsi="黑体" w:eastAsia="宋体" w:cs="Times New Roman"/>
                <w:b/>
                <w:color w:val="auto"/>
                <w:kern w:val="0"/>
                <w:sz w:val="21"/>
                <w:szCs w:val="20"/>
                <w:lang w:val="en-US" w:eastAsia="zh-CN" w:bidi="ar-SA"/>
              </w:rPr>
              <w:t>表4  研发楼及试验区主要设备一览表  单位：台/套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623"/>
              <w:gridCol w:w="624"/>
              <w:gridCol w:w="624"/>
              <w:gridCol w:w="2816"/>
              <w:gridCol w:w="624"/>
            </w:tblGrid>
            <w:tr w14:paraId="0EA3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12" w:space="0"/>
                  </w:tcBorders>
                  <w:noWrap w:val="0"/>
                  <w:vAlign w:val="center"/>
                </w:tcPr>
                <w:p w14:paraId="65980B9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序号</w:t>
                  </w:r>
                </w:p>
              </w:tc>
              <w:tc>
                <w:tcPr>
                  <w:tcW w:w="0" w:type="auto"/>
                  <w:tcBorders>
                    <w:top w:val="single" w:color="auto" w:sz="12" w:space="0"/>
                  </w:tcBorders>
                  <w:noWrap w:val="0"/>
                  <w:vAlign w:val="center"/>
                </w:tcPr>
                <w:p w14:paraId="51CE9DF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名称</w:t>
                  </w:r>
                </w:p>
              </w:tc>
              <w:tc>
                <w:tcPr>
                  <w:tcW w:w="0" w:type="auto"/>
                  <w:tcBorders>
                    <w:top w:val="single" w:color="auto" w:sz="12" w:space="0"/>
                  </w:tcBorders>
                  <w:noWrap w:val="0"/>
                  <w:vAlign w:val="center"/>
                </w:tcPr>
                <w:p w14:paraId="1962A83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数量</w:t>
                  </w:r>
                </w:p>
              </w:tc>
              <w:tc>
                <w:tcPr>
                  <w:tcW w:w="0" w:type="auto"/>
                  <w:tcBorders>
                    <w:top w:val="single" w:color="auto" w:sz="12" w:space="0"/>
                  </w:tcBorders>
                  <w:noWrap w:val="0"/>
                  <w:vAlign w:val="center"/>
                </w:tcPr>
                <w:p w14:paraId="2CA0B1D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序号</w:t>
                  </w:r>
                </w:p>
              </w:tc>
              <w:tc>
                <w:tcPr>
                  <w:tcW w:w="0" w:type="auto"/>
                  <w:tcBorders>
                    <w:top w:val="single" w:color="auto" w:sz="12" w:space="0"/>
                  </w:tcBorders>
                  <w:noWrap w:val="0"/>
                  <w:vAlign w:val="center"/>
                </w:tcPr>
                <w:p w14:paraId="09C32D5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名称</w:t>
                  </w:r>
                </w:p>
              </w:tc>
              <w:tc>
                <w:tcPr>
                  <w:tcW w:w="0" w:type="auto"/>
                  <w:tcBorders>
                    <w:top w:val="single" w:color="auto" w:sz="12" w:space="0"/>
                    <w:right w:val="single" w:color="auto" w:sz="12" w:space="0"/>
                  </w:tcBorders>
                  <w:noWrap w:val="0"/>
                  <w:vAlign w:val="center"/>
                </w:tcPr>
                <w:p w14:paraId="7E7215B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数量</w:t>
                  </w:r>
                </w:p>
              </w:tc>
            </w:tr>
            <w:tr w14:paraId="4E9E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7813FA7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特种聚酯合成</w:t>
                  </w:r>
                </w:p>
              </w:tc>
            </w:tr>
            <w:tr w14:paraId="6417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D9E4A4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7CBCAF9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不锈钢反应釜</w:t>
                  </w:r>
                </w:p>
              </w:tc>
              <w:tc>
                <w:tcPr>
                  <w:tcW w:w="0" w:type="auto"/>
                  <w:noWrap w:val="0"/>
                  <w:vAlign w:val="center"/>
                </w:tcPr>
                <w:p w14:paraId="3DE98E0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1E20A7E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5818089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摆锤冲积试验机</w:t>
                  </w:r>
                </w:p>
              </w:tc>
              <w:tc>
                <w:tcPr>
                  <w:tcW w:w="0" w:type="auto"/>
                  <w:tcBorders>
                    <w:right w:val="single" w:color="auto" w:sz="12" w:space="0"/>
                  </w:tcBorders>
                  <w:noWrap w:val="0"/>
                  <w:vAlign w:val="center"/>
                </w:tcPr>
                <w:p w14:paraId="222C4EE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3169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127A9F3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c>
                <w:tcPr>
                  <w:tcW w:w="0" w:type="auto"/>
                  <w:noWrap w:val="0"/>
                  <w:vAlign w:val="center"/>
                </w:tcPr>
                <w:p w14:paraId="03B751D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动态热机械分析仪</w:t>
                  </w:r>
                </w:p>
              </w:tc>
              <w:tc>
                <w:tcPr>
                  <w:tcW w:w="0" w:type="auto"/>
                  <w:noWrap w:val="0"/>
                  <w:vAlign w:val="center"/>
                </w:tcPr>
                <w:p w14:paraId="484605F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c>
                <w:tcPr>
                  <w:tcW w:w="0" w:type="auto"/>
                  <w:noWrap w:val="0"/>
                  <w:vAlign w:val="center"/>
                </w:tcPr>
                <w:p w14:paraId="668E059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5A6C12F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电子万能材料试验机</w:t>
                  </w:r>
                </w:p>
              </w:tc>
              <w:tc>
                <w:tcPr>
                  <w:tcW w:w="0" w:type="auto"/>
                  <w:tcBorders>
                    <w:right w:val="single" w:color="auto" w:sz="12" w:space="0"/>
                  </w:tcBorders>
                  <w:noWrap w:val="0"/>
                  <w:vAlign w:val="center"/>
                </w:tcPr>
                <w:p w14:paraId="7E816FA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5D11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3A22DEB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3</w:t>
                  </w:r>
                </w:p>
              </w:tc>
              <w:tc>
                <w:tcPr>
                  <w:tcW w:w="0" w:type="auto"/>
                  <w:noWrap w:val="0"/>
                  <w:vAlign w:val="center"/>
                </w:tcPr>
                <w:p w14:paraId="4E638F7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反应釜控制仪</w:t>
                  </w:r>
                </w:p>
              </w:tc>
              <w:tc>
                <w:tcPr>
                  <w:tcW w:w="0" w:type="auto"/>
                  <w:noWrap w:val="0"/>
                  <w:vAlign w:val="center"/>
                </w:tcPr>
                <w:p w14:paraId="69DD86E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3</w:t>
                  </w:r>
                </w:p>
              </w:tc>
              <w:tc>
                <w:tcPr>
                  <w:tcW w:w="0" w:type="auto"/>
                  <w:noWrap w:val="0"/>
                  <w:vAlign w:val="center"/>
                </w:tcPr>
                <w:p w14:paraId="2E6C3C8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0" w:type="auto"/>
                  <w:noWrap w:val="0"/>
                  <w:vAlign w:val="center"/>
                </w:tcPr>
                <w:p w14:paraId="77FAF90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马弗炉</w:t>
                  </w:r>
                </w:p>
              </w:tc>
              <w:tc>
                <w:tcPr>
                  <w:tcW w:w="0" w:type="auto"/>
                  <w:tcBorders>
                    <w:right w:val="single" w:color="auto" w:sz="12" w:space="0"/>
                  </w:tcBorders>
                  <w:noWrap w:val="0"/>
                  <w:vAlign w:val="center"/>
                </w:tcPr>
                <w:p w14:paraId="77440BF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r>
            <w:tr w14:paraId="78D1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3C86816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热塑性弹性体合成</w:t>
                  </w:r>
                </w:p>
              </w:tc>
            </w:tr>
            <w:tr w14:paraId="6651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01D8191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5B19C64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双螺杆挤出机</w:t>
                  </w:r>
                </w:p>
              </w:tc>
              <w:tc>
                <w:tcPr>
                  <w:tcW w:w="0" w:type="auto"/>
                  <w:noWrap w:val="0"/>
                  <w:vAlign w:val="center"/>
                </w:tcPr>
                <w:p w14:paraId="1C64FB5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08E5A84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0" w:type="auto"/>
                  <w:noWrap w:val="0"/>
                  <w:vAlign w:val="center"/>
                </w:tcPr>
                <w:p w14:paraId="2928172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冲片机</w:t>
                  </w:r>
                </w:p>
              </w:tc>
              <w:tc>
                <w:tcPr>
                  <w:tcW w:w="0" w:type="auto"/>
                  <w:tcBorders>
                    <w:right w:val="single" w:color="auto" w:sz="12" w:space="0"/>
                  </w:tcBorders>
                  <w:noWrap w:val="0"/>
                  <w:vAlign w:val="center"/>
                </w:tcPr>
                <w:p w14:paraId="0DD6E92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r>
            <w:tr w14:paraId="3B87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305CBF5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4F612D3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油浴加热器</w:t>
                  </w:r>
                </w:p>
              </w:tc>
              <w:tc>
                <w:tcPr>
                  <w:tcW w:w="0" w:type="auto"/>
                  <w:noWrap w:val="0"/>
                  <w:vAlign w:val="center"/>
                </w:tcPr>
                <w:p w14:paraId="63D6E1C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c>
                <w:tcPr>
                  <w:tcW w:w="0" w:type="auto"/>
                  <w:noWrap w:val="0"/>
                  <w:vAlign w:val="center"/>
                </w:tcPr>
                <w:p w14:paraId="704E1A2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0" w:type="auto"/>
                  <w:noWrap w:val="0"/>
                  <w:vAlign w:val="center"/>
                </w:tcPr>
                <w:p w14:paraId="3E1A419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磁力搅拌器</w:t>
                  </w:r>
                </w:p>
              </w:tc>
              <w:tc>
                <w:tcPr>
                  <w:tcW w:w="0" w:type="auto"/>
                  <w:tcBorders>
                    <w:right w:val="single" w:color="auto" w:sz="12" w:space="0"/>
                  </w:tcBorders>
                  <w:noWrap w:val="0"/>
                  <w:vAlign w:val="center"/>
                </w:tcPr>
                <w:p w14:paraId="0A7D012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6</w:t>
                  </w:r>
                </w:p>
              </w:tc>
            </w:tr>
            <w:tr w14:paraId="14C1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AE0BEB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41500F3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真空反应聚合釜</w:t>
                  </w:r>
                </w:p>
              </w:tc>
              <w:tc>
                <w:tcPr>
                  <w:tcW w:w="0" w:type="auto"/>
                  <w:noWrap w:val="0"/>
                  <w:vAlign w:val="center"/>
                </w:tcPr>
                <w:p w14:paraId="3CF7BAD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c>
                <w:tcPr>
                  <w:tcW w:w="0" w:type="auto"/>
                  <w:noWrap w:val="0"/>
                  <w:vAlign w:val="center"/>
                </w:tcPr>
                <w:p w14:paraId="04CA57B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0" w:type="auto"/>
                  <w:noWrap w:val="0"/>
                  <w:vAlign w:val="center"/>
                </w:tcPr>
                <w:p w14:paraId="52FAB4C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平板硫化机</w:t>
                  </w:r>
                </w:p>
              </w:tc>
              <w:tc>
                <w:tcPr>
                  <w:tcW w:w="0" w:type="auto"/>
                  <w:tcBorders>
                    <w:right w:val="single" w:color="auto" w:sz="12" w:space="0"/>
                  </w:tcBorders>
                  <w:noWrap w:val="0"/>
                  <w:vAlign w:val="center"/>
                </w:tcPr>
                <w:p w14:paraId="521EDE4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r>
            <w:tr w14:paraId="1B73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F59763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2413B0A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差示扫描量热仪</w:t>
                  </w:r>
                </w:p>
              </w:tc>
              <w:tc>
                <w:tcPr>
                  <w:tcW w:w="0" w:type="auto"/>
                  <w:noWrap w:val="0"/>
                  <w:vAlign w:val="center"/>
                </w:tcPr>
                <w:p w14:paraId="71520BE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c>
                <w:tcPr>
                  <w:tcW w:w="0" w:type="auto"/>
                  <w:noWrap w:val="0"/>
                  <w:vAlign w:val="center"/>
                </w:tcPr>
                <w:p w14:paraId="6FE490E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0" w:type="auto"/>
                  <w:noWrap w:val="0"/>
                  <w:vAlign w:val="center"/>
                </w:tcPr>
                <w:p w14:paraId="2D45978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摆锤式冲积试验机</w:t>
                  </w:r>
                </w:p>
              </w:tc>
              <w:tc>
                <w:tcPr>
                  <w:tcW w:w="0" w:type="auto"/>
                  <w:tcBorders>
                    <w:right w:val="single" w:color="auto" w:sz="12" w:space="0"/>
                  </w:tcBorders>
                  <w:noWrap w:val="0"/>
                  <w:vAlign w:val="center"/>
                </w:tcPr>
                <w:p w14:paraId="02EA12F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3FA4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04841B0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3CE0338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旋转流变仪</w:t>
                  </w:r>
                </w:p>
              </w:tc>
              <w:tc>
                <w:tcPr>
                  <w:tcW w:w="0" w:type="auto"/>
                  <w:noWrap w:val="0"/>
                  <w:vAlign w:val="center"/>
                </w:tcPr>
                <w:p w14:paraId="7F353B3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c>
                <w:tcPr>
                  <w:tcW w:w="0" w:type="auto"/>
                  <w:noWrap w:val="0"/>
                  <w:vAlign w:val="center"/>
                </w:tcPr>
                <w:p w14:paraId="1450043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0" w:type="auto"/>
                  <w:noWrap w:val="0"/>
                  <w:vAlign w:val="center"/>
                </w:tcPr>
                <w:p w14:paraId="331F42E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电子万能个材料试验机</w:t>
                  </w:r>
                </w:p>
              </w:tc>
              <w:tc>
                <w:tcPr>
                  <w:tcW w:w="0" w:type="auto"/>
                  <w:tcBorders>
                    <w:right w:val="single" w:color="auto" w:sz="12" w:space="0"/>
                  </w:tcBorders>
                  <w:noWrap w:val="0"/>
                  <w:vAlign w:val="center"/>
                </w:tcPr>
                <w:p w14:paraId="4550668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5CCB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5FD7DAE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0" w:type="auto"/>
                  <w:noWrap w:val="0"/>
                  <w:vAlign w:val="center"/>
                </w:tcPr>
                <w:p w14:paraId="6D672C0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真空干燥箱</w:t>
                  </w:r>
                </w:p>
              </w:tc>
              <w:tc>
                <w:tcPr>
                  <w:tcW w:w="0" w:type="auto"/>
                  <w:noWrap w:val="0"/>
                  <w:vAlign w:val="center"/>
                </w:tcPr>
                <w:p w14:paraId="6016F8D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c>
                <w:tcPr>
                  <w:tcW w:w="0" w:type="auto"/>
                  <w:noWrap w:val="0"/>
                  <w:vAlign w:val="center"/>
                </w:tcPr>
                <w:p w14:paraId="3C353F4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0" w:type="auto"/>
                  <w:noWrap w:val="0"/>
                  <w:vAlign w:val="center"/>
                </w:tcPr>
                <w:p w14:paraId="58817FA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拉力试验机</w:t>
                  </w:r>
                </w:p>
              </w:tc>
              <w:tc>
                <w:tcPr>
                  <w:tcW w:w="0" w:type="auto"/>
                  <w:tcBorders>
                    <w:right w:val="single" w:color="auto" w:sz="12" w:space="0"/>
                  </w:tcBorders>
                  <w:noWrap w:val="0"/>
                  <w:vAlign w:val="center"/>
                </w:tcPr>
                <w:p w14:paraId="00B5F28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cs="Times New Roman"/>
                      <w:b w:val="0"/>
                      <w:bCs w:val="0"/>
                      <w:color w:val="000000"/>
                      <w:sz w:val="21"/>
                      <w:szCs w:val="21"/>
                      <w:vertAlign w:val="baseline"/>
                      <w:lang w:val="en-US" w:eastAsia="zh-CN" w:bidi="ar-SA"/>
                    </w:rPr>
                    <w:t>1</w:t>
                  </w:r>
                </w:p>
              </w:tc>
            </w:tr>
            <w:tr w14:paraId="2470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6B2B1D9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生物降解材料合成</w:t>
                  </w:r>
                </w:p>
              </w:tc>
            </w:tr>
            <w:tr w14:paraId="0F4E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3EECB4E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626DAA3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气相色谱</w:t>
                  </w:r>
                </w:p>
              </w:tc>
              <w:tc>
                <w:tcPr>
                  <w:tcW w:w="0" w:type="auto"/>
                  <w:noWrap w:val="0"/>
                  <w:vAlign w:val="center"/>
                </w:tcPr>
                <w:p w14:paraId="1CF6682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514BC93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00DB323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真空干燥箱</w:t>
                  </w:r>
                </w:p>
              </w:tc>
              <w:tc>
                <w:tcPr>
                  <w:tcW w:w="0" w:type="auto"/>
                  <w:tcBorders>
                    <w:right w:val="single" w:color="auto" w:sz="12" w:space="0"/>
                  </w:tcBorders>
                  <w:noWrap w:val="0"/>
                  <w:vAlign w:val="center"/>
                </w:tcPr>
                <w:p w14:paraId="4868A8E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r>
            <w:tr w14:paraId="4F22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662BA9F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7C7D570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同步热分析仪</w:t>
                  </w:r>
                </w:p>
              </w:tc>
              <w:tc>
                <w:tcPr>
                  <w:tcW w:w="0" w:type="auto"/>
                  <w:noWrap w:val="0"/>
                  <w:vAlign w:val="center"/>
                </w:tcPr>
                <w:p w14:paraId="17B8927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0AC83BB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0" w:type="auto"/>
                  <w:noWrap w:val="0"/>
                  <w:vAlign w:val="center"/>
                </w:tcPr>
                <w:p w14:paraId="1F32793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材料试验机</w:t>
                  </w:r>
                </w:p>
              </w:tc>
              <w:tc>
                <w:tcPr>
                  <w:tcW w:w="0" w:type="auto"/>
                  <w:tcBorders>
                    <w:right w:val="single" w:color="auto" w:sz="12" w:space="0"/>
                  </w:tcBorders>
                  <w:noWrap w:val="0"/>
                  <w:vAlign w:val="center"/>
                </w:tcPr>
                <w:p w14:paraId="60A0C0D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765D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09A00D9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6AAD029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恒温恒湿箱</w:t>
                  </w:r>
                </w:p>
              </w:tc>
              <w:tc>
                <w:tcPr>
                  <w:tcW w:w="0" w:type="auto"/>
                  <w:noWrap w:val="0"/>
                  <w:vAlign w:val="center"/>
                </w:tcPr>
                <w:p w14:paraId="5DEAFA6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3CD0E9C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0" w:type="auto"/>
                  <w:noWrap w:val="0"/>
                  <w:vAlign w:val="center"/>
                </w:tcPr>
                <w:p w14:paraId="2653F63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电子万能材料试验机</w:t>
                  </w:r>
                </w:p>
              </w:tc>
              <w:tc>
                <w:tcPr>
                  <w:tcW w:w="0" w:type="auto"/>
                  <w:tcBorders>
                    <w:right w:val="single" w:color="auto" w:sz="12" w:space="0"/>
                  </w:tcBorders>
                  <w:noWrap w:val="0"/>
                  <w:vAlign w:val="center"/>
                </w:tcPr>
                <w:p w14:paraId="3C6ED4E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0B36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64E636F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692167B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热压机</w:t>
                  </w:r>
                </w:p>
              </w:tc>
              <w:tc>
                <w:tcPr>
                  <w:tcW w:w="0" w:type="auto"/>
                  <w:noWrap w:val="0"/>
                  <w:vAlign w:val="center"/>
                </w:tcPr>
                <w:p w14:paraId="5253B8B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1E669B5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0" w:type="auto"/>
                  <w:noWrap w:val="0"/>
                  <w:vAlign w:val="center"/>
                </w:tcPr>
                <w:p w14:paraId="42171F0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台式封闭电炉</w:t>
                  </w:r>
                </w:p>
              </w:tc>
              <w:tc>
                <w:tcPr>
                  <w:tcW w:w="0" w:type="auto"/>
                  <w:tcBorders>
                    <w:right w:val="single" w:color="auto" w:sz="12" w:space="0"/>
                  </w:tcBorders>
                  <w:noWrap w:val="0"/>
                  <w:vAlign w:val="center"/>
                </w:tcPr>
                <w:p w14:paraId="4E84130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076F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198A950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生物基原料合成</w:t>
                  </w:r>
                </w:p>
              </w:tc>
            </w:tr>
            <w:tr w14:paraId="3D7A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9D8E50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3F64CB5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气相色谱</w:t>
                  </w:r>
                </w:p>
              </w:tc>
              <w:tc>
                <w:tcPr>
                  <w:tcW w:w="0" w:type="auto"/>
                  <w:noWrap w:val="0"/>
                  <w:vAlign w:val="center"/>
                </w:tcPr>
                <w:p w14:paraId="0770333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2AD0C85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0" w:type="auto"/>
                  <w:noWrap w:val="0"/>
                  <w:vAlign w:val="center"/>
                </w:tcPr>
                <w:p w14:paraId="3CC30FD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厌氧培养箱</w:t>
                  </w:r>
                </w:p>
              </w:tc>
              <w:tc>
                <w:tcPr>
                  <w:tcW w:w="0" w:type="auto"/>
                  <w:tcBorders>
                    <w:right w:val="single" w:color="auto" w:sz="12" w:space="0"/>
                  </w:tcBorders>
                  <w:noWrap w:val="0"/>
                  <w:vAlign w:val="center"/>
                </w:tcPr>
                <w:p w14:paraId="4C751D9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6A85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5CB9FBA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7BCBFEB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冷冻离心机</w:t>
                  </w:r>
                </w:p>
              </w:tc>
              <w:tc>
                <w:tcPr>
                  <w:tcW w:w="0" w:type="auto"/>
                  <w:noWrap w:val="0"/>
                  <w:vAlign w:val="center"/>
                </w:tcPr>
                <w:p w14:paraId="3A845FC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1E74979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0" w:type="auto"/>
                  <w:noWrap w:val="0"/>
                  <w:vAlign w:val="center"/>
                </w:tcPr>
                <w:p w14:paraId="26EE76E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全自动纤维分析仪</w:t>
                  </w:r>
                </w:p>
              </w:tc>
              <w:tc>
                <w:tcPr>
                  <w:tcW w:w="0" w:type="auto"/>
                  <w:tcBorders>
                    <w:right w:val="single" w:color="auto" w:sz="12" w:space="0"/>
                  </w:tcBorders>
                  <w:noWrap w:val="0"/>
                  <w:vAlign w:val="center"/>
                </w:tcPr>
                <w:p w14:paraId="4D5FC4A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27A8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30A4E64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311E290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冷冻干燥机</w:t>
                  </w:r>
                </w:p>
              </w:tc>
              <w:tc>
                <w:tcPr>
                  <w:tcW w:w="0" w:type="auto"/>
                  <w:noWrap w:val="0"/>
                  <w:vAlign w:val="center"/>
                </w:tcPr>
                <w:p w14:paraId="7F50E51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40BDC6C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0" w:type="auto"/>
                  <w:noWrap w:val="0"/>
                  <w:vAlign w:val="center"/>
                </w:tcPr>
                <w:p w14:paraId="604CD58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立式压力蒸汽灭菌锅</w:t>
                  </w:r>
                </w:p>
              </w:tc>
              <w:tc>
                <w:tcPr>
                  <w:tcW w:w="0" w:type="auto"/>
                  <w:tcBorders>
                    <w:right w:val="single" w:color="auto" w:sz="12" w:space="0"/>
                  </w:tcBorders>
                  <w:noWrap w:val="0"/>
                  <w:vAlign w:val="center"/>
                </w:tcPr>
                <w:p w14:paraId="4989BF6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42F9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071CFB5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5ED5391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高压蒸汽灭菌锅</w:t>
                  </w:r>
                </w:p>
              </w:tc>
              <w:tc>
                <w:tcPr>
                  <w:tcW w:w="0" w:type="auto"/>
                  <w:noWrap w:val="0"/>
                  <w:vAlign w:val="center"/>
                </w:tcPr>
                <w:p w14:paraId="3204A49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74AF7AD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0" w:type="auto"/>
                  <w:noWrap w:val="0"/>
                  <w:vAlign w:val="center"/>
                </w:tcPr>
                <w:p w14:paraId="5938919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聚合酶链式反应仪</w:t>
                  </w:r>
                </w:p>
              </w:tc>
              <w:tc>
                <w:tcPr>
                  <w:tcW w:w="0" w:type="auto"/>
                  <w:tcBorders>
                    <w:right w:val="single" w:color="auto" w:sz="12" w:space="0"/>
                  </w:tcBorders>
                  <w:noWrap w:val="0"/>
                  <w:vAlign w:val="center"/>
                </w:tcPr>
                <w:p w14:paraId="1F8F431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0DCF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645385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421EBB9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搅拌发酵罐</w:t>
                  </w:r>
                </w:p>
              </w:tc>
              <w:tc>
                <w:tcPr>
                  <w:tcW w:w="0" w:type="auto"/>
                  <w:noWrap w:val="0"/>
                  <w:vAlign w:val="center"/>
                </w:tcPr>
                <w:p w14:paraId="0E37D4F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2A5773E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0" w:type="auto"/>
                  <w:noWrap w:val="0"/>
                  <w:vAlign w:val="center"/>
                </w:tcPr>
                <w:p w14:paraId="74994B5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全温摇床</w:t>
                  </w:r>
                </w:p>
              </w:tc>
              <w:tc>
                <w:tcPr>
                  <w:tcW w:w="0" w:type="auto"/>
                  <w:tcBorders>
                    <w:right w:val="single" w:color="auto" w:sz="12" w:space="0"/>
                  </w:tcBorders>
                  <w:noWrap w:val="0"/>
                  <w:vAlign w:val="center"/>
                </w:tcPr>
                <w:p w14:paraId="5147B95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0FB4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8A1552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0" w:type="auto"/>
                  <w:noWrap w:val="0"/>
                  <w:vAlign w:val="center"/>
                </w:tcPr>
                <w:p w14:paraId="6291FC5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紫外诱变箱</w:t>
                  </w:r>
                </w:p>
              </w:tc>
              <w:tc>
                <w:tcPr>
                  <w:tcW w:w="0" w:type="auto"/>
                  <w:noWrap w:val="0"/>
                  <w:vAlign w:val="center"/>
                </w:tcPr>
                <w:p w14:paraId="730E29F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7FBAC23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13</w:t>
                  </w:r>
                </w:p>
              </w:tc>
              <w:tc>
                <w:tcPr>
                  <w:tcW w:w="0" w:type="auto"/>
                  <w:noWrap w:val="0"/>
                  <w:vAlign w:val="center"/>
                </w:tcPr>
                <w:p w14:paraId="3422E31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核酸电泳槽</w:t>
                  </w:r>
                </w:p>
              </w:tc>
              <w:tc>
                <w:tcPr>
                  <w:tcW w:w="0" w:type="auto"/>
                  <w:tcBorders>
                    <w:right w:val="single" w:color="auto" w:sz="12" w:space="0"/>
                  </w:tcBorders>
                  <w:noWrap w:val="0"/>
                  <w:vAlign w:val="center"/>
                </w:tcPr>
                <w:p w14:paraId="19FECD1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r>
            <w:tr w14:paraId="46A0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260D8D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0" w:type="auto"/>
                  <w:noWrap w:val="0"/>
                  <w:vAlign w:val="center"/>
                </w:tcPr>
                <w:p w14:paraId="765AF0B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培养箱</w:t>
                  </w:r>
                </w:p>
              </w:tc>
              <w:tc>
                <w:tcPr>
                  <w:tcW w:w="0" w:type="auto"/>
                  <w:noWrap w:val="0"/>
                  <w:vAlign w:val="center"/>
                </w:tcPr>
                <w:p w14:paraId="4BB0FF4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37B8E7F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14</w:t>
                  </w:r>
                </w:p>
              </w:tc>
              <w:tc>
                <w:tcPr>
                  <w:tcW w:w="0" w:type="auto"/>
                  <w:noWrap w:val="0"/>
                  <w:vAlign w:val="center"/>
                </w:tcPr>
                <w:p w14:paraId="5B431F0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酶标仪</w:t>
                  </w:r>
                </w:p>
              </w:tc>
              <w:tc>
                <w:tcPr>
                  <w:tcW w:w="0" w:type="auto"/>
                  <w:tcBorders>
                    <w:right w:val="single" w:color="auto" w:sz="12" w:space="0"/>
                  </w:tcBorders>
                  <w:noWrap w:val="0"/>
                  <w:vAlign w:val="center"/>
                </w:tcPr>
                <w:p w14:paraId="5DE2E4A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5E4D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6F010F2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塑料改性与加工应用研究</w:t>
                  </w:r>
                </w:p>
              </w:tc>
            </w:tr>
            <w:tr w14:paraId="5A2F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8434AC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0BBCB2C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高速冷冻离心机</w:t>
                  </w:r>
                </w:p>
              </w:tc>
              <w:tc>
                <w:tcPr>
                  <w:tcW w:w="0" w:type="auto"/>
                  <w:noWrap w:val="0"/>
                  <w:vAlign w:val="center"/>
                </w:tcPr>
                <w:p w14:paraId="5F73499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75BC6B2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0" w:type="auto"/>
                  <w:noWrap w:val="0"/>
                  <w:vAlign w:val="center"/>
                </w:tcPr>
                <w:p w14:paraId="608AA56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弯曲试验机</w:t>
                  </w:r>
                </w:p>
              </w:tc>
              <w:tc>
                <w:tcPr>
                  <w:tcW w:w="0" w:type="auto"/>
                  <w:tcBorders>
                    <w:right w:val="single" w:color="auto" w:sz="12" w:space="0"/>
                  </w:tcBorders>
                  <w:noWrap w:val="0"/>
                  <w:vAlign w:val="center"/>
                </w:tcPr>
                <w:p w14:paraId="75F00E8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4BFC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6E728A4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64C82B9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双螺杆挤出机</w:t>
                  </w:r>
                </w:p>
              </w:tc>
              <w:tc>
                <w:tcPr>
                  <w:tcW w:w="0" w:type="auto"/>
                  <w:noWrap w:val="0"/>
                  <w:vAlign w:val="center"/>
                </w:tcPr>
                <w:p w14:paraId="7CAF2DA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3C371B9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0" w:type="auto"/>
                  <w:noWrap w:val="0"/>
                  <w:vAlign w:val="center"/>
                </w:tcPr>
                <w:p w14:paraId="03A30AA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冲片机</w:t>
                  </w:r>
                </w:p>
              </w:tc>
              <w:tc>
                <w:tcPr>
                  <w:tcW w:w="0" w:type="auto"/>
                  <w:tcBorders>
                    <w:right w:val="single" w:color="auto" w:sz="12" w:space="0"/>
                  </w:tcBorders>
                  <w:noWrap w:val="0"/>
                  <w:vAlign w:val="center"/>
                </w:tcPr>
                <w:p w14:paraId="4DEAB61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7F06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056EEF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54BEA96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紫外老化箱</w:t>
                  </w:r>
                </w:p>
              </w:tc>
              <w:tc>
                <w:tcPr>
                  <w:tcW w:w="0" w:type="auto"/>
                  <w:noWrap w:val="0"/>
                  <w:vAlign w:val="center"/>
                </w:tcPr>
                <w:p w14:paraId="78367F5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5F4872D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0" w:type="auto"/>
                  <w:noWrap w:val="0"/>
                  <w:vAlign w:val="center"/>
                </w:tcPr>
                <w:p w14:paraId="6FFBCC4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电子拉力试验机</w:t>
                  </w:r>
                </w:p>
              </w:tc>
              <w:tc>
                <w:tcPr>
                  <w:tcW w:w="0" w:type="auto"/>
                  <w:tcBorders>
                    <w:right w:val="single" w:color="auto" w:sz="12" w:space="0"/>
                  </w:tcBorders>
                  <w:noWrap w:val="0"/>
                  <w:vAlign w:val="center"/>
                </w:tcPr>
                <w:p w14:paraId="79816D4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0C67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626C8DF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0A3E72D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四缸全液压注塑机</w:t>
                  </w:r>
                </w:p>
              </w:tc>
              <w:tc>
                <w:tcPr>
                  <w:tcW w:w="0" w:type="auto"/>
                  <w:noWrap w:val="0"/>
                  <w:vAlign w:val="center"/>
                </w:tcPr>
                <w:p w14:paraId="2D13C04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43BB071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0" w:type="auto"/>
                  <w:noWrap w:val="0"/>
                  <w:vAlign w:val="center"/>
                </w:tcPr>
                <w:p w14:paraId="64DD5D1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切粒机</w:t>
                  </w:r>
                </w:p>
              </w:tc>
              <w:tc>
                <w:tcPr>
                  <w:tcW w:w="0" w:type="auto"/>
                  <w:tcBorders>
                    <w:right w:val="single" w:color="auto" w:sz="12" w:space="0"/>
                  </w:tcBorders>
                  <w:noWrap w:val="0"/>
                  <w:vAlign w:val="center"/>
                </w:tcPr>
                <w:p w14:paraId="76A8806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r>
            <w:tr w14:paraId="7A6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A05549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650282A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纤维预浸渍设备</w:t>
                  </w:r>
                </w:p>
              </w:tc>
              <w:tc>
                <w:tcPr>
                  <w:tcW w:w="0" w:type="auto"/>
                  <w:noWrap w:val="0"/>
                  <w:vAlign w:val="center"/>
                </w:tcPr>
                <w:p w14:paraId="71588BF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4679A52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0" w:type="auto"/>
                  <w:noWrap w:val="0"/>
                  <w:vAlign w:val="center"/>
                </w:tcPr>
                <w:p w14:paraId="54376BF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真空干燥烘箱</w:t>
                  </w:r>
                </w:p>
              </w:tc>
              <w:tc>
                <w:tcPr>
                  <w:tcW w:w="0" w:type="auto"/>
                  <w:tcBorders>
                    <w:right w:val="single" w:color="auto" w:sz="12" w:space="0"/>
                  </w:tcBorders>
                  <w:noWrap w:val="0"/>
                  <w:vAlign w:val="center"/>
                </w:tcPr>
                <w:p w14:paraId="6030A46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6B2B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5DD526A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0" w:type="auto"/>
                  <w:noWrap w:val="0"/>
                  <w:vAlign w:val="center"/>
                </w:tcPr>
                <w:p w14:paraId="50C6B3F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摆锤冲积试验机</w:t>
                  </w:r>
                </w:p>
              </w:tc>
              <w:tc>
                <w:tcPr>
                  <w:tcW w:w="0" w:type="auto"/>
                  <w:noWrap w:val="0"/>
                  <w:vAlign w:val="center"/>
                </w:tcPr>
                <w:p w14:paraId="1F9EF9F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637306F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13</w:t>
                  </w:r>
                </w:p>
              </w:tc>
              <w:tc>
                <w:tcPr>
                  <w:tcW w:w="0" w:type="auto"/>
                  <w:noWrap w:val="0"/>
                  <w:vAlign w:val="center"/>
                </w:tcPr>
                <w:p w14:paraId="70EC4A8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高速混合机</w:t>
                  </w:r>
                </w:p>
              </w:tc>
              <w:tc>
                <w:tcPr>
                  <w:tcW w:w="0" w:type="auto"/>
                  <w:tcBorders>
                    <w:right w:val="single" w:color="auto" w:sz="12" w:space="0"/>
                  </w:tcBorders>
                  <w:noWrap w:val="0"/>
                  <w:vAlign w:val="center"/>
                </w:tcPr>
                <w:p w14:paraId="4B04BC0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r>
            <w:tr w14:paraId="794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15D3E12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0" w:type="auto"/>
                  <w:noWrap w:val="0"/>
                  <w:vAlign w:val="center"/>
                </w:tcPr>
                <w:p w14:paraId="1F82696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复合式冲积试验机</w:t>
                  </w:r>
                </w:p>
              </w:tc>
              <w:tc>
                <w:tcPr>
                  <w:tcW w:w="0" w:type="auto"/>
                  <w:noWrap w:val="0"/>
                  <w:vAlign w:val="center"/>
                </w:tcPr>
                <w:p w14:paraId="51CDD4F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39B2EC4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14</w:t>
                  </w:r>
                </w:p>
              </w:tc>
              <w:tc>
                <w:tcPr>
                  <w:tcW w:w="0" w:type="auto"/>
                  <w:noWrap w:val="0"/>
                  <w:vAlign w:val="center"/>
                </w:tcPr>
                <w:p w14:paraId="47B2648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双辊密炼机</w:t>
                  </w:r>
                </w:p>
              </w:tc>
              <w:tc>
                <w:tcPr>
                  <w:tcW w:w="0" w:type="auto"/>
                  <w:tcBorders>
                    <w:right w:val="single" w:color="auto" w:sz="12" w:space="0"/>
                  </w:tcBorders>
                  <w:noWrap w:val="0"/>
                  <w:vAlign w:val="center"/>
                </w:tcPr>
                <w:p w14:paraId="611660A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0D31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1B207D5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综合测试分析中心</w:t>
                  </w:r>
                </w:p>
              </w:tc>
            </w:tr>
            <w:tr w14:paraId="202F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07FE898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5894FA6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实验工作台（配通风系统）</w:t>
                  </w:r>
                </w:p>
              </w:tc>
              <w:tc>
                <w:tcPr>
                  <w:tcW w:w="0" w:type="auto"/>
                  <w:noWrap w:val="0"/>
                  <w:vAlign w:val="center"/>
                </w:tcPr>
                <w:p w14:paraId="3418D8A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0" w:type="auto"/>
                  <w:noWrap w:val="0"/>
                  <w:vAlign w:val="center"/>
                </w:tcPr>
                <w:p w14:paraId="70774DD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5E508BE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静态水接触角测定仪</w:t>
                  </w:r>
                </w:p>
              </w:tc>
              <w:tc>
                <w:tcPr>
                  <w:tcW w:w="0" w:type="auto"/>
                  <w:tcBorders>
                    <w:right w:val="single" w:color="auto" w:sz="12" w:space="0"/>
                  </w:tcBorders>
                  <w:noWrap w:val="0"/>
                  <w:vAlign w:val="center"/>
                </w:tcPr>
                <w:p w14:paraId="3A05547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093C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15636CA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2DFD6AE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超净工作台</w:t>
                  </w:r>
                </w:p>
              </w:tc>
              <w:tc>
                <w:tcPr>
                  <w:tcW w:w="0" w:type="auto"/>
                  <w:noWrap w:val="0"/>
                  <w:vAlign w:val="center"/>
                </w:tcPr>
                <w:p w14:paraId="580995E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7728BB5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1BFA3A9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激光共焦拉曼光谱仪</w:t>
                  </w:r>
                </w:p>
              </w:tc>
              <w:tc>
                <w:tcPr>
                  <w:tcW w:w="0" w:type="auto"/>
                  <w:tcBorders>
                    <w:right w:val="single" w:color="auto" w:sz="12" w:space="0"/>
                  </w:tcBorders>
                  <w:noWrap w:val="0"/>
                  <w:vAlign w:val="center"/>
                </w:tcPr>
                <w:p w14:paraId="2367175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1D1E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038FD6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0E0341C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傅里叶变换红外光谱</w:t>
                  </w:r>
                </w:p>
              </w:tc>
              <w:tc>
                <w:tcPr>
                  <w:tcW w:w="0" w:type="auto"/>
                  <w:noWrap w:val="0"/>
                  <w:vAlign w:val="center"/>
                </w:tcPr>
                <w:p w14:paraId="23E15F4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08EE733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0" w:type="auto"/>
                  <w:noWrap w:val="0"/>
                  <w:vAlign w:val="center"/>
                </w:tcPr>
                <w:p w14:paraId="73B0B00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p>
              </w:tc>
              <w:tc>
                <w:tcPr>
                  <w:tcW w:w="0" w:type="auto"/>
                  <w:tcBorders>
                    <w:right w:val="single" w:color="auto" w:sz="12" w:space="0"/>
                  </w:tcBorders>
                  <w:noWrap w:val="0"/>
                  <w:vAlign w:val="center"/>
                </w:tcPr>
                <w:p w14:paraId="756633A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p>
              </w:tc>
            </w:tr>
            <w:tr w14:paraId="2539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5718364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聚合物结构分析与成型研究</w:t>
                  </w:r>
                </w:p>
              </w:tc>
            </w:tr>
            <w:tr w14:paraId="0E9A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E35341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2127A5F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核磁共振谱仪</w:t>
                  </w:r>
                </w:p>
              </w:tc>
              <w:tc>
                <w:tcPr>
                  <w:tcW w:w="0" w:type="auto"/>
                  <w:noWrap w:val="0"/>
                  <w:vAlign w:val="center"/>
                </w:tcPr>
                <w:p w14:paraId="02D99DA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020C825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0" w:type="auto"/>
                  <w:noWrap w:val="0"/>
                  <w:vAlign w:val="center"/>
                </w:tcPr>
                <w:p w14:paraId="047DE75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差示扫描量热仪</w:t>
                  </w:r>
                </w:p>
              </w:tc>
              <w:tc>
                <w:tcPr>
                  <w:tcW w:w="0" w:type="auto"/>
                  <w:tcBorders>
                    <w:right w:val="single" w:color="auto" w:sz="12" w:space="0"/>
                  </w:tcBorders>
                  <w:noWrap w:val="0"/>
                  <w:vAlign w:val="center"/>
                </w:tcPr>
                <w:p w14:paraId="13034B3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r>
            <w:tr w14:paraId="3372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left w:val="single" w:color="auto" w:sz="4" w:space="0"/>
                  </w:tcBorders>
                  <w:noWrap w:val="0"/>
                  <w:vAlign w:val="center"/>
                </w:tcPr>
                <w:p w14:paraId="5ABCF5C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5CD884C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场发射扫描电镜</w:t>
                  </w:r>
                </w:p>
              </w:tc>
              <w:tc>
                <w:tcPr>
                  <w:tcW w:w="0" w:type="auto"/>
                  <w:noWrap w:val="0"/>
                  <w:vAlign w:val="center"/>
                </w:tcPr>
                <w:p w14:paraId="2B9F140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5F765E1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0" w:type="auto"/>
                  <w:noWrap w:val="0"/>
                  <w:vAlign w:val="center"/>
                </w:tcPr>
                <w:p w14:paraId="479FC58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电子万能材料试验机</w:t>
                  </w:r>
                </w:p>
              </w:tc>
              <w:tc>
                <w:tcPr>
                  <w:tcW w:w="0" w:type="auto"/>
                  <w:tcBorders>
                    <w:right w:val="single" w:color="auto" w:sz="12" w:space="0"/>
                  </w:tcBorders>
                  <w:noWrap w:val="0"/>
                  <w:vAlign w:val="center"/>
                </w:tcPr>
                <w:p w14:paraId="41608F9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5F3D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486515F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29F48BC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ICP原子发射光谱仪</w:t>
                  </w:r>
                </w:p>
              </w:tc>
              <w:tc>
                <w:tcPr>
                  <w:tcW w:w="0" w:type="auto"/>
                  <w:noWrap w:val="0"/>
                  <w:vAlign w:val="center"/>
                </w:tcPr>
                <w:p w14:paraId="6C52639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189F38E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13</w:t>
                  </w:r>
                </w:p>
              </w:tc>
              <w:tc>
                <w:tcPr>
                  <w:tcW w:w="0" w:type="auto"/>
                  <w:noWrap w:val="0"/>
                  <w:vAlign w:val="center"/>
                </w:tcPr>
                <w:p w14:paraId="0DF7148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万能材料试验机</w:t>
                  </w:r>
                </w:p>
              </w:tc>
              <w:tc>
                <w:tcPr>
                  <w:tcW w:w="0" w:type="auto"/>
                  <w:tcBorders>
                    <w:right w:val="single" w:color="auto" w:sz="12" w:space="0"/>
                  </w:tcBorders>
                  <w:noWrap w:val="0"/>
                  <w:vAlign w:val="center"/>
                </w:tcPr>
                <w:p w14:paraId="3395414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1363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6F5125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50C3895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射线衍射仪</w:t>
                  </w:r>
                </w:p>
              </w:tc>
              <w:tc>
                <w:tcPr>
                  <w:tcW w:w="0" w:type="auto"/>
                  <w:noWrap w:val="0"/>
                  <w:vAlign w:val="center"/>
                </w:tcPr>
                <w:p w14:paraId="167668D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72454DB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14</w:t>
                  </w:r>
                </w:p>
              </w:tc>
              <w:tc>
                <w:tcPr>
                  <w:tcW w:w="0" w:type="auto"/>
                  <w:noWrap w:val="0"/>
                  <w:vAlign w:val="center"/>
                </w:tcPr>
                <w:p w14:paraId="3A046D4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动态热机械分析仪</w:t>
                  </w:r>
                </w:p>
              </w:tc>
              <w:tc>
                <w:tcPr>
                  <w:tcW w:w="0" w:type="auto"/>
                  <w:tcBorders>
                    <w:right w:val="single" w:color="auto" w:sz="12" w:space="0"/>
                  </w:tcBorders>
                  <w:noWrap w:val="0"/>
                  <w:vAlign w:val="center"/>
                </w:tcPr>
                <w:p w14:paraId="4895811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3FBD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0909305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46C9A5C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拉曼光谱仪</w:t>
                  </w:r>
                </w:p>
              </w:tc>
              <w:tc>
                <w:tcPr>
                  <w:tcW w:w="0" w:type="auto"/>
                  <w:noWrap w:val="0"/>
                  <w:vAlign w:val="center"/>
                </w:tcPr>
                <w:p w14:paraId="506E141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2053750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15</w:t>
                  </w:r>
                </w:p>
              </w:tc>
              <w:tc>
                <w:tcPr>
                  <w:tcW w:w="0" w:type="auto"/>
                  <w:noWrap w:val="0"/>
                  <w:vAlign w:val="center"/>
                </w:tcPr>
                <w:p w14:paraId="4C52653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全自动视频微观接触角测量仪</w:t>
                  </w:r>
                </w:p>
              </w:tc>
              <w:tc>
                <w:tcPr>
                  <w:tcW w:w="0" w:type="auto"/>
                  <w:tcBorders>
                    <w:right w:val="single" w:color="auto" w:sz="12" w:space="0"/>
                  </w:tcBorders>
                  <w:noWrap w:val="0"/>
                  <w:vAlign w:val="center"/>
                </w:tcPr>
                <w:p w14:paraId="56B7E9F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0700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32AC0FD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6</w:t>
                  </w:r>
                </w:p>
              </w:tc>
              <w:tc>
                <w:tcPr>
                  <w:tcW w:w="0" w:type="auto"/>
                  <w:noWrap w:val="0"/>
                  <w:vAlign w:val="center"/>
                </w:tcPr>
                <w:p w14:paraId="048C2FA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紫外可见近红外光谱仪</w:t>
                  </w:r>
                </w:p>
              </w:tc>
              <w:tc>
                <w:tcPr>
                  <w:tcW w:w="0" w:type="auto"/>
                  <w:noWrap w:val="0"/>
                  <w:vAlign w:val="center"/>
                </w:tcPr>
                <w:p w14:paraId="7A5D2B2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c>
                <w:tcPr>
                  <w:tcW w:w="0" w:type="auto"/>
                  <w:noWrap w:val="0"/>
                  <w:vAlign w:val="center"/>
                </w:tcPr>
                <w:p w14:paraId="5AAE2B7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16</w:t>
                  </w:r>
                </w:p>
              </w:tc>
              <w:tc>
                <w:tcPr>
                  <w:tcW w:w="0" w:type="auto"/>
                  <w:noWrap w:val="0"/>
                  <w:vAlign w:val="center"/>
                </w:tcPr>
                <w:p w14:paraId="0347281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微型双螺杆挤出机</w:t>
                  </w:r>
                </w:p>
              </w:tc>
              <w:tc>
                <w:tcPr>
                  <w:tcW w:w="0" w:type="auto"/>
                  <w:tcBorders>
                    <w:right w:val="single" w:color="auto" w:sz="12" w:space="0"/>
                  </w:tcBorders>
                  <w:noWrap w:val="0"/>
                  <w:vAlign w:val="center"/>
                </w:tcPr>
                <w:p w14:paraId="759CD1A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708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E7807F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7</w:t>
                  </w:r>
                </w:p>
              </w:tc>
              <w:tc>
                <w:tcPr>
                  <w:tcW w:w="0" w:type="auto"/>
                  <w:noWrap w:val="0"/>
                  <w:vAlign w:val="center"/>
                </w:tcPr>
                <w:p w14:paraId="19542C8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气相色谱质谱联用仪</w:t>
                  </w:r>
                </w:p>
              </w:tc>
              <w:tc>
                <w:tcPr>
                  <w:tcW w:w="0" w:type="auto"/>
                  <w:noWrap w:val="0"/>
                  <w:vAlign w:val="center"/>
                </w:tcPr>
                <w:p w14:paraId="6574099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c>
                <w:tcPr>
                  <w:tcW w:w="0" w:type="auto"/>
                  <w:noWrap w:val="0"/>
                  <w:vAlign w:val="center"/>
                </w:tcPr>
                <w:p w14:paraId="3451F06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17</w:t>
                  </w:r>
                </w:p>
              </w:tc>
              <w:tc>
                <w:tcPr>
                  <w:tcW w:w="0" w:type="auto"/>
                  <w:noWrap w:val="0"/>
                  <w:vAlign w:val="center"/>
                </w:tcPr>
                <w:p w14:paraId="3B85735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注塑机</w:t>
                  </w:r>
                </w:p>
              </w:tc>
              <w:tc>
                <w:tcPr>
                  <w:tcW w:w="0" w:type="auto"/>
                  <w:tcBorders>
                    <w:right w:val="single" w:color="auto" w:sz="12" w:space="0"/>
                  </w:tcBorders>
                  <w:noWrap w:val="0"/>
                  <w:vAlign w:val="center"/>
                </w:tcPr>
                <w:p w14:paraId="6B65580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1D5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6A76263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8</w:t>
                  </w:r>
                </w:p>
              </w:tc>
              <w:tc>
                <w:tcPr>
                  <w:tcW w:w="0" w:type="auto"/>
                  <w:noWrap w:val="0"/>
                  <w:vAlign w:val="center"/>
                </w:tcPr>
                <w:p w14:paraId="738C147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凝胶渗透色谱</w:t>
                  </w:r>
                </w:p>
              </w:tc>
              <w:tc>
                <w:tcPr>
                  <w:tcW w:w="0" w:type="auto"/>
                  <w:noWrap w:val="0"/>
                  <w:vAlign w:val="center"/>
                </w:tcPr>
                <w:p w14:paraId="53F10B2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c>
                <w:tcPr>
                  <w:tcW w:w="0" w:type="auto"/>
                  <w:noWrap w:val="0"/>
                  <w:vAlign w:val="center"/>
                </w:tcPr>
                <w:p w14:paraId="1083176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18</w:t>
                  </w:r>
                </w:p>
              </w:tc>
              <w:tc>
                <w:tcPr>
                  <w:tcW w:w="0" w:type="auto"/>
                  <w:noWrap w:val="0"/>
                  <w:vAlign w:val="center"/>
                </w:tcPr>
                <w:p w14:paraId="37374CB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低露点干燥器</w:t>
                  </w:r>
                </w:p>
              </w:tc>
              <w:tc>
                <w:tcPr>
                  <w:tcW w:w="0" w:type="auto"/>
                  <w:tcBorders>
                    <w:right w:val="single" w:color="auto" w:sz="12" w:space="0"/>
                  </w:tcBorders>
                  <w:noWrap w:val="0"/>
                  <w:vAlign w:val="center"/>
                </w:tcPr>
                <w:p w14:paraId="6F3C047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2F52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C878D4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9</w:t>
                  </w:r>
                </w:p>
              </w:tc>
              <w:tc>
                <w:tcPr>
                  <w:tcW w:w="0" w:type="auto"/>
                  <w:noWrap w:val="0"/>
                  <w:vAlign w:val="center"/>
                </w:tcPr>
                <w:p w14:paraId="5C1D578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高效液相色谱</w:t>
                  </w:r>
                </w:p>
              </w:tc>
              <w:tc>
                <w:tcPr>
                  <w:tcW w:w="0" w:type="auto"/>
                  <w:noWrap w:val="0"/>
                  <w:vAlign w:val="center"/>
                </w:tcPr>
                <w:p w14:paraId="0FF354D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c>
                <w:tcPr>
                  <w:tcW w:w="0" w:type="auto"/>
                  <w:noWrap w:val="0"/>
                  <w:vAlign w:val="center"/>
                </w:tcPr>
                <w:p w14:paraId="5BBCD3A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19</w:t>
                  </w:r>
                </w:p>
              </w:tc>
              <w:tc>
                <w:tcPr>
                  <w:tcW w:w="0" w:type="auto"/>
                  <w:noWrap w:val="0"/>
                  <w:vAlign w:val="center"/>
                </w:tcPr>
                <w:p w14:paraId="65A1352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小型综合熔融纺丝机</w:t>
                  </w:r>
                </w:p>
              </w:tc>
              <w:tc>
                <w:tcPr>
                  <w:tcW w:w="0" w:type="auto"/>
                  <w:tcBorders>
                    <w:right w:val="single" w:color="auto" w:sz="12" w:space="0"/>
                  </w:tcBorders>
                  <w:noWrap w:val="0"/>
                  <w:vAlign w:val="center"/>
                </w:tcPr>
                <w:p w14:paraId="7A9F332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7926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385FDD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10</w:t>
                  </w:r>
                </w:p>
              </w:tc>
              <w:tc>
                <w:tcPr>
                  <w:tcW w:w="0" w:type="auto"/>
                  <w:noWrap w:val="0"/>
                  <w:vAlign w:val="center"/>
                </w:tcPr>
                <w:p w14:paraId="0475E78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纳米力度与点位分析仪</w:t>
                  </w:r>
                </w:p>
              </w:tc>
              <w:tc>
                <w:tcPr>
                  <w:tcW w:w="0" w:type="auto"/>
                  <w:noWrap w:val="0"/>
                  <w:vAlign w:val="center"/>
                </w:tcPr>
                <w:p w14:paraId="6C80B2A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c>
                <w:tcPr>
                  <w:tcW w:w="0" w:type="auto"/>
                  <w:noWrap w:val="0"/>
                  <w:vAlign w:val="center"/>
                </w:tcPr>
                <w:p w14:paraId="5781300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20</w:t>
                  </w:r>
                </w:p>
              </w:tc>
              <w:tc>
                <w:tcPr>
                  <w:tcW w:w="0" w:type="auto"/>
                  <w:noWrap w:val="0"/>
                  <w:vAlign w:val="center"/>
                </w:tcPr>
                <w:p w14:paraId="754264A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试验熔融纺丝机</w:t>
                  </w:r>
                </w:p>
              </w:tc>
              <w:tc>
                <w:tcPr>
                  <w:tcW w:w="0" w:type="auto"/>
                  <w:tcBorders>
                    <w:right w:val="single" w:color="auto" w:sz="12" w:space="0"/>
                  </w:tcBorders>
                  <w:noWrap w:val="0"/>
                  <w:vAlign w:val="center"/>
                </w:tcPr>
                <w:p w14:paraId="382176A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0E90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24A3DD2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轻量化材料试验</w:t>
                  </w:r>
                </w:p>
              </w:tc>
            </w:tr>
            <w:tr w14:paraId="39FC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14A11D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7F27468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小型转矩流变仪</w:t>
                  </w:r>
                </w:p>
              </w:tc>
              <w:tc>
                <w:tcPr>
                  <w:tcW w:w="0" w:type="auto"/>
                  <w:noWrap w:val="0"/>
                  <w:vAlign w:val="center"/>
                </w:tcPr>
                <w:p w14:paraId="5A0184A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194A3E9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0" w:type="auto"/>
                  <w:noWrap w:val="0"/>
                  <w:vAlign w:val="center"/>
                </w:tcPr>
                <w:p w14:paraId="5783F60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间歇发泡釜（百毫升级）</w:t>
                  </w:r>
                </w:p>
              </w:tc>
              <w:tc>
                <w:tcPr>
                  <w:tcW w:w="0" w:type="auto"/>
                  <w:tcBorders>
                    <w:right w:val="single" w:color="auto" w:sz="12" w:space="0"/>
                  </w:tcBorders>
                  <w:noWrap w:val="0"/>
                  <w:vAlign w:val="center"/>
                </w:tcPr>
                <w:p w14:paraId="7ACDD23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3B3F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095803E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7040EAF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小型双螺杆挤出机</w:t>
                  </w:r>
                </w:p>
              </w:tc>
              <w:tc>
                <w:tcPr>
                  <w:tcW w:w="0" w:type="auto"/>
                  <w:noWrap w:val="0"/>
                  <w:vAlign w:val="center"/>
                </w:tcPr>
                <w:p w14:paraId="751D0D5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1B2DADF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0" w:type="auto"/>
                  <w:noWrap w:val="0"/>
                  <w:vAlign w:val="center"/>
                </w:tcPr>
                <w:p w14:paraId="3813AFC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超临界增压装置</w:t>
                  </w:r>
                </w:p>
              </w:tc>
              <w:tc>
                <w:tcPr>
                  <w:tcW w:w="0" w:type="auto"/>
                  <w:tcBorders>
                    <w:right w:val="single" w:color="auto" w:sz="12" w:space="0"/>
                  </w:tcBorders>
                  <w:noWrap w:val="0"/>
                  <w:vAlign w:val="center"/>
                </w:tcPr>
                <w:p w14:paraId="640829B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726B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37ECEE1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70702CD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开炼机</w:t>
                  </w:r>
                </w:p>
              </w:tc>
              <w:tc>
                <w:tcPr>
                  <w:tcW w:w="0" w:type="auto"/>
                  <w:noWrap w:val="0"/>
                  <w:vAlign w:val="center"/>
                </w:tcPr>
                <w:p w14:paraId="197F50D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1A57C81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0" w:type="auto"/>
                  <w:noWrap w:val="0"/>
                  <w:vAlign w:val="center"/>
                </w:tcPr>
                <w:p w14:paraId="1F86895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釜压发泡珠粒试验装置</w:t>
                  </w:r>
                </w:p>
              </w:tc>
              <w:tc>
                <w:tcPr>
                  <w:tcW w:w="0" w:type="auto"/>
                  <w:tcBorders>
                    <w:right w:val="single" w:color="auto" w:sz="12" w:space="0"/>
                  </w:tcBorders>
                  <w:noWrap w:val="0"/>
                  <w:vAlign w:val="center"/>
                </w:tcPr>
                <w:p w14:paraId="4FDAD5E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0BA9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FD47D5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2847772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压片机</w:t>
                  </w:r>
                </w:p>
              </w:tc>
              <w:tc>
                <w:tcPr>
                  <w:tcW w:w="0" w:type="auto"/>
                  <w:noWrap w:val="0"/>
                  <w:vAlign w:val="center"/>
                </w:tcPr>
                <w:p w14:paraId="48E847D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218D6A1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0" w:type="auto"/>
                  <w:noWrap w:val="0"/>
                  <w:vAlign w:val="center"/>
                </w:tcPr>
                <w:p w14:paraId="3C60A44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珠粒成型装置</w:t>
                  </w:r>
                </w:p>
              </w:tc>
              <w:tc>
                <w:tcPr>
                  <w:tcW w:w="0" w:type="auto"/>
                  <w:tcBorders>
                    <w:right w:val="single" w:color="auto" w:sz="12" w:space="0"/>
                  </w:tcBorders>
                  <w:noWrap w:val="0"/>
                  <w:vAlign w:val="center"/>
                </w:tcPr>
                <w:p w14:paraId="747A8C2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684D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AEDF79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2E72374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磁悬浮天平</w:t>
                  </w:r>
                </w:p>
              </w:tc>
              <w:tc>
                <w:tcPr>
                  <w:tcW w:w="0" w:type="auto"/>
                  <w:noWrap w:val="0"/>
                  <w:vAlign w:val="center"/>
                </w:tcPr>
                <w:p w14:paraId="0FFF5EA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5F0702F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0" w:type="auto"/>
                  <w:noWrap w:val="0"/>
                  <w:vAlign w:val="center"/>
                </w:tcPr>
                <w:p w14:paraId="6FB57F3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模压发泡试验装置</w:t>
                  </w:r>
                </w:p>
              </w:tc>
              <w:tc>
                <w:tcPr>
                  <w:tcW w:w="0" w:type="auto"/>
                  <w:tcBorders>
                    <w:right w:val="single" w:color="auto" w:sz="12" w:space="0"/>
                  </w:tcBorders>
                  <w:noWrap w:val="0"/>
                  <w:vAlign w:val="center"/>
                </w:tcPr>
                <w:p w14:paraId="1CE89E8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71BC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6CD1D4F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0" w:type="auto"/>
                  <w:noWrap w:val="0"/>
                  <w:vAlign w:val="center"/>
                </w:tcPr>
                <w:p w14:paraId="0168C58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万能力学试验机</w:t>
                  </w:r>
                </w:p>
              </w:tc>
              <w:tc>
                <w:tcPr>
                  <w:tcW w:w="0" w:type="auto"/>
                  <w:noWrap w:val="0"/>
                  <w:vAlign w:val="center"/>
                </w:tcPr>
                <w:p w14:paraId="47E79A7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3DDACEE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0" w:type="auto"/>
                  <w:noWrap w:val="0"/>
                  <w:vAlign w:val="center"/>
                </w:tcPr>
                <w:p w14:paraId="18FAE53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双螺杆基础发泡试验装置</w:t>
                  </w:r>
                </w:p>
              </w:tc>
              <w:tc>
                <w:tcPr>
                  <w:tcW w:w="0" w:type="auto"/>
                  <w:tcBorders>
                    <w:right w:val="single" w:color="auto" w:sz="12" w:space="0"/>
                  </w:tcBorders>
                  <w:noWrap w:val="0"/>
                  <w:vAlign w:val="center"/>
                </w:tcPr>
                <w:p w14:paraId="3A0FB3D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1270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tcBorders>
                    <w:left w:val="single" w:color="auto" w:sz="4" w:space="0"/>
                    <w:right w:val="single" w:color="auto" w:sz="12" w:space="0"/>
                  </w:tcBorders>
                  <w:noWrap w:val="0"/>
                  <w:vAlign w:val="center"/>
                </w:tcPr>
                <w:p w14:paraId="61A429C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其他小型试验设备</w:t>
                  </w:r>
                </w:p>
              </w:tc>
            </w:tr>
            <w:tr w14:paraId="2E69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114565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400C66F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饱和聚酯试验装置</w:t>
                  </w:r>
                </w:p>
              </w:tc>
              <w:tc>
                <w:tcPr>
                  <w:tcW w:w="0" w:type="auto"/>
                  <w:noWrap w:val="0"/>
                  <w:vAlign w:val="center"/>
                </w:tcPr>
                <w:p w14:paraId="7898E0C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0AA3240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0" w:type="auto"/>
                  <w:noWrap w:val="0"/>
                  <w:vAlign w:val="center"/>
                </w:tcPr>
                <w:p w14:paraId="1354626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90#吹膜机</w:t>
                  </w:r>
                </w:p>
              </w:tc>
              <w:tc>
                <w:tcPr>
                  <w:tcW w:w="0" w:type="auto"/>
                  <w:tcBorders>
                    <w:right w:val="single" w:color="auto" w:sz="12" w:space="0"/>
                  </w:tcBorders>
                  <w:noWrap w:val="0"/>
                  <w:vAlign w:val="center"/>
                </w:tcPr>
                <w:p w14:paraId="1E8593A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4BB5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4121148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0" w:type="auto"/>
                  <w:noWrap w:val="0"/>
                  <w:vAlign w:val="center"/>
                </w:tcPr>
                <w:p w14:paraId="1629AC0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50L反应釜</w:t>
                  </w:r>
                </w:p>
              </w:tc>
              <w:tc>
                <w:tcPr>
                  <w:tcW w:w="0" w:type="auto"/>
                  <w:noWrap w:val="0"/>
                  <w:vAlign w:val="center"/>
                </w:tcPr>
                <w:p w14:paraId="43CA1C2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5AB321B8">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0" w:type="auto"/>
                  <w:noWrap w:val="0"/>
                  <w:vAlign w:val="center"/>
                </w:tcPr>
                <w:p w14:paraId="4EE9A49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小吹膜机</w:t>
                  </w:r>
                </w:p>
              </w:tc>
              <w:tc>
                <w:tcPr>
                  <w:tcW w:w="0" w:type="auto"/>
                  <w:tcBorders>
                    <w:right w:val="single" w:color="auto" w:sz="12" w:space="0"/>
                  </w:tcBorders>
                  <w:noWrap w:val="0"/>
                  <w:vAlign w:val="center"/>
                </w:tcPr>
                <w:p w14:paraId="440D710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41DA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3AA3DDC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0" w:type="auto"/>
                  <w:noWrap w:val="0"/>
                  <w:vAlign w:val="center"/>
                </w:tcPr>
                <w:p w14:paraId="69929CC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10L反应釜</w:t>
                  </w:r>
                </w:p>
              </w:tc>
              <w:tc>
                <w:tcPr>
                  <w:tcW w:w="0" w:type="auto"/>
                  <w:noWrap w:val="0"/>
                  <w:vAlign w:val="center"/>
                </w:tcPr>
                <w:p w14:paraId="365B014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206BF43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0" w:type="auto"/>
                  <w:noWrap w:val="0"/>
                  <w:vAlign w:val="center"/>
                </w:tcPr>
                <w:p w14:paraId="1FE533B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制袋机</w:t>
                  </w:r>
                </w:p>
              </w:tc>
              <w:tc>
                <w:tcPr>
                  <w:tcW w:w="0" w:type="auto"/>
                  <w:tcBorders>
                    <w:right w:val="single" w:color="auto" w:sz="12" w:space="0"/>
                  </w:tcBorders>
                  <w:noWrap w:val="0"/>
                  <w:vAlign w:val="center"/>
                </w:tcPr>
                <w:p w14:paraId="63E547E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059A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71BBF1A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0" w:type="auto"/>
                  <w:noWrap w:val="0"/>
                  <w:vAlign w:val="center"/>
                </w:tcPr>
                <w:p w14:paraId="50B1A36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蒸汽发生器</w:t>
                  </w:r>
                </w:p>
              </w:tc>
              <w:tc>
                <w:tcPr>
                  <w:tcW w:w="0" w:type="auto"/>
                  <w:noWrap w:val="0"/>
                  <w:vAlign w:val="center"/>
                </w:tcPr>
                <w:p w14:paraId="77CEE2C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605994D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0" w:type="auto"/>
                  <w:noWrap w:val="0"/>
                  <w:vAlign w:val="center"/>
                </w:tcPr>
                <w:p w14:paraId="552FA6C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截料机</w:t>
                  </w:r>
                </w:p>
              </w:tc>
              <w:tc>
                <w:tcPr>
                  <w:tcW w:w="0" w:type="auto"/>
                  <w:tcBorders>
                    <w:right w:val="single" w:color="auto" w:sz="12" w:space="0"/>
                  </w:tcBorders>
                  <w:noWrap w:val="0"/>
                  <w:vAlign w:val="center"/>
                </w:tcPr>
                <w:p w14:paraId="114F38A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1</w:t>
                  </w:r>
                </w:p>
              </w:tc>
            </w:tr>
            <w:tr w14:paraId="6DAE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268ACD8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0" w:type="auto"/>
                  <w:noWrap w:val="0"/>
                  <w:vAlign w:val="center"/>
                </w:tcPr>
                <w:p w14:paraId="493E76E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AK40双螺杆挤出机</w:t>
                  </w:r>
                </w:p>
              </w:tc>
              <w:tc>
                <w:tcPr>
                  <w:tcW w:w="0" w:type="auto"/>
                  <w:noWrap w:val="0"/>
                  <w:vAlign w:val="center"/>
                </w:tcPr>
                <w:p w14:paraId="76290A0F">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6738BE8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0" w:type="auto"/>
                  <w:noWrap w:val="0"/>
                  <w:vAlign w:val="center"/>
                </w:tcPr>
                <w:p w14:paraId="2DA6059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粉碎机</w:t>
                  </w:r>
                </w:p>
              </w:tc>
              <w:tc>
                <w:tcPr>
                  <w:tcW w:w="0" w:type="auto"/>
                  <w:tcBorders>
                    <w:right w:val="single" w:color="auto" w:sz="12" w:space="0"/>
                  </w:tcBorders>
                  <w:noWrap w:val="0"/>
                  <w:vAlign w:val="center"/>
                </w:tcPr>
                <w:p w14:paraId="53C4CBD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eastAsia="宋体" w:cs="Times New Roman"/>
                      <w:b w:val="0"/>
                      <w:bCs w:val="0"/>
                      <w:color w:val="000000"/>
                      <w:sz w:val="21"/>
                      <w:szCs w:val="21"/>
                      <w:vertAlign w:val="baseline"/>
                      <w:lang w:val="en-US" w:eastAsia="zh-CN" w:bidi="ar-SA"/>
                    </w:rPr>
                  </w:pPr>
                  <w:r>
                    <w:rPr>
                      <w:rFonts w:hint="eastAsia"/>
                      <w:b w:val="0"/>
                      <w:bCs w:val="0"/>
                      <w:sz w:val="21"/>
                      <w:szCs w:val="21"/>
                      <w:vertAlign w:val="baseline"/>
                      <w:lang w:val="en-US" w:eastAsia="zh-CN"/>
                    </w:rPr>
                    <w:t>2</w:t>
                  </w:r>
                </w:p>
              </w:tc>
            </w:tr>
            <w:tr w14:paraId="4774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noWrap w:val="0"/>
                  <w:vAlign w:val="center"/>
                </w:tcPr>
                <w:p w14:paraId="4DA06B1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0" w:type="auto"/>
                  <w:noWrap w:val="0"/>
                  <w:vAlign w:val="center"/>
                </w:tcPr>
                <w:p w14:paraId="2508787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AK73双螺杆挤出机</w:t>
                  </w:r>
                </w:p>
              </w:tc>
              <w:tc>
                <w:tcPr>
                  <w:tcW w:w="0" w:type="auto"/>
                  <w:noWrap w:val="0"/>
                  <w:vAlign w:val="center"/>
                </w:tcPr>
                <w:p w14:paraId="212C505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noWrap w:val="0"/>
                  <w:vAlign w:val="center"/>
                </w:tcPr>
                <w:p w14:paraId="6C6247B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13</w:t>
                  </w:r>
                </w:p>
              </w:tc>
              <w:tc>
                <w:tcPr>
                  <w:tcW w:w="0" w:type="auto"/>
                  <w:noWrap w:val="0"/>
                  <w:vAlign w:val="center"/>
                </w:tcPr>
                <w:p w14:paraId="19D5518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地膜回收机</w:t>
                  </w:r>
                </w:p>
              </w:tc>
              <w:tc>
                <w:tcPr>
                  <w:tcW w:w="0" w:type="auto"/>
                  <w:tcBorders>
                    <w:right w:val="single" w:color="auto" w:sz="12" w:space="0"/>
                  </w:tcBorders>
                  <w:noWrap w:val="0"/>
                  <w:vAlign w:val="center"/>
                </w:tcPr>
                <w:p w14:paraId="00CAABE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r w14:paraId="689B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bottom w:val="single" w:color="auto" w:sz="12" w:space="0"/>
                  </w:tcBorders>
                  <w:noWrap w:val="0"/>
                  <w:vAlign w:val="center"/>
                </w:tcPr>
                <w:p w14:paraId="30DD015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0" w:type="auto"/>
                  <w:tcBorders>
                    <w:bottom w:val="single" w:color="auto" w:sz="12" w:space="0"/>
                  </w:tcBorders>
                  <w:noWrap w:val="0"/>
                  <w:vAlign w:val="center"/>
                </w:tcPr>
                <w:p w14:paraId="422AA65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加热烘干搅拌机</w:t>
                  </w:r>
                </w:p>
              </w:tc>
              <w:tc>
                <w:tcPr>
                  <w:tcW w:w="0" w:type="auto"/>
                  <w:tcBorders>
                    <w:bottom w:val="single" w:color="auto" w:sz="12" w:space="0"/>
                  </w:tcBorders>
                  <w:noWrap w:val="0"/>
                  <w:vAlign w:val="center"/>
                </w:tcPr>
                <w:p w14:paraId="07C1643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0" w:type="auto"/>
                  <w:tcBorders>
                    <w:bottom w:val="single" w:color="auto" w:sz="12" w:space="0"/>
                  </w:tcBorders>
                  <w:noWrap w:val="0"/>
                  <w:vAlign w:val="center"/>
                </w:tcPr>
                <w:p w14:paraId="2D90638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14</w:t>
                  </w:r>
                </w:p>
              </w:tc>
              <w:tc>
                <w:tcPr>
                  <w:tcW w:w="0" w:type="auto"/>
                  <w:tcBorders>
                    <w:bottom w:val="single" w:color="auto" w:sz="12" w:space="0"/>
                  </w:tcBorders>
                  <w:noWrap w:val="0"/>
                  <w:vAlign w:val="center"/>
                </w:tcPr>
                <w:p w14:paraId="628271A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卧轴矩台精密平面磨床</w:t>
                  </w:r>
                </w:p>
              </w:tc>
              <w:tc>
                <w:tcPr>
                  <w:tcW w:w="0" w:type="auto"/>
                  <w:tcBorders>
                    <w:bottom w:val="single" w:color="auto" w:sz="12" w:space="0"/>
                    <w:right w:val="single" w:color="auto" w:sz="12" w:space="0"/>
                  </w:tcBorders>
                  <w:noWrap w:val="0"/>
                  <w:vAlign w:val="center"/>
                </w:tcPr>
                <w:p w14:paraId="0123357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r>
          </w:tbl>
          <w:p w14:paraId="525FBB73">
            <w:pPr>
              <w:pStyle w:val="2"/>
              <w:keepNext w:val="0"/>
              <w:keepLines w:val="0"/>
              <w:pageBreakBefore w:val="0"/>
              <w:widowControl w:val="0"/>
              <w:numPr>
                <w:ilvl w:val="0"/>
                <w:numId w:val="0"/>
              </w:numPr>
              <w:kinsoku/>
              <w:wordWrap/>
              <w:overflowPunct/>
              <w:topLinePunct w:val="0"/>
              <w:bidi w:val="0"/>
              <w:spacing w:line="360" w:lineRule="auto"/>
              <w:jc w:val="both"/>
              <w:textAlignment w:val="auto"/>
              <w:rPr>
                <w:rFonts w:hint="eastAsia"/>
                <w:b/>
                <w:bCs/>
                <w:lang w:val="en-US" w:eastAsia="zh-CN"/>
              </w:rPr>
            </w:pPr>
            <w:r>
              <w:rPr>
                <w:rFonts w:hint="eastAsia"/>
                <w:b/>
                <w:bCs/>
                <w:lang w:val="en-US" w:eastAsia="zh-CN"/>
              </w:rPr>
              <w:t>五、平面布置</w:t>
            </w:r>
          </w:p>
          <w:p w14:paraId="4A5EE065">
            <w:pPr>
              <w:keepNext w:val="0"/>
              <w:keepLines w:val="0"/>
              <w:pageBreakBefore w:val="0"/>
              <w:widowControl w:val="0"/>
              <w:kinsoku/>
              <w:wordWrap/>
              <w:overflowPunct/>
              <w:topLinePunct w:val="0"/>
              <w:bidi w:val="0"/>
              <w:spacing w:line="360" w:lineRule="auto"/>
              <w:ind w:firstLine="420" w:firstLineChars="200"/>
              <w:textAlignment w:val="auto"/>
              <w:rPr>
                <w:rFonts w:hint="eastAsia"/>
                <w:color w:val="auto"/>
                <w:lang w:val="en-US" w:eastAsia="zh-CN"/>
              </w:rPr>
            </w:pPr>
            <w:r>
              <w:rPr>
                <w:rFonts w:hint="eastAsia"/>
                <w:lang w:val="en-US" w:eastAsia="zh-CN"/>
              </w:rPr>
              <w:t>本项目选址位于新疆维格瑞生物科技有限公司西侧，由西向东依次为研发楼和试验区。项目北侧为PTA、SA、ADA原</w:t>
            </w:r>
            <w:r>
              <w:rPr>
                <w:rFonts w:hint="eastAsia"/>
                <w:color w:val="auto"/>
                <w:lang w:val="en-US" w:eastAsia="zh-CN"/>
              </w:rPr>
              <w:t>料库，东侧为检维修车间，南侧为办公楼，西侧为</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color w:val="auto"/>
                <w:lang w:val="en-US" w:eastAsia="zh-CN"/>
              </w:rPr>
              <w:t>道路。研发楼为五层构筑物，一至三层平面布置见图4～图6，四层、五层平面仍在设计阶段。</w:t>
            </w:r>
          </w:p>
          <w:p w14:paraId="4A905CE1">
            <w:pPr>
              <w:pStyle w:val="2"/>
              <w:rPr>
                <w:rFonts w:hint="eastAsia"/>
                <w:color w:val="auto"/>
                <w:lang w:val="en-US" w:eastAsia="zh-CN"/>
              </w:rPr>
            </w:pPr>
          </w:p>
          <w:p w14:paraId="4A7A22F2">
            <w:pPr>
              <w:rPr>
                <w:rFonts w:hint="eastAsia"/>
                <w:color w:val="auto"/>
                <w:lang w:val="en-US" w:eastAsia="zh-CN"/>
              </w:rPr>
            </w:pPr>
          </w:p>
          <w:p w14:paraId="74B76488">
            <w:pPr>
              <w:pStyle w:val="2"/>
              <w:rPr>
                <w:rFonts w:hint="eastAsia"/>
                <w:color w:val="auto"/>
                <w:lang w:val="en-US" w:eastAsia="zh-CN"/>
              </w:rPr>
            </w:pPr>
          </w:p>
          <w:p w14:paraId="4B4D7594">
            <w:pPr>
              <w:rPr>
                <w:rFonts w:hint="eastAsia"/>
                <w:color w:val="auto"/>
                <w:lang w:val="en-US" w:eastAsia="zh-CN"/>
              </w:rPr>
            </w:pPr>
          </w:p>
          <w:p w14:paraId="6C1F1146">
            <w:pPr>
              <w:pStyle w:val="2"/>
              <w:rPr>
                <w:rFonts w:hint="eastAsia"/>
                <w:color w:val="auto"/>
                <w:lang w:val="en-US" w:eastAsia="zh-CN"/>
              </w:rPr>
            </w:pPr>
          </w:p>
          <w:p w14:paraId="484F234D">
            <w:pPr>
              <w:rPr>
                <w:rFonts w:hint="eastAsia"/>
                <w:color w:val="auto"/>
                <w:lang w:val="en-US" w:eastAsia="zh-CN"/>
              </w:rPr>
            </w:pPr>
          </w:p>
          <w:p w14:paraId="2A7523D0">
            <w:pPr>
              <w:pStyle w:val="2"/>
              <w:rPr>
                <w:rFonts w:hint="eastAsia"/>
                <w:color w:val="auto"/>
                <w:lang w:val="en-US" w:eastAsia="zh-CN"/>
              </w:rPr>
            </w:pPr>
          </w:p>
          <w:p w14:paraId="55210F5F">
            <w:pPr>
              <w:rPr>
                <w:rFonts w:hint="eastAsia"/>
                <w:color w:val="auto"/>
                <w:lang w:val="en-US" w:eastAsia="zh-CN"/>
              </w:rPr>
            </w:pPr>
          </w:p>
          <w:p w14:paraId="116EAA3A">
            <w:pPr>
              <w:pStyle w:val="2"/>
              <w:rPr>
                <w:rFonts w:hint="eastAsia"/>
                <w:color w:val="auto"/>
                <w:lang w:val="en-US" w:eastAsia="zh-CN"/>
              </w:rPr>
            </w:pPr>
          </w:p>
          <w:p w14:paraId="3F901D33">
            <w:pPr>
              <w:rPr>
                <w:rFonts w:hint="eastAsia"/>
                <w:color w:val="auto"/>
                <w:lang w:val="en-US" w:eastAsia="zh-CN"/>
              </w:rPr>
            </w:pPr>
          </w:p>
          <w:p w14:paraId="58047FDC">
            <w:pPr>
              <w:pStyle w:val="2"/>
              <w:rPr>
                <w:rFonts w:hint="eastAsia"/>
                <w:color w:val="auto"/>
                <w:lang w:val="en-US" w:eastAsia="zh-CN"/>
              </w:rPr>
            </w:pPr>
          </w:p>
          <w:p w14:paraId="6324F7BC">
            <w:pPr>
              <w:rPr>
                <w:rFonts w:hint="eastAsia"/>
                <w:color w:val="auto"/>
                <w:lang w:val="en-US" w:eastAsia="zh-CN"/>
              </w:rPr>
            </w:pPr>
          </w:p>
          <w:p w14:paraId="7AA23307">
            <w:pPr>
              <w:pStyle w:val="2"/>
              <w:rPr>
                <w:rFonts w:hint="eastAsia"/>
                <w:color w:val="auto"/>
                <w:lang w:val="en-US" w:eastAsia="zh-CN"/>
              </w:rPr>
            </w:pPr>
          </w:p>
          <w:p w14:paraId="533F0DE7">
            <w:pPr>
              <w:rPr>
                <w:rFonts w:hint="eastAsia"/>
                <w:color w:val="auto"/>
                <w:lang w:val="en-US" w:eastAsia="zh-CN"/>
              </w:rPr>
            </w:pPr>
          </w:p>
          <w:p w14:paraId="131893B3">
            <w:pPr>
              <w:pStyle w:val="2"/>
              <w:rPr>
                <w:rFonts w:hint="eastAsia"/>
                <w:color w:val="auto"/>
                <w:lang w:val="en-US" w:eastAsia="zh-CN"/>
              </w:rPr>
            </w:pPr>
          </w:p>
          <w:p w14:paraId="771FDB0E">
            <w:pPr>
              <w:rPr>
                <w:rFonts w:hint="eastAsia"/>
                <w:color w:val="auto"/>
                <w:lang w:val="en-US" w:eastAsia="zh-CN"/>
              </w:rPr>
            </w:pPr>
          </w:p>
          <w:p w14:paraId="118EEAEC">
            <w:pPr>
              <w:pStyle w:val="2"/>
              <w:rPr>
                <w:rFonts w:hint="eastAsia"/>
                <w:color w:val="auto"/>
                <w:lang w:val="en-US" w:eastAsia="zh-CN"/>
              </w:rPr>
            </w:pPr>
          </w:p>
          <w:p w14:paraId="15AA92CC">
            <w:pPr>
              <w:rPr>
                <w:rFonts w:hint="eastAsia"/>
                <w:color w:val="auto"/>
                <w:lang w:val="en-US" w:eastAsia="zh-CN"/>
              </w:rPr>
            </w:pPr>
          </w:p>
          <w:p w14:paraId="17F0EBDA">
            <w:pPr>
              <w:pStyle w:val="2"/>
              <w:rPr>
                <w:rFonts w:hint="eastAsia"/>
                <w:color w:val="auto"/>
                <w:lang w:val="en-US" w:eastAsia="zh-CN"/>
              </w:rPr>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815340</wp:posOffset>
                  </wp:positionH>
                  <wp:positionV relativeFrom="paragraph">
                    <wp:posOffset>118110</wp:posOffset>
                  </wp:positionV>
                  <wp:extent cx="3377565" cy="3239770"/>
                  <wp:effectExtent l="0" t="0" r="5715" b="6350"/>
                  <wp:wrapTopAndBottom/>
                  <wp:docPr id="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56"/>
                          <pic:cNvPicPr>
                            <a:picLocks noChangeAspect="1"/>
                          </pic:cNvPicPr>
                        </pic:nvPicPr>
                        <pic:blipFill>
                          <a:blip r:embed="rId8"/>
                          <a:stretch>
                            <a:fillRect/>
                          </a:stretch>
                        </pic:blipFill>
                        <pic:spPr>
                          <a:xfrm>
                            <a:off x="0" y="0"/>
                            <a:ext cx="3377565" cy="3239770"/>
                          </a:xfrm>
                          <a:prstGeom prst="rect">
                            <a:avLst/>
                          </a:prstGeom>
                          <a:noFill/>
                          <a:ln>
                            <a:noFill/>
                          </a:ln>
                        </pic:spPr>
                      </pic:pic>
                    </a:graphicData>
                  </a:graphic>
                </wp:anchor>
              </w:drawing>
            </w:r>
          </w:p>
          <w:p w14:paraId="2D786FA7">
            <w:pPr>
              <w:keepNext w:val="0"/>
              <w:keepLines w:val="0"/>
              <w:pageBreakBefore w:val="0"/>
              <w:widowControl w:val="0"/>
              <w:kinsoku/>
              <w:wordWrap/>
              <w:overflowPunct/>
              <w:topLinePunct w:val="0"/>
              <w:bidi w:val="0"/>
              <w:spacing w:line="360" w:lineRule="auto"/>
              <w:ind w:firstLine="422" w:firstLineChars="200"/>
              <w:jc w:val="center"/>
              <w:textAlignment w:val="auto"/>
              <w:rPr>
                <w:rFonts w:hint="default" w:ascii="黑体" w:hAnsi="黑体" w:eastAsia="宋体" w:cs="Times New Roman"/>
                <w:b/>
                <w:color w:val="auto"/>
                <w:kern w:val="0"/>
                <w:sz w:val="21"/>
                <w:szCs w:val="20"/>
                <w:lang w:val="en-US" w:eastAsia="zh-CN" w:bidi="ar-SA"/>
              </w:rPr>
            </w:pPr>
            <w:r>
              <w:rPr>
                <w:rFonts w:hint="eastAsia" w:ascii="黑体" w:hAnsi="黑体" w:eastAsia="宋体" w:cs="Times New Roman"/>
                <w:b/>
                <w:color w:val="auto"/>
                <w:kern w:val="0"/>
                <w:sz w:val="21"/>
                <w:szCs w:val="20"/>
                <w:lang w:val="en-US" w:eastAsia="zh-CN" w:bidi="ar-SA"/>
              </w:rPr>
              <w:t>图</w:t>
            </w:r>
            <w:r>
              <w:rPr>
                <w:rFonts w:hint="eastAsia" w:ascii="黑体" w:hAnsi="黑体" w:cs="Times New Roman"/>
                <w:b/>
                <w:color w:val="auto"/>
                <w:kern w:val="0"/>
                <w:sz w:val="21"/>
                <w:szCs w:val="20"/>
                <w:lang w:val="en-US" w:eastAsia="zh-CN" w:bidi="ar-SA"/>
              </w:rPr>
              <w:t>4</w:t>
            </w:r>
            <w:r>
              <w:rPr>
                <w:rFonts w:hint="eastAsia" w:ascii="黑体" w:hAnsi="黑体" w:eastAsia="宋体" w:cs="Times New Roman"/>
                <w:b/>
                <w:color w:val="auto"/>
                <w:kern w:val="0"/>
                <w:sz w:val="21"/>
                <w:szCs w:val="20"/>
                <w:lang w:val="en-US" w:eastAsia="zh-CN" w:bidi="ar-SA"/>
              </w:rPr>
              <w:t xml:space="preserve">  研发楼一楼布局示意图</w:t>
            </w:r>
          </w:p>
          <w:p w14:paraId="2F607A95">
            <w:pPr>
              <w:rPr>
                <w:rFonts w:hint="eastAsia"/>
                <w:color w:val="auto"/>
                <w:lang w:val="en-US" w:eastAsia="zh-CN"/>
              </w:rPr>
            </w:pPr>
          </w:p>
          <w:p w14:paraId="5EA2FC38">
            <w:pPr>
              <w:pStyle w:val="2"/>
              <w:rPr>
                <w:rFonts w:hint="eastAsia"/>
                <w:color w:val="auto"/>
                <w:lang w:val="en-US" w:eastAsia="zh-CN"/>
              </w:rPr>
            </w:pPr>
            <w:r>
              <w:rPr>
                <w:rFonts w:hint="eastAsia" w:ascii="黑体" w:hAnsi="黑体" w:eastAsia="宋体" w:cs="Times New Roman"/>
                <w:b/>
                <w:color w:val="auto"/>
                <w:kern w:val="0"/>
                <w:sz w:val="21"/>
                <w:szCs w:val="20"/>
                <w:lang w:val="en-US" w:eastAsia="zh-CN" w:bidi="ar-SA"/>
              </w:rPr>
              <w:t>图</w:t>
            </w:r>
            <w:r>
              <w:rPr>
                <w:rFonts w:hint="eastAsia" w:ascii="黑体" w:hAnsi="黑体" w:cs="Times New Roman"/>
                <w:b/>
                <w:color w:val="auto"/>
                <w:kern w:val="0"/>
                <w:sz w:val="21"/>
                <w:szCs w:val="20"/>
                <w:lang w:val="en-US" w:eastAsia="zh-CN" w:bidi="ar-SA"/>
              </w:rPr>
              <w:t>5</w:t>
            </w:r>
            <w:r>
              <w:rPr>
                <w:rFonts w:hint="eastAsia" w:ascii="黑体" w:hAnsi="黑体" w:eastAsia="宋体" w:cs="Times New Roman"/>
                <w:b/>
                <w:color w:val="auto"/>
                <w:kern w:val="0"/>
                <w:sz w:val="21"/>
                <w:szCs w:val="20"/>
                <w:lang w:val="en-US" w:eastAsia="zh-CN" w:bidi="ar-SA"/>
              </w:rPr>
              <w:t xml:space="preserve">  研发楼二楼布局示意图</w:t>
            </w: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822960</wp:posOffset>
                  </wp:positionH>
                  <wp:positionV relativeFrom="page">
                    <wp:posOffset>4015105</wp:posOffset>
                  </wp:positionV>
                  <wp:extent cx="3389630" cy="3239770"/>
                  <wp:effectExtent l="0" t="0" r="8890" b="6350"/>
                  <wp:wrapTopAndBottom/>
                  <wp:docPr id="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IMG_256"/>
                          <pic:cNvPicPr>
                            <a:picLocks noChangeAspect="1"/>
                          </pic:cNvPicPr>
                        </pic:nvPicPr>
                        <pic:blipFill>
                          <a:blip r:embed="rId9"/>
                          <a:stretch>
                            <a:fillRect/>
                          </a:stretch>
                        </pic:blipFill>
                        <pic:spPr>
                          <a:xfrm>
                            <a:off x="0" y="0"/>
                            <a:ext cx="3389630" cy="3239770"/>
                          </a:xfrm>
                          <a:prstGeom prst="rect">
                            <a:avLst/>
                          </a:prstGeom>
                          <a:noFill/>
                          <a:ln>
                            <a:noFill/>
                          </a:ln>
                        </pic:spPr>
                      </pic:pic>
                    </a:graphicData>
                  </a:graphic>
                </wp:anchor>
              </w:drawing>
            </w:r>
          </w:p>
          <w:p w14:paraId="3C20E4A5">
            <w:pPr>
              <w:rPr>
                <w:rFonts w:hint="eastAsia"/>
                <w:color w:val="auto"/>
                <w:lang w:val="en-US" w:eastAsia="zh-CN"/>
              </w:rPr>
            </w:pPr>
          </w:p>
          <w:p w14:paraId="16840238">
            <w:pPr>
              <w:pStyle w:val="2"/>
              <w:rPr>
                <w:rFonts w:hint="eastAsia"/>
                <w:color w:val="auto"/>
                <w:lang w:val="en-US" w:eastAsia="zh-CN"/>
              </w:rPr>
            </w:pPr>
          </w:p>
          <w:p w14:paraId="5269ABDE">
            <w:pPr>
              <w:rPr>
                <w:rFonts w:hint="eastAsia"/>
                <w:color w:val="auto"/>
                <w:lang w:val="en-US" w:eastAsia="zh-CN"/>
              </w:rPr>
            </w:pPr>
          </w:p>
          <w:p w14:paraId="1AB61A80">
            <w:pPr>
              <w:pStyle w:val="2"/>
              <w:rPr>
                <w:rFonts w:hint="eastAsia"/>
                <w:color w:val="auto"/>
                <w:lang w:val="en-US" w:eastAsia="zh-CN"/>
              </w:rPr>
            </w:pPr>
          </w:p>
          <w:p w14:paraId="49A0D7BF">
            <w:pPr>
              <w:rPr>
                <w:rFonts w:hint="eastAsia"/>
                <w:color w:val="auto"/>
                <w:lang w:val="en-US" w:eastAsia="zh-CN"/>
              </w:rPr>
            </w:pPr>
          </w:p>
          <w:p w14:paraId="6D98FE9D">
            <w:pPr>
              <w:pStyle w:val="2"/>
              <w:rPr>
                <w:rFonts w:hint="eastAsia"/>
                <w:color w:val="auto"/>
                <w:lang w:val="en-US" w:eastAsia="zh-CN"/>
              </w:rPr>
            </w:pPr>
          </w:p>
          <w:p w14:paraId="455DC1EC">
            <w:r>
              <w:rPr>
                <w:rFonts w:ascii="宋体" w:hAnsi="宋体" w:eastAsia="宋体" w:cs="宋体"/>
                <w:kern w:val="0"/>
                <w:sz w:val="24"/>
                <w:szCs w:val="24"/>
                <w:lang w:val="en-US" w:eastAsia="zh-CN" w:bidi="ar"/>
              </w:rPr>
              <w:drawing>
                <wp:anchor distT="0" distB="0" distL="114300" distR="114300" simplePos="0" relativeHeight="251661312" behindDoc="0" locked="0" layoutInCell="1" allowOverlap="1">
                  <wp:simplePos x="0" y="0"/>
                  <wp:positionH relativeFrom="column">
                    <wp:posOffset>828675</wp:posOffset>
                  </wp:positionH>
                  <wp:positionV relativeFrom="page">
                    <wp:posOffset>139700</wp:posOffset>
                  </wp:positionV>
                  <wp:extent cx="3382010" cy="3239770"/>
                  <wp:effectExtent l="0" t="0" r="1270" b="6350"/>
                  <wp:wrapTopAndBottom/>
                  <wp:docPr id="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IMG_256"/>
                          <pic:cNvPicPr>
                            <a:picLocks noChangeAspect="1"/>
                          </pic:cNvPicPr>
                        </pic:nvPicPr>
                        <pic:blipFill>
                          <a:blip r:embed="rId10"/>
                          <a:stretch>
                            <a:fillRect/>
                          </a:stretch>
                        </pic:blipFill>
                        <pic:spPr>
                          <a:xfrm>
                            <a:off x="0" y="0"/>
                            <a:ext cx="3382010" cy="3239770"/>
                          </a:xfrm>
                          <a:prstGeom prst="rect">
                            <a:avLst/>
                          </a:prstGeom>
                          <a:noFill/>
                          <a:ln>
                            <a:noFill/>
                          </a:ln>
                        </pic:spPr>
                      </pic:pic>
                    </a:graphicData>
                  </a:graphic>
                </wp:anchor>
              </w:drawing>
            </w:r>
          </w:p>
          <w:p w14:paraId="020B475C">
            <w:pPr>
              <w:keepNext w:val="0"/>
              <w:keepLines w:val="0"/>
              <w:pageBreakBefore w:val="0"/>
              <w:widowControl w:val="0"/>
              <w:kinsoku/>
              <w:wordWrap/>
              <w:overflowPunct/>
              <w:topLinePunct w:val="0"/>
              <w:bidi w:val="0"/>
              <w:spacing w:line="360" w:lineRule="auto"/>
              <w:ind w:firstLine="422" w:firstLineChars="200"/>
              <w:jc w:val="center"/>
              <w:textAlignment w:val="auto"/>
              <w:rPr>
                <w:rFonts w:hint="eastAsia" w:ascii="Times New Roman" w:hAnsi="Times New Roman" w:eastAsia="宋体" w:cs="Times New Roman"/>
                <w:lang w:val="en-US" w:eastAsia="zh-CN"/>
              </w:rPr>
            </w:pPr>
            <w:r>
              <w:rPr>
                <w:rFonts w:hint="eastAsia" w:ascii="黑体" w:hAnsi="黑体" w:eastAsia="宋体" w:cs="Times New Roman"/>
                <w:b/>
                <w:color w:val="auto"/>
                <w:kern w:val="0"/>
                <w:sz w:val="21"/>
                <w:szCs w:val="20"/>
                <w:lang w:val="en-US" w:eastAsia="zh-CN" w:bidi="ar-SA"/>
              </w:rPr>
              <w:t>图</w:t>
            </w:r>
            <w:r>
              <w:rPr>
                <w:rFonts w:hint="eastAsia" w:ascii="黑体" w:hAnsi="黑体" w:cs="Times New Roman"/>
                <w:b/>
                <w:color w:val="auto"/>
                <w:kern w:val="0"/>
                <w:sz w:val="21"/>
                <w:szCs w:val="20"/>
                <w:lang w:val="en-US" w:eastAsia="zh-CN" w:bidi="ar-SA"/>
              </w:rPr>
              <w:t>6</w:t>
            </w:r>
            <w:r>
              <w:rPr>
                <w:rFonts w:hint="eastAsia" w:ascii="黑体" w:hAnsi="黑体" w:eastAsia="宋体" w:cs="Times New Roman"/>
                <w:b/>
                <w:color w:val="auto"/>
                <w:kern w:val="0"/>
                <w:sz w:val="21"/>
                <w:szCs w:val="20"/>
                <w:lang w:val="en-US" w:eastAsia="zh-CN" w:bidi="ar-SA"/>
              </w:rPr>
              <w:t xml:space="preserve">  研发楼三楼布局示意图</w:t>
            </w:r>
          </w:p>
          <w:p w14:paraId="44984958">
            <w:pPr>
              <w:keepNext w:val="0"/>
              <w:keepLines w:val="0"/>
              <w:pageBreakBefore w:val="0"/>
              <w:widowControl w:val="0"/>
              <w:kinsoku/>
              <w:wordWrap/>
              <w:overflowPunct/>
              <w:topLinePunct w:val="0"/>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试验区为一单层构筑物，主要分为五块区域，包括：改性制品区、改性试</w:t>
            </w:r>
            <w:r>
              <w:rPr>
                <w:rFonts w:hint="eastAsia" w:ascii="Times New Roman" w:hAnsi="Times New Roman" w:eastAsia="宋体" w:cs="Times New Roman"/>
                <w:color w:val="auto"/>
                <w:lang w:val="en-US" w:eastAsia="zh-CN"/>
              </w:rPr>
              <w:t>验区、聚酯测试区、改性</w:t>
            </w:r>
            <w:r>
              <w:rPr>
                <w:rFonts w:hint="eastAsia" w:ascii="Times New Roman" w:hAnsi="Times New Roman" w:eastAsia="宋体" w:cs="Times New Roman"/>
                <w:lang w:val="en-US" w:eastAsia="zh-CN"/>
              </w:rPr>
              <w:t>测试区和材料库房。试验区内布局示意图见图</w:t>
            </w:r>
            <w:r>
              <w:rPr>
                <w:rFonts w:hint="eastAsia" w:cs="Times New Roman"/>
                <w:lang w:val="en-US" w:eastAsia="zh-CN"/>
              </w:rPr>
              <w:t>7</w:t>
            </w:r>
            <w:r>
              <w:rPr>
                <w:rFonts w:hint="eastAsia" w:ascii="Times New Roman" w:hAnsi="Times New Roman" w:eastAsia="宋体" w:cs="Times New Roman"/>
                <w:lang w:val="en-US" w:eastAsia="zh-CN"/>
              </w:rPr>
              <w:t>。</w:t>
            </w:r>
          </w:p>
          <w:p w14:paraId="1571B626">
            <w:pPr>
              <w:keepNext w:val="0"/>
              <w:keepLines w:val="0"/>
              <w:pageBreakBefore w:val="0"/>
              <w:widowControl w:val="0"/>
              <w:kinsoku/>
              <w:wordWrap/>
              <w:overflowPunct/>
              <w:topLinePunct w:val="0"/>
              <w:bidi w:val="0"/>
              <w:spacing w:line="360" w:lineRule="auto"/>
              <w:ind w:firstLine="422" w:firstLineChars="200"/>
              <w:jc w:val="center"/>
              <w:textAlignment w:val="auto"/>
              <w:rPr>
                <w:rFonts w:hint="eastAsia" w:ascii="黑体" w:hAnsi="黑体" w:eastAsia="宋体" w:cs="Times New Roman"/>
                <w:b/>
                <w:color w:val="auto"/>
                <w:kern w:val="0"/>
                <w:sz w:val="21"/>
                <w:szCs w:val="20"/>
                <w:lang w:val="en-US" w:eastAsia="zh-CN" w:bidi="ar-SA"/>
              </w:rPr>
            </w:pPr>
            <w:r>
              <w:rPr>
                <w:rFonts w:hint="eastAsia" w:ascii="黑体" w:hAnsi="黑体" w:eastAsia="宋体" w:cs="Times New Roman"/>
                <w:b/>
                <w:color w:val="auto"/>
                <w:kern w:val="0"/>
                <w:sz w:val="21"/>
                <w:szCs w:val="20"/>
                <w:lang w:val="en-US" w:eastAsia="zh-CN" w:bidi="ar-SA"/>
              </w:rPr>
              <w:drawing>
                <wp:anchor distT="0" distB="0" distL="114300" distR="114300" simplePos="0" relativeHeight="251665408" behindDoc="0" locked="0" layoutInCell="1" allowOverlap="1">
                  <wp:simplePos x="0" y="0"/>
                  <wp:positionH relativeFrom="column">
                    <wp:posOffset>1113155</wp:posOffset>
                  </wp:positionH>
                  <wp:positionV relativeFrom="paragraph">
                    <wp:posOffset>90170</wp:posOffset>
                  </wp:positionV>
                  <wp:extent cx="3232785" cy="3585845"/>
                  <wp:effectExtent l="0" t="0" r="13335" b="10795"/>
                  <wp:wrapTopAndBottom/>
                  <wp:docPr id="7" name="图片 24" descr="试验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descr="试验区"/>
                          <pic:cNvPicPr>
                            <a:picLocks noChangeAspect="1"/>
                          </pic:cNvPicPr>
                        </pic:nvPicPr>
                        <pic:blipFill>
                          <a:blip r:embed="rId11"/>
                          <a:stretch>
                            <a:fillRect/>
                          </a:stretch>
                        </pic:blipFill>
                        <pic:spPr>
                          <a:xfrm>
                            <a:off x="0" y="0"/>
                            <a:ext cx="3232785" cy="3585845"/>
                          </a:xfrm>
                          <a:prstGeom prst="rect">
                            <a:avLst/>
                          </a:prstGeom>
                          <a:noFill/>
                          <a:ln>
                            <a:noFill/>
                          </a:ln>
                        </pic:spPr>
                      </pic:pic>
                    </a:graphicData>
                  </a:graphic>
                </wp:anchor>
              </w:drawing>
            </w:r>
          </w:p>
          <w:p w14:paraId="304E9F76">
            <w:pPr>
              <w:keepNext w:val="0"/>
              <w:keepLines w:val="0"/>
              <w:pageBreakBefore w:val="0"/>
              <w:widowControl w:val="0"/>
              <w:kinsoku/>
              <w:wordWrap/>
              <w:overflowPunct/>
              <w:topLinePunct w:val="0"/>
              <w:bidi w:val="0"/>
              <w:spacing w:line="360" w:lineRule="auto"/>
              <w:ind w:firstLine="422" w:firstLineChars="200"/>
              <w:jc w:val="center"/>
              <w:textAlignment w:val="auto"/>
              <w:rPr>
                <w:rFonts w:hint="eastAsia"/>
                <w:lang w:val="en-US" w:eastAsia="zh-CN"/>
              </w:rPr>
            </w:pPr>
            <w:r>
              <w:rPr>
                <w:rFonts w:hint="eastAsia" w:ascii="黑体" w:hAnsi="黑体" w:eastAsia="宋体" w:cs="Times New Roman"/>
                <w:b/>
                <w:color w:val="auto"/>
                <w:kern w:val="0"/>
                <w:sz w:val="21"/>
                <w:szCs w:val="20"/>
                <w:lang w:val="en-US" w:eastAsia="zh-CN" w:bidi="ar-SA"/>
              </w:rPr>
              <w:t>图</w:t>
            </w:r>
            <w:r>
              <w:rPr>
                <w:rFonts w:hint="eastAsia" w:ascii="黑体" w:hAnsi="黑体" w:cs="Times New Roman"/>
                <w:b/>
                <w:color w:val="auto"/>
                <w:kern w:val="0"/>
                <w:sz w:val="21"/>
                <w:szCs w:val="20"/>
                <w:lang w:val="en-US" w:eastAsia="zh-CN" w:bidi="ar-SA"/>
              </w:rPr>
              <w:t>7</w:t>
            </w:r>
            <w:r>
              <w:rPr>
                <w:rFonts w:hint="eastAsia" w:ascii="黑体" w:hAnsi="黑体" w:eastAsia="宋体" w:cs="Times New Roman"/>
                <w:b/>
                <w:color w:val="auto"/>
                <w:kern w:val="0"/>
                <w:sz w:val="21"/>
                <w:szCs w:val="20"/>
                <w:lang w:val="en-US" w:eastAsia="zh-CN" w:bidi="ar-SA"/>
              </w:rPr>
              <w:t xml:space="preserve">  试验区内部布局示意图</w:t>
            </w:r>
          </w:p>
        </w:tc>
      </w:tr>
      <w:tr w14:paraId="24F9F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1" w:hRule="atLeast"/>
          <w:jc w:val="center"/>
        </w:trPr>
        <w:tc>
          <w:tcPr>
            <w:tcW w:w="823" w:type="dxa"/>
            <w:noWrap w:val="0"/>
            <w:vAlign w:val="center"/>
          </w:tcPr>
          <w:p w14:paraId="3BC4B47E">
            <w:pPr>
              <w:pStyle w:val="14"/>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8161" w:type="dxa"/>
            <w:noWrap w:val="0"/>
            <w:vAlign w:val="top"/>
          </w:tcPr>
          <w:p w14:paraId="5A3A1591">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lang w:eastAsia="zh-CN"/>
              </w:rPr>
            </w:pPr>
            <w:r>
              <w:rPr>
                <w:rFonts w:hint="eastAsia"/>
                <w:lang w:eastAsia="zh-CN"/>
              </w:rPr>
              <w:t>一、试验流程</w:t>
            </w:r>
          </w:p>
          <w:p w14:paraId="0968C2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研发楼</w:t>
            </w:r>
          </w:p>
          <w:p w14:paraId="78F40A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本项目研发楼主要负责材料的</w:t>
            </w:r>
            <w:r>
              <w:rPr>
                <w:rFonts w:hint="eastAsia"/>
                <w:lang w:val="en-US" w:eastAsia="zh-CN"/>
              </w:rPr>
              <w:t>研发</w:t>
            </w:r>
            <w:r>
              <w:rPr>
                <w:rFonts w:hint="eastAsia"/>
                <w:lang w:eastAsia="zh-CN"/>
              </w:rPr>
              <w:t>，设置功能主要包括：特种聚酯合成实验室、热塑性弹性体合成实验室、生物降解材料合成实验室、生物基原料合成实验室、轻量化材料发泡实验室、纺织材料实验室（纺丝）、材料改性与加工应用研究实验室、综合测试分析中心等。试验区主要进行产品的性能测试</w:t>
            </w:r>
            <w:r>
              <w:rPr>
                <w:rFonts w:hint="eastAsia"/>
                <w:lang w:val="en-US" w:eastAsia="zh-CN"/>
              </w:rPr>
              <w:t>和试制作</w:t>
            </w:r>
            <w:r>
              <w:rPr>
                <w:rFonts w:hint="eastAsia"/>
                <w:lang w:eastAsia="zh-CN"/>
              </w:rPr>
              <w:t>。</w:t>
            </w:r>
          </w:p>
          <w:p w14:paraId="545D2A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研发楼各项试验种类较多，本次评价列举部分典型试验的原理：</w:t>
            </w:r>
          </w:p>
          <w:p w14:paraId="719F9F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①聚酯合成试验</w:t>
            </w:r>
          </w:p>
          <w:p w14:paraId="13482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聚酯合成试验的原理是利用单体的官能团间的相互反应，单体间相互形成二聚体、三聚体，最终生成高聚物。通过调整反应条件，了解缩聚反应的特点以及影响反应的各种因素，确定原辅材料的配比参数，从而控制可以得到质量优良的聚酯产品。</w:t>
            </w:r>
          </w:p>
          <w:p w14:paraId="4C1533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②热塑弹性体试验</w:t>
            </w:r>
          </w:p>
          <w:p w14:paraId="0F8519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优良的热塑弹性体具备高弹性、耐老化、耐油、加工方便等优异性能。通常采用在一定温度下通过注塑、挤出、吹塑等过程进行。通过试验不同材料，温度，助剂的比例，控制热塑弹性体的改性过程，记录其性能特性区间和试验参数。</w:t>
            </w:r>
          </w:p>
          <w:p w14:paraId="321618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③生物降解材料试验</w:t>
            </w:r>
          </w:p>
          <w:p w14:paraId="7327E0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塑料的生物降解性能常用的测试方法包括可视化观察、质量损失、力学性能和分子量的变化、CO释放量/氧气吸收量测试等。还包括傅里叶红外光谱（FTIR）、差示扫描量热（DSC）、X能谱分析等。当材料分子量出现损失时，会导致解聚反应的发生，微生物所消耗的氧或生成的CO2可作为塑料生物降解情况的检测指标。通过傅里叶红外光谱或差示扫描量热可直接观察解聚变化过程。</w:t>
            </w:r>
          </w:p>
          <w:p w14:paraId="719A33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④生物基材料合成试验</w:t>
            </w:r>
          </w:p>
          <w:p w14:paraId="2FC971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利用可再生生物质或（和）经由生物制造得到的材料，通过物理手段制造生物塑料或其他生物质高分子材料，采用材料试验机验证其拉伸、压缩、弯曲等性能。</w:t>
            </w:r>
          </w:p>
          <w:p w14:paraId="24B93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研发楼内进行的</w:t>
            </w:r>
            <w:r>
              <w:rPr>
                <w:rFonts w:hint="eastAsia"/>
                <w:lang w:val="en-US" w:eastAsia="zh-CN"/>
              </w:rPr>
              <w:t>试验种类较多，但均采用小型仪器，</w:t>
            </w:r>
            <w:r>
              <w:rPr>
                <w:rFonts w:hint="eastAsia"/>
                <w:lang w:eastAsia="zh-CN"/>
              </w:rPr>
              <w:t>材料消耗</w:t>
            </w:r>
            <w:r>
              <w:rPr>
                <w:rFonts w:hint="eastAsia"/>
                <w:lang w:val="en-US" w:eastAsia="zh-CN"/>
              </w:rPr>
              <w:t>很</w:t>
            </w:r>
            <w:r>
              <w:rPr>
                <w:rFonts w:hint="eastAsia"/>
                <w:lang w:eastAsia="zh-CN"/>
              </w:rPr>
              <w:t>少，产生的微量</w:t>
            </w:r>
            <w:r>
              <w:rPr>
                <w:rFonts w:hint="eastAsia"/>
                <w:lang w:val="en-US" w:eastAsia="zh-CN"/>
              </w:rPr>
              <w:t>实验</w:t>
            </w:r>
            <w:r>
              <w:rPr>
                <w:rFonts w:hint="eastAsia"/>
                <w:lang w:eastAsia="zh-CN"/>
              </w:rPr>
              <w:t>废气通过</w:t>
            </w:r>
            <w:r>
              <w:rPr>
                <w:rFonts w:hint="eastAsia"/>
                <w:lang w:val="en-US" w:eastAsia="zh-CN"/>
              </w:rPr>
              <w:t>通风橱收集，排风扇排出室外</w:t>
            </w:r>
            <w:r>
              <w:rPr>
                <w:rFonts w:hint="eastAsia"/>
                <w:lang w:eastAsia="zh-CN"/>
              </w:rPr>
              <w:t>。试验过程</w:t>
            </w:r>
            <w:r>
              <w:rPr>
                <w:rFonts w:hint="eastAsia"/>
                <w:lang w:val="en-US" w:eastAsia="zh-CN"/>
              </w:rPr>
              <w:t>产生的实验室废液、</w:t>
            </w:r>
            <w:r>
              <w:rPr>
                <w:rFonts w:hint="eastAsia"/>
                <w:lang w:eastAsia="zh-CN"/>
              </w:rPr>
              <w:t>沾染有机溶剂或废酸的一次性用品</w:t>
            </w:r>
            <w:r>
              <w:rPr>
                <w:rFonts w:hint="eastAsia"/>
                <w:lang w:val="en-US" w:eastAsia="zh-CN"/>
              </w:rPr>
              <w:t>采用</w:t>
            </w:r>
            <w:r>
              <w:rPr>
                <w:rFonts w:hint="eastAsia"/>
                <w:lang w:eastAsia="zh-CN"/>
              </w:rPr>
              <w:t>密封桶收集。</w:t>
            </w:r>
          </w:p>
          <w:p w14:paraId="61F67F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试验区</w:t>
            </w:r>
          </w:p>
          <w:p w14:paraId="50D55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本项目试验区与污染物相关的试验主要包括：聚合</w:t>
            </w:r>
            <w:r>
              <w:rPr>
                <w:rFonts w:hint="eastAsia"/>
                <w:lang w:val="en-US" w:eastAsia="zh-CN"/>
              </w:rPr>
              <w:t>反应</w:t>
            </w:r>
            <w:r>
              <w:rPr>
                <w:rFonts w:hint="eastAsia"/>
                <w:lang w:eastAsia="zh-CN"/>
              </w:rPr>
              <w:t>试验</w:t>
            </w:r>
            <w:r>
              <w:rPr>
                <w:rFonts w:hint="eastAsia"/>
                <w:lang w:val="en-US" w:eastAsia="zh-CN"/>
              </w:rPr>
              <w:t>和热塑弹性体</w:t>
            </w:r>
            <w:r>
              <w:rPr>
                <w:rFonts w:hint="eastAsia"/>
                <w:lang w:eastAsia="zh-CN"/>
              </w:rPr>
              <w:t>试验。</w:t>
            </w:r>
          </w:p>
          <w:p w14:paraId="118B96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rPr>
            </w:pPr>
            <w:r>
              <w:rPr>
                <w:rFonts w:hint="eastAsia"/>
                <w:lang w:val="en-US" w:eastAsia="zh-CN"/>
              </w:rPr>
              <w:t>①聚合</w:t>
            </w:r>
            <w:r>
              <w:rPr>
                <w:rFonts w:hint="eastAsia"/>
                <w:lang w:eastAsia="zh-CN"/>
              </w:rPr>
              <w:t>试验</w:t>
            </w:r>
          </w:p>
          <w:p w14:paraId="1C1E14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聚合</w:t>
            </w:r>
            <w:r>
              <w:rPr>
                <w:rFonts w:hint="eastAsia"/>
                <w:lang w:eastAsia="zh-CN"/>
              </w:rPr>
              <w:t>试验</w:t>
            </w:r>
            <w:r>
              <w:rPr>
                <w:rFonts w:hint="eastAsia"/>
                <w:lang w:val="en-US" w:eastAsia="zh-CN"/>
              </w:rPr>
              <w:t>采用小型反应釜进行</w:t>
            </w:r>
            <w:r>
              <w:rPr>
                <w:rFonts w:hint="eastAsia"/>
                <w:lang w:eastAsia="zh-CN"/>
              </w:rPr>
              <w:t>试验</w:t>
            </w:r>
            <w:r>
              <w:rPr>
                <w:rFonts w:hint="eastAsia"/>
                <w:lang w:val="en-US" w:eastAsia="zh-CN"/>
              </w:rPr>
              <w:t>，涉及化学反应过程。</w:t>
            </w:r>
            <w:r>
              <w:rPr>
                <w:rFonts w:hint="eastAsia"/>
                <w:lang w:eastAsia="zh-CN"/>
              </w:rPr>
              <w:t>试验</w:t>
            </w:r>
            <w:r>
              <w:rPr>
                <w:rFonts w:hint="eastAsia"/>
                <w:lang w:val="en-US" w:eastAsia="zh-CN"/>
              </w:rPr>
              <w:t>材料主要为氮气、酯类原料、助剂、催化剂等，试验设备见图8，试验流程及产污环节见图9。</w:t>
            </w:r>
          </w:p>
          <w:p w14:paraId="22A27743">
            <w:pPr>
              <w:keepNext w:val="0"/>
              <w:keepLines w:val="0"/>
              <w:widowControl/>
              <w:suppressLineNumbers w:val="0"/>
              <w:jc w:val="left"/>
            </w:pPr>
            <w:r>
              <w:rPr>
                <w:lang w:val="en-US" w:eastAsia="zh-CN"/>
              </w:rPr>
              <w:drawing>
                <wp:anchor distT="0" distB="0" distL="114300" distR="114300" simplePos="0" relativeHeight="251662336" behindDoc="0" locked="0" layoutInCell="1" allowOverlap="1">
                  <wp:simplePos x="0" y="0"/>
                  <wp:positionH relativeFrom="column">
                    <wp:posOffset>889000</wp:posOffset>
                  </wp:positionH>
                  <wp:positionV relativeFrom="paragraph">
                    <wp:posOffset>8255</wp:posOffset>
                  </wp:positionV>
                  <wp:extent cx="3000375" cy="2981960"/>
                  <wp:effectExtent l="0" t="0" r="1905" b="5080"/>
                  <wp:wrapTopAndBottom/>
                  <wp:docPr id="4"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IMG_256"/>
                          <pic:cNvPicPr>
                            <a:picLocks noChangeAspect="1"/>
                          </pic:cNvPicPr>
                        </pic:nvPicPr>
                        <pic:blipFill>
                          <a:blip r:embed="rId12"/>
                          <a:stretch>
                            <a:fillRect/>
                          </a:stretch>
                        </pic:blipFill>
                        <pic:spPr>
                          <a:xfrm>
                            <a:off x="0" y="0"/>
                            <a:ext cx="3000375" cy="2981960"/>
                          </a:xfrm>
                          <a:prstGeom prst="rect">
                            <a:avLst/>
                          </a:prstGeom>
                          <a:noFill/>
                          <a:ln>
                            <a:noFill/>
                          </a:ln>
                        </pic:spPr>
                      </pic:pic>
                    </a:graphicData>
                  </a:graphic>
                </wp:anchor>
              </w:drawing>
            </w:r>
          </w:p>
          <w:p w14:paraId="6E51DF9A">
            <w:pPr>
              <w:keepNext w:val="0"/>
              <w:keepLines w:val="0"/>
              <w:pageBreakBefore w:val="0"/>
              <w:widowControl w:val="0"/>
              <w:kinsoku/>
              <w:wordWrap/>
              <w:overflowPunct/>
              <w:topLinePunct w:val="0"/>
              <w:bidi w:val="0"/>
              <w:spacing w:line="360" w:lineRule="auto"/>
              <w:ind w:firstLine="420" w:firstLineChars="200"/>
              <w:jc w:val="center"/>
              <w:textAlignment w:val="auto"/>
              <w:rPr>
                <w:rFonts w:hint="default"/>
                <w:lang w:val="en-US" w:eastAsia="zh-CN"/>
              </w:rPr>
            </w:pPr>
            <w:r>
              <w:rPr>
                <w:rFonts w:hint="eastAsia"/>
                <w:lang w:eastAsia="zh-CN"/>
              </w:rPr>
              <w:drawing>
                <wp:anchor distT="0" distB="0" distL="114300" distR="114300" simplePos="0" relativeHeight="251663360" behindDoc="0" locked="0" layoutInCell="1" allowOverlap="1">
                  <wp:simplePos x="0" y="0"/>
                  <wp:positionH relativeFrom="column">
                    <wp:posOffset>690245</wp:posOffset>
                  </wp:positionH>
                  <wp:positionV relativeFrom="paragraph">
                    <wp:posOffset>288925</wp:posOffset>
                  </wp:positionV>
                  <wp:extent cx="3786505" cy="2098675"/>
                  <wp:effectExtent l="0" t="0" r="8255" b="4445"/>
                  <wp:wrapTopAndBottom/>
                  <wp:docPr id="5" name="图片 21" descr="工艺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工艺流程1"/>
                          <pic:cNvPicPr>
                            <a:picLocks noChangeAspect="1"/>
                          </pic:cNvPicPr>
                        </pic:nvPicPr>
                        <pic:blipFill>
                          <a:blip r:embed="rId13"/>
                          <a:stretch>
                            <a:fillRect/>
                          </a:stretch>
                        </pic:blipFill>
                        <pic:spPr>
                          <a:xfrm>
                            <a:off x="0" y="0"/>
                            <a:ext cx="3786505" cy="2098675"/>
                          </a:xfrm>
                          <a:prstGeom prst="rect">
                            <a:avLst/>
                          </a:prstGeom>
                          <a:noFill/>
                          <a:ln>
                            <a:noFill/>
                          </a:ln>
                        </pic:spPr>
                      </pic:pic>
                    </a:graphicData>
                  </a:graphic>
                </wp:anchor>
              </w:drawing>
            </w:r>
            <w:r>
              <w:rPr>
                <w:rFonts w:hint="eastAsia"/>
                <w:lang w:val="en-US" w:eastAsia="zh-CN"/>
              </w:rPr>
              <w:t>图8  聚合反应试验设备示意图</w:t>
            </w:r>
          </w:p>
          <w:p w14:paraId="7D637B99">
            <w:pPr>
              <w:keepNext w:val="0"/>
              <w:keepLines w:val="0"/>
              <w:pageBreakBefore w:val="0"/>
              <w:widowControl w:val="0"/>
              <w:kinsoku/>
              <w:wordWrap/>
              <w:overflowPunct/>
              <w:topLinePunct w:val="0"/>
              <w:bidi w:val="0"/>
              <w:spacing w:line="360" w:lineRule="auto"/>
              <w:ind w:firstLine="420" w:firstLineChars="200"/>
              <w:jc w:val="center"/>
              <w:textAlignment w:val="auto"/>
              <w:rPr>
                <w:rFonts w:hint="default"/>
                <w:lang w:val="en-US" w:eastAsia="zh-CN"/>
              </w:rPr>
            </w:pPr>
            <w:r>
              <w:rPr>
                <w:rFonts w:hint="eastAsia"/>
                <w:lang w:val="en-US" w:eastAsia="zh-CN"/>
              </w:rPr>
              <w:t>图9  聚合反应试验流程及产污环节图</w:t>
            </w:r>
          </w:p>
          <w:p w14:paraId="0FDC4F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首先将釜内抽真空，保证气密性，按照制定配方加入原料、助剂，开启搅拌并加热，釜内开始酯化反应，待积液器</w:t>
            </w:r>
            <w:r>
              <w:rPr>
                <w:rFonts w:hint="eastAsia"/>
                <w:lang w:val="en-US" w:eastAsia="zh-CN"/>
              </w:rPr>
              <w:t>1内部液体达到理论值的95%以上，停止酯化反应；从加料口加入催化剂、稳定剂、交联剂。将抽真空管道转入缩聚管线，升高温度（电加热），将真空度逐步抽至100pa以内；待搅拌电机电流或扭矩升高至设定值，停止反应。从底部出料阀将物料增压压出，铸带拉条、冷却造粒。待物料完全排出，加入BDO，升温至230℃，开搅拌30min，吹洗酯化与缩聚管道，完毕后从出料阀排出。冷却至室温后，开启下一组实验。聚合反应实验设备整体为密闭设备，反应釜出口出料时由于温度较高，会产生少量有机废气排出。</w:t>
            </w:r>
          </w:p>
          <w:p w14:paraId="009A9D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②</w:t>
            </w:r>
            <w:r>
              <w:rPr>
                <w:rFonts w:hint="eastAsia"/>
                <w:lang w:eastAsia="zh-CN"/>
              </w:rPr>
              <w:t>热塑弹性体实验</w:t>
            </w:r>
          </w:p>
          <w:p w14:paraId="1804AE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改性制品区进行热塑弹性体实验，试验</w:t>
            </w:r>
            <w:r>
              <w:rPr>
                <w:rFonts w:hint="eastAsia"/>
                <w:lang w:val="en-US" w:eastAsia="zh-CN"/>
              </w:rPr>
              <w:t>方法基本执行《热塑性聚氨酯弹性体试验方法》（JIS-K7311-1995），试验中</w:t>
            </w:r>
            <w:r>
              <w:rPr>
                <w:rFonts w:hint="eastAsia"/>
                <w:lang w:eastAsia="zh-CN"/>
              </w:rPr>
              <w:t>涉及流延机、吹膜机、注塑机和密炼机等</w:t>
            </w:r>
            <w:r>
              <w:rPr>
                <w:rFonts w:hint="eastAsia"/>
                <w:lang w:val="en-US" w:eastAsia="zh-CN"/>
              </w:rPr>
              <w:t>会产生有机废气的实验设备</w:t>
            </w:r>
            <w:r>
              <w:rPr>
                <w:rFonts w:hint="eastAsia"/>
                <w:lang w:eastAsia="zh-CN"/>
              </w:rPr>
              <w:t>。</w:t>
            </w:r>
          </w:p>
          <w:p w14:paraId="54D91D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流延机是用于橡塑材料流延薄膜制品成型的机械设备。一般主机由驱动电机、传动装置、挤出装置、加料斗、电控系统、流延模头、两辊压延等组成，工作原理为：物料从料斗里放入经过挤出装置的塑化和基础变为流延状态，再从主机经模头出来，通过两辊压延机进行压延成型。</w:t>
            </w:r>
            <w:r>
              <w:rPr>
                <w:rFonts w:hint="eastAsia"/>
                <w:lang w:val="en-US" w:eastAsia="zh-CN"/>
              </w:rPr>
              <w:t>流延机在加热塑化过程会产生挥发性有机废气。</w:t>
            </w:r>
          </w:p>
          <w:p w14:paraId="1997C4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吹膜机挤出吹膜的过程，是在一定温度，一定剪切力的作用下是塑胶状熔融体连续通过口模被挤出，由压缩空气吹涨，风环冷却和变频牵引而获得塑胶薄膜。</w:t>
            </w:r>
            <w:r>
              <w:rPr>
                <w:rFonts w:hint="eastAsia"/>
                <w:lang w:val="en-US" w:eastAsia="zh-CN"/>
              </w:rPr>
              <w:t>吹膜机在塑胶熔融过程会产生挥发性有机废气。</w:t>
            </w:r>
          </w:p>
          <w:p w14:paraId="1661CD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注塑机主要是由塑化装置和动力传递装置组成，螺杆注塑机主要有加料装置、料筒、螺杆、过胶组件、射嘴部分组成。注塑机一般采用电热圈作为加热装置，安装在料筒的外部，并用热电偶分段检测。电加热器通过筒壁导热为物料塑化提供热源，配套的冷却系统主要防止原料在加料口融化导致原料不能正常下料。</w:t>
            </w:r>
            <w:r>
              <w:rPr>
                <w:rFonts w:hint="eastAsia"/>
                <w:lang w:val="en-US" w:eastAsia="zh-CN"/>
              </w:rPr>
              <w:t>注塑机的加热口将产生无组织挥发性有机废气。</w:t>
            </w:r>
          </w:p>
          <w:p w14:paraId="461E8B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改性测试区中设置有密炼挤出机，采用双螺杆密炼挤出过程，加入的物料进入螺杆机后在啮合点处收到双倍的圆周速度的强烈剪切，加上加热器（电加热）加热物料将很快塑化。真空排气口会排出少量有机废气，直至物料挤出后进入水中冷却，不再继续产生废气。</w:t>
            </w:r>
            <w:r>
              <w:rPr>
                <w:rFonts w:hint="eastAsia"/>
                <w:lang w:val="en-US" w:eastAsia="zh-CN"/>
              </w:rPr>
              <w:t>小试试验流程及产污环节见图10。</w:t>
            </w:r>
          </w:p>
          <w:p w14:paraId="67E9DA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object>
                <v:shape id="_x0000_i1025" o:spt="75" type="#_x0000_t75" style="height:124.7pt;width:368.5pt;" o:ole="t" filled="f" o:preferrelative="t" stroked="f" coordsize="21600,21600">
                  <v:path/>
                  <v:fill on="f" focussize="0,0"/>
                  <v:stroke on="f"/>
                  <v:imagedata r:id="rId15" o:title=""/>
                  <o:lock v:ext="edit" aspectratio="f"/>
                  <w10:wrap type="none"/>
                  <w10:anchorlock/>
                </v:shape>
                <o:OLEObject Type="Embed" ProgID="Visio.Drawing.11" ShapeID="_x0000_i1025" DrawAspect="Content" ObjectID="_1468075725" r:id="rId14">
                  <o:LockedField>false</o:LockedField>
                </o:OLEObject>
              </w:object>
            </w:r>
          </w:p>
          <w:p w14:paraId="0AF1E9CB">
            <w:pPr>
              <w:keepNext w:val="0"/>
              <w:keepLines w:val="0"/>
              <w:pageBreakBefore w:val="0"/>
              <w:widowControl w:val="0"/>
              <w:kinsoku/>
              <w:wordWrap/>
              <w:overflowPunct/>
              <w:topLinePunct w:val="0"/>
              <w:bidi w:val="0"/>
              <w:spacing w:line="360" w:lineRule="auto"/>
              <w:ind w:firstLine="420" w:firstLineChars="200"/>
              <w:jc w:val="center"/>
              <w:textAlignment w:val="auto"/>
              <w:rPr>
                <w:rFonts w:hint="default"/>
                <w:lang w:val="en-US" w:eastAsia="zh-CN"/>
              </w:rPr>
            </w:pPr>
            <w:r>
              <w:rPr>
                <w:rFonts w:hint="eastAsia"/>
                <w:lang w:val="en-US" w:eastAsia="zh-CN"/>
              </w:rPr>
              <w:t>图10  小试试验流程及产污环节图</w:t>
            </w:r>
          </w:p>
          <w:p w14:paraId="696DBF28">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lang w:eastAsia="zh-CN"/>
              </w:rPr>
            </w:pPr>
            <w:r>
              <w:rPr>
                <w:rFonts w:hint="eastAsia"/>
                <w:lang w:eastAsia="zh-CN"/>
              </w:rPr>
              <w:t>二、产排污环节</w:t>
            </w:r>
          </w:p>
          <w:p w14:paraId="747BA05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lang w:val="en-US" w:eastAsia="zh-CN"/>
              </w:rPr>
            </w:pPr>
            <w:r>
              <w:rPr>
                <w:rFonts w:hint="eastAsia"/>
                <w:lang w:val="en-US" w:eastAsia="zh-CN"/>
              </w:rPr>
              <w:t>（1）废气</w:t>
            </w:r>
          </w:p>
          <w:p w14:paraId="31F27B8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lang w:val="en-US" w:eastAsia="zh-CN"/>
              </w:rPr>
            </w:pPr>
            <w:r>
              <w:rPr>
                <w:rFonts w:hint="eastAsia"/>
                <w:lang w:val="en-US" w:eastAsia="zh-CN"/>
              </w:rPr>
              <w:t>通过对试验材料和药品的分析，研发楼实验药品中，需要主要关注的物质包括甲醇、苯乙烯、乙酸和四氢呋喃，其中，药品甲醇、苯乙烯、乙酸均属于挥发性有机液体，四氢呋喃和苯乙烯属于具有毒性的苯系物，实验室用量很小，会逸散出微量污染物，严格按照实验室规范操作，试验过程在通风橱内进行，污染物经排风扇排入大气稀释后，不会对周围环境产生影响。</w:t>
            </w:r>
          </w:p>
          <w:p w14:paraId="569F662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lang w:val="en-US" w:eastAsia="zh-CN"/>
              </w:rPr>
            </w:pPr>
            <w:r>
              <w:rPr>
                <w:rFonts w:hint="eastAsia"/>
                <w:lang w:val="en-US" w:eastAsia="zh-CN"/>
              </w:rPr>
              <w:t>试验区中产生的主要废气为挥发性有机废气，主要来自聚合实验的缩聚反应试验设备出料口，热塑弹性体实验中的</w:t>
            </w:r>
            <w:r>
              <w:rPr>
                <w:rFonts w:hint="eastAsia"/>
                <w:lang w:eastAsia="zh-CN"/>
              </w:rPr>
              <w:t>流延机、吹膜机、注塑机</w:t>
            </w:r>
            <w:r>
              <w:rPr>
                <w:rFonts w:hint="eastAsia"/>
                <w:lang w:val="en-US" w:eastAsia="zh-CN"/>
              </w:rPr>
              <w:t>和</w:t>
            </w:r>
            <w:r>
              <w:rPr>
                <w:rFonts w:hint="eastAsia"/>
                <w:lang w:eastAsia="zh-CN"/>
              </w:rPr>
              <w:t>密炼机。试验区内在这些设备的顶部均设置</w:t>
            </w:r>
            <w:r>
              <w:rPr>
                <w:rFonts w:hint="eastAsia"/>
                <w:lang w:val="en-US" w:eastAsia="zh-CN"/>
              </w:rPr>
              <w:t>集气罩收集实验过程产生的废气，废气经实验区配套的光氧+活性炭吸附设施处理后，通过室外15m排气筒排放。</w:t>
            </w:r>
          </w:p>
          <w:p w14:paraId="2608F4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lang w:val="en-US" w:eastAsia="zh-CN"/>
              </w:rPr>
            </w:pPr>
            <w:r>
              <w:rPr>
                <w:rFonts w:hint="eastAsia"/>
                <w:lang w:val="en-US" w:eastAsia="zh-CN"/>
              </w:rPr>
              <w:t>（2）废水</w:t>
            </w:r>
          </w:p>
          <w:p w14:paraId="57567AB5">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eastAsia="zh-CN"/>
              </w:rPr>
              <w:t>本项目</w:t>
            </w:r>
            <w:r>
              <w:rPr>
                <w:rFonts w:hint="eastAsia"/>
                <w:lang w:val="en-US" w:eastAsia="zh-CN"/>
              </w:rPr>
              <w:t>新增员工100人，按照人均用水量100L/人·d计算，用水量为10m³/d，按照生活污水产生量为用水量的80%计，则生活污水产生量为8m³/d，直接排入园区管网。试验区聚合实验过程化学反应会生成少量的水，通过分水装置分离后依托新疆维格瑞生物科技有限公司污水处理站处理达标后排入园区管网，废水产生量约为0.1t/d。</w:t>
            </w:r>
          </w:p>
          <w:p w14:paraId="60105155">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（3）噪声</w:t>
            </w:r>
          </w:p>
          <w:p w14:paraId="7B8BD96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本项目主要高噪声设备为摆锤冲积试验机、泵机等，噪声声级在65dB（A）～85dB（A）。</w:t>
            </w:r>
          </w:p>
          <w:p w14:paraId="60F3FEFC">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（4）固废</w:t>
            </w:r>
          </w:p>
          <w:p w14:paraId="3422DD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本项目固废主要包括试验产生的部分酯类聚合物、边角料和粉碎机收集粉尘</w:t>
            </w:r>
            <w:r>
              <w:rPr>
                <w:rFonts w:hint="eastAsia"/>
                <w:lang w:val="en-US" w:eastAsia="zh-CN"/>
              </w:rPr>
              <w:t>，产生量约300t/a，收集后送当地废品回收站。</w:t>
            </w:r>
            <w:r>
              <w:rPr>
                <w:rFonts w:hint="eastAsia"/>
                <w:lang w:eastAsia="zh-CN"/>
              </w:rPr>
              <w:t>生活垃圾</w:t>
            </w:r>
            <w:r>
              <w:rPr>
                <w:rFonts w:hint="eastAsia"/>
                <w:lang w:val="en-US" w:eastAsia="zh-CN"/>
              </w:rPr>
              <w:t>产生量约15t/a，</w:t>
            </w:r>
            <w:r>
              <w:rPr>
                <w:rFonts w:hint="eastAsia"/>
                <w:lang w:eastAsia="zh-CN"/>
              </w:rPr>
              <w:t>依托新疆维格瑞生物科技有限公司现有设施收集，交园区环卫部门处理。</w:t>
            </w:r>
            <w:r>
              <w:rPr>
                <w:rFonts w:hint="eastAsia"/>
                <w:lang w:val="en-US" w:eastAsia="zh-CN"/>
              </w:rPr>
              <w:t>实验过程中</w:t>
            </w:r>
            <w:r>
              <w:rPr>
                <w:rFonts w:hint="eastAsia"/>
                <w:lang w:eastAsia="zh-CN"/>
              </w:rPr>
              <w:t>产生的废液，沾染有机溶剂或废酸的一次性实验用品等属于危险废物（</w:t>
            </w:r>
            <w:r>
              <w:rPr>
                <w:rFonts w:hint="eastAsia"/>
                <w:lang w:val="en-US" w:eastAsia="zh-CN"/>
              </w:rPr>
              <w:t>900-047-49</w:t>
            </w:r>
            <w:r>
              <w:rPr>
                <w:rFonts w:hint="eastAsia"/>
                <w:lang w:eastAsia="zh-CN"/>
              </w:rPr>
              <w:t>），</w:t>
            </w:r>
            <w:r>
              <w:rPr>
                <w:rFonts w:hint="eastAsia"/>
                <w:lang w:val="en-US" w:eastAsia="zh-CN"/>
              </w:rPr>
              <w:t>产生量约1t/a；</w:t>
            </w:r>
            <w:r>
              <w:rPr>
                <w:rFonts w:hint="eastAsia"/>
                <w:lang w:eastAsia="zh-CN"/>
              </w:rPr>
              <w:t>试验设备检维修产生的废机油（</w:t>
            </w:r>
            <w:r>
              <w:rPr>
                <w:rFonts w:hint="eastAsia"/>
                <w:lang w:val="en-US" w:eastAsia="zh-CN"/>
              </w:rPr>
              <w:t>900-217-08</w:t>
            </w:r>
            <w:r>
              <w:rPr>
                <w:rFonts w:hint="eastAsia"/>
                <w:lang w:eastAsia="zh-CN"/>
              </w:rPr>
              <w:t>），</w:t>
            </w:r>
            <w:r>
              <w:rPr>
                <w:rFonts w:hint="eastAsia"/>
                <w:lang w:val="en-US" w:eastAsia="zh-CN"/>
              </w:rPr>
              <w:t>产生量约0.04t/a；</w:t>
            </w:r>
            <w:r>
              <w:rPr>
                <w:rFonts w:hint="eastAsia"/>
                <w:lang w:eastAsia="zh-CN"/>
              </w:rPr>
              <w:t>废活性炭吸附设施中活性炭需要定期更换，产生的废活性炭（</w:t>
            </w:r>
            <w:r>
              <w:rPr>
                <w:rFonts w:hint="eastAsia"/>
                <w:lang w:val="en-US" w:eastAsia="zh-CN"/>
              </w:rPr>
              <w:t>900-047-49</w:t>
            </w:r>
            <w:r>
              <w:rPr>
                <w:rFonts w:hint="eastAsia"/>
                <w:lang w:eastAsia="zh-CN"/>
              </w:rPr>
              <w:t>）约</w:t>
            </w:r>
            <w:r>
              <w:rPr>
                <w:rFonts w:hint="eastAsia"/>
                <w:lang w:val="en-US" w:eastAsia="zh-CN"/>
              </w:rPr>
              <w:t>0.05t/a，</w:t>
            </w:r>
            <w:r>
              <w:rPr>
                <w:rFonts w:hint="eastAsia"/>
                <w:lang w:eastAsia="zh-CN"/>
              </w:rPr>
              <w:t>上述危险废物经桶装密闭收集，依托</w:t>
            </w:r>
            <w:r>
              <w:rPr>
                <w:rFonts w:hint="eastAsia"/>
                <w:lang w:val="en-US" w:eastAsia="zh-CN"/>
              </w:rPr>
              <w:t>新疆维格瑞生物科技有限公司200㎡</w:t>
            </w:r>
            <w:r>
              <w:rPr>
                <w:rFonts w:hint="eastAsia"/>
                <w:lang w:eastAsia="zh-CN"/>
              </w:rPr>
              <w:t>危废暂存间暂存，定期委托有资质的单位处理。</w:t>
            </w:r>
          </w:p>
          <w:p w14:paraId="1B0A81A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2016年9月20日，新疆维吾尔自治区环境保护厅出具了《关于新疆蓝山屯河聚酯有限公司2×3万吨/年PBSA全生物降解树脂项目环境影响报告书的批复》，新环函[2016]1342号，项目于2018年4月开工，2019年8月完成建设，2019年11月开展了环保竣工验收工作。2017年12月9日，新疆维吾尔自治区环境保护厅出具了《关于新疆蓝山屯河聚酯有限公司6万吨/年PBT树脂项目环境影响报告书的批复》，新环函[2017]2021号，项目于2018年4月开工，2019年8月完成建设，2019年11月开展了环保竣工验收工作。</w:t>
            </w:r>
          </w:p>
          <w:p w14:paraId="4CA9AE8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根据新疆维格瑞生物科技有限公司提供的2021年四季度例行监测报告。新疆维格瑞生物科技有限公司履行环评、验收情况汇总见表5。</w:t>
            </w:r>
          </w:p>
          <w:p w14:paraId="5B943D56">
            <w:pPr>
              <w:pStyle w:val="2"/>
              <w:rPr>
                <w:rFonts w:hint="eastAsia"/>
                <w:lang w:eastAsia="zh-CN"/>
              </w:rPr>
            </w:pPr>
          </w:p>
        </w:tc>
      </w:tr>
      <w:tr w14:paraId="6B58B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0" w:hRule="atLeast"/>
          <w:jc w:val="center"/>
        </w:trPr>
        <w:tc>
          <w:tcPr>
            <w:tcW w:w="823" w:type="dxa"/>
            <w:noWrap w:val="0"/>
            <w:vAlign w:val="center"/>
          </w:tcPr>
          <w:p w14:paraId="3EC96D97">
            <w:pPr>
              <w:pStyle w:val="14"/>
              <w:adjustRightInd w:val="0"/>
              <w:snapToGrid w:val="0"/>
              <w:spacing w:before="0" w:beforeAutospacing="0" w:after="0" w:afterAutospacing="0"/>
              <w:jc w:val="center"/>
              <w:rPr>
                <w:rFonts w:cs="宋体"/>
                <w:sz w:val="21"/>
                <w:szCs w:val="21"/>
              </w:rPr>
            </w:pPr>
            <w:r>
              <w:rPr>
                <w:rFonts w:hint="eastAsia" w:cs="宋体"/>
                <w:bCs/>
                <w:kern w:val="2"/>
                <w:sz w:val="21"/>
                <w:szCs w:val="21"/>
              </w:rPr>
              <w:t>与项目有关的原有环境污染问题</w:t>
            </w:r>
          </w:p>
        </w:tc>
        <w:tc>
          <w:tcPr>
            <w:tcW w:w="8161" w:type="dxa"/>
            <w:noWrap w:val="0"/>
            <w:vAlign w:val="top"/>
          </w:tcPr>
          <w:p w14:paraId="4FA3D0F1">
            <w:pPr>
              <w:keepNext w:val="0"/>
              <w:keepLines w:val="0"/>
              <w:pageBreakBefore w:val="0"/>
              <w:widowControl w:val="0"/>
              <w:kinsoku/>
              <w:wordWrap/>
              <w:overflowPunct/>
              <w:topLinePunct w:val="0"/>
              <w:bidi w:val="0"/>
              <w:spacing w:line="360" w:lineRule="auto"/>
              <w:ind w:firstLine="422" w:firstLineChars="200"/>
              <w:jc w:val="center"/>
              <w:textAlignment w:val="auto"/>
              <w:rPr>
                <w:rFonts w:hint="default" w:ascii="黑体" w:hAnsi="黑体" w:eastAsia="宋体" w:cs="Times New Roman"/>
                <w:b/>
                <w:color w:val="auto"/>
                <w:kern w:val="0"/>
                <w:sz w:val="21"/>
                <w:szCs w:val="20"/>
                <w:lang w:val="en-US" w:eastAsia="zh-CN" w:bidi="ar-SA"/>
              </w:rPr>
            </w:pPr>
            <w:r>
              <w:rPr>
                <w:rFonts w:hint="eastAsia" w:ascii="黑体" w:hAnsi="黑体" w:eastAsia="宋体" w:cs="Times New Roman"/>
                <w:b/>
                <w:color w:val="auto"/>
                <w:kern w:val="0"/>
                <w:sz w:val="21"/>
                <w:szCs w:val="20"/>
                <w:lang w:val="en-US" w:eastAsia="zh-CN" w:bidi="ar-SA"/>
              </w:rPr>
              <w:t>表5  新疆维格瑞生物科技有限公司履行环评批复、竣工验收情况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3748"/>
              <w:gridCol w:w="3748"/>
            </w:tblGrid>
            <w:tr w14:paraId="67C1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DFC149A">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序号</w:t>
                  </w:r>
                </w:p>
              </w:tc>
              <w:tc>
                <w:tcPr>
                  <w:tcW w:w="0" w:type="auto"/>
                  <w:vAlign w:val="center"/>
                </w:tcPr>
                <w:p w14:paraId="6848FC35">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环评批复要求</w:t>
                  </w:r>
                </w:p>
              </w:tc>
              <w:tc>
                <w:tcPr>
                  <w:tcW w:w="0" w:type="auto"/>
                  <w:vAlign w:val="center"/>
                </w:tcPr>
                <w:p w14:paraId="15DAC5E7">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实际情况</w:t>
                  </w:r>
                </w:p>
              </w:tc>
            </w:tr>
            <w:tr w14:paraId="2F77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248AECE">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1</w:t>
                  </w:r>
                </w:p>
              </w:tc>
              <w:tc>
                <w:tcPr>
                  <w:tcW w:w="0" w:type="auto"/>
                </w:tcPr>
                <w:p w14:paraId="3495D7E5">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eastAsia"/>
                      <w:lang w:val="en-US" w:eastAsia="zh-CN"/>
                    </w:rPr>
                  </w:pPr>
                  <w:r>
                    <w:rPr>
                      <w:rFonts w:hint="eastAsia"/>
                      <w:lang w:val="en-US" w:eastAsia="zh-CN"/>
                    </w:rPr>
                    <w:t>强化大气污染防治措施。酯化反应釜顶排气中不能回收的微量酯化蒸汽、缩聚反应喷淋冷凝不凝尾气和四氢呋喃回收系统水洗塔尾气通过密闭管道输送至燃气导热油炉焚烧处置；燃气导热油炉需安装低氮燃烧器，脱氮效率不低于30%，燃烧烟气中各污染物排放浓度满足《锅炉大气污染物排放标准》（GB13271-2014）表3大气污染物特别排放限值后，经不低于30米高排气筒排放。</w:t>
                  </w:r>
                </w:p>
                <w:p w14:paraId="0ABCBC40">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采用多种手段减少厂区无组织废气的排放；生产厂房顶部设置集气罩和布袋除尘器，车间废气经除尘后低空排放；储罐氮封处理，并安装呼吸阀冷凝回收装置；选择密闭性高的生产、输送装置。确保厂界非甲烷总烃浓度符合《合成树脂工业污染物排放标准》（GB31572-2015）表9企业边界大气污染物浓度限值要求</w:t>
                  </w:r>
                </w:p>
              </w:tc>
              <w:tc>
                <w:tcPr>
                  <w:tcW w:w="0" w:type="auto"/>
                </w:tcPr>
                <w:p w14:paraId="4CB00D94">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根据例行监测，导热油炉烟气中：SO2浓度（折后）：＜3mg/m³；NOx浓度（折后）：44～45mg/m³；颗粒物浓度（折后）：6.5～6.8mg/m³，满足达标排放要求（SO2：50mg/m³；NOx：150mg/m³；颗粒物：20mg/m³）。厂界非甲烷总烃浓度监测值：0.32～0.74mg/m³，满足限值要求（非甲烷总烃：4.0mg/m³）</w:t>
                  </w:r>
                </w:p>
              </w:tc>
            </w:tr>
            <w:tr w14:paraId="005A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4C5E84">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2</w:t>
                  </w:r>
                </w:p>
              </w:tc>
              <w:tc>
                <w:tcPr>
                  <w:tcW w:w="0" w:type="auto"/>
                </w:tcPr>
                <w:p w14:paraId="478049A3">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设置100米防护距离，在此范围内不得建设食品加工、精密仪器制造、医院等对环境敏感的企事业单位</w:t>
                  </w:r>
                </w:p>
              </w:tc>
              <w:tc>
                <w:tcPr>
                  <w:tcW w:w="0" w:type="auto"/>
                </w:tcPr>
                <w:p w14:paraId="4907E718">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100米防护距离内无对环境敏感的企事业单位</w:t>
                  </w:r>
                </w:p>
              </w:tc>
            </w:tr>
            <w:tr w14:paraId="1C30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F999A88">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3</w:t>
                  </w:r>
                </w:p>
              </w:tc>
              <w:tc>
                <w:tcPr>
                  <w:tcW w:w="0" w:type="auto"/>
                </w:tcPr>
                <w:p w14:paraId="4A8AC41B">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做好项目水污染控制工作。缩聚反应废水、切粒机水箱排水、四氢呋喃回收系统蒸馏塔塔底冷凝排水、四氢呋喃洗塔喷淋废水、有机废液蒸馏提纯废水、锅炉房软化水系统排水、设备及地坪清洗水一并收集至厂内污水处理站处理，满足《合成树脂工业污染物排放标准》（GB31572-2015）表1水污染物排放限值（其中该标准未做规定的污染物排放执行《污水综合排放标准》（GB8978-1996）表4第二类污染物最高允许排放浓度的三级标准）后排入园区污水处理厂。循环冷却水收集后，灌期用于厂区绿化，非灌期排入园区污水处理厂。生活污水直接排入园区污水处理厂。按照《报告书》的要求建设项目区防渗工程，对各装置区、储罐区、污水处理站和危险废物库房作为重点防渗区进行防渗，并在厂区设置地下水监测井进行跟踪监测</w:t>
                  </w:r>
                </w:p>
              </w:tc>
              <w:tc>
                <w:tcPr>
                  <w:tcW w:w="0" w:type="auto"/>
                </w:tcPr>
                <w:p w14:paraId="4794BCD7">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根据2022年污水站监测报告，pH：7.1；悬浮物：21mg/L；氨氮：2.04mg/L；总氮：7.26mg/L；总磷：0.94mg/L；化学需氧量：12mg/L；五日生化需氧量：4.2mg/L；总有机碳：3.4～10.7mg/L；总铬：＜0.03mg/L；总镍＜0.05mg/L；总铅＜0.2mg/L；总镉＜0.05mg/L；六价铬＜0.004mg/L；总汞＜0.04μg/L；总砷＜0.3μg/L。满足标准要求（pH：6～9；悬浮物：400mg/L；氨氮无限值；总氮无限值；总磷无限值；化学需氧量：500mg/L；总有机碳无限值；总铅：1.0mg/L；总镉0.1mg/L；总砷：0.5mg/L；总镍：1.0mg/L；总汞：0.05mg/L；总铬：1.5mg/L；六价铬：0.5mg/L）。废水中，可吸附有机卤化物（限值：5.0mg/L）未测，其余污染因子均满足达标排放要求。根据验收监测报告，新疆维格瑞生物科技有限公司废水总排口中各项污染物监测值均符合《合成树脂工业污染物排放标准》（GB31572-2015）表1和《污水综合排放标准》（GB8978-1996）表4三级</w:t>
                  </w:r>
                </w:p>
              </w:tc>
            </w:tr>
            <w:tr w14:paraId="65B5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331772">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4</w:t>
                  </w:r>
                </w:p>
              </w:tc>
              <w:tc>
                <w:tcPr>
                  <w:tcW w:w="0" w:type="auto"/>
                </w:tcPr>
                <w:p w14:paraId="58B6B478">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严格落实项目固体废弃物的收集、处置措施，一般固体废物尽可能做到综合利用。工艺产生全生物降解树脂残渣、四氢呋喃回收系统蒸馏塔有机残渣以及废导热油作为危险废物交由有危险废物处置资质的单位妥善处置，其收集、贮存和转移措施须严格执行《危险废物贮存污染控制标准》（GB18597-2001）等国家有关规定。</w:t>
                  </w:r>
                </w:p>
              </w:tc>
              <w:tc>
                <w:tcPr>
                  <w:tcW w:w="0" w:type="auto"/>
                </w:tcPr>
                <w:p w14:paraId="6EC94F3D">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新疆维格瑞生物科技有限公司各项固废处理措施均得到落实，通过了环保竣工验收</w:t>
                  </w:r>
                </w:p>
              </w:tc>
            </w:tr>
            <w:tr w14:paraId="360A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7F1021">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5</w:t>
                  </w:r>
                </w:p>
              </w:tc>
              <w:tc>
                <w:tcPr>
                  <w:tcW w:w="0" w:type="auto"/>
                </w:tcPr>
                <w:p w14:paraId="0B14D52C">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选择低噪声设备，对高噪声设备采取安装消音器、密闭隔离、绿化等措施，厂界噪声应满足《工业企业厂界环境噪声排放标准》（GB12348-2008）3类标准</w:t>
                  </w:r>
                </w:p>
              </w:tc>
              <w:tc>
                <w:tcPr>
                  <w:tcW w:w="0" w:type="auto"/>
                </w:tcPr>
                <w:p w14:paraId="7C92CD98">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根据例行监测，新疆维格瑞生物科技有限公司厂界噪声监测值，昼间：49～53dB（A），夜间：46～50dB（A），满足达标排放要求（昼间：65dB（A），夜间55dB（A））</w:t>
                  </w:r>
                </w:p>
              </w:tc>
            </w:tr>
            <w:tr w14:paraId="7383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vAlign w:val="center"/>
                </w:tcPr>
                <w:p w14:paraId="7C2F2CAD">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验收要求</w:t>
                  </w:r>
                </w:p>
              </w:tc>
            </w:tr>
            <w:tr w14:paraId="3DC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1C66D72">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1</w:t>
                  </w:r>
                </w:p>
              </w:tc>
              <w:tc>
                <w:tcPr>
                  <w:tcW w:w="0" w:type="auto"/>
                </w:tcPr>
                <w:p w14:paraId="548555F2">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加强对各类环保设施日常运行、维护和管理，确保各项污染物长期稳定达标排放。加强对危险废物的管理，其收集、运输、贮运和处置必须符合国家危险废物处置的相关要求</w:t>
                  </w:r>
                </w:p>
              </w:tc>
              <w:tc>
                <w:tcPr>
                  <w:tcW w:w="0" w:type="auto"/>
                </w:tcPr>
                <w:p w14:paraId="24F8AFEF">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新疆维格瑞生物科技有限公司各项污染物能满足稳定达标排放要求，危险废物按照相关要求进行处置</w:t>
                  </w:r>
                </w:p>
              </w:tc>
            </w:tr>
            <w:tr w14:paraId="03FA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371371">
                  <w:pPr>
                    <w:pStyle w:val="13"/>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lang w:val="en-US" w:eastAsia="zh-CN"/>
                    </w:rPr>
                  </w:pPr>
                  <w:r>
                    <w:rPr>
                      <w:rFonts w:hint="eastAsia"/>
                      <w:lang w:val="en-US" w:eastAsia="zh-CN"/>
                    </w:rPr>
                    <w:t>2</w:t>
                  </w:r>
                </w:p>
              </w:tc>
              <w:tc>
                <w:tcPr>
                  <w:tcW w:w="0" w:type="auto"/>
                </w:tcPr>
                <w:p w14:paraId="2A7ED82B">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做好项目风险防范工作，定期开展环境事故应急演练，提高突发环境事故的应对能力，及时消除环境安全隐患，确保区域环境安全</w:t>
                  </w:r>
                </w:p>
              </w:tc>
              <w:tc>
                <w:tcPr>
                  <w:tcW w:w="0" w:type="auto"/>
                </w:tcPr>
                <w:p w14:paraId="136C65C9">
                  <w:pPr>
                    <w:pStyle w:val="13"/>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lang w:val="en-US" w:eastAsia="zh-CN"/>
                    </w:rPr>
                  </w:pPr>
                  <w:r>
                    <w:rPr>
                      <w:rFonts w:hint="eastAsia"/>
                      <w:lang w:val="en-US" w:eastAsia="zh-CN"/>
                    </w:rPr>
                    <w:t>新疆维格瑞生物科技有限公司定期开展了环境事故应急演练</w:t>
                  </w:r>
                </w:p>
              </w:tc>
            </w:tr>
          </w:tbl>
          <w:p w14:paraId="7BEEB3FF">
            <w:pPr>
              <w:pStyle w:val="13"/>
              <w:jc w:val="both"/>
              <w:rPr>
                <w:rFonts w:hint="eastAsia"/>
                <w:lang w:val="en-US" w:eastAsia="zh-CN"/>
              </w:rPr>
            </w:pPr>
          </w:p>
          <w:p w14:paraId="200DE4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根据调查，目前执行的例行监测中，水质污染物监测因子中可吸附有机卤化物未按期进行监测。</w:t>
            </w:r>
          </w:p>
          <w:p w14:paraId="04873765">
            <w:pPr>
              <w:pStyle w:val="2"/>
              <w:rPr>
                <w:rFonts w:hint="default"/>
                <w:lang w:val="en-US" w:eastAsia="zh-CN"/>
              </w:rPr>
            </w:pPr>
          </w:p>
          <w:p w14:paraId="0E803C6B">
            <w:pPr>
              <w:rPr>
                <w:rFonts w:hint="default"/>
                <w:lang w:val="en-US" w:eastAsia="zh-CN"/>
              </w:rPr>
            </w:pPr>
          </w:p>
        </w:tc>
      </w:tr>
    </w:tbl>
    <w:p w14:paraId="41AE0AA7">
      <w:pPr>
        <w:pStyle w:val="14"/>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20522ADE">
      <w:pPr>
        <w:pStyle w:val="14"/>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6BC97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5" w:hRule="atLeast"/>
          <w:jc w:val="center"/>
        </w:trPr>
        <w:tc>
          <w:tcPr>
            <w:tcW w:w="800" w:type="dxa"/>
            <w:noWrap w:val="0"/>
            <w:vAlign w:val="center"/>
          </w:tcPr>
          <w:p w14:paraId="50D098E9">
            <w:pPr>
              <w:adjustRightInd w:val="0"/>
              <w:snapToGrid w:val="0"/>
              <w:jc w:val="center"/>
              <w:rPr>
                <w:rFonts w:hint="eastAsia" w:ascii="宋体" w:hAnsi="宋体" w:cs="宋体"/>
                <w:kern w:val="0"/>
                <w:szCs w:val="21"/>
              </w:rPr>
            </w:pPr>
            <w:r>
              <w:rPr>
                <w:rFonts w:hint="eastAsia" w:ascii="宋体" w:hAnsi="宋体" w:cs="宋体"/>
                <w:kern w:val="0"/>
                <w:szCs w:val="21"/>
              </w:rPr>
              <w:t>区域</w:t>
            </w:r>
          </w:p>
          <w:p w14:paraId="4DF95601">
            <w:pPr>
              <w:adjustRightInd w:val="0"/>
              <w:snapToGrid w:val="0"/>
              <w:jc w:val="center"/>
              <w:rPr>
                <w:rFonts w:hint="eastAsia" w:ascii="宋体" w:hAnsi="宋体" w:cs="宋体"/>
                <w:kern w:val="0"/>
                <w:szCs w:val="21"/>
              </w:rPr>
            </w:pPr>
            <w:r>
              <w:rPr>
                <w:rFonts w:hint="eastAsia" w:ascii="宋体" w:hAnsi="宋体" w:cs="宋体"/>
                <w:kern w:val="0"/>
                <w:szCs w:val="21"/>
              </w:rPr>
              <w:t>环境</w:t>
            </w:r>
          </w:p>
          <w:p w14:paraId="47DCDFB8">
            <w:pPr>
              <w:adjustRightInd w:val="0"/>
              <w:snapToGrid w:val="0"/>
              <w:jc w:val="center"/>
              <w:rPr>
                <w:rFonts w:hint="eastAsia" w:ascii="宋体" w:hAnsi="宋体" w:cs="宋体"/>
                <w:kern w:val="0"/>
                <w:szCs w:val="21"/>
              </w:rPr>
            </w:pPr>
            <w:r>
              <w:rPr>
                <w:rFonts w:hint="eastAsia" w:ascii="宋体" w:hAnsi="宋体" w:cs="宋体"/>
                <w:kern w:val="0"/>
                <w:szCs w:val="21"/>
              </w:rPr>
              <w:t>质量</w:t>
            </w:r>
          </w:p>
          <w:p w14:paraId="29ED7AA4">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190" w:type="dxa"/>
            <w:noWrap w:val="0"/>
            <w:vAlign w:val="center"/>
          </w:tcPr>
          <w:p w14:paraId="10AB766E">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eastAsia="宋体"/>
                <w:b/>
                <w:bCs/>
                <w:sz w:val="24"/>
                <w:szCs w:val="24"/>
                <w:lang w:eastAsia="zh-CN"/>
              </w:rPr>
            </w:pPr>
            <w:r>
              <w:rPr>
                <w:rFonts w:hint="eastAsia"/>
                <w:b/>
                <w:bCs/>
                <w:sz w:val="24"/>
                <w:szCs w:val="24"/>
              </w:rPr>
              <w:t>一</w:t>
            </w:r>
            <w:r>
              <w:rPr>
                <w:b/>
                <w:bCs/>
                <w:sz w:val="24"/>
                <w:szCs w:val="24"/>
              </w:rPr>
              <w:t>、环境</w:t>
            </w:r>
            <w:r>
              <w:rPr>
                <w:rFonts w:hint="eastAsia"/>
                <w:b/>
                <w:bCs/>
                <w:sz w:val="24"/>
                <w:szCs w:val="24"/>
                <w:lang w:eastAsia="zh-CN"/>
              </w:rPr>
              <w:t>空气</w:t>
            </w:r>
            <w:r>
              <w:rPr>
                <w:b/>
                <w:bCs/>
                <w:sz w:val="24"/>
                <w:szCs w:val="24"/>
              </w:rPr>
              <w:t>质量现状</w:t>
            </w:r>
            <w:r>
              <w:rPr>
                <w:rFonts w:hint="eastAsia"/>
                <w:b/>
                <w:bCs/>
                <w:sz w:val="24"/>
                <w:szCs w:val="24"/>
                <w:lang w:eastAsia="zh-CN"/>
              </w:rPr>
              <w:t>调查与评价</w:t>
            </w:r>
          </w:p>
          <w:p w14:paraId="66ADC4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根</w:t>
            </w:r>
            <w:r>
              <w:rPr>
                <w:rFonts w:hint="eastAsia"/>
                <w:color w:val="auto"/>
                <w:lang w:val="en-US" w:eastAsia="zh-CN"/>
              </w:rPr>
              <w:t>据环境专业知识服务系统网站发布的数据，本评价选择</w:t>
            </w:r>
            <w:r>
              <w:rPr>
                <w:rFonts w:hint="eastAsia"/>
                <w:lang w:val="en-US" w:eastAsia="zh-CN"/>
              </w:rPr>
              <w:t>距离本项目最近的国控监测点新区政务中心监测站2020年的监测数据进行统计分析，年平均浓度采用该站2020年年平均值。项目区域空气质量现状评价见表6。</w:t>
            </w:r>
          </w:p>
          <w:p w14:paraId="13A4D70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1"/>
                <w:szCs w:val="21"/>
              </w:rPr>
            </w:pPr>
            <w:bookmarkStart w:id="2" w:name="_Ref533780435"/>
            <w:r>
              <w:rPr>
                <w:rFonts w:hint="eastAsia"/>
                <w:sz w:val="21"/>
                <w:szCs w:val="21"/>
              </w:rPr>
              <w:t>表</w:t>
            </w:r>
            <w:bookmarkEnd w:id="2"/>
            <w:r>
              <w:rPr>
                <w:rFonts w:hint="eastAsia"/>
                <w:sz w:val="21"/>
                <w:szCs w:val="21"/>
                <w:lang w:val="en-US" w:eastAsia="zh-CN"/>
              </w:rPr>
              <w:t xml:space="preserve">6 </w:t>
            </w:r>
            <w:r>
              <w:rPr>
                <w:sz w:val="21"/>
                <w:szCs w:val="21"/>
              </w:rPr>
              <w:t xml:space="preserve"> </w:t>
            </w:r>
            <w:r>
              <w:rPr>
                <w:rFonts w:hint="eastAsia"/>
                <w:sz w:val="21"/>
                <w:szCs w:val="21"/>
              </w:rPr>
              <w:t>区域环境</w:t>
            </w:r>
            <w:r>
              <w:rPr>
                <w:sz w:val="21"/>
                <w:szCs w:val="21"/>
              </w:rPr>
              <w:t>质量现状评价表</w:t>
            </w:r>
          </w:p>
          <w:tbl>
            <w:tblPr>
              <w:tblStyle w:val="16"/>
              <w:tblW w:w="4982" w:type="pct"/>
              <w:tblInd w:w="1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799"/>
              <w:gridCol w:w="1117"/>
              <w:gridCol w:w="1150"/>
              <w:gridCol w:w="1162"/>
              <w:gridCol w:w="934"/>
            </w:tblGrid>
            <w:tr w14:paraId="2FA57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tcBorders>
                    <w:left w:val="single" w:color="auto" w:sz="0" w:space="0"/>
                  </w:tcBorders>
                  <w:noWrap w:val="0"/>
                  <w:vAlign w:val="center"/>
                </w:tcPr>
                <w:p w14:paraId="147A18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kern w:val="2"/>
                      <w:sz w:val="21"/>
                      <w:szCs w:val="21"/>
                      <w:lang w:val="en-US" w:eastAsia="zh-CN" w:bidi="ar-SA"/>
                    </w:rPr>
                  </w:pPr>
                  <w:r>
                    <w:rPr>
                      <w:rFonts w:ascii="Times New Roman"/>
                      <w:sz w:val="21"/>
                      <w:szCs w:val="21"/>
                    </w:rPr>
                    <w:t>污染物</w:t>
                  </w:r>
                </w:p>
              </w:tc>
              <w:tc>
                <w:tcPr>
                  <w:tcW w:w="1767" w:type="pct"/>
                  <w:noWrap w:val="0"/>
                  <w:vAlign w:val="center"/>
                </w:tcPr>
                <w:p w14:paraId="600B8D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kern w:val="2"/>
                      <w:sz w:val="21"/>
                      <w:szCs w:val="21"/>
                      <w:lang w:val="en-US" w:eastAsia="zh-CN" w:bidi="ar-SA"/>
                    </w:rPr>
                  </w:pPr>
                  <w:r>
                    <w:rPr>
                      <w:rFonts w:ascii="Times New Roman"/>
                      <w:sz w:val="21"/>
                      <w:szCs w:val="21"/>
                    </w:rPr>
                    <w:t>年评价指标</w:t>
                  </w:r>
                </w:p>
              </w:tc>
              <w:tc>
                <w:tcPr>
                  <w:tcW w:w="705" w:type="pct"/>
                  <w:noWrap w:val="0"/>
                  <w:vAlign w:val="center"/>
                </w:tcPr>
                <w:p w14:paraId="65A3C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sz w:val="21"/>
                      <w:szCs w:val="21"/>
                    </w:rPr>
                    <w:t>现状浓度</w:t>
                  </w:r>
                </w:p>
                <w:p w14:paraId="099349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kern w:val="2"/>
                      <w:sz w:val="21"/>
                      <w:szCs w:val="21"/>
                      <w:lang w:val="en-US" w:eastAsia="zh-CN" w:bidi="ar-SA"/>
                    </w:rPr>
                  </w:pPr>
                  <w:r>
                    <w:rPr>
                      <w:rFonts w:ascii="Times New Roman"/>
                      <w:sz w:val="21"/>
                      <w:szCs w:val="21"/>
                    </w:rPr>
                    <w:t>（</w:t>
                  </w:r>
                  <w:r>
                    <w:rPr>
                      <w:rFonts w:hint="eastAsia" w:ascii="Times New Roman" w:hAnsi="Times New Roman"/>
                      <w:sz w:val="21"/>
                      <w:szCs w:val="21"/>
                    </w:rPr>
                    <w:t>µ</w:t>
                  </w:r>
                  <w:r>
                    <w:rPr>
                      <w:rFonts w:ascii="Times New Roman" w:hAnsi="Times New Roman"/>
                      <w:sz w:val="21"/>
                      <w:szCs w:val="21"/>
                    </w:rPr>
                    <w:t>g</w:t>
                  </w:r>
                  <w:r>
                    <w:rPr>
                      <w:rFonts w:asci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sz w:val="21"/>
                      <w:szCs w:val="21"/>
                    </w:rPr>
                    <w:t>）</w:t>
                  </w:r>
                </w:p>
              </w:tc>
              <w:tc>
                <w:tcPr>
                  <w:tcW w:w="726" w:type="pct"/>
                  <w:noWrap w:val="0"/>
                  <w:vAlign w:val="center"/>
                </w:tcPr>
                <w:p w14:paraId="0E32E4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sz w:val="21"/>
                      <w:szCs w:val="21"/>
                    </w:rPr>
                    <w:t>标准值</w:t>
                  </w:r>
                </w:p>
                <w:p w14:paraId="5CBE66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kern w:val="2"/>
                      <w:sz w:val="21"/>
                      <w:szCs w:val="21"/>
                      <w:lang w:val="en-US" w:eastAsia="zh-CN" w:bidi="ar-SA"/>
                    </w:rPr>
                  </w:pPr>
                  <w:r>
                    <w:rPr>
                      <w:rFonts w:ascii="Times New Roman"/>
                      <w:sz w:val="21"/>
                      <w:szCs w:val="21"/>
                    </w:rPr>
                    <w:t>（</w:t>
                  </w:r>
                  <w:r>
                    <w:rPr>
                      <w:rFonts w:hint="eastAsia" w:ascii="Times New Roman" w:hAnsi="Times New Roman"/>
                      <w:sz w:val="21"/>
                      <w:szCs w:val="21"/>
                    </w:rPr>
                    <w:t>µ</w:t>
                  </w:r>
                  <w:r>
                    <w:rPr>
                      <w:rFonts w:ascii="Times New Roman" w:hAnsi="Times New Roman"/>
                      <w:sz w:val="21"/>
                      <w:szCs w:val="21"/>
                    </w:rPr>
                    <w:t>g</w:t>
                  </w:r>
                  <w:r>
                    <w:rPr>
                      <w:rFonts w:asci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sz w:val="21"/>
                      <w:szCs w:val="21"/>
                    </w:rPr>
                    <w:t>）</w:t>
                  </w:r>
                </w:p>
              </w:tc>
              <w:tc>
                <w:tcPr>
                  <w:tcW w:w="733" w:type="pct"/>
                  <w:noWrap w:val="0"/>
                  <w:vAlign w:val="center"/>
                </w:tcPr>
                <w:p w14:paraId="7B5C18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kern w:val="2"/>
                      <w:sz w:val="21"/>
                      <w:szCs w:val="21"/>
                      <w:lang w:val="en-US" w:eastAsia="zh-CN" w:bidi="ar-SA"/>
                    </w:rPr>
                  </w:pPr>
                  <w:r>
                    <w:rPr>
                      <w:rFonts w:ascii="Times New Roman"/>
                      <w:sz w:val="21"/>
                      <w:szCs w:val="21"/>
                    </w:rPr>
                    <w:t>占标率（%）</w:t>
                  </w:r>
                </w:p>
              </w:tc>
              <w:tc>
                <w:tcPr>
                  <w:tcW w:w="590" w:type="pct"/>
                  <w:tcBorders>
                    <w:right w:val="single" w:color="auto" w:sz="12" w:space="0"/>
                  </w:tcBorders>
                  <w:noWrap w:val="0"/>
                  <w:vAlign w:val="center"/>
                </w:tcPr>
                <w:p w14:paraId="2A0201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sz w:val="21"/>
                      <w:szCs w:val="21"/>
                    </w:rPr>
                    <w:t>达标</w:t>
                  </w:r>
                </w:p>
                <w:p w14:paraId="79E4EC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kern w:val="2"/>
                      <w:sz w:val="21"/>
                      <w:szCs w:val="21"/>
                      <w:lang w:val="en-US" w:eastAsia="zh-CN" w:bidi="ar-SA"/>
                    </w:rPr>
                  </w:pPr>
                  <w:r>
                    <w:rPr>
                      <w:rFonts w:ascii="Times New Roman"/>
                      <w:sz w:val="21"/>
                      <w:szCs w:val="21"/>
                    </w:rPr>
                    <w:t>情况</w:t>
                  </w:r>
                </w:p>
              </w:tc>
            </w:tr>
            <w:tr w14:paraId="3DA57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vMerge w:val="restart"/>
                  <w:tcBorders>
                    <w:left w:val="single" w:color="auto" w:sz="4" w:space="0"/>
                  </w:tcBorders>
                  <w:noWrap w:val="0"/>
                  <w:vAlign w:val="center"/>
                </w:tcPr>
                <w:p w14:paraId="4DAB7B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hAnsi="Times New Roman"/>
                      <w:sz w:val="21"/>
                      <w:szCs w:val="21"/>
                    </w:rPr>
                    <w:t>SO</w:t>
                  </w:r>
                  <w:r>
                    <w:rPr>
                      <w:rFonts w:ascii="Times New Roman" w:hAnsi="Times New Roman"/>
                      <w:sz w:val="21"/>
                      <w:szCs w:val="21"/>
                      <w:vertAlign w:val="subscript"/>
                    </w:rPr>
                    <w:t>2</w:t>
                  </w:r>
                </w:p>
              </w:tc>
              <w:tc>
                <w:tcPr>
                  <w:tcW w:w="1767" w:type="pct"/>
                  <w:noWrap w:val="0"/>
                  <w:vAlign w:val="center"/>
                </w:tcPr>
                <w:p w14:paraId="5DFF71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sz w:val="21"/>
                      <w:szCs w:val="21"/>
                    </w:rPr>
                    <w:t>年平均质量浓度（</w:t>
                  </w:r>
                  <w:r>
                    <w:rPr>
                      <w:rFonts w:hint="eastAsia" w:ascii="Times New Roman" w:hAnsi="Times New Roman"/>
                      <w:sz w:val="21"/>
                      <w:szCs w:val="21"/>
                    </w:rPr>
                    <w:t>µ</w:t>
                  </w:r>
                  <w:r>
                    <w:rPr>
                      <w:rFonts w:ascii="Times New Roman" w:hAnsi="Times New Roman"/>
                      <w:sz w:val="21"/>
                      <w:szCs w:val="21"/>
                    </w:rPr>
                    <w:t>g</w:t>
                  </w:r>
                  <w:r>
                    <w:rPr>
                      <w:rFonts w:asci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sz w:val="21"/>
                      <w:szCs w:val="21"/>
                    </w:rPr>
                    <w:t>）</w:t>
                  </w:r>
                </w:p>
              </w:tc>
              <w:tc>
                <w:tcPr>
                  <w:tcW w:w="705" w:type="pct"/>
                  <w:noWrap w:val="0"/>
                  <w:vAlign w:val="center"/>
                </w:tcPr>
                <w:p w14:paraId="73C33E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11.43</w:t>
                  </w:r>
                </w:p>
              </w:tc>
              <w:tc>
                <w:tcPr>
                  <w:tcW w:w="726" w:type="pct"/>
                  <w:noWrap w:val="0"/>
                  <w:vAlign w:val="center"/>
                </w:tcPr>
                <w:p w14:paraId="3D2FF8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60</w:t>
                  </w:r>
                </w:p>
              </w:tc>
              <w:tc>
                <w:tcPr>
                  <w:tcW w:w="733" w:type="pct"/>
                  <w:noWrap w:val="0"/>
                  <w:vAlign w:val="center"/>
                </w:tcPr>
                <w:p w14:paraId="09FA01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19.06</w:t>
                  </w:r>
                </w:p>
              </w:tc>
              <w:tc>
                <w:tcPr>
                  <w:tcW w:w="590" w:type="pct"/>
                  <w:tcBorders>
                    <w:right w:val="single" w:color="auto" w:sz="12" w:space="0"/>
                  </w:tcBorders>
                  <w:noWrap w:val="0"/>
                  <w:vAlign w:val="center"/>
                </w:tcPr>
                <w:p w14:paraId="312A21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rPr>
                    <w:t>达标</w:t>
                  </w:r>
                </w:p>
              </w:tc>
            </w:tr>
            <w:tr w14:paraId="3F1AC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vMerge w:val="continue"/>
                  <w:tcBorders>
                    <w:left w:val="single" w:color="auto" w:sz="4" w:space="0"/>
                  </w:tcBorders>
                  <w:noWrap w:val="0"/>
                  <w:vAlign w:val="center"/>
                </w:tcPr>
                <w:p w14:paraId="76E3F3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p>
              </w:tc>
              <w:tc>
                <w:tcPr>
                  <w:tcW w:w="1767" w:type="pct"/>
                  <w:noWrap w:val="0"/>
                  <w:vAlign w:val="center"/>
                </w:tcPr>
                <w:p w14:paraId="097474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hint="eastAsia" w:ascii="Times New Roman" w:hAnsi="Times New Roman"/>
                      <w:sz w:val="21"/>
                      <w:szCs w:val="21"/>
                    </w:rPr>
                    <w:t>2</w:t>
                  </w:r>
                  <w:r>
                    <w:rPr>
                      <w:rFonts w:ascii="Times New Roman" w:hAnsi="Times New Roman"/>
                      <w:sz w:val="21"/>
                      <w:szCs w:val="21"/>
                    </w:rPr>
                    <w:t>4</w:t>
                  </w:r>
                  <w:r>
                    <w:rPr>
                      <w:rFonts w:hint="eastAsia" w:ascii="Times New Roman"/>
                      <w:sz w:val="21"/>
                      <w:szCs w:val="21"/>
                    </w:rPr>
                    <w:t>小时</w:t>
                  </w:r>
                  <w:r>
                    <w:rPr>
                      <w:rFonts w:ascii="Times New Roman"/>
                      <w:sz w:val="21"/>
                      <w:szCs w:val="21"/>
                    </w:rPr>
                    <w:t>平均</w:t>
                  </w:r>
                  <w:r>
                    <w:rPr>
                      <w:rFonts w:hint="eastAsia" w:ascii="Times New Roman"/>
                      <w:sz w:val="21"/>
                      <w:szCs w:val="21"/>
                    </w:rPr>
                    <w:t>第</w:t>
                  </w:r>
                  <w:r>
                    <w:rPr>
                      <w:rFonts w:hint="eastAsia" w:ascii="Times New Roman" w:hAnsi="Times New Roman"/>
                      <w:sz w:val="21"/>
                      <w:szCs w:val="21"/>
                    </w:rPr>
                    <w:t>98</w:t>
                  </w:r>
                  <w:r>
                    <w:rPr>
                      <w:rFonts w:hint="eastAsia" w:ascii="Times New Roman"/>
                      <w:sz w:val="21"/>
                      <w:szCs w:val="21"/>
                    </w:rPr>
                    <w:t>百分</w:t>
                  </w:r>
                  <w:r>
                    <w:rPr>
                      <w:rFonts w:ascii="Times New Roman"/>
                      <w:sz w:val="21"/>
                      <w:szCs w:val="21"/>
                    </w:rPr>
                    <w:t>位数</w:t>
                  </w:r>
                </w:p>
              </w:tc>
              <w:tc>
                <w:tcPr>
                  <w:tcW w:w="705" w:type="pct"/>
                  <w:tcBorders>
                    <w:bottom w:val="single" w:color="auto" w:sz="4" w:space="0"/>
                  </w:tcBorders>
                  <w:noWrap w:val="0"/>
                  <w:vAlign w:val="center"/>
                </w:tcPr>
                <w:p w14:paraId="6B2F44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25.00</w:t>
                  </w:r>
                </w:p>
              </w:tc>
              <w:tc>
                <w:tcPr>
                  <w:tcW w:w="726" w:type="pct"/>
                  <w:tcBorders>
                    <w:bottom w:val="single" w:color="auto" w:sz="4" w:space="0"/>
                  </w:tcBorders>
                  <w:noWrap w:val="0"/>
                  <w:vAlign w:val="center"/>
                </w:tcPr>
                <w:p w14:paraId="6DEE63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150</w:t>
                  </w:r>
                </w:p>
              </w:tc>
              <w:tc>
                <w:tcPr>
                  <w:tcW w:w="733" w:type="pct"/>
                  <w:noWrap w:val="0"/>
                  <w:vAlign w:val="center"/>
                </w:tcPr>
                <w:p w14:paraId="4091A7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16.67</w:t>
                  </w:r>
                </w:p>
              </w:tc>
              <w:tc>
                <w:tcPr>
                  <w:tcW w:w="590" w:type="pct"/>
                  <w:tcBorders>
                    <w:right w:val="single" w:color="auto" w:sz="12" w:space="0"/>
                  </w:tcBorders>
                  <w:noWrap w:val="0"/>
                  <w:vAlign w:val="center"/>
                </w:tcPr>
                <w:p w14:paraId="27ADED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rPr>
                    <w:t>达标</w:t>
                  </w:r>
                </w:p>
              </w:tc>
            </w:tr>
            <w:tr w14:paraId="56ED4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vMerge w:val="restart"/>
                  <w:tcBorders>
                    <w:left w:val="single" w:color="auto" w:sz="4" w:space="0"/>
                  </w:tcBorders>
                  <w:noWrap w:val="0"/>
                  <w:vAlign w:val="center"/>
                </w:tcPr>
                <w:p w14:paraId="2C8F03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hAnsi="Times New Roman"/>
                      <w:sz w:val="21"/>
                      <w:szCs w:val="21"/>
                    </w:rPr>
                    <w:t>NO</w:t>
                  </w:r>
                  <w:r>
                    <w:rPr>
                      <w:rFonts w:ascii="Times New Roman" w:hAnsi="Times New Roman"/>
                      <w:sz w:val="21"/>
                      <w:szCs w:val="21"/>
                      <w:vertAlign w:val="subscript"/>
                    </w:rPr>
                    <w:t>2</w:t>
                  </w:r>
                </w:p>
              </w:tc>
              <w:tc>
                <w:tcPr>
                  <w:tcW w:w="1767" w:type="pct"/>
                  <w:noWrap w:val="0"/>
                  <w:vAlign w:val="center"/>
                </w:tcPr>
                <w:p w14:paraId="7E1155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sz w:val="21"/>
                      <w:szCs w:val="21"/>
                    </w:rPr>
                    <w:t>年平均质量浓度（</w:t>
                  </w:r>
                  <w:r>
                    <w:rPr>
                      <w:rFonts w:hint="eastAsia" w:ascii="Times New Roman" w:hAnsi="Times New Roman"/>
                      <w:sz w:val="21"/>
                      <w:szCs w:val="21"/>
                    </w:rPr>
                    <w:t>µ</w:t>
                  </w:r>
                  <w:r>
                    <w:rPr>
                      <w:rFonts w:ascii="Times New Roman" w:hAnsi="Times New Roman"/>
                      <w:sz w:val="21"/>
                      <w:szCs w:val="21"/>
                    </w:rPr>
                    <w:t>g</w:t>
                  </w:r>
                  <w:r>
                    <w:rPr>
                      <w:rFonts w:asci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sz w:val="21"/>
                      <w:szCs w:val="21"/>
                    </w:rPr>
                    <w:t>）</w:t>
                  </w:r>
                </w:p>
              </w:tc>
              <w:tc>
                <w:tcPr>
                  <w:tcW w:w="705" w:type="pct"/>
                  <w:noWrap w:val="0"/>
                  <w:vAlign w:val="center"/>
                </w:tcPr>
                <w:p w14:paraId="3A3164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34.07</w:t>
                  </w:r>
                </w:p>
              </w:tc>
              <w:tc>
                <w:tcPr>
                  <w:tcW w:w="726" w:type="pct"/>
                  <w:noWrap w:val="0"/>
                  <w:vAlign w:val="center"/>
                </w:tcPr>
                <w:p w14:paraId="55B7A7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40</w:t>
                  </w:r>
                </w:p>
              </w:tc>
              <w:tc>
                <w:tcPr>
                  <w:tcW w:w="733" w:type="pct"/>
                  <w:noWrap w:val="0"/>
                  <w:vAlign w:val="center"/>
                </w:tcPr>
                <w:p w14:paraId="45249B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85.18</w:t>
                  </w:r>
                </w:p>
              </w:tc>
              <w:tc>
                <w:tcPr>
                  <w:tcW w:w="590" w:type="pct"/>
                  <w:tcBorders>
                    <w:right w:val="single" w:color="auto" w:sz="12" w:space="0"/>
                  </w:tcBorders>
                  <w:noWrap w:val="0"/>
                  <w:vAlign w:val="center"/>
                </w:tcPr>
                <w:p w14:paraId="30B2C8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rPr>
                    <w:t>达标</w:t>
                  </w:r>
                </w:p>
              </w:tc>
            </w:tr>
            <w:tr w14:paraId="5E4D2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vMerge w:val="continue"/>
                  <w:tcBorders>
                    <w:left w:val="single" w:color="auto" w:sz="4" w:space="0"/>
                  </w:tcBorders>
                  <w:noWrap w:val="0"/>
                  <w:vAlign w:val="center"/>
                </w:tcPr>
                <w:p w14:paraId="15D323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p>
              </w:tc>
              <w:tc>
                <w:tcPr>
                  <w:tcW w:w="1767" w:type="pct"/>
                  <w:noWrap w:val="0"/>
                  <w:vAlign w:val="center"/>
                </w:tcPr>
                <w:p w14:paraId="3617C1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hint="eastAsia" w:ascii="Times New Roman" w:hAnsi="Times New Roman"/>
                      <w:sz w:val="21"/>
                      <w:szCs w:val="21"/>
                    </w:rPr>
                    <w:t>2</w:t>
                  </w:r>
                  <w:r>
                    <w:rPr>
                      <w:rFonts w:ascii="Times New Roman" w:hAnsi="Times New Roman"/>
                      <w:sz w:val="21"/>
                      <w:szCs w:val="21"/>
                    </w:rPr>
                    <w:t>4</w:t>
                  </w:r>
                  <w:r>
                    <w:rPr>
                      <w:rFonts w:hint="eastAsia" w:ascii="Times New Roman"/>
                      <w:sz w:val="21"/>
                      <w:szCs w:val="21"/>
                    </w:rPr>
                    <w:t>小时</w:t>
                  </w:r>
                  <w:r>
                    <w:rPr>
                      <w:rFonts w:ascii="Times New Roman"/>
                      <w:sz w:val="21"/>
                      <w:szCs w:val="21"/>
                    </w:rPr>
                    <w:t>平均</w:t>
                  </w:r>
                  <w:r>
                    <w:rPr>
                      <w:rFonts w:hint="eastAsia" w:ascii="Times New Roman"/>
                      <w:sz w:val="21"/>
                      <w:szCs w:val="21"/>
                    </w:rPr>
                    <w:t>第</w:t>
                  </w:r>
                  <w:r>
                    <w:rPr>
                      <w:rFonts w:hint="eastAsia" w:ascii="Times New Roman" w:hAnsi="Times New Roman"/>
                      <w:sz w:val="21"/>
                      <w:szCs w:val="21"/>
                    </w:rPr>
                    <w:t>98</w:t>
                  </w:r>
                  <w:r>
                    <w:rPr>
                      <w:rFonts w:hint="eastAsia" w:ascii="Times New Roman"/>
                      <w:sz w:val="21"/>
                      <w:szCs w:val="21"/>
                    </w:rPr>
                    <w:t>百分</w:t>
                  </w:r>
                  <w:r>
                    <w:rPr>
                      <w:rFonts w:ascii="Times New Roman"/>
                      <w:sz w:val="21"/>
                      <w:szCs w:val="21"/>
                    </w:rPr>
                    <w:t>位数</w:t>
                  </w:r>
                </w:p>
              </w:tc>
              <w:tc>
                <w:tcPr>
                  <w:tcW w:w="705" w:type="pct"/>
                  <w:noWrap w:val="0"/>
                  <w:vAlign w:val="center"/>
                </w:tcPr>
                <w:p w14:paraId="48EA29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63.92</w:t>
                  </w:r>
                </w:p>
              </w:tc>
              <w:tc>
                <w:tcPr>
                  <w:tcW w:w="726" w:type="pct"/>
                  <w:noWrap w:val="0"/>
                  <w:vAlign w:val="center"/>
                </w:tcPr>
                <w:p w14:paraId="1DDC23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80</w:t>
                  </w:r>
                </w:p>
              </w:tc>
              <w:tc>
                <w:tcPr>
                  <w:tcW w:w="733" w:type="pct"/>
                  <w:noWrap w:val="0"/>
                  <w:vAlign w:val="center"/>
                </w:tcPr>
                <w:p w14:paraId="4D49D0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79.90</w:t>
                  </w:r>
                </w:p>
              </w:tc>
              <w:tc>
                <w:tcPr>
                  <w:tcW w:w="590" w:type="pct"/>
                  <w:tcBorders>
                    <w:right w:val="single" w:color="auto" w:sz="12" w:space="0"/>
                  </w:tcBorders>
                  <w:noWrap w:val="0"/>
                  <w:vAlign w:val="center"/>
                </w:tcPr>
                <w:p w14:paraId="6C34EE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rPr>
                    <w:t>达标</w:t>
                  </w:r>
                </w:p>
              </w:tc>
            </w:tr>
            <w:tr w14:paraId="6D8DE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vMerge w:val="restart"/>
                  <w:tcBorders>
                    <w:left w:val="single" w:color="auto" w:sz="4" w:space="0"/>
                  </w:tcBorders>
                  <w:noWrap w:val="0"/>
                  <w:vAlign w:val="center"/>
                </w:tcPr>
                <w:p w14:paraId="2907E3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hAnsi="Times New Roman"/>
                      <w:sz w:val="21"/>
                      <w:szCs w:val="21"/>
                    </w:rPr>
                    <w:t>PM</w:t>
                  </w:r>
                  <w:r>
                    <w:rPr>
                      <w:rFonts w:ascii="Times New Roman" w:hAnsi="Times New Roman"/>
                      <w:sz w:val="21"/>
                      <w:szCs w:val="21"/>
                      <w:vertAlign w:val="subscript"/>
                    </w:rPr>
                    <w:t>10</w:t>
                  </w:r>
                </w:p>
              </w:tc>
              <w:tc>
                <w:tcPr>
                  <w:tcW w:w="1767" w:type="pct"/>
                  <w:noWrap w:val="0"/>
                  <w:vAlign w:val="center"/>
                </w:tcPr>
                <w:p w14:paraId="59584A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sz w:val="21"/>
                      <w:szCs w:val="21"/>
                    </w:rPr>
                    <w:t>年平均质量浓度（</w:t>
                  </w:r>
                  <w:r>
                    <w:rPr>
                      <w:rFonts w:hint="eastAsia" w:ascii="Times New Roman" w:hAnsi="Times New Roman"/>
                      <w:sz w:val="21"/>
                      <w:szCs w:val="21"/>
                    </w:rPr>
                    <w:t>µ</w:t>
                  </w:r>
                  <w:r>
                    <w:rPr>
                      <w:rFonts w:ascii="Times New Roman" w:hAnsi="Times New Roman"/>
                      <w:sz w:val="21"/>
                      <w:szCs w:val="21"/>
                    </w:rPr>
                    <w:t>g</w:t>
                  </w:r>
                  <w:r>
                    <w:rPr>
                      <w:rFonts w:asci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sz w:val="21"/>
                      <w:szCs w:val="21"/>
                    </w:rPr>
                    <w:t>）</w:t>
                  </w:r>
                </w:p>
              </w:tc>
              <w:tc>
                <w:tcPr>
                  <w:tcW w:w="705" w:type="pct"/>
                  <w:noWrap w:val="0"/>
                  <w:vAlign w:val="center"/>
                </w:tcPr>
                <w:p w14:paraId="4E3976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87.14</w:t>
                  </w:r>
                </w:p>
              </w:tc>
              <w:tc>
                <w:tcPr>
                  <w:tcW w:w="726" w:type="pct"/>
                  <w:noWrap w:val="0"/>
                  <w:vAlign w:val="center"/>
                </w:tcPr>
                <w:p w14:paraId="685D01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70</w:t>
                  </w:r>
                </w:p>
              </w:tc>
              <w:tc>
                <w:tcPr>
                  <w:tcW w:w="733" w:type="pct"/>
                  <w:noWrap w:val="0"/>
                  <w:vAlign w:val="center"/>
                </w:tcPr>
                <w:p w14:paraId="5ADE33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124.49</w:t>
                  </w:r>
                </w:p>
              </w:tc>
              <w:tc>
                <w:tcPr>
                  <w:tcW w:w="590" w:type="pct"/>
                  <w:tcBorders>
                    <w:right w:val="single" w:color="auto" w:sz="12" w:space="0"/>
                  </w:tcBorders>
                  <w:noWrap w:val="0"/>
                  <w:vAlign w:val="center"/>
                </w:tcPr>
                <w:p w14:paraId="13A18E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lang w:eastAsia="zh-CN"/>
                    </w:rPr>
                    <w:t>超</w:t>
                  </w:r>
                  <w:r>
                    <w:rPr>
                      <w:rFonts w:hint="eastAsia" w:ascii="Times New Roman"/>
                      <w:sz w:val="21"/>
                      <w:szCs w:val="21"/>
                    </w:rPr>
                    <w:t>标</w:t>
                  </w:r>
                </w:p>
              </w:tc>
            </w:tr>
            <w:tr w14:paraId="4FD81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vMerge w:val="continue"/>
                  <w:tcBorders>
                    <w:left w:val="single" w:color="auto" w:sz="4" w:space="0"/>
                  </w:tcBorders>
                  <w:noWrap w:val="0"/>
                  <w:vAlign w:val="center"/>
                </w:tcPr>
                <w:p w14:paraId="5A7E9C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p>
              </w:tc>
              <w:tc>
                <w:tcPr>
                  <w:tcW w:w="1767" w:type="pct"/>
                  <w:noWrap w:val="0"/>
                  <w:vAlign w:val="center"/>
                </w:tcPr>
                <w:p w14:paraId="6D5522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hint="eastAsia" w:ascii="Times New Roman" w:hAnsi="Times New Roman"/>
                      <w:sz w:val="21"/>
                      <w:szCs w:val="21"/>
                    </w:rPr>
                    <w:t>2</w:t>
                  </w:r>
                  <w:r>
                    <w:rPr>
                      <w:rFonts w:ascii="Times New Roman" w:hAnsi="Times New Roman"/>
                      <w:sz w:val="21"/>
                      <w:szCs w:val="21"/>
                    </w:rPr>
                    <w:t>4</w:t>
                  </w:r>
                  <w:r>
                    <w:rPr>
                      <w:rFonts w:hint="eastAsia" w:ascii="Times New Roman"/>
                      <w:sz w:val="21"/>
                      <w:szCs w:val="21"/>
                    </w:rPr>
                    <w:t>小时</w:t>
                  </w:r>
                  <w:r>
                    <w:rPr>
                      <w:rFonts w:ascii="Times New Roman"/>
                      <w:sz w:val="21"/>
                      <w:szCs w:val="21"/>
                    </w:rPr>
                    <w:t>平均</w:t>
                  </w:r>
                  <w:r>
                    <w:rPr>
                      <w:rFonts w:hint="eastAsia" w:ascii="Times New Roman"/>
                      <w:sz w:val="21"/>
                      <w:szCs w:val="21"/>
                    </w:rPr>
                    <w:t>第</w:t>
                  </w:r>
                  <w:r>
                    <w:rPr>
                      <w:rFonts w:hint="eastAsia" w:ascii="Times New Roman" w:hAnsi="Times New Roman"/>
                      <w:sz w:val="21"/>
                      <w:szCs w:val="21"/>
                    </w:rPr>
                    <w:t>9</w:t>
                  </w:r>
                  <w:r>
                    <w:rPr>
                      <w:rFonts w:ascii="Times New Roman" w:hAnsi="Times New Roman"/>
                      <w:sz w:val="21"/>
                      <w:szCs w:val="21"/>
                    </w:rPr>
                    <w:t>5</w:t>
                  </w:r>
                  <w:r>
                    <w:rPr>
                      <w:rFonts w:hint="eastAsia" w:ascii="Times New Roman"/>
                      <w:sz w:val="21"/>
                      <w:szCs w:val="21"/>
                    </w:rPr>
                    <w:t>百分</w:t>
                  </w:r>
                  <w:r>
                    <w:rPr>
                      <w:rFonts w:ascii="Times New Roman"/>
                      <w:sz w:val="21"/>
                      <w:szCs w:val="21"/>
                    </w:rPr>
                    <w:t>位数</w:t>
                  </w:r>
                </w:p>
              </w:tc>
              <w:tc>
                <w:tcPr>
                  <w:tcW w:w="705" w:type="pct"/>
                  <w:noWrap w:val="0"/>
                  <w:vAlign w:val="center"/>
                </w:tcPr>
                <w:p w14:paraId="347ED5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262.30</w:t>
                  </w:r>
                </w:p>
              </w:tc>
              <w:tc>
                <w:tcPr>
                  <w:tcW w:w="726" w:type="pct"/>
                  <w:noWrap w:val="0"/>
                  <w:vAlign w:val="center"/>
                </w:tcPr>
                <w:p w14:paraId="5B8BFA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150</w:t>
                  </w:r>
                </w:p>
              </w:tc>
              <w:tc>
                <w:tcPr>
                  <w:tcW w:w="733" w:type="pct"/>
                  <w:noWrap w:val="0"/>
                  <w:vAlign w:val="center"/>
                </w:tcPr>
                <w:p w14:paraId="509668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174.87</w:t>
                  </w:r>
                </w:p>
              </w:tc>
              <w:tc>
                <w:tcPr>
                  <w:tcW w:w="590" w:type="pct"/>
                  <w:tcBorders>
                    <w:right w:val="single" w:color="auto" w:sz="12" w:space="0"/>
                  </w:tcBorders>
                  <w:noWrap w:val="0"/>
                  <w:vAlign w:val="center"/>
                </w:tcPr>
                <w:p w14:paraId="1C77B7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eastAsia="宋体"/>
                      <w:sz w:val="21"/>
                      <w:szCs w:val="21"/>
                      <w:lang w:eastAsia="zh-CN"/>
                    </w:rPr>
                  </w:pPr>
                  <w:r>
                    <w:rPr>
                      <w:rFonts w:hint="eastAsia" w:ascii="Times New Roman"/>
                      <w:sz w:val="21"/>
                      <w:szCs w:val="21"/>
                      <w:lang w:eastAsia="zh-CN"/>
                    </w:rPr>
                    <w:t>超标</w:t>
                  </w:r>
                </w:p>
              </w:tc>
            </w:tr>
            <w:tr w14:paraId="59539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vMerge w:val="restart"/>
                  <w:tcBorders>
                    <w:left w:val="single" w:color="auto" w:sz="4" w:space="0"/>
                  </w:tcBorders>
                  <w:noWrap w:val="0"/>
                  <w:vAlign w:val="center"/>
                </w:tcPr>
                <w:p w14:paraId="02D552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hAnsi="Times New Roman"/>
                      <w:sz w:val="21"/>
                      <w:szCs w:val="21"/>
                    </w:rPr>
                    <w:t>PM</w:t>
                  </w:r>
                  <w:r>
                    <w:rPr>
                      <w:rFonts w:ascii="Times New Roman" w:hAnsi="Times New Roman"/>
                      <w:sz w:val="21"/>
                      <w:szCs w:val="21"/>
                      <w:vertAlign w:val="subscript"/>
                    </w:rPr>
                    <w:t>2</w:t>
                  </w:r>
                  <w:r>
                    <w:rPr>
                      <w:rFonts w:ascii="Times New Roman"/>
                      <w:sz w:val="21"/>
                      <w:szCs w:val="21"/>
                      <w:vertAlign w:val="subscript"/>
                    </w:rPr>
                    <w:t>.</w:t>
                  </w:r>
                  <w:r>
                    <w:rPr>
                      <w:rFonts w:ascii="Times New Roman" w:hAnsi="Times New Roman"/>
                      <w:sz w:val="21"/>
                      <w:szCs w:val="21"/>
                      <w:vertAlign w:val="subscript"/>
                    </w:rPr>
                    <w:t>5</w:t>
                  </w:r>
                </w:p>
              </w:tc>
              <w:tc>
                <w:tcPr>
                  <w:tcW w:w="1767" w:type="pct"/>
                  <w:noWrap w:val="0"/>
                  <w:vAlign w:val="center"/>
                </w:tcPr>
                <w:p w14:paraId="10BD79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sz w:val="21"/>
                      <w:szCs w:val="21"/>
                    </w:rPr>
                    <w:t>年平均质量浓度（</w:t>
                  </w:r>
                  <w:r>
                    <w:rPr>
                      <w:rFonts w:hint="eastAsia" w:ascii="Times New Roman" w:hAnsi="Times New Roman"/>
                      <w:sz w:val="21"/>
                      <w:szCs w:val="21"/>
                    </w:rPr>
                    <w:t>µ</w:t>
                  </w:r>
                  <w:r>
                    <w:rPr>
                      <w:rFonts w:ascii="Times New Roman" w:hAnsi="Times New Roman"/>
                      <w:sz w:val="21"/>
                      <w:szCs w:val="21"/>
                    </w:rPr>
                    <w:t>g</w:t>
                  </w:r>
                  <w:r>
                    <w:rPr>
                      <w:rFonts w:ascii="Times New Roman"/>
                      <w:sz w:val="21"/>
                      <w:szCs w:val="21"/>
                    </w:rPr>
                    <w:t>/</w:t>
                  </w:r>
                  <w:r>
                    <w:rPr>
                      <w:rFonts w:ascii="Times New Roman" w:hAnsi="Times New Roman"/>
                      <w:sz w:val="21"/>
                      <w:szCs w:val="21"/>
                    </w:rPr>
                    <w:t>m</w:t>
                  </w:r>
                  <w:r>
                    <w:rPr>
                      <w:rFonts w:ascii="Times New Roman" w:hAnsi="Times New Roman"/>
                      <w:sz w:val="21"/>
                      <w:szCs w:val="21"/>
                      <w:vertAlign w:val="superscript"/>
                    </w:rPr>
                    <w:t>3</w:t>
                  </w:r>
                  <w:r>
                    <w:rPr>
                      <w:rFonts w:ascii="Times New Roman"/>
                      <w:sz w:val="21"/>
                      <w:szCs w:val="21"/>
                    </w:rPr>
                    <w:t>）</w:t>
                  </w:r>
                </w:p>
              </w:tc>
              <w:tc>
                <w:tcPr>
                  <w:tcW w:w="705" w:type="pct"/>
                  <w:noWrap w:val="0"/>
                  <w:vAlign w:val="center"/>
                </w:tcPr>
                <w:p w14:paraId="4D1B60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46.72</w:t>
                  </w:r>
                </w:p>
              </w:tc>
              <w:tc>
                <w:tcPr>
                  <w:tcW w:w="726" w:type="pct"/>
                  <w:noWrap w:val="0"/>
                  <w:vAlign w:val="center"/>
                </w:tcPr>
                <w:p w14:paraId="69BD3B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35</w:t>
                  </w:r>
                </w:p>
              </w:tc>
              <w:tc>
                <w:tcPr>
                  <w:tcW w:w="733" w:type="pct"/>
                  <w:noWrap w:val="0"/>
                  <w:vAlign w:val="center"/>
                </w:tcPr>
                <w:p w14:paraId="4F17F4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133.48</w:t>
                  </w:r>
                </w:p>
              </w:tc>
              <w:tc>
                <w:tcPr>
                  <w:tcW w:w="590" w:type="pct"/>
                  <w:tcBorders>
                    <w:right w:val="single" w:color="auto" w:sz="12" w:space="0"/>
                  </w:tcBorders>
                  <w:noWrap w:val="0"/>
                  <w:vAlign w:val="center"/>
                </w:tcPr>
                <w:p w14:paraId="705E74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lang w:eastAsia="zh-CN"/>
                    </w:rPr>
                    <w:t>超</w:t>
                  </w:r>
                  <w:r>
                    <w:rPr>
                      <w:rFonts w:hint="eastAsia" w:ascii="Times New Roman"/>
                      <w:sz w:val="21"/>
                      <w:szCs w:val="21"/>
                    </w:rPr>
                    <w:t>标</w:t>
                  </w:r>
                </w:p>
              </w:tc>
            </w:tr>
            <w:tr w14:paraId="35625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vMerge w:val="continue"/>
                  <w:tcBorders>
                    <w:left w:val="single" w:color="auto" w:sz="4" w:space="0"/>
                  </w:tcBorders>
                  <w:noWrap w:val="0"/>
                  <w:vAlign w:val="center"/>
                </w:tcPr>
                <w:p w14:paraId="16DA29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p>
              </w:tc>
              <w:tc>
                <w:tcPr>
                  <w:tcW w:w="1767" w:type="pct"/>
                  <w:noWrap w:val="0"/>
                  <w:vAlign w:val="center"/>
                </w:tcPr>
                <w:p w14:paraId="06668D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hint="eastAsia" w:ascii="Times New Roman" w:hAnsi="Times New Roman"/>
                      <w:sz w:val="21"/>
                      <w:szCs w:val="21"/>
                    </w:rPr>
                    <w:t>2</w:t>
                  </w:r>
                  <w:r>
                    <w:rPr>
                      <w:rFonts w:ascii="Times New Roman" w:hAnsi="Times New Roman"/>
                      <w:sz w:val="21"/>
                      <w:szCs w:val="21"/>
                    </w:rPr>
                    <w:t>4</w:t>
                  </w:r>
                  <w:r>
                    <w:rPr>
                      <w:rFonts w:hint="eastAsia" w:ascii="Times New Roman"/>
                      <w:sz w:val="21"/>
                      <w:szCs w:val="21"/>
                    </w:rPr>
                    <w:t>小时</w:t>
                  </w:r>
                  <w:r>
                    <w:rPr>
                      <w:rFonts w:ascii="Times New Roman"/>
                      <w:sz w:val="21"/>
                      <w:szCs w:val="21"/>
                    </w:rPr>
                    <w:t>平均</w:t>
                  </w:r>
                  <w:r>
                    <w:rPr>
                      <w:rFonts w:hint="eastAsia" w:ascii="Times New Roman"/>
                      <w:sz w:val="21"/>
                      <w:szCs w:val="21"/>
                    </w:rPr>
                    <w:t>第</w:t>
                  </w:r>
                  <w:r>
                    <w:rPr>
                      <w:rFonts w:hint="eastAsia" w:ascii="Times New Roman" w:hAnsi="Times New Roman"/>
                      <w:sz w:val="21"/>
                      <w:szCs w:val="21"/>
                    </w:rPr>
                    <w:t>9</w:t>
                  </w:r>
                  <w:r>
                    <w:rPr>
                      <w:rFonts w:ascii="Times New Roman" w:hAnsi="Times New Roman"/>
                      <w:sz w:val="21"/>
                      <w:szCs w:val="21"/>
                    </w:rPr>
                    <w:t>5</w:t>
                  </w:r>
                  <w:r>
                    <w:rPr>
                      <w:rFonts w:hint="eastAsia" w:ascii="Times New Roman"/>
                      <w:sz w:val="21"/>
                      <w:szCs w:val="21"/>
                    </w:rPr>
                    <w:t>百分</w:t>
                  </w:r>
                  <w:r>
                    <w:rPr>
                      <w:rFonts w:ascii="Times New Roman"/>
                      <w:sz w:val="21"/>
                      <w:szCs w:val="21"/>
                    </w:rPr>
                    <w:t>位数</w:t>
                  </w:r>
                </w:p>
              </w:tc>
              <w:tc>
                <w:tcPr>
                  <w:tcW w:w="705" w:type="pct"/>
                  <w:noWrap w:val="0"/>
                  <w:vAlign w:val="center"/>
                </w:tcPr>
                <w:p w14:paraId="30DC5E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157.90</w:t>
                  </w:r>
                </w:p>
              </w:tc>
              <w:tc>
                <w:tcPr>
                  <w:tcW w:w="726" w:type="pct"/>
                  <w:noWrap w:val="0"/>
                  <w:vAlign w:val="center"/>
                </w:tcPr>
                <w:p w14:paraId="47193A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75</w:t>
                  </w:r>
                </w:p>
              </w:tc>
              <w:tc>
                <w:tcPr>
                  <w:tcW w:w="733" w:type="pct"/>
                  <w:noWrap w:val="0"/>
                  <w:vAlign w:val="center"/>
                </w:tcPr>
                <w:p w14:paraId="3972D3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210.53</w:t>
                  </w:r>
                </w:p>
              </w:tc>
              <w:tc>
                <w:tcPr>
                  <w:tcW w:w="590" w:type="pct"/>
                  <w:tcBorders>
                    <w:right w:val="single" w:color="auto" w:sz="12" w:space="0"/>
                  </w:tcBorders>
                  <w:noWrap w:val="0"/>
                  <w:vAlign w:val="center"/>
                </w:tcPr>
                <w:p w14:paraId="112254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lang w:eastAsia="zh-CN"/>
                    </w:rPr>
                    <w:t>超</w:t>
                  </w:r>
                  <w:r>
                    <w:rPr>
                      <w:rFonts w:hint="eastAsia" w:ascii="Times New Roman"/>
                      <w:sz w:val="21"/>
                      <w:szCs w:val="21"/>
                    </w:rPr>
                    <w:t>标</w:t>
                  </w:r>
                </w:p>
              </w:tc>
            </w:tr>
            <w:tr w14:paraId="21E33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tcBorders>
                    <w:left w:val="single" w:color="auto" w:sz="4" w:space="0"/>
                  </w:tcBorders>
                  <w:noWrap w:val="0"/>
                  <w:vAlign w:val="center"/>
                </w:tcPr>
                <w:p w14:paraId="2B85CF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hAnsi="Times New Roman"/>
                      <w:sz w:val="21"/>
                      <w:szCs w:val="21"/>
                    </w:rPr>
                    <w:t>CO</w:t>
                  </w:r>
                </w:p>
              </w:tc>
              <w:tc>
                <w:tcPr>
                  <w:tcW w:w="1767" w:type="pct"/>
                  <w:noWrap w:val="0"/>
                  <w:vAlign w:val="center"/>
                </w:tcPr>
                <w:p w14:paraId="4F55F5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hint="eastAsia" w:ascii="Times New Roman" w:hAnsi="Times New Roman"/>
                      <w:sz w:val="21"/>
                      <w:szCs w:val="21"/>
                    </w:rPr>
                    <w:t>2</w:t>
                  </w:r>
                  <w:r>
                    <w:rPr>
                      <w:rFonts w:ascii="Times New Roman" w:hAnsi="Times New Roman"/>
                      <w:sz w:val="21"/>
                      <w:szCs w:val="21"/>
                    </w:rPr>
                    <w:t>4</w:t>
                  </w:r>
                  <w:r>
                    <w:rPr>
                      <w:rFonts w:hint="eastAsia" w:ascii="Times New Roman"/>
                      <w:sz w:val="21"/>
                      <w:szCs w:val="21"/>
                    </w:rPr>
                    <w:t>小时</w:t>
                  </w:r>
                  <w:r>
                    <w:rPr>
                      <w:rFonts w:ascii="Times New Roman"/>
                      <w:sz w:val="21"/>
                      <w:szCs w:val="21"/>
                    </w:rPr>
                    <w:t>平均</w:t>
                  </w:r>
                  <w:r>
                    <w:rPr>
                      <w:rFonts w:hint="eastAsia" w:ascii="Times New Roman"/>
                      <w:sz w:val="21"/>
                      <w:szCs w:val="21"/>
                    </w:rPr>
                    <w:t>第</w:t>
                  </w:r>
                  <w:r>
                    <w:rPr>
                      <w:rFonts w:hint="eastAsia" w:ascii="Times New Roman" w:hAnsi="Times New Roman"/>
                      <w:sz w:val="21"/>
                      <w:szCs w:val="21"/>
                    </w:rPr>
                    <w:t>9</w:t>
                  </w:r>
                  <w:r>
                    <w:rPr>
                      <w:rFonts w:ascii="Times New Roman" w:hAnsi="Times New Roman"/>
                      <w:sz w:val="21"/>
                      <w:szCs w:val="21"/>
                    </w:rPr>
                    <w:t>5</w:t>
                  </w:r>
                  <w:r>
                    <w:rPr>
                      <w:rFonts w:hint="eastAsia" w:ascii="Times New Roman"/>
                      <w:sz w:val="21"/>
                      <w:szCs w:val="21"/>
                    </w:rPr>
                    <w:t>百分</w:t>
                  </w:r>
                  <w:r>
                    <w:rPr>
                      <w:rFonts w:ascii="Times New Roman"/>
                      <w:sz w:val="21"/>
                      <w:szCs w:val="21"/>
                    </w:rPr>
                    <w:t>位数</w:t>
                  </w:r>
                </w:p>
              </w:tc>
              <w:tc>
                <w:tcPr>
                  <w:tcW w:w="705" w:type="pct"/>
                  <w:noWrap w:val="0"/>
                  <w:vAlign w:val="center"/>
                </w:tcPr>
                <w:p w14:paraId="0BD797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2700</w:t>
                  </w:r>
                </w:p>
              </w:tc>
              <w:tc>
                <w:tcPr>
                  <w:tcW w:w="726" w:type="pct"/>
                  <w:noWrap w:val="0"/>
                  <w:vAlign w:val="center"/>
                </w:tcPr>
                <w:p w14:paraId="58DB70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4000</w:t>
                  </w:r>
                </w:p>
              </w:tc>
              <w:tc>
                <w:tcPr>
                  <w:tcW w:w="733" w:type="pct"/>
                  <w:noWrap w:val="0"/>
                  <w:vAlign w:val="center"/>
                </w:tcPr>
                <w:p w14:paraId="48A20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67.50</w:t>
                  </w:r>
                </w:p>
              </w:tc>
              <w:tc>
                <w:tcPr>
                  <w:tcW w:w="590" w:type="pct"/>
                  <w:tcBorders>
                    <w:right w:val="single" w:color="auto" w:sz="12" w:space="0"/>
                  </w:tcBorders>
                  <w:noWrap w:val="0"/>
                  <w:vAlign w:val="center"/>
                </w:tcPr>
                <w:p w14:paraId="73035D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rPr>
                    <w:t>达标</w:t>
                  </w:r>
                </w:p>
              </w:tc>
            </w:tr>
            <w:tr w14:paraId="11FB3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pct"/>
                  <w:tcBorders>
                    <w:left w:val="single" w:color="auto" w:sz="4" w:space="0"/>
                  </w:tcBorders>
                  <w:noWrap w:val="0"/>
                  <w:vAlign w:val="center"/>
                </w:tcPr>
                <w:p w14:paraId="2B6809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ascii="Times New Roman" w:hAnsi="Times New Roman"/>
                      <w:sz w:val="21"/>
                      <w:szCs w:val="21"/>
                    </w:rPr>
                    <w:t>O</w:t>
                  </w:r>
                  <w:r>
                    <w:rPr>
                      <w:rFonts w:ascii="Times New Roman" w:hAnsi="Times New Roman"/>
                      <w:sz w:val="21"/>
                      <w:szCs w:val="21"/>
                      <w:vertAlign w:val="subscript"/>
                    </w:rPr>
                    <w:t>3</w:t>
                  </w:r>
                </w:p>
              </w:tc>
              <w:tc>
                <w:tcPr>
                  <w:tcW w:w="1767" w:type="pct"/>
                  <w:noWrap w:val="0"/>
                  <w:vAlign w:val="center"/>
                </w:tcPr>
                <w:p w14:paraId="2A5E89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sz w:val="21"/>
                      <w:szCs w:val="21"/>
                    </w:rPr>
                  </w:pPr>
                  <w:r>
                    <w:rPr>
                      <w:rFonts w:hint="eastAsia" w:ascii="Times New Roman"/>
                      <w:sz w:val="21"/>
                      <w:szCs w:val="21"/>
                    </w:rPr>
                    <w:t>日最大</w:t>
                  </w:r>
                  <w:r>
                    <w:rPr>
                      <w:rFonts w:hint="eastAsia" w:ascii="Times New Roman" w:hAnsi="Times New Roman"/>
                      <w:sz w:val="21"/>
                      <w:szCs w:val="21"/>
                    </w:rPr>
                    <w:t>8</w:t>
                  </w:r>
                  <w:r>
                    <w:rPr>
                      <w:rFonts w:hint="eastAsia" w:ascii="Times New Roman"/>
                      <w:sz w:val="21"/>
                      <w:szCs w:val="21"/>
                    </w:rPr>
                    <w:t>小时</w:t>
                  </w:r>
                  <w:r>
                    <w:rPr>
                      <w:rFonts w:ascii="Times New Roman"/>
                      <w:sz w:val="21"/>
                      <w:szCs w:val="21"/>
                    </w:rPr>
                    <w:t>平均</w:t>
                  </w:r>
                  <w:r>
                    <w:rPr>
                      <w:rFonts w:hint="eastAsia" w:ascii="Times New Roman"/>
                      <w:sz w:val="21"/>
                      <w:szCs w:val="21"/>
                    </w:rPr>
                    <w:t>第</w:t>
                  </w:r>
                  <w:r>
                    <w:rPr>
                      <w:rFonts w:hint="eastAsia" w:ascii="Times New Roman" w:hAnsi="Times New Roman"/>
                      <w:sz w:val="21"/>
                      <w:szCs w:val="21"/>
                    </w:rPr>
                    <w:t>9</w:t>
                  </w:r>
                  <w:r>
                    <w:rPr>
                      <w:rFonts w:ascii="Times New Roman" w:hAnsi="Times New Roman"/>
                      <w:sz w:val="21"/>
                      <w:szCs w:val="21"/>
                    </w:rPr>
                    <w:t>0</w:t>
                  </w:r>
                  <w:r>
                    <w:rPr>
                      <w:rFonts w:hint="eastAsia" w:ascii="Times New Roman"/>
                      <w:sz w:val="21"/>
                      <w:szCs w:val="21"/>
                    </w:rPr>
                    <w:t>百分</w:t>
                  </w:r>
                  <w:r>
                    <w:rPr>
                      <w:rFonts w:ascii="Times New Roman"/>
                      <w:sz w:val="21"/>
                      <w:szCs w:val="21"/>
                    </w:rPr>
                    <w:t>位数</w:t>
                  </w:r>
                </w:p>
              </w:tc>
              <w:tc>
                <w:tcPr>
                  <w:tcW w:w="705" w:type="pct"/>
                  <w:noWrap w:val="0"/>
                  <w:vAlign w:val="center"/>
                </w:tcPr>
                <w:p w14:paraId="1937CC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128</w:t>
                  </w:r>
                </w:p>
              </w:tc>
              <w:tc>
                <w:tcPr>
                  <w:tcW w:w="726" w:type="pct"/>
                  <w:noWrap w:val="0"/>
                  <w:vAlign w:val="center"/>
                </w:tcPr>
                <w:p w14:paraId="1D3C85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hAnsi="Times New Roman"/>
                      <w:sz w:val="21"/>
                      <w:szCs w:val="21"/>
                      <w:lang w:val="en-US" w:eastAsia="zh-CN"/>
                    </w:rPr>
                    <w:t>160</w:t>
                  </w:r>
                </w:p>
              </w:tc>
              <w:tc>
                <w:tcPr>
                  <w:tcW w:w="733" w:type="pct"/>
                  <w:noWrap w:val="0"/>
                  <w:vAlign w:val="center"/>
                </w:tcPr>
                <w:p w14:paraId="1ED8A1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eastAsia="宋体"/>
                      <w:sz w:val="21"/>
                      <w:szCs w:val="21"/>
                      <w:lang w:val="en-US" w:eastAsia="zh-CN"/>
                    </w:rPr>
                  </w:pPr>
                  <w:r>
                    <w:rPr>
                      <w:rFonts w:hint="eastAsia" w:ascii="Times New Roman" w:eastAsia="宋体"/>
                      <w:sz w:val="21"/>
                      <w:szCs w:val="21"/>
                      <w:lang w:val="en-US" w:eastAsia="zh-CN"/>
                    </w:rPr>
                    <w:t>80.00</w:t>
                  </w:r>
                </w:p>
              </w:tc>
              <w:tc>
                <w:tcPr>
                  <w:tcW w:w="590" w:type="pct"/>
                  <w:tcBorders>
                    <w:right w:val="single" w:color="auto" w:sz="12" w:space="0"/>
                  </w:tcBorders>
                  <w:noWrap w:val="0"/>
                  <w:vAlign w:val="center"/>
                </w:tcPr>
                <w:p w14:paraId="788BE9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sz w:val="21"/>
                      <w:szCs w:val="21"/>
                    </w:rPr>
                  </w:pPr>
                  <w:r>
                    <w:rPr>
                      <w:rFonts w:hint="eastAsia" w:ascii="Times New Roman"/>
                      <w:sz w:val="21"/>
                      <w:szCs w:val="21"/>
                    </w:rPr>
                    <w:t>达标</w:t>
                  </w:r>
                </w:p>
              </w:tc>
            </w:tr>
          </w:tbl>
          <w:p w14:paraId="47A2D2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由表5，本项目所在区域SO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年平均质量浓度、24小时平均第98百分位数、CO百分位数日平均、O</w:t>
            </w:r>
            <w:r>
              <w:rPr>
                <w:rFonts w:hint="eastAsia"/>
                <w:vertAlign w:val="subscript"/>
                <w:lang w:val="en-US" w:eastAsia="zh-CN"/>
              </w:rPr>
              <w:t>3</w:t>
            </w:r>
            <w:r>
              <w:rPr>
                <w:rFonts w:hint="eastAsia"/>
                <w:lang w:val="en-US" w:eastAsia="zh-CN"/>
              </w:rPr>
              <w:t xml:space="preserve"> 8h平均质量浓度均满足《环境空气质量标准》（GB3095-2012）的二级标准要求；PM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年平均质量浓度、百分位数日平均均超过《环境空气质量标准》（GB3095-2012）的二级标准要求，本项目所在区域为不达标区域。</w:t>
            </w:r>
          </w:p>
          <w:p w14:paraId="4A66E4E7">
            <w:pPr>
              <w:keepNext w:val="0"/>
              <w:keepLines w:val="0"/>
              <w:pageBreakBefore w:val="0"/>
              <w:widowControl w:val="0"/>
              <w:tabs>
                <w:tab w:val="left" w:pos="1100"/>
              </w:tabs>
              <w:kinsoku/>
              <w:wordWrap/>
              <w:overflowPunct/>
              <w:topLinePunct w:val="0"/>
              <w:autoSpaceDE/>
              <w:autoSpaceDN/>
              <w:bidi w:val="0"/>
              <w:adjustRightInd/>
              <w:snapToGrid/>
              <w:spacing w:before="157" w:beforeLines="50" w:line="360" w:lineRule="auto"/>
              <w:ind w:left="0" w:leftChars="0" w:firstLine="0" w:firstLineChars="0"/>
              <w:textAlignment w:val="auto"/>
              <w:rPr>
                <w:b/>
                <w:bCs/>
                <w:sz w:val="24"/>
                <w:szCs w:val="32"/>
              </w:rPr>
            </w:pPr>
            <w:r>
              <w:rPr>
                <w:rFonts w:hint="eastAsia"/>
                <w:b/>
                <w:bCs/>
                <w:sz w:val="24"/>
                <w:szCs w:val="32"/>
              </w:rPr>
              <w:t>二</w:t>
            </w:r>
            <w:r>
              <w:rPr>
                <w:b/>
                <w:bCs/>
                <w:sz w:val="24"/>
                <w:szCs w:val="32"/>
              </w:rPr>
              <w:t>、</w:t>
            </w:r>
            <w:r>
              <w:rPr>
                <w:rFonts w:hint="eastAsia"/>
                <w:b/>
                <w:bCs/>
                <w:sz w:val="24"/>
                <w:szCs w:val="32"/>
                <w:lang w:eastAsia="zh-CN"/>
              </w:rPr>
              <w:t>地表水</w:t>
            </w:r>
            <w:r>
              <w:rPr>
                <w:b/>
                <w:bCs/>
                <w:sz w:val="24"/>
                <w:szCs w:val="32"/>
              </w:rPr>
              <w:t>环境质量现状</w:t>
            </w:r>
          </w:p>
          <w:p w14:paraId="0C65D1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新疆维格瑞生物科技有限公司厂区周围无地表水体，且本项目排水不存在与周边地表水体的联系，因此不考虑地表水环境质量现状调查。</w:t>
            </w:r>
          </w:p>
          <w:p w14:paraId="275E440B">
            <w:pPr>
              <w:keepNext w:val="0"/>
              <w:keepLines w:val="0"/>
              <w:pageBreakBefore w:val="0"/>
              <w:widowControl w:val="0"/>
              <w:tabs>
                <w:tab w:val="left" w:pos="1100"/>
              </w:tabs>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b/>
                <w:bCs/>
                <w:sz w:val="24"/>
                <w:szCs w:val="32"/>
                <w:lang w:eastAsia="zh-CN"/>
              </w:rPr>
            </w:pPr>
            <w:r>
              <w:rPr>
                <w:rFonts w:hint="eastAsia"/>
                <w:b/>
                <w:bCs/>
                <w:sz w:val="24"/>
                <w:szCs w:val="32"/>
                <w:lang w:eastAsia="zh-CN"/>
              </w:rPr>
              <w:t>三、</w:t>
            </w:r>
            <w:r>
              <w:rPr>
                <w:rFonts w:hint="eastAsia"/>
                <w:b/>
                <w:bCs/>
                <w:sz w:val="24"/>
                <w:szCs w:val="32"/>
              </w:rPr>
              <w:t>声环境质量现状</w:t>
            </w:r>
            <w:r>
              <w:rPr>
                <w:rFonts w:hint="eastAsia"/>
                <w:b/>
                <w:bCs/>
                <w:sz w:val="24"/>
                <w:szCs w:val="32"/>
                <w:lang w:eastAsia="zh-CN"/>
              </w:rPr>
              <w:t>调查与评价</w:t>
            </w:r>
          </w:p>
          <w:p w14:paraId="6E9B06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根据2</w:t>
            </w:r>
            <w:r>
              <w:rPr>
                <w:rFonts w:hint="eastAsia"/>
                <w:color w:val="auto"/>
                <w:lang w:val="en-US" w:eastAsia="zh-CN"/>
              </w:rPr>
              <w:t>021年12月10日至11日，新疆绿格洁瑞环境检测有限公司对新疆维格瑞生物科技有限公司的例行监测数据。新疆维格瑞生物科技有限公司厂界噪声监</w:t>
            </w:r>
            <w:r>
              <w:rPr>
                <w:rFonts w:hint="eastAsia"/>
                <w:lang w:val="en-US" w:eastAsia="zh-CN"/>
              </w:rPr>
              <w:t>测点声环境现状监测及评价结果见表7。</w:t>
            </w:r>
          </w:p>
          <w:p w14:paraId="40DC2974">
            <w:pPr>
              <w:pStyle w:val="15"/>
              <w:bidi w:val="0"/>
              <w:jc w:val="center"/>
              <w:rPr>
                <w:rFonts w:hint="eastAsia"/>
                <w:sz w:val="21"/>
                <w:szCs w:val="21"/>
              </w:rPr>
            </w:pPr>
          </w:p>
          <w:p w14:paraId="1440C67E">
            <w:pPr>
              <w:pStyle w:val="15"/>
              <w:bidi w:val="0"/>
              <w:jc w:val="center"/>
              <w:rPr>
                <w:rFonts w:hint="eastAsia"/>
                <w:sz w:val="21"/>
                <w:szCs w:val="21"/>
              </w:rPr>
            </w:pPr>
          </w:p>
          <w:p w14:paraId="6E65A83F">
            <w:pPr>
              <w:pStyle w:val="15"/>
              <w:bidi w:val="0"/>
              <w:jc w:val="center"/>
              <w:rPr>
                <w:rFonts w:hint="eastAsia"/>
                <w:sz w:val="21"/>
                <w:szCs w:val="21"/>
              </w:rPr>
            </w:pPr>
          </w:p>
          <w:p w14:paraId="1F0E7E25">
            <w:pPr>
              <w:pStyle w:val="15"/>
              <w:bidi w:val="0"/>
              <w:jc w:val="center"/>
              <w:rPr>
                <w:rFonts w:hint="eastAsia"/>
                <w:sz w:val="21"/>
                <w:szCs w:val="21"/>
              </w:rPr>
            </w:pPr>
            <w:r>
              <w:rPr>
                <w:rFonts w:hint="eastAsia"/>
                <w:sz w:val="21"/>
                <w:szCs w:val="21"/>
              </w:rPr>
              <w:t>表</w:t>
            </w:r>
            <w:r>
              <w:rPr>
                <w:rFonts w:hint="eastAsia"/>
                <w:sz w:val="21"/>
                <w:szCs w:val="21"/>
                <w:lang w:val="en-US" w:eastAsia="zh-CN"/>
              </w:rPr>
              <w:t>7</w:t>
            </w:r>
            <w:r>
              <w:rPr>
                <w:rFonts w:hint="eastAsia"/>
                <w:sz w:val="21"/>
                <w:szCs w:val="21"/>
              </w:rPr>
              <w:t xml:space="preserve">  声环境现状监测及评价结果  单位：dB(A)</w:t>
            </w:r>
          </w:p>
          <w:tbl>
            <w:tblPr>
              <w:tblStyle w:val="16"/>
              <w:tblW w:w="498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125"/>
              <w:gridCol w:w="1127"/>
              <w:gridCol w:w="1128"/>
              <w:gridCol w:w="1143"/>
              <w:gridCol w:w="1128"/>
              <w:gridCol w:w="1128"/>
              <w:gridCol w:w="1143"/>
            </w:tblGrid>
            <w:tr w14:paraId="124270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54" w:hRule="atLeast"/>
                <w:jc w:val="center"/>
              </w:trPr>
              <w:tc>
                <w:tcPr>
                  <w:tcW w:w="710" w:type="pct"/>
                  <w:vMerge w:val="restart"/>
                  <w:tcBorders>
                    <w:top w:val="single" w:color="auto" w:sz="12" w:space="0"/>
                    <w:left w:val="single" w:color="auto" w:sz="0" w:space="0"/>
                    <w:bottom w:val="single" w:color="auto" w:sz="4" w:space="0"/>
                    <w:right w:val="single" w:color="auto" w:sz="4" w:space="0"/>
                  </w:tcBorders>
                  <w:noWrap w:val="0"/>
                  <w:vAlign w:val="center"/>
                </w:tcPr>
                <w:p w14:paraId="263C449C">
                  <w:pPr>
                    <w:spacing w:line="240" w:lineRule="auto"/>
                    <w:ind w:firstLine="0" w:firstLineChars="0"/>
                    <w:jc w:val="center"/>
                    <w:rPr>
                      <w:rFonts w:hint="eastAsia" w:hAnsi="宋体" w:eastAsia="宋体"/>
                      <w:color w:val="auto"/>
                      <w:spacing w:val="-10"/>
                      <w:sz w:val="21"/>
                      <w:szCs w:val="21"/>
                      <w:lang w:eastAsia="zh-CN"/>
                    </w:rPr>
                  </w:pPr>
                  <w:r>
                    <w:rPr>
                      <w:rFonts w:hint="eastAsia" w:hAnsi="宋体"/>
                      <w:color w:val="auto"/>
                      <w:spacing w:val="-10"/>
                      <w:sz w:val="21"/>
                      <w:szCs w:val="21"/>
                      <w:lang w:eastAsia="zh-CN"/>
                    </w:rPr>
                    <w:t>监测点位</w:t>
                  </w:r>
                </w:p>
              </w:tc>
              <w:tc>
                <w:tcPr>
                  <w:tcW w:w="2144" w:type="pct"/>
                  <w:gridSpan w:val="3"/>
                  <w:tcBorders>
                    <w:top w:val="single" w:color="auto" w:sz="12" w:space="0"/>
                    <w:left w:val="single" w:color="auto" w:sz="4" w:space="0"/>
                    <w:bottom w:val="single" w:color="auto" w:sz="4" w:space="0"/>
                    <w:right w:val="single" w:color="auto" w:sz="4" w:space="0"/>
                  </w:tcBorders>
                  <w:noWrap w:val="0"/>
                  <w:vAlign w:val="center"/>
                </w:tcPr>
                <w:p w14:paraId="7255E568">
                  <w:pPr>
                    <w:spacing w:line="240" w:lineRule="auto"/>
                    <w:ind w:firstLine="0" w:firstLineChars="0"/>
                    <w:jc w:val="center"/>
                    <w:rPr>
                      <w:rFonts w:hint="eastAsia" w:hAnsi="宋体" w:eastAsia="宋体"/>
                      <w:color w:val="auto"/>
                      <w:spacing w:val="-10"/>
                      <w:sz w:val="21"/>
                      <w:szCs w:val="21"/>
                      <w:lang w:eastAsia="zh-CN"/>
                    </w:rPr>
                  </w:pPr>
                  <w:r>
                    <w:rPr>
                      <w:rFonts w:hint="eastAsia" w:hAnsi="宋体"/>
                      <w:color w:val="auto"/>
                      <w:spacing w:val="-10"/>
                      <w:sz w:val="21"/>
                      <w:szCs w:val="21"/>
                      <w:lang w:eastAsia="zh-CN"/>
                    </w:rPr>
                    <w:t>昼间</w:t>
                  </w:r>
                </w:p>
              </w:tc>
              <w:tc>
                <w:tcPr>
                  <w:tcW w:w="2145" w:type="pct"/>
                  <w:gridSpan w:val="3"/>
                  <w:tcBorders>
                    <w:top w:val="single" w:color="auto" w:sz="12" w:space="0"/>
                    <w:left w:val="single" w:color="auto" w:sz="4" w:space="0"/>
                    <w:bottom w:val="single" w:color="auto" w:sz="4" w:space="0"/>
                    <w:right w:val="single" w:color="auto" w:sz="12" w:space="0"/>
                  </w:tcBorders>
                  <w:noWrap w:val="0"/>
                  <w:vAlign w:val="center"/>
                </w:tcPr>
                <w:p w14:paraId="48D712B4">
                  <w:pPr>
                    <w:spacing w:line="240" w:lineRule="auto"/>
                    <w:ind w:firstLine="0" w:firstLineChars="0"/>
                    <w:jc w:val="center"/>
                    <w:rPr>
                      <w:rFonts w:hAnsi="宋体"/>
                      <w:color w:val="auto"/>
                      <w:spacing w:val="-10"/>
                      <w:sz w:val="21"/>
                      <w:szCs w:val="21"/>
                    </w:rPr>
                  </w:pPr>
                  <w:r>
                    <w:rPr>
                      <w:rFonts w:hint="eastAsia"/>
                      <w:color w:val="auto"/>
                      <w:spacing w:val="-10"/>
                      <w:sz w:val="21"/>
                      <w:szCs w:val="21"/>
                      <w:lang w:eastAsia="zh-CN"/>
                    </w:rPr>
                    <w:t>夜间</w:t>
                  </w:r>
                </w:p>
              </w:tc>
            </w:tr>
            <w:tr w14:paraId="7CAAB2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54" w:hRule="atLeast"/>
                <w:jc w:val="center"/>
              </w:trPr>
              <w:tc>
                <w:tcPr>
                  <w:tcW w:w="710" w:type="pct"/>
                  <w:vMerge w:val="continue"/>
                  <w:tcBorders>
                    <w:top w:val="single" w:color="auto" w:sz="4" w:space="0"/>
                    <w:left w:val="single" w:color="auto" w:sz="4" w:space="0"/>
                    <w:bottom w:val="single" w:color="auto" w:sz="4" w:space="0"/>
                    <w:right w:val="single" w:color="auto" w:sz="4" w:space="0"/>
                  </w:tcBorders>
                  <w:noWrap w:val="0"/>
                  <w:vAlign w:val="center"/>
                </w:tcPr>
                <w:p w14:paraId="3D65BAAC">
                  <w:pPr>
                    <w:spacing w:line="240" w:lineRule="auto"/>
                    <w:ind w:firstLine="0" w:firstLineChars="0"/>
                    <w:jc w:val="center"/>
                    <w:rPr>
                      <w:rFonts w:hAnsi="宋体"/>
                      <w:color w:val="auto"/>
                      <w:spacing w:val="-10"/>
                      <w:sz w:val="21"/>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14:paraId="41BC8E3F">
                  <w:pPr>
                    <w:spacing w:line="240" w:lineRule="auto"/>
                    <w:ind w:firstLine="0" w:firstLineChars="0"/>
                    <w:jc w:val="center"/>
                    <w:rPr>
                      <w:rFonts w:hint="eastAsia" w:ascii="Times New Roman" w:hAnsi="Times New Roman" w:eastAsia="宋体"/>
                      <w:color w:val="auto"/>
                      <w:spacing w:val="-10"/>
                      <w:kern w:val="2"/>
                      <w:sz w:val="21"/>
                      <w:szCs w:val="21"/>
                      <w:lang w:val="en-US" w:eastAsia="zh-CN" w:bidi="ar-SA"/>
                    </w:rPr>
                  </w:pPr>
                  <w:r>
                    <w:rPr>
                      <w:rFonts w:hAnsi="宋体"/>
                      <w:color w:val="auto"/>
                      <w:spacing w:val="-10"/>
                      <w:sz w:val="21"/>
                      <w:szCs w:val="21"/>
                    </w:rPr>
                    <w:t>监测值</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2E4BE793">
                  <w:pPr>
                    <w:spacing w:line="240" w:lineRule="auto"/>
                    <w:ind w:firstLine="0" w:firstLineChars="0"/>
                    <w:jc w:val="center"/>
                    <w:rPr>
                      <w:rFonts w:ascii="Times New Roman" w:hAnsi="Times New Roman" w:eastAsia="宋体"/>
                      <w:color w:val="auto"/>
                      <w:spacing w:val="-10"/>
                      <w:kern w:val="2"/>
                      <w:sz w:val="21"/>
                      <w:szCs w:val="21"/>
                      <w:lang w:val="en-US" w:eastAsia="zh-CN" w:bidi="ar-SA"/>
                    </w:rPr>
                  </w:pPr>
                  <w:r>
                    <w:rPr>
                      <w:rFonts w:hAnsi="宋体"/>
                      <w:color w:val="auto"/>
                      <w:spacing w:val="-10"/>
                      <w:sz w:val="21"/>
                      <w:szCs w:val="21"/>
                    </w:rPr>
                    <w:t>标准值</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16348ED0">
                  <w:pPr>
                    <w:spacing w:line="240" w:lineRule="auto"/>
                    <w:ind w:firstLine="0" w:firstLineChars="0"/>
                    <w:jc w:val="center"/>
                    <w:rPr>
                      <w:rFonts w:ascii="Times New Roman" w:hAnsi="Times New Roman" w:eastAsia="宋体"/>
                      <w:color w:val="auto"/>
                      <w:spacing w:val="-10"/>
                      <w:kern w:val="2"/>
                      <w:sz w:val="21"/>
                      <w:szCs w:val="21"/>
                      <w:lang w:val="en-US" w:eastAsia="zh-CN" w:bidi="ar-SA"/>
                    </w:rPr>
                  </w:pPr>
                  <w:r>
                    <w:rPr>
                      <w:rFonts w:hAnsi="宋体"/>
                      <w:color w:val="auto"/>
                      <w:spacing w:val="-10"/>
                      <w:sz w:val="21"/>
                      <w:szCs w:val="21"/>
                    </w:rPr>
                    <w:t>评价结果</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5B7C5F51">
                  <w:pPr>
                    <w:spacing w:line="240" w:lineRule="auto"/>
                    <w:ind w:firstLine="0" w:firstLineChars="0"/>
                    <w:jc w:val="center"/>
                    <w:rPr>
                      <w:rFonts w:hint="eastAsia" w:ascii="Times New Roman" w:hAnsi="Times New Roman" w:eastAsia="宋体"/>
                      <w:color w:val="auto"/>
                      <w:spacing w:val="-10"/>
                      <w:kern w:val="2"/>
                      <w:sz w:val="21"/>
                      <w:szCs w:val="21"/>
                      <w:lang w:val="en-US" w:eastAsia="zh-CN" w:bidi="ar-SA"/>
                    </w:rPr>
                  </w:pPr>
                  <w:r>
                    <w:rPr>
                      <w:rFonts w:hAnsi="宋体"/>
                      <w:color w:val="auto"/>
                      <w:spacing w:val="-10"/>
                      <w:sz w:val="21"/>
                      <w:szCs w:val="21"/>
                    </w:rPr>
                    <w:t>监测值</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7FCA9C2D">
                  <w:pPr>
                    <w:spacing w:line="240" w:lineRule="auto"/>
                    <w:ind w:firstLine="0" w:firstLineChars="0"/>
                    <w:jc w:val="center"/>
                    <w:rPr>
                      <w:rFonts w:ascii="Times New Roman" w:hAnsi="Times New Roman" w:eastAsia="宋体"/>
                      <w:color w:val="auto"/>
                      <w:spacing w:val="-10"/>
                      <w:kern w:val="2"/>
                      <w:sz w:val="21"/>
                      <w:szCs w:val="21"/>
                      <w:lang w:val="en-US" w:eastAsia="zh-CN" w:bidi="ar-SA"/>
                    </w:rPr>
                  </w:pPr>
                  <w:r>
                    <w:rPr>
                      <w:rFonts w:hAnsi="宋体"/>
                      <w:color w:val="auto"/>
                      <w:spacing w:val="-10"/>
                      <w:sz w:val="21"/>
                      <w:szCs w:val="21"/>
                    </w:rPr>
                    <w:t>标准值</w:t>
                  </w:r>
                </w:p>
              </w:tc>
              <w:tc>
                <w:tcPr>
                  <w:tcW w:w="719" w:type="pct"/>
                  <w:tcBorders>
                    <w:top w:val="single" w:color="auto" w:sz="4" w:space="0"/>
                    <w:left w:val="single" w:color="auto" w:sz="4" w:space="0"/>
                    <w:bottom w:val="single" w:color="auto" w:sz="4" w:space="0"/>
                    <w:right w:val="single" w:color="auto" w:sz="12" w:space="0"/>
                  </w:tcBorders>
                  <w:noWrap w:val="0"/>
                  <w:vAlign w:val="center"/>
                </w:tcPr>
                <w:p w14:paraId="4FAAF4A9">
                  <w:pPr>
                    <w:spacing w:line="240" w:lineRule="auto"/>
                    <w:ind w:firstLine="0" w:firstLineChars="0"/>
                    <w:jc w:val="center"/>
                    <w:rPr>
                      <w:rFonts w:ascii="Times New Roman" w:hAnsi="Times New Roman" w:eastAsia="宋体"/>
                      <w:color w:val="auto"/>
                      <w:spacing w:val="-10"/>
                      <w:kern w:val="2"/>
                      <w:sz w:val="21"/>
                      <w:szCs w:val="21"/>
                      <w:lang w:val="en-US" w:eastAsia="zh-CN" w:bidi="ar-SA"/>
                    </w:rPr>
                  </w:pPr>
                  <w:r>
                    <w:rPr>
                      <w:rFonts w:hAnsi="宋体"/>
                      <w:color w:val="auto"/>
                      <w:spacing w:val="-10"/>
                      <w:sz w:val="21"/>
                      <w:szCs w:val="21"/>
                    </w:rPr>
                    <w:t>评价结果</w:t>
                  </w:r>
                </w:p>
              </w:tc>
            </w:tr>
            <w:tr w14:paraId="40DCF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54" w:hRule="atLeast"/>
                <w:jc w:val="center"/>
              </w:trPr>
              <w:tc>
                <w:tcPr>
                  <w:tcW w:w="710" w:type="pct"/>
                  <w:tcBorders>
                    <w:top w:val="single" w:color="auto" w:sz="4" w:space="0"/>
                    <w:left w:val="single" w:color="auto" w:sz="4" w:space="0"/>
                    <w:bottom w:val="single" w:color="auto" w:sz="4" w:space="0"/>
                    <w:right w:val="single" w:color="auto" w:sz="4" w:space="0"/>
                  </w:tcBorders>
                  <w:noWrap w:val="0"/>
                  <w:vAlign w:val="center"/>
                </w:tcPr>
                <w:p w14:paraId="74FE5B45">
                  <w:pPr>
                    <w:spacing w:line="240" w:lineRule="auto"/>
                    <w:ind w:firstLine="0" w:firstLineChars="0"/>
                    <w:jc w:val="center"/>
                    <w:rPr>
                      <w:color w:val="auto"/>
                      <w:spacing w:val="-10"/>
                      <w:sz w:val="21"/>
                      <w:szCs w:val="21"/>
                    </w:rPr>
                  </w:pPr>
                  <w:r>
                    <w:rPr>
                      <w:rFonts w:hint="eastAsia" w:hAnsi="宋体"/>
                      <w:color w:val="auto"/>
                      <w:spacing w:val="-10"/>
                      <w:sz w:val="21"/>
                      <w:szCs w:val="21"/>
                      <w:lang w:eastAsia="zh-CN"/>
                    </w:rPr>
                    <w:t>北侧</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5FFBB2BD">
                  <w:pPr>
                    <w:spacing w:line="240" w:lineRule="auto"/>
                    <w:ind w:firstLine="0" w:firstLineChars="0"/>
                    <w:jc w:val="center"/>
                    <w:rPr>
                      <w:rFonts w:hint="default" w:eastAsia="宋体"/>
                      <w:color w:val="auto"/>
                      <w:spacing w:val="-10"/>
                      <w:sz w:val="21"/>
                      <w:szCs w:val="21"/>
                      <w:lang w:val="en-US" w:eastAsia="zh-CN"/>
                    </w:rPr>
                  </w:pPr>
                  <w:r>
                    <w:rPr>
                      <w:rFonts w:hint="eastAsia" w:eastAsia="宋体"/>
                      <w:color w:val="auto"/>
                      <w:spacing w:val="-10"/>
                      <w:sz w:val="21"/>
                      <w:szCs w:val="21"/>
                      <w:lang w:val="en-US" w:eastAsia="zh-CN"/>
                    </w:rPr>
                    <w:t>53</w:t>
                  </w:r>
                </w:p>
              </w:tc>
              <w:tc>
                <w:tcPr>
                  <w:tcW w:w="712" w:type="pct"/>
                  <w:vMerge w:val="restart"/>
                  <w:tcBorders>
                    <w:top w:val="single" w:color="auto" w:sz="4" w:space="0"/>
                    <w:left w:val="single" w:color="auto" w:sz="4" w:space="0"/>
                    <w:bottom w:val="single" w:color="auto" w:sz="4" w:space="0"/>
                    <w:right w:val="single" w:color="auto" w:sz="4" w:space="0"/>
                  </w:tcBorders>
                  <w:noWrap w:val="0"/>
                  <w:vAlign w:val="center"/>
                </w:tcPr>
                <w:p w14:paraId="61041DDD">
                  <w:pPr>
                    <w:spacing w:line="240" w:lineRule="auto"/>
                    <w:ind w:firstLine="0" w:firstLineChars="0"/>
                    <w:jc w:val="center"/>
                    <w:rPr>
                      <w:color w:val="auto"/>
                      <w:spacing w:val="-10"/>
                      <w:sz w:val="21"/>
                      <w:szCs w:val="21"/>
                    </w:rPr>
                  </w:pPr>
                  <w:r>
                    <w:rPr>
                      <w:color w:val="auto"/>
                      <w:spacing w:val="-10"/>
                      <w:sz w:val="21"/>
                      <w:szCs w:val="21"/>
                    </w:rPr>
                    <w:t>65</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24A1F9EB">
                  <w:pPr>
                    <w:spacing w:line="240" w:lineRule="auto"/>
                    <w:ind w:firstLine="0" w:firstLineChars="0"/>
                    <w:jc w:val="center"/>
                    <w:rPr>
                      <w:color w:val="auto"/>
                      <w:spacing w:val="-10"/>
                      <w:sz w:val="21"/>
                      <w:szCs w:val="21"/>
                    </w:rPr>
                  </w:pPr>
                  <w:r>
                    <w:rPr>
                      <w:rFonts w:hAnsi="宋体"/>
                      <w:color w:val="auto"/>
                      <w:spacing w:val="-10"/>
                      <w:sz w:val="21"/>
                      <w:szCs w:val="21"/>
                    </w:rPr>
                    <w:t>达标</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33958562">
                  <w:pPr>
                    <w:spacing w:line="240" w:lineRule="auto"/>
                    <w:ind w:firstLine="0" w:firstLineChars="0"/>
                    <w:jc w:val="center"/>
                    <w:rPr>
                      <w:rFonts w:hint="default" w:eastAsia="宋体"/>
                      <w:color w:val="auto"/>
                      <w:spacing w:val="-10"/>
                      <w:sz w:val="21"/>
                      <w:szCs w:val="21"/>
                      <w:lang w:val="en-US" w:eastAsia="zh-CN"/>
                    </w:rPr>
                  </w:pPr>
                  <w:r>
                    <w:rPr>
                      <w:rFonts w:hint="eastAsia" w:eastAsia="宋体"/>
                      <w:color w:val="auto"/>
                      <w:spacing w:val="-10"/>
                      <w:sz w:val="21"/>
                      <w:szCs w:val="21"/>
                      <w:lang w:val="en-US" w:eastAsia="zh-CN"/>
                    </w:rPr>
                    <w:t>50</w:t>
                  </w:r>
                </w:p>
              </w:tc>
              <w:tc>
                <w:tcPr>
                  <w:tcW w:w="712" w:type="pct"/>
                  <w:vMerge w:val="restart"/>
                  <w:tcBorders>
                    <w:top w:val="single" w:color="auto" w:sz="4" w:space="0"/>
                    <w:left w:val="single" w:color="auto" w:sz="4" w:space="0"/>
                    <w:bottom w:val="single" w:color="auto" w:sz="4" w:space="0"/>
                    <w:right w:val="single" w:color="auto" w:sz="4" w:space="0"/>
                  </w:tcBorders>
                  <w:noWrap w:val="0"/>
                  <w:vAlign w:val="center"/>
                </w:tcPr>
                <w:p w14:paraId="7C5A3CC9">
                  <w:pPr>
                    <w:spacing w:line="240" w:lineRule="auto"/>
                    <w:ind w:firstLine="0" w:firstLineChars="0"/>
                    <w:jc w:val="center"/>
                    <w:rPr>
                      <w:color w:val="auto"/>
                      <w:spacing w:val="-10"/>
                      <w:sz w:val="21"/>
                      <w:szCs w:val="21"/>
                    </w:rPr>
                  </w:pPr>
                  <w:r>
                    <w:rPr>
                      <w:color w:val="auto"/>
                      <w:spacing w:val="-10"/>
                      <w:sz w:val="21"/>
                      <w:szCs w:val="21"/>
                    </w:rPr>
                    <w:t>55</w:t>
                  </w:r>
                </w:p>
              </w:tc>
              <w:tc>
                <w:tcPr>
                  <w:tcW w:w="719" w:type="pct"/>
                  <w:tcBorders>
                    <w:top w:val="single" w:color="auto" w:sz="4" w:space="0"/>
                    <w:left w:val="single" w:color="auto" w:sz="4" w:space="0"/>
                    <w:bottom w:val="single" w:color="auto" w:sz="4" w:space="0"/>
                    <w:right w:val="single" w:color="auto" w:sz="12" w:space="0"/>
                  </w:tcBorders>
                  <w:noWrap w:val="0"/>
                  <w:vAlign w:val="center"/>
                </w:tcPr>
                <w:p w14:paraId="11AC4D43">
                  <w:pPr>
                    <w:spacing w:line="240" w:lineRule="auto"/>
                    <w:ind w:firstLine="0" w:firstLineChars="0"/>
                    <w:jc w:val="center"/>
                    <w:rPr>
                      <w:color w:val="auto"/>
                      <w:spacing w:val="-10"/>
                      <w:sz w:val="21"/>
                      <w:szCs w:val="21"/>
                    </w:rPr>
                  </w:pPr>
                  <w:r>
                    <w:rPr>
                      <w:rFonts w:hAnsi="宋体"/>
                      <w:color w:val="auto"/>
                      <w:spacing w:val="-10"/>
                      <w:sz w:val="21"/>
                      <w:szCs w:val="21"/>
                    </w:rPr>
                    <w:t>达标</w:t>
                  </w:r>
                </w:p>
              </w:tc>
            </w:tr>
            <w:tr w14:paraId="0043D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69" w:hRule="atLeast"/>
                <w:jc w:val="center"/>
              </w:trPr>
              <w:tc>
                <w:tcPr>
                  <w:tcW w:w="710" w:type="pct"/>
                  <w:tcBorders>
                    <w:top w:val="single" w:color="auto" w:sz="4" w:space="0"/>
                    <w:left w:val="single" w:color="auto" w:sz="4" w:space="0"/>
                    <w:bottom w:val="single" w:color="auto" w:sz="4" w:space="0"/>
                    <w:right w:val="single" w:color="auto" w:sz="4" w:space="0"/>
                  </w:tcBorders>
                  <w:noWrap w:val="0"/>
                  <w:vAlign w:val="center"/>
                </w:tcPr>
                <w:p w14:paraId="0CBF3802">
                  <w:pPr>
                    <w:spacing w:line="240" w:lineRule="auto"/>
                    <w:ind w:firstLine="0" w:firstLineChars="0"/>
                    <w:jc w:val="center"/>
                    <w:rPr>
                      <w:rFonts w:hint="eastAsia" w:eastAsia="宋体"/>
                      <w:color w:val="auto"/>
                      <w:spacing w:val="-10"/>
                      <w:sz w:val="21"/>
                      <w:szCs w:val="21"/>
                      <w:lang w:eastAsia="zh-CN"/>
                    </w:rPr>
                  </w:pPr>
                  <w:r>
                    <w:rPr>
                      <w:rFonts w:hint="eastAsia"/>
                      <w:color w:val="auto"/>
                      <w:spacing w:val="-10"/>
                      <w:sz w:val="21"/>
                      <w:szCs w:val="21"/>
                      <w:lang w:eastAsia="zh-CN"/>
                    </w:rPr>
                    <w:t>东侧</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2572A14">
                  <w:pPr>
                    <w:spacing w:line="240" w:lineRule="auto"/>
                    <w:ind w:firstLine="0" w:firstLineChars="0"/>
                    <w:jc w:val="center"/>
                    <w:rPr>
                      <w:rFonts w:hint="default" w:eastAsia="宋体"/>
                      <w:color w:val="auto"/>
                      <w:spacing w:val="-10"/>
                      <w:sz w:val="21"/>
                      <w:szCs w:val="21"/>
                      <w:lang w:val="en-US" w:eastAsia="zh-CN"/>
                    </w:rPr>
                  </w:pPr>
                  <w:r>
                    <w:rPr>
                      <w:rFonts w:hint="eastAsia" w:eastAsia="宋体"/>
                      <w:color w:val="auto"/>
                      <w:spacing w:val="-10"/>
                      <w:sz w:val="21"/>
                      <w:szCs w:val="21"/>
                      <w:lang w:val="en-US" w:eastAsia="zh-CN"/>
                    </w:rPr>
                    <w:t>50</w:t>
                  </w:r>
                </w:p>
              </w:tc>
              <w:tc>
                <w:tcPr>
                  <w:tcW w:w="712" w:type="pct"/>
                  <w:vMerge w:val="continue"/>
                  <w:tcBorders>
                    <w:top w:val="single" w:color="auto" w:sz="4" w:space="0"/>
                    <w:left w:val="single" w:color="auto" w:sz="4" w:space="0"/>
                    <w:bottom w:val="single" w:color="auto" w:sz="4" w:space="0"/>
                    <w:right w:val="single" w:color="auto" w:sz="4" w:space="0"/>
                  </w:tcBorders>
                  <w:noWrap w:val="0"/>
                  <w:vAlign w:val="center"/>
                </w:tcPr>
                <w:p w14:paraId="2A0D790D">
                  <w:pPr>
                    <w:spacing w:line="240" w:lineRule="auto"/>
                    <w:ind w:firstLine="0" w:firstLineChars="0"/>
                    <w:jc w:val="center"/>
                    <w:rPr>
                      <w:color w:val="auto"/>
                      <w:spacing w:val="-10"/>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1D3314CA">
                  <w:pPr>
                    <w:spacing w:line="240" w:lineRule="auto"/>
                    <w:ind w:firstLine="0" w:firstLineChars="0"/>
                    <w:jc w:val="center"/>
                    <w:rPr>
                      <w:color w:val="auto"/>
                      <w:spacing w:val="-10"/>
                      <w:sz w:val="21"/>
                      <w:szCs w:val="21"/>
                    </w:rPr>
                  </w:pPr>
                  <w:r>
                    <w:rPr>
                      <w:rFonts w:hAnsi="宋体"/>
                      <w:color w:val="auto"/>
                      <w:spacing w:val="-10"/>
                      <w:sz w:val="21"/>
                      <w:szCs w:val="21"/>
                    </w:rPr>
                    <w:t>达标</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157FACF4">
                  <w:pPr>
                    <w:spacing w:line="240" w:lineRule="auto"/>
                    <w:ind w:firstLine="0" w:firstLineChars="0"/>
                    <w:jc w:val="center"/>
                    <w:rPr>
                      <w:rFonts w:hint="default" w:eastAsia="宋体"/>
                      <w:color w:val="auto"/>
                      <w:spacing w:val="-10"/>
                      <w:sz w:val="21"/>
                      <w:szCs w:val="21"/>
                      <w:lang w:val="en-US" w:eastAsia="zh-CN"/>
                    </w:rPr>
                  </w:pPr>
                  <w:r>
                    <w:rPr>
                      <w:rFonts w:hint="eastAsia" w:eastAsia="宋体"/>
                      <w:color w:val="auto"/>
                      <w:spacing w:val="-10"/>
                      <w:sz w:val="21"/>
                      <w:szCs w:val="21"/>
                      <w:lang w:val="en-US" w:eastAsia="zh-CN"/>
                    </w:rPr>
                    <w:t>49</w:t>
                  </w:r>
                </w:p>
              </w:tc>
              <w:tc>
                <w:tcPr>
                  <w:tcW w:w="712" w:type="pct"/>
                  <w:vMerge w:val="continue"/>
                  <w:tcBorders>
                    <w:top w:val="single" w:color="auto" w:sz="4" w:space="0"/>
                    <w:left w:val="single" w:color="auto" w:sz="4" w:space="0"/>
                    <w:bottom w:val="single" w:color="auto" w:sz="4" w:space="0"/>
                    <w:right w:val="single" w:color="auto" w:sz="4" w:space="0"/>
                  </w:tcBorders>
                  <w:noWrap w:val="0"/>
                  <w:vAlign w:val="center"/>
                </w:tcPr>
                <w:p w14:paraId="4D98970D">
                  <w:pPr>
                    <w:spacing w:line="240" w:lineRule="auto"/>
                    <w:ind w:firstLine="0" w:firstLineChars="0"/>
                    <w:jc w:val="center"/>
                    <w:rPr>
                      <w:color w:val="auto"/>
                      <w:spacing w:val="-10"/>
                      <w:sz w:val="21"/>
                      <w:szCs w:val="21"/>
                    </w:rPr>
                  </w:pPr>
                </w:p>
              </w:tc>
              <w:tc>
                <w:tcPr>
                  <w:tcW w:w="719" w:type="pct"/>
                  <w:tcBorders>
                    <w:top w:val="single" w:color="auto" w:sz="4" w:space="0"/>
                    <w:left w:val="single" w:color="auto" w:sz="4" w:space="0"/>
                    <w:bottom w:val="single" w:color="auto" w:sz="4" w:space="0"/>
                    <w:right w:val="single" w:color="auto" w:sz="12" w:space="0"/>
                  </w:tcBorders>
                  <w:noWrap w:val="0"/>
                  <w:vAlign w:val="center"/>
                </w:tcPr>
                <w:p w14:paraId="30EBE231">
                  <w:pPr>
                    <w:spacing w:line="240" w:lineRule="auto"/>
                    <w:ind w:firstLine="0" w:firstLineChars="0"/>
                    <w:jc w:val="center"/>
                    <w:rPr>
                      <w:color w:val="auto"/>
                      <w:spacing w:val="-10"/>
                      <w:sz w:val="21"/>
                      <w:szCs w:val="21"/>
                    </w:rPr>
                  </w:pPr>
                  <w:r>
                    <w:rPr>
                      <w:rFonts w:hAnsi="宋体"/>
                      <w:color w:val="auto"/>
                      <w:spacing w:val="-10"/>
                      <w:sz w:val="21"/>
                      <w:szCs w:val="21"/>
                    </w:rPr>
                    <w:t>达标</w:t>
                  </w:r>
                </w:p>
              </w:tc>
            </w:tr>
            <w:tr w14:paraId="0C699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54" w:hRule="atLeast"/>
                <w:jc w:val="center"/>
              </w:trPr>
              <w:tc>
                <w:tcPr>
                  <w:tcW w:w="710" w:type="pct"/>
                  <w:tcBorders>
                    <w:top w:val="single" w:color="auto" w:sz="4" w:space="0"/>
                    <w:left w:val="single" w:color="auto" w:sz="4" w:space="0"/>
                    <w:bottom w:val="single" w:color="auto" w:sz="4" w:space="0"/>
                    <w:right w:val="single" w:color="auto" w:sz="4" w:space="0"/>
                  </w:tcBorders>
                  <w:noWrap w:val="0"/>
                  <w:vAlign w:val="center"/>
                </w:tcPr>
                <w:p w14:paraId="65FF450E">
                  <w:pPr>
                    <w:spacing w:line="240" w:lineRule="auto"/>
                    <w:ind w:firstLine="0" w:firstLineChars="0"/>
                    <w:jc w:val="center"/>
                    <w:rPr>
                      <w:rFonts w:hint="eastAsia" w:eastAsia="宋体"/>
                      <w:color w:val="auto"/>
                      <w:spacing w:val="-10"/>
                      <w:sz w:val="21"/>
                      <w:szCs w:val="21"/>
                      <w:lang w:eastAsia="zh-CN"/>
                    </w:rPr>
                  </w:pPr>
                  <w:r>
                    <w:rPr>
                      <w:rFonts w:hint="eastAsia"/>
                      <w:color w:val="auto"/>
                      <w:spacing w:val="-10"/>
                      <w:sz w:val="21"/>
                      <w:szCs w:val="21"/>
                      <w:lang w:eastAsia="zh-CN"/>
                    </w:rPr>
                    <w:t>南侧</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30D28CA">
                  <w:pPr>
                    <w:spacing w:line="240" w:lineRule="auto"/>
                    <w:ind w:firstLine="0" w:firstLineChars="0"/>
                    <w:jc w:val="center"/>
                    <w:rPr>
                      <w:rFonts w:hint="default" w:eastAsia="宋体"/>
                      <w:color w:val="auto"/>
                      <w:spacing w:val="-10"/>
                      <w:sz w:val="21"/>
                      <w:szCs w:val="21"/>
                      <w:lang w:val="en-US" w:eastAsia="zh-CN"/>
                    </w:rPr>
                  </w:pPr>
                  <w:r>
                    <w:rPr>
                      <w:rFonts w:hint="eastAsia" w:eastAsia="宋体"/>
                      <w:color w:val="auto"/>
                      <w:spacing w:val="-10"/>
                      <w:sz w:val="21"/>
                      <w:szCs w:val="21"/>
                      <w:lang w:val="en-US" w:eastAsia="zh-CN"/>
                    </w:rPr>
                    <w:t>51</w:t>
                  </w:r>
                </w:p>
              </w:tc>
              <w:tc>
                <w:tcPr>
                  <w:tcW w:w="712" w:type="pct"/>
                  <w:vMerge w:val="continue"/>
                  <w:tcBorders>
                    <w:top w:val="single" w:color="auto" w:sz="4" w:space="0"/>
                    <w:left w:val="single" w:color="auto" w:sz="4" w:space="0"/>
                    <w:bottom w:val="single" w:color="auto" w:sz="4" w:space="0"/>
                    <w:right w:val="single" w:color="auto" w:sz="4" w:space="0"/>
                  </w:tcBorders>
                  <w:noWrap w:val="0"/>
                  <w:vAlign w:val="center"/>
                </w:tcPr>
                <w:p w14:paraId="7101F56D">
                  <w:pPr>
                    <w:spacing w:line="240" w:lineRule="auto"/>
                    <w:ind w:firstLine="0" w:firstLineChars="0"/>
                    <w:jc w:val="center"/>
                    <w:rPr>
                      <w:color w:val="auto"/>
                      <w:spacing w:val="-10"/>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77D23A33">
                  <w:pPr>
                    <w:spacing w:line="240" w:lineRule="auto"/>
                    <w:ind w:firstLine="0" w:firstLineChars="0"/>
                    <w:jc w:val="center"/>
                    <w:rPr>
                      <w:color w:val="auto"/>
                      <w:spacing w:val="-10"/>
                      <w:sz w:val="21"/>
                      <w:szCs w:val="21"/>
                    </w:rPr>
                  </w:pPr>
                  <w:r>
                    <w:rPr>
                      <w:rFonts w:hAnsi="宋体"/>
                      <w:color w:val="auto"/>
                      <w:spacing w:val="-10"/>
                      <w:sz w:val="21"/>
                      <w:szCs w:val="21"/>
                    </w:rPr>
                    <w:t>达标</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000B87AC">
                  <w:pPr>
                    <w:spacing w:line="240" w:lineRule="auto"/>
                    <w:ind w:firstLine="0" w:firstLineChars="0"/>
                    <w:jc w:val="center"/>
                    <w:rPr>
                      <w:rFonts w:hint="default" w:eastAsia="宋体"/>
                      <w:color w:val="auto"/>
                      <w:spacing w:val="-10"/>
                      <w:sz w:val="21"/>
                      <w:szCs w:val="21"/>
                      <w:lang w:val="en-US" w:eastAsia="zh-CN"/>
                    </w:rPr>
                  </w:pPr>
                  <w:r>
                    <w:rPr>
                      <w:rFonts w:hint="eastAsia" w:eastAsia="宋体"/>
                      <w:color w:val="auto"/>
                      <w:spacing w:val="-10"/>
                      <w:sz w:val="21"/>
                      <w:szCs w:val="21"/>
                      <w:lang w:val="en-US" w:eastAsia="zh-CN"/>
                    </w:rPr>
                    <w:t>49</w:t>
                  </w:r>
                </w:p>
              </w:tc>
              <w:tc>
                <w:tcPr>
                  <w:tcW w:w="712" w:type="pct"/>
                  <w:vMerge w:val="continue"/>
                  <w:tcBorders>
                    <w:top w:val="single" w:color="auto" w:sz="4" w:space="0"/>
                    <w:left w:val="single" w:color="auto" w:sz="4" w:space="0"/>
                    <w:bottom w:val="single" w:color="auto" w:sz="4" w:space="0"/>
                    <w:right w:val="single" w:color="auto" w:sz="4" w:space="0"/>
                  </w:tcBorders>
                  <w:noWrap w:val="0"/>
                  <w:vAlign w:val="center"/>
                </w:tcPr>
                <w:p w14:paraId="3D11D5C6">
                  <w:pPr>
                    <w:spacing w:line="240" w:lineRule="auto"/>
                    <w:ind w:firstLine="0" w:firstLineChars="0"/>
                    <w:jc w:val="center"/>
                    <w:rPr>
                      <w:color w:val="auto"/>
                      <w:spacing w:val="-10"/>
                      <w:sz w:val="21"/>
                      <w:szCs w:val="21"/>
                    </w:rPr>
                  </w:pPr>
                </w:p>
              </w:tc>
              <w:tc>
                <w:tcPr>
                  <w:tcW w:w="719" w:type="pct"/>
                  <w:tcBorders>
                    <w:top w:val="single" w:color="auto" w:sz="4" w:space="0"/>
                    <w:left w:val="single" w:color="auto" w:sz="4" w:space="0"/>
                    <w:bottom w:val="single" w:color="auto" w:sz="4" w:space="0"/>
                    <w:right w:val="single" w:color="auto" w:sz="12" w:space="0"/>
                  </w:tcBorders>
                  <w:noWrap w:val="0"/>
                  <w:vAlign w:val="center"/>
                </w:tcPr>
                <w:p w14:paraId="7C02748C">
                  <w:pPr>
                    <w:spacing w:line="240" w:lineRule="auto"/>
                    <w:ind w:firstLine="0" w:firstLineChars="0"/>
                    <w:jc w:val="center"/>
                    <w:rPr>
                      <w:color w:val="auto"/>
                      <w:spacing w:val="-10"/>
                      <w:sz w:val="21"/>
                      <w:szCs w:val="21"/>
                    </w:rPr>
                  </w:pPr>
                  <w:r>
                    <w:rPr>
                      <w:rFonts w:hAnsi="宋体"/>
                      <w:color w:val="auto"/>
                      <w:spacing w:val="-10"/>
                      <w:sz w:val="21"/>
                      <w:szCs w:val="21"/>
                    </w:rPr>
                    <w:t>达标</w:t>
                  </w:r>
                </w:p>
              </w:tc>
            </w:tr>
            <w:tr w14:paraId="621F5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79" w:hRule="atLeast"/>
                <w:jc w:val="center"/>
              </w:trPr>
              <w:tc>
                <w:tcPr>
                  <w:tcW w:w="710" w:type="pct"/>
                  <w:tcBorders>
                    <w:top w:val="single" w:color="auto" w:sz="4" w:space="0"/>
                    <w:left w:val="single" w:color="auto" w:sz="4" w:space="0"/>
                    <w:bottom w:val="single" w:color="auto" w:sz="12" w:space="0"/>
                    <w:right w:val="single" w:color="auto" w:sz="4" w:space="0"/>
                  </w:tcBorders>
                  <w:noWrap w:val="0"/>
                  <w:vAlign w:val="center"/>
                </w:tcPr>
                <w:p w14:paraId="651016E8">
                  <w:pPr>
                    <w:spacing w:line="240" w:lineRule="auto"/>
                    <w:ind w:firstLine="0" w:firstLineChars="0"/>
                    <w:jc w:val="center"/>
                    <w:rPr>
                      <w:rFonts w:hint="eastAsia" w:eastAsia="宋体"/>
                      <w:color w:val="auto"/>
                      <w:spacing w:val="-10"/>
                      <w:sz w:val="21"/>
                      <w:szCs w:val="21"/>
                      <w:lang w:eastAsia="zh-CN"/>
                    </w:rPr>
                  </w:pPr>
                  <w:r>
                    <w:rPr>
                      <w:rFonts w:hint="eastAsia"/>
                      <w:color w:val="auto"/>
                      <w:spacing w:val="-10"/>
                      <w:sz w:val="21"/>
                      <w:szCs w:val="21"/>
                      <w:lang w:eastAsia="zh-CN"/>
                    </w:rPr>
                    <w:t>西侧</w:t>
                  </w:r>
                </w:p>
              </w:tc>
              <w:tc>
                <w:tcPr>
                  <w:tcW w:w="711" w:type="pct"/>
                  <w:tcBorders>
                    <w:top w:val="single" w:color="auto" w:sz="4" w:space="0"/>
                    <w:left w:val="single" w:color="auto" w:sz="4" w:space="0"/>
                    <w:bottom w:val="single" w:color="auto" w:sz="12" w:space="0"/>
                    <w:right w:val="single" w:color="auto" w:sz="4" w:space="0"/>
                  </w:tcBorders>
                  <w:noWrap w:val="0"/>
                  <w:vAlign w:val="center"/>
                </w:tcPr>
                <w:p w14:paraId="18FDF057">
                  <w:pPr>
                    <w:spacing w:line="240" w:lineRule="auto"/>
                    <w:ind w:firstLine="0" w:firstLineChars="0"/>
                    <w:jc w:val="center"/>
                    <w:rPr>
                      <w:rFonts w:hint="default" w:eastAsia="宋体"/>
                      <w:color w:val="auto"/>
                      <w:spacing w:val="-10"/>
                      <w:sz w:val="21"/>
                      <w:szCs w:val="21"/>
                      <w:lang w:val="en-US" w:eastAsia="zh-CN"/>
                    </w:rPr>
                  </w:pPr>
                  <w:r>
                    <w:rPr>
                      <w:rFonts w:hint="eastAsia" w:eastAsia="宋体"/>
                      <w:color w:val="auto"/>
                      <w:spacing w:val="-10"/>
                      <w:sz w:val="21"/>
                      <w:szCs w:val="21"/>
                      <w:lang w:val="en-US" w:eastAsia="zh-CN"/>
                    </w:rPr>
                    <w:t>49</w:t>
                  </w:r>
                </w:p>
              </w:tc>
              <w:tc>
                <w:tcPr>
                  <w:tcW w:w="712" w:type="pct"/>
                  <w:vMerge w:val="continue"/>
                  <w:tcBorders>
                    <w:top w:val="single" w:color="auto" w:sz="4" w:space="0"/>
                    <w:left w:val="single" w:color="auto" w:sz="4" w:space="0"/>
                    <w:bottom w:val="single" w:color="auto" w:sz="12" w:space="0"/>
                    <w:right w:val="single" w:color="auto" w:sz="4" w:space="0"/>
                  </w:tcBorders>
                  <w:noWrap w:val="0"/>
                  <w:vAlign w:val="center"/>
                </w:tcPr>
                <w:p w14:paraId="28426EB2">
                  <w:pPr>
                    <w:spacing w:line="240" w:lineRule="auto"/>
                    <w:ind w:firstLine="0" w:firstLineChars="0"/>
                    <w:jc w:val="center"/>
                    <w:rPr>
                      <w:color w:val="auto"/>
                      <w:spacing w:val="-10"/>
                      <w:sz w:val="21"/>
                      <w:szCs w:val="21"/>
                    </w:rPr>
                  </w:pPr>
                </w:p>
              </w:tc>
              <w:tc>
                <w:tcPr>
                  <w:tcW w:w="720" w:type="pct"/>
                  <w:tcBorders>
                    <w:top w:val="single" w:color="auto" w:sz="4" w:space="0"/>
                    <w:left w:val="single" w:color="auto" w:sz="4" w:space="0"/>
                    <w:bottom w:val="single" w:color="auto" w:sz="12" w:space="0"/>
                    <w:right w:val="single" w:color="auto" w:sz="4" w:space="0"/>
                  </w:tcBorders>
                  <w:noWrap w:val="0"/>
                  <w:vAlign w:val="center"/>
                </w:tcPr>
                <w:p w14:paraId="60914A37">
                  <w:pPr>
                    <w:spacing w:line="240" w:lineRule="auto"/>
                    <w:ind w:firstLine="0" w:firstLineChars="0"/>
                    <w:jc w:val="center"/>
                    <w:rPr>
                      <w:color w:val="auto"/>
                      <w:spacing w:val="-10"/>
                      <w:sz w:val="21"/>
                      <w:szCs w:val="21"/>
                    </w:rPr>
                  </w:pPr>
                  <w:r>
                    <w:rPr>
                      <w:rFonts w:hAnsi="宋体"/>
                      <w:color w:val="auto"/>
                      <w:spacing w:val="-10"/>
                      <w:sz w:val="21"/>
                      <w:szCs w:val="21"/>
                    </w:rPr>
                    <w:t>达标</w:t>
                  </w:r>
                </w:p>
              </w:tc>
              <w:tc>
                <w:tcPr>
                  <w:tcW w:w="712" w:type="pct"/>
                  <w:tcBorders>
                    <w:top w:val="single" w:color="auto" w:sz="4" w:space="0"/>
                    <w:left w:val="single" w:color="auto" w:sz="4" w:space="0"/>
                    <w:bottom w:val="single" w:color="auto" w:sz="12" w:space="0"/>
                    <w:right w:val="single" w:color="auto" w:sz="4" w:space="0"/>
                  </w:tcBorders>
                  <w:noWrap w:val="0"/>
                  <w:vAlign w:val="center"/>
                </w:tcPr>
                <w:p w14:paraId="39274CAC">
                  <w:pPr>
                    <w:spacing w:line="240" w:lineRule="auto"/>
                    <w:ind w:firstLine="0" w:firstLineChars="0"/>
                    <w:jc w:val="center"/>
                    <w:rPr>
                      <w:rFonts w:hint="default" w:eastAsia="宋体"/>
                      <w:color w:val="auto"/>
                      <w:spacing w:val="-10"/>
                      <w:sz w:val="21"/>
                      <w:szCs w:val="21"/>
                      <w:lang w:val="en-US" w:eastAsia="zh-CN"/>
                    </w:rPr>
                  </w:pPr>
                  <w:r>
                    <w:rPr>
                      <w:rFonts w:hint="eastAsia" w:eastAsia="宋体"/>
                      <w:color w:val="auto"/>
                      <w:spacing w:val="-10"/>
                      <w:sz w:val="21"/>
                      <w:szCs w:val="21"/>
                      <w:lang w:val="en-US" w:eastAsia="zh-CN"/>
                    </w:rPr>
                    <w:t>46</w:t>
                  </w:r>
                </w:p>
              </w:tc>
              <w:tc>
                <w:tcPr>
                  <w:tcW w:w="712" w:type="pct"/>
                  <w:vMerge w:val="continue"/>
                  <w:tcBorders>
                    <w:top w:val="single" w:color="auto" w:sz="4" w:space="0"/>
                    <w:left w:val="single" w:color="auto" w:sz="4" w:space="0"/>
                    <w:bottom w:val="single" w:color="auto" w:sz="12" w:space="0"/>
                    <w:right w:val="single" w:color="auto" w:sz="4" w:space="0"/>
                  </w:tcBorders>
                  <w:noWrap w:val="0"/>
                  <w:vAlign w:val="center"/>
                </w:tcPr>
                <w:p w14:paraId="01CAFE66">
                  <w:pPr>
                    <w:spacing w:line="240" w:lineRule="auto"/>
                    <w:ind w:firstLine="0" w:firstLineChars="0"/>
                    <w:jc w:val="center"/>
                    <w:rPr>
                      <w:color w:val="auto"/>
                      <w:spacing w:val="-10"/>
                      <w:sz w:val="21"/>
                      <w:szCs w:val="21"/>
                    </w:rPr>
                  </w:pPr>
                </w:p>
              </w:tc>
              <w:tc>
                <w:tcPr>
                  <w:tcW w:w="719" w:type="pct"/>
                  <w:tcBorders>
                    <w:top w:val="single" w:color="auto" w:sz="4" w:space="0"/>
                    <w:left w:val="single" w:color="auto" w:sz="4" w:space="0"/>
                    <w:bottom w:val="single" w:color="auto" w:sz="12" w:space="0"/>
                    <w:right w:val="single" w:color="auto" w:sz="12" w:space="0"/>
                  </w:tcBorders>
                  <w:noWrap w:val="0"/>
                  <w:vAlign w:val="center"/>
                </w:tcPr>
                <w:p w14:paraId="25DCD00D">
                  <w:pPr>
                    <w:spacing w:line="240" w:lineRule="auto"/>
                    <w:ind w:firstLine="0" w:firstLineChars="0"/>
                    <w:jc w:val="center"/>
                    <w:rPr>
                      <w:color w:val="auto"/>
                      <w:spacing w:val="-10"/>
                      <w:sz w:val="21"/>
                      <w:szCs w:val="21"/>
                    </w:rPr>
                  </w:pPr>
                  <w:r>
                    <w:rPr>
                      <w:rFonts w:hAnsi="宋体"/>
                      <w:color w:val="auto"/>
                      <w:spacing w:val="-10"/>
                      <w:sz w:val="21"/>
                      <w:szCs w:val="21"/>
                    </w:rPr>
                    <w:t>达标</w:t>
                  </w:r>
                </w:p>
              </w:tc>
            </w:tr>
          </w:tbl>
          <w:p w14:paraId="2A6315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本项目四周厂界噪声监测值昼</w:t>
            </w:r>
            <w:r>
              <w:rPr>
                <w:rFonts w:hint="eastAsia"/>
                <w:color w:val="auto"/>
                <w:lang w:val="en-US" w:eastAsia="zh-CN"/>
              </w:rPr>
              <w:t>间为49dB(A)～53dB(A)，夜间为46dB(A)～50dB(</w:t>
            </w:r>
            <w:r>
              <w:rPr>
                <w:rFonts w:hint="eastAsia"/>
                <w:lang w:val="en-US" w:eastAsia="zh-CN"/>
              </w:rPr>
              <w:t>A)，均满足《声环境质量标准》（GB3096-2008）中3类区标准要求。说明项目所在区域声环境质量良好。</w:t>
            </w:r>
          </w:p>
          <w:p w14:paraId="36E9D767">
            <w:pPr>
              <w:keepNext w:val="0"/>
              <w:keepLines w:val="0"/>
              <w:pageBreakBefore w:val="0"/>
              <w:widowControl w:val="0"/>
              <w:tabs>
                <w:tab w:val="left" w:pos="1100"/>
              </w:tabs>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Times New Roman" w:hAnsi="Times New Roman"/>
                <w:b/>
                <w:bCs/>
                <w:sz w:val="24"/>
                <w:szCs w:val="32"/>
                <w:lang w:eastAsia="zh-CN"/>
              </w:rPr>
            </w:pPr>
            <w:r>
              <w:rPr>
                <w:rFonts w:hint="eastAsia" w:ascii="Times New Roman" w:hAnsi="Times New Roman"/>
                <w:b/>
                <w:bCs/>
                <w:sz w:val="24"/>
                <w:szCs w:val="32"/>
                <w:lang w:eastAsia="zh-CN"/>
              </w:rPr>
              <w:t>四、地下水、</w:t>
            </w:r>
            <w:r>
              <w:rPr>
                <w:rFonts w:hint="eastAsia"/>
                <w:b/>
                <w:bCs/>
                <w:sz w:val="24"/>
                <w:szCs w:val="32"/>
                <w:lang w:eastAsia="zh-CN"/>
              </w:rPr>
              <w:t>土壤环境质量现状</w:t>
            </w:r>
          </w:p>
          <w:p w14:paraId="7D58BB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本项目不涉及地下水和土壤环境污染途径，不开展地下水和土壤环境质量现状调查。</w:t>
            </w:r>
          </w:p>
          <w:p w14:paraId="3FC94655">
            <w:pPr>
              <w:keepNext w:val="0"/>
              <w:keepLines w:val="0"/>
              <w:pageBreakBefore w:val="0"/>
              <w:widowControl w:val="0"/>
              <w:tabs>
                <w:tab w:val="left" w:pos="1100"/>
              </w:tabs>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Times New Roman" w:hAnsi="Times New Roman"/>
                <w:b/>
                <w:bCs/>
                <w:sz w:val="24"/>
                <w:szCs w:val="32"/>
                <w:lang w:eastAsia="zh-CN"/>
              </w:rPr>
            </w:pPr>
            <w:r>
              <w:rPr>
                <w:rFonts w:hint="eastAsia"/>
                <w:b/>
                <w:bCs/>
                <w:sz w:val="24"/>
                <w:szCs w:val="32"/>
                <w:lang w:eastAsia="zh-CN"/>
              </w:rPr>
              <w:t>五、</w:t>
            </w:r>
            <w:r>
              <w:rPr>
                <w:rFonts w:hint="eastAsia" w:ascii="Times New Roman" w:hAnsi="Times New Roman"/>
                <w:b/>
                <w:bCs/>
                <w:sz w:val="24"/>
                <w:szCs w:val="32"/>
                <w:lang w:eastAsia="zh-CN"/>
              </w:rPr>
              <w:t>生态环境现状与评价</w:t>
            </w:r>
          </w:p>
          <w:p w14:paraId="476491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kern w:val="0"/>
                <w:szCs w:val="21"/>
              </w:rPr>
            </w:pPr>
            <w:r>
              <w:rPr>
                <w:rFonts w:hint="eastAsia"/>
                <w:lang w:val="en-US" w:eastAsia="zh-CN"/>
              </w:rPr>
              <w:t>根据《建设项目环境影响报告表编制技术指南（污染影响类）（试行）》，本项目位于园区内，因此不进行生态现状调查。</w:t>
            </w:r>
          </w:p>
        </w:tc>
      </w:tr>
      <w:tr w14:paraId="0B59F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DDAF4D9">
            <w:pPr>
              <w:adjustRightInd w:val="0"/>
              <w:snapToGrid w:val="0"/>
              <w:jc w:val="center"/>
              <w:rPr>
                <w:rFonts w:hint="eastAsia" w:ascii="宋体" w:hAnsi="宋体" w:cs="宋体"/>
                <w:kern w:val="0"/>
                <w:szCs w:val="21"/>
              </w:rPr>
            </w:pPr>
            <w:r>
              <w:rPr>
                <w:rFonts w:hint="eastAsia" w:ascii="宋体" w:hAnsi="宋体" w:cs="宋体"/>
                <w:kern w:val="0"/>
                <w:szCs w:val="21"/>
              </w:rPr>
              <w:t>环境</w:t>
            </w:r>
          </w:p>
          <w:p w14:paraId="02F30B4D">
            <w:pPr>
              <w:adjustRightInd w:val="0"/>
              <w:snapToGrid w:val="0"/>
              <w:jc w:val="center"/>
              <w:rPr>
                <w:rFonts w:hint="eastAsia" w:ascii="宋体" w:hAnsi="宋体" w:cs="宋体"/>
                <w:kern w:val="0"/>
                <w:szCs w:val="21"/>
              </w:rPr>
            </w:pPr>
            <w:r>
              <w:rPr>
                <w:rFonts w:hint="eastAsia" w:ascii="宋体" w:hAnsi="宋体" w:cs="宋体"/>
                <w:kern w:val="0"/>
                <w:szCs w:val="21"/>
              </w:rPr>
              <w:t>保护</w:t>
            </w:r>
          </w:p>
          <w:p w14:paraId="26189F65">
            <w:pPr>
              <w:adjustRightInd w:val="0"/>
              <w:snapToGrid w:val="0"/>
              <w:jc w:val="center"/>
              <w:rPr>
                <w:rFonts w:hint="eastAsia" w:ascii="宋体" w:hAnsi="宋体" w:cs="宋体"/>
                <w:kern w:val="0"/>
                <w:szCs w:val="21"/>
              </w:rPr>
            </w:pPr>
            <w:r>
              <w:rPr>
                <w:rFonts w:hint="eastAsia" w:ascii="宋体" w:hAnsi="宋体" w:cs="宋体"/>
                <w:kern w:val="0"/>
                <w:szCs w:val="21"/>
              </w:rPr>
              <w:t>目标</w:t>
            </w:r>
          </w:p>
        </w:tc>
        <w:tc>
          <w:tcPr>
            <w:tcW w:w="8190" w:type="dxa"/>
            <w:noWrap w:val="0"/>
            <w:vAlign w:val="center"/>
          </w:tcPr>
          <w:p w14:paraId="5E100F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lang w:val="en-US" w:eastAsia="zh-CN"/>
              </w:rPr>
              <w:t>本项目厂界外500m范围内不存在自然保护区、风景名胜区、居住区、文化区和农村地区中</w:t>
            </w:r>
            <w:r>
              <w:rPr>
                <w:rFonts w:hint="eastAsia"/>
                <w:color w:val="auto"/>
                <w:highlight w:val="none"/>
                <w:lang w:val="en-US" w:eastAsia="zh-CN"/>
              </w:rPr>
              <w:t>人群较集中的区域，无大气环境保护目标。</w:t>
            </w:r>
          </w:p>
          <w:p w14:paraId="5B6818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本项目厂界外50m范围内无声环境保护目标。</w:t>
            </w:r>
          </w:p>
          <w:p w14:paraId="4BEB79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本项目厂界外500m范围无地下水集中式饮用水水源和热水、矿泉水、温泉等特殊地下水资源，无地下水环境保护目标。</w:t>
            </w:r>
          </w:p>
          <w:p w14:paraId="60DDBE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项目位于工业园区，且无新增用地，无生态环境保护目标。</w:t>
            </w:r>
          </w:p>
        </w:tc>
      </w:tr>
      <w:tr w14:paraId="7F028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tcMar>
              <w:left w:w="28" w:type="dxa"/>
              <w:right w:w="28" w:type="dxa"/>
            </w:tcMar>
            <w:vAlign w:val="center"/>
          </w:tcPr>
          <w:p w14:paraId="4241A15F">
            <w:pPr>
              <w:adjustRightInd w:val="0"/>
              <w:snapToGrid w:val="0"/>
              <w:jc w:val="center"/>
              <w:rPr>
                <w:rFonts w:hint="eastAsia" w:ascii="宋体" w:hAnsi="宋体" w:cs="宋体"/>
                <w:kern w:val="0"/>
                <w:szCs w:val="21"/>
              </w:rPr>
            </w:pPr>
            <w:r>
              <w:rPr>
                <w:rFonts w:hint="eastAsia" w:ascii="宋体" w:hAnsi="宋体" w:cs="宋体"/>
                <w:kern w:val="0"/>
                <w:szCs w:val="21"/>
              </w:rPr>
              <w:t>污染</w:t>
            </w:r>
          </w:p>
          <w:p w14:paraId="156DE02F">
            <w:pPr>
              <w:adjustRightInd w:val="0"/>
              <w:snapToGrid w:val="0"/>
              <w:jc w:val="center"/>
              <w:rPr>
                <w:rFonts w:hint="eastAsia" w:ascii="宋体" w:hAnsi="宋体" w:cs="宋体"/>
                <w:kern w:val="0"/>
                <w:szCs w:val="21"/>
              </w:rPr>
            </w:pPr>
            <w:r>
              <w:rPr>
                <w:rFonts w:hint="eastAsia" w:ascii="宋体" w:hAnsi="宋体" w:cs="宋体"/>
                <w:kern w:val="0"/>
                <w:szCs w:val="21"/>
              </w:rPr>
              <w:t>物排</w:t>
            </w:r>
          </w:p>
          <w:p w14:paraId="41A52CC7">
            <w:pPr>
              <w:adjustRightInd w:val="0"/>
              <w:snapToGrid w:val="0"/>
              <w:jc w:val="center"/>
              <w:rPr>
                <w:rFonts w:hint="eastAsia" w:ascii="宋体" w:hAnsi="宋体" w:cs="宋体"/>
                <w:kern w:val="0"/>
                <w:szCs w:val="21"/>
              </w:rPr>
            </w:pPr>
            <w:r>
              <w:rPr>
                <w:rFonts w:hint="eastAsia" w:ascii="宋体" w:hAnsi="宋体" w:cs="宋体"/>
                <w:kern w:val="0"/>
                <w:szCs w:val="21"/>
              </w:rPr>
              <w:t>放控</w:t>
            </w:r>
          </w:p>
          <w:p w14:paraId="3F73D268">
            <w:pPr>
              <w:adjustRightInd w:val="0"/>
              <w:snapToGrid w:val="0"/>
              <w:jc w:val="center"/>
              <w:rPr>
                <w:rFonts w:hint="eastAsia" w:ascii="宋体" w:hAnsi="宋体" w:cs="宋体"/>
                <w:kern w:val="0"/>
                <w:szCs w:val="21"/>
              </w:rPr>
            </w:pPr>
            <w:r>
              <w:rPr>
                <w:rFonts w:hint="eastAsia" w:ascii="宋体" w:hAnsi="宋体" w:cs="宋体"/>
                <w:kern w:val="0"/>
                <w:szCs w:val="21"/>
              </w:rPr>
              <w:t>制标</w:t>
            </w:r>
          </w:p>
          <w:p w14:paraId="655775A8">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noWrap w:val="0"/>
            <w:vAlign w:val="center"/>
          </w:tcPr>
          <w:p w14:paraId="4E39ED75">
            <w:pPr>
              <w:keepNext w:val="0"/>
              <w:keepLines w:val="0"/>
              <w:pageBreakBefore w:val="0"/>
              <w:widowControl w:val="0"/>
              <w:tabs>
                <w:tab w:val="left" w:pos="1100"/>
              </w:tabs>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Times New Roman" w:hAnsi="Times New Roman"/>
                <w:b/>
                <w:bCs/>
                <w:sz w:val="24"/>
                <w:szCs w:val="32"/>
                <w:lang w:val="en-US" w:eastAsia="zh-CN"/>
              </w:rPr>
            </w:pPr>
            <w:r>
              <w:rPr>
                <w:rFonts w:hint="eastAsia" w:ascii="Times New Roman" w:hAnsi="Times New Roman"/>
                <w:b/>
                <w:bCs/>
                <w:sz w:val="24"/>
                <w:szCs w:val="32"/>
                <w:lang w:val="en-US" w:eastAsia="zh-CN"/>
              </w:rPr>
              <w:t>一、污染物排放标准</w:t>
            </w:r>
          </w:p>
          <w:p w14:paraId="2B8FC2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（1）废气</w:t>
            </w:r>
          </w:p>
          <w:p w14:paraId="0CDC6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本项目实验过程产生的少量废气仅在实验过程间歇排放，该部分排放源强与同时开启的实验设备数量和实验过程有关，无固定源强，因此不设置相关废气排放标准。</w:t>
            </w:r>
          </w:p>
          <w:p w14:paraId="65A70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本项目废气污染物执行《合成树脂工业污染物排放标准》（GB31572-2015）表5大气污染物特别排放限值，具体见表8。</w:t>
            </w:r>
          </w:p>
          <w:p w14:paraId="403A8BCF">
            <w:pPr>
              <w:pStyle w:val="13"/>
              <w:jc w:val="center"/>
              <w:rPr>
                <w:rFonts w:hint="eastAsia" w:ascii="Times New Roman" w:hAnsi="Times New Roman" w:eastAsia="宋体" w:cs="Times New Roman"/>
                <w:b/>
                <w:kern w:val="0"/>
                <w:sz w:val="21"/>
                <w:szCs w:val="21"/>
                <w:lang w:val="en-US" w:eastAsia="zh-CN" w:bidi="ar-SA"/>
              </w:rPr>
            </w:pPr>
          </w:p>
          <w:p w14:paraId="26F878F2">
            <w:pPr>
              <w:pStyle w:val="13"/>
              <w:jc w:val="center"/>
              <w:rPr>
                <w:rFonts w:hint="eastAsia" w:ascii="Times New Roman" w:hAnsi="Times New Roman" w:eastAsia="宋体" w:cs="Times New Roman"/>
                <w:b/>
                <w:kern w:val="0"/>
                <w:sz w:val="21"/>
                <w:szCs w:val="21"/>
                <w:lang w:val="en-US" w:eastAsia="zh-CN" w:bidi="ar-SA"/>
              </w:rPr>
            </w:pPr>
            <w:r>
              <w:rPr>
                <w:rFonts w:hint="eastAsia" w:ascii="Times New Roman" w:hAnsi="Times New Roman" w:eastAsia="宋体" w:cs="Times New Roman"/>
                <w:b/>
                <w:kern w:val="0"/>
                <w:sz w:val="21"/>
                <w:szCs w:val="21"/>
                <w:lang w:val="en-US" w:eastAsia="zh-CN" w:bidi="ar-SA"/>
              </w:rPr>
              <w:t>表</w:t>
            </w:r>
            <w:r>
              <w:rPr>
                <w:rFonts w:hint="eastAsia" w:cs="Times New Roman"/>
                <w:b/>
                <w:kern w:val="0"/>
                <w:sz w:val="21"/>
                <w:szCs w:val="21"/>
                <w:lang w:val="en-US" w:eastAsia="zh-CN" w:bidi="ar-SA"/>
              </w:rPr>
              <w:t>8</w:t>
            </w:r>
            <w:r>
              <w:rPr>
                <w:rFonts w:hint="eastAsia" w:ascii="Times New Roman" w:hAnsi="Times New Roman" w:eastAsia="宋体" w:cs="Times New Roman"/>
                <w:b/>
                <w:kern w:val="0"/>
                <w:sz w:val="21"/>
                <w:szCs w:val="21"/>
                <w:lang w:val="en-US" w:eastAsia="zh-CN" w:bidi="ar-SA"/>
              </w:rPr>
              <w:t xml:space="preserve">  本项目废气排放标准</w:t>
            </w:r>
          </w:p>
          <w:tbl>
            <w:tblPr>
              <w:tblStyle w:val="17"/>
              <w:tblW w:w="7964"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3"/>
              <w:gridCol w:w="1309"/>
              <w:gridCol w:w="3197"/>
              <w:gridCol w:w="904"/>
            </w:tblGrid>
            <w:tr w14:paraId="0093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12" w:space="0"/>
                  </w:tcBorders>
                  <w:noWrap w:val="0"/>
                  <w:vAlign w:val="center"/>
                </w:tcPr>
                <w:p w14:paraId="014714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污染源</w:t>
                  </w:r>
                </w:p>
              </w:tc>
              <w:tc>
                <w:tcPr>
                  <w:tcW w:w="853" w:type="dxa"/>
                  <w:tcBorders>
                    <w:top w:val="single" w:color="auto" w:sz="12" w:space="0"/>
                  </w:tcBorders>
                  <w:noWrap w:val="0"/>
                  <w:vAlign w:val="center"/>
                </w:tcPr>
                <w:p w14:paraId="48DE2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污染物</w:t>
                  </w:r>
                </w:p>
              </w:tc>
              <w:tc>
                <w:tcPr>
                  <w:tcW w:w="1309" w:type="dxa"/>
                  <w:tcBorders>
                    <w:top w:val="single" w:color="auto" w:sz="12" w:space="0"/>
                  </w:tcBorders>
                  <w:noWrap w:val="0"/>
                  <w:vAlign w:val="center"/>
                </w:tcPr>
                <w:p w14:paraId="7A9C0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排放限值</w:t>
                  </w:r>
                </w:p>
              </w:tc>
              <w:tc>
                <w:tcPr>
                  <w:tcW w:w="3197" w:type="dxa"/>
                  <w:tcBorders>
                    <w:top w:val="single" w:color="auto" w:sz="12" w:space="0"/>
                  </w:tcBorders>
                  <w:noWrap w:val="0"/>
                  <w:vAlign w:val="center"/>
                </w:tcPr>
                <w:p w14:paraId="52521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标准来源</w:t>
                  </w:r>
                </w:p>
              </w:tc>
              <w:tc>
                <w:tcPr>
                  <w:tcW w:w="904" w:type="dxa"/>
                  <w:tcBorders>
                    <w:top w:val="single" w:color="auto" w:sz="12" w:space="0"/>
                    <w:right w:val="single" w:color="auto" w:sz="12" w:space="0"/>
                  </w:tcBorders>
                  <w:noWrap w:val="0"/>
                  <w:vAlign w:val="center"/>
                </w:tcPr>
                <w:p w14:paraId="41B14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监控位置</w:t>
                  </w:r>
                </w:p>
              </w:tc>
            </w:tr>
            <w:tr w14:paraId="1EC4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left w:val="single" w:color="auto" w:sz="4" w:space="0"/>
                    <w:bottom w:val="single" w:color="auto" w:sz="12" w:space="0"/>
                  </w:tcBorders>
                  <w:noWrap w:val="0"/>
                  <w:vAlign w:val="center"/>
                </w:tcPr>
                <w:p w14:paraId="5C3C5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val="en-US" w:eastAsia="zh-CN"/>
                    </w:rPr>
                  </w:pPr>
                  <w:r>
                    <w:rPr>
                      <w:rFonts w:hint="eastAsia"/>
                      <w:vertAlign w:val="baseline"/>
                      <w:lang w:val="en-US" w:eastAsia="zh-CN"/>
                    </w:rPr>
                    <w:t>试验区聚合实验设备、</w:t>
                  </w:r>
                  <w:r>
                    <w:rPr>
                      <w:rFonts w:hint="eastAsia" w:ascii="Times New Roman" w:hAnsi="Times New Roman" w:eastAsia="宋体" w:cs="Times New Roman"/>
                      <w:lang w:eastAsia="zh-CN"/>
                    </w:rPr>
                    <w:t>流延机、吹膜机、注塑机和密炼机</w:t>
                  </w:r>
                </w:p>
              </w:tc>
              <w:tc>
                <w:tcPr>
                  <w:tcW w:w="853" w:type="dxa"/>
                  <w:tcBorders>
                    <w:bottom w:val="single" w:color="auto" w:sz="12" w:space="0"/>
                  </w:tcBorders>
                  <w:noWrap w:val="0"/>
                  <w:vAlign w:val="center"/>
                </w:tcPr>
                <w:p w14:paraId="10A77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NMHC</w:t>
                  </w:r>
                </w:p>
              </w:tc>
              <w:tc>
                <w:tcPr>
                  <w:tcW w:w="1309" w:type="dxa"/>
                  <w:tcBorders>
                    <w:bottom w:val="single" w:color="auto" w:sz="12" w:space="0"/>
                  </w:tcBorders>
                  <w:noWrap w:val="0"/>
                  <w:vAlign w:val="center"/>
                </w:tcPr>
                <w:p w14:paraId="3BAD6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60mg/m³</w:t>
                  </w:r>
                </w:p>
              </w:tc>
              <w:tc>
                <w:tcPr>
                  <w:tcW w:w="3197" w:type="dxa"/>
                  <w:tcBorders>
                    <w:bottom w:val="single" w:color="auto" w:sz="12" w:space="0"/>
                  </w:tcBorders>
                  <w:noWrap w:val="0"/>
                  <w:vAlign w:val="center"/>
                </w:tcPr>
                <w:p w14:paraId="180EE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《合成树脂工业污染物排放标准》（GB31572-2015）表5大气污染物特别排放限值</w:t>
                  </w:r>
                </w:p>
              </w:tc>
              <w:tc>
                <w:tcPr>
                  <w:tcW w:w="904" w:type="dxa"/>
                  <w:tcBorders>
                    <w:bottom w:val="single" w:color="auto" w:sz="12" w:space="0"/>
                    <w:right w:val="single" w:color="auto" w:sz="12" w:space="0"/>
                  </w:tcBorders>
                  <w:noWrap w:val="0"/>
                  <w:vAlign w:val="center"/>
                </w:tcPr>
                <w:p w14:paraId="426F28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15m排气筒</w:t>
                  </w:r>
                </w:p>
              </w:tc>
            </w:tr>
          </w:tbl>
          <w:p w14:paraId="4ACF4E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（2）废水</w:t>
            </w:r>
          </w:p>
          <w:p w14:paraId="5FDED8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本项目废水包括生活污水和试验废水，根据新疆维格瑞生物科技有限公司分质处理要求，生活污水直接排入园区下水管网。试验废水纳入污水站进行处理后，排入园区下水管网。</w:t>
            </w:r>
          </w:p>
          <w:p w14:paraId="6C3B3A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（3）噪声</w:t>
            </w:r>
          </w:p>
          <w:p w14:paraId="0FBE11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本项目噪声排放控制纳入新疆维格瑞生物科技有限公司噪声管理。厂界执行《工业企业厂界环境噪声排放标准》（GB12348-2008）3类功能区标准。具体见表9。</w:t>
            </w:r>
          </w:p>
          <w:p w14:paraId="583FDC67">
            <w:pPr>
              <w:pStyle w:val="2"/>
              <w:keepNext w:val="0"/>
              <w:keepLines w:val="0"/>
              <w:pageBreakBefore w:val="0"/>
              <w:widowControl w:val="0"/>
              <w:kinsoku/>
              <w:wordWrap/>
              <w:overflowPunct/>
              <w:topLinePunct w:val="0"/>
              <w:autoSpaceDE w:val="0"/>
              <w:autoSpaceDN w:val="0"/>
              <w:bidi w:val="0"/>
              <w:adjustRightInd w:val="0"/>
              <w:snapToGrid/>
              <w:spacing w:before="157" w:beforeLines="50" w:line="240" w:lineRule="auto"/>
              <w:jc w:val="center"/>
              <w:textAlignment w:val="auto"/>
              <w:rPr>
                <w:rFonts w:hint="default"/>
                <w:b/>
                <w:bCs/>
                <w:sz w:val="21"/>
                <w:szCs w:val="21"/>
                <w:lang w:val="en-US" w:eastAsia="zh-CN"/>
              </w:rPr>
            </w:pPr>
            <w:r>
              <w:rPr>
                <w:rFonts w:hint="eastAsia"/>
                <w:b/>
                <w:bCs/>
                <w:sz w:val="21"/>
                <w:szCs w:val="21"/>
                <w:lang w:eastAsia="zh-CN"/>
              </w:rPr>
              <w:t>表</w:t>
            </w:r>
            <w:r>
              <w:rPr>
                <w:rFonts w:hint="eastAsia"/>
                <w:b/>
                <w:bCs/>
                <w:sz w:val="21"/>
                <w:szCs w:val="21"/>
                <w:lang w:val="en-US" w:eastAsia="zh-CN"/>
              </w:rPr>
              <w:t>9  噪声排放标准</w:t>
            </w:r>
          </w:p>
          <w:tbl>
            <w:tblPr>
              <w:tblStyle w:val="17"/>
              <w:tblW w:w="0" w:type="auto"/>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862"/>
              <w:gridCol w:w="755"/>
              <w:gridCol w:w="1268"/>
              <w:gridCol w:w="2846"/>
              <w:gridCol w:w="1095"/>
            </w:tblGrid>
            <w:tr w14:paraId="3B159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18" w:type="dxa"/>
                  <w:tcBorders>
                    <w:tl2br w:val="nil"/>
                    <w:tr2bl w:val="nil"/>
                  </w:tcBorders>
                  <w:noWrap w:val="0"/>
                  <w:vAlign w:val="center"/>
                </w:tcPr>
                <w:p w14:paraId="508C5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污染源（类型）</w:t>
                  </w:r>
                </w:p>
              </w:tc>
              <w:tc>
                <w:tcPr>
                  <w:tcW w:w="862" w:type="dxa"/>
                  <w:tcBorders>
                    <w:tl2br w:val="nil"/>
                    <w:tr2bl w:val="nil"/>
                  </w:tcBorders>
                  <w:noWrap w:val="0"/>
                  <w:vAlign w:val="center"/>
                </w:tcPr>
                <w:p w14:paraId="3A5426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污染物</w:t>
                  </w:r>
                </w:p>
              </w:tc>
              <w:tc>
                <w:tcPr>
                  <w:tcW w:w="2023" w:type="dxa"/>
                  <w:gridSpan w:val="2"/>
                  <w:tcBorders>
                    <w:tl2br w:val="nil"/>
                    <w:tr2bl w:val="nil"/>
                  </w:tcBorders>
                  <w:noWrap w:val="0"/>
                  <w:vAlign w:val="center"/>
                </w:tcPr>
                <w:p w14:paraId="39339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污染物排放限值</w:t>
                  </w:r>
                </w:p>
              </w:tc>
              <w:tc>
                <w:tcPr>
                  <w:tcW w:w="2846" w:type="dxa"/>
                  <w:tcBorders>
                    <w:tl2br w:val="nil"/>
                    <w:tr2bl w:val="nil"/>
                  </w:tcBorders>
                  <w:noWrap w:val="0"/>
                  <w:vAlign w:val="center"/>
                </w:tcPr>
                <w:p w14:paraId="15D1C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标准来源</w:t>
                  </w:r>
                </w:p>
              </w:tc>
              <w:tc>
                <w:tcPr>
                  <w:tcW w:w="1095" w:type="dxa"/>
                  <w:tcBorders>
                    <w:tl2br w:val="nil"/>
                    <w:tr2bl w:val="nil"/>
                  </w:tcBorders>
                  <w:noWrap w:val="0"/>
                  <w:vAlign w:val="center"/>
                </w:tcPr>
                <w:p w14:paraId="2B745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监控位置</w:t>
                  </w:r>
                </w:p>
              </w:tc>
            </w:tr>
            <w:tr w14:paraId="4A295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18" w:type="dxa"/>
                  <w:vMerge w:val="restart"/>
                  <w:tcBorders>
                    <w:tl2br w:val="nil"/>
                    <w:tr2bl w:val="nil"/>
                  </w:tcBorders>
                  <w:noWrap w:val="0"/>
                  <w:vAlign w:val="center"/>
                </w:tcPr>
                <w:p w14:paraId="782DA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运营噪声</w:t>
                  </w:r>
                </w:p>
              </w:tc>
              <w:tc>
                <w:tcPr>
                  <w:tcW w:w="862" w:type="dxa"/>
                  <w:vMerge w:val="restart"/>
                  <w:tcBorders>
                    <w:tl2br w:val="nil"/>
                    <w:tr2bl w:val="nil"/>
                  </w:tcBorders>
                  <w:noWrap w:val="0"/>
                  <w:vAlign w:val="center"/>
                </w:tcPr>
                <w:p w14:paraId="0D850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厂界</w:t>
                  </w:r>
                </w:p>
                <w:p w14:paraId="2F466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噪声</w:t>
                  </w:r>
                </w:p>
              </w:tc>
              <w:tc>
                <w:tcPr>
                  <w:tcW w:w="755" w:type="dxa"/>
                  <w:tcBorders>
                    <w:tl2br w:val="nil"/>
                    <w:tr2bl w:val="nil"/>
                  </w:tcBorders>
                  <w:noWrap w:val="0"/>
                  <w:vAlign w:val="center"/>
                </w:tcPr>
                <w:p w14:paraId="77D42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昼间</w:t>
                  </w:r>
                </w:p>
              </w:tc>
              <w:tc>
                <w:tcPr>
                  <w:tcW w:w="1268" w:type="dxa"/>
                  <w:tcBorders>
                    <w:tl2br w:val="nil"/>
                    <w:tr2bl w:val="nil"/>
                  </w:tcBorders>
                  <w:noWrap w:val="0"/>
                  <w:vAlign w:val="center"/>
                </w:tcPr>
                <w:p w14:paraId="25985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65dB（A）</w:t>
                  </w:r>
                </w:p>
              </w:tc>
              <w:tc>
                <w:tcPr>
                  <w:tcW w:w="2846" w:type="dxa"/>
                  <w:vMerge w:val="restart"/>
                  <w:tcBorders>
                    <w:tl2br w:val="nil"/>
                    <w:tr2bl w:val="nil"/>
                  </w:tcBorders>
                  <w:noWrap w:val="0"/>
                  <w:vAlign w:val="center"/>
                </w:tcPr>
                <w:p w14:paraId="0E278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eastAsia="zh-CN"/>
                    </w:rPr>
                    <w:t>《工业企业厂界环境噪声排放标准》（</w:t>
                  </w:r>
                  <w:r>
                    <w:rPr>
                      <w:rFonts w:hint="eastAsia"/>
                      <w:vertAlign w:val="baseline"/>
                      <w:lang w:val="en-US" w:eastAsia="zh-CN"/>
                    </w:rPr>
                    <w:t>GB12348-2008</w:t>
                  </w:r>
                  <w:r>
                    <w:rPr>
                      <w:rFonts w:hint="eastAsia"/>
                      <w:vertAlign w:val="baseline"/>
                      <w:lang w:eastAsia="zh-CN"/>
                    </w:rPr>
                    <w:t>）</w:t>
                  </w:r>
                  <w:r>
                    <w:rPr>
                      <w:rFonts w:hint="eastAsia"/>
                      <w:vertAlign w:val="baseline"/>
                      <w:lang w:val="en-US" w:eastAsia="zh-CN"/>
                    </w:rPr>
                    <w:t>3类功能区</w:t>
                  </w:r>
                </w:p>
              </w:tc>
              <w:tc>
                <w:tcPr>
                  <w:tcW w:w="1095" w:type="dxa"/>
                  <w:vMerge w:val="restart"/>
                  <w:tcBorders>
                    <w:tl2br w:val="nil"/>
                    <w:tr2bl w:val="nil"/>
                  </w:tcBorders>
                  <w:noWrap w:val="0"/>
                  <w:vAlign w:val="center"/>
                </w:tcPr>
                <w:p w14:paraId="6201F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占地厂界外</w:t>
                  </w:r>
                  <w:r>
                    <w:rPr>
                      <w:rFonts w:hint="eastAsia"/>
                      <w:vertAlign w:val="baseline"/>
                      <w:lang w:val="en-US" w:eastAsia="zh-CN"/>
                    </w:rPr>
                    <w:t>1m</w:t>
                  </w:r>
                </w:p>
              </w:tc>
            </w:tr>
            <w:tr w14:paraId="391A5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18" w:type="dxa"/>
                  <w:vMerge w:val="continue"/>
                  <w:tcBorders>
                    <w:tl2br w:val="nil"/>
                    <w:tr2bl w:val="nil"/>
                  </w:tcBorders>
                  <w:noWrap w:val="0"/>
                  <w:vAlign w:val="center"/>
                </w:tcPr>
                <w:p w14:paraId="76246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p>
              </w:tc>
              <w:tc>
                <w:tcPr>
                  <w:tcW w:w="862" w:type="dxa"/>
                  <w:vMerge w:val="continue"/>
                  <w:tcBorders>
                    <w:tl2br w:val="nil"/>
                    <w:tr2bl w:val="nil"/>
                  </w:tcBorders>
                  <w:noWrap w:val="0"/>
                  <w:vAlign w:val="center"/>
                </w:tcPr>
                <w:p w14:paraId="518AFC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p>
              </w:tc>
              <w:tc>
                <w:tcPr>
                  <w:tcW w:w="755" w:type="dxa"/>
                  <w:tcBorders>
                    <w:tl2br w:val="nil"/>
                    <w:tr2bl w:val="nil"/>
                  </w:tcBorders>
                  <w:noWrap w:val="0"/>
                  <w:vAlign w:val="center"/>
                </w:tcPr>
                <w:p w14:paraId="6C4ECF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r>
                    <w:rPr>
                      <w:rFonts w:hint="eastAsia"/>
                      <w:vertAlign w:val="baseline"/>
                      <w:lang w:eastAsia="zh-CN"/>
                    </w:rPr>
                    <w:t>夜间</w:t>
                  </w:r>
                </w:p>
              </w:tc>
              <w:tc>
                <w:tcPr>
                  <w:tcW w:w="1268" w:type="dxa"/>
                  <w:tcBorders>
                    <w:tl2br w:val="nil"/>
                    <w:tr2bl w:val="nil"/>
                  </w:tcBorders>
                  <w:noWrap w:val="0"/>
                  <w:vAlign w:val="center"/>
                </w:tcPr>
                <w:p w14:paraId="3EA368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vertAlign w:val="baseline"/>
                      <w:lang w:val="en-US" w:eastAsia="zh-CN"/>
                    </w:rPr>
                  </w:pPr>
                  <w:r>
                    <w:rPr>
                      <w:rFonts w:hint="eastAsia"/>
                      <w:vertAlign w:val="baseline"/>
                      <w:lang w:val="en-US" w:eastAsia="zh-CN"/>
                    </w:rPr>
                    <w:t>55dB（A）</w:t>
                  </w:r>
                </w:p>
              </w:tc>
              <w:tc>
                <w:tcPr>
                  <w:tcW w:w="2846" w:type="dxa"/>
                  <w:vMerge w:val="continue"/>
                  <w:tcBorders>
                    <w:tl2br w:val="nil"/>
                    <w:tr2bl w:val="nil"/>
                  </w:tcBorders>
                  <w:noWrap w:val="0"/>
                  <w:vAlign w:val="center"/>
                </w:tcPr>
                <w:p w14:paraId="615494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p>
              </w:tc>
              <w:tc>
                <w:tcPr>
                  <w:tcW w:w="1095" w:type="dxa"/>
                  <w:vMerge w:val="continue"/>
                  <w:tcBorders>
                    <w:tl2br w:val="nil"/>
                    <w:tr2bl w:val="nil"/>
                  </w:tcBorders>
                  <w:noWrap w:val="0"/>
                  <w:vAlign w:val="center"/>
                </w:tcPr>
                <w:p w14:paraId="4A32BE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vertAlign w:val="baseline"/>
                      <w:lang w:eastAsia="zh-CN"/>
                    </w:rPr>
                  </w:pPr>
                </w:p>
              </w:tc>
            </w:tr>
          </w:tbl>
          <w:p w14:paraId="368FDA2D">
            <w:pPr>
              <w:keepNext w:val="0"/>
              <w:keepLines w:val="0"/>
              <w:pageBreakBefore w:val="0"/>
              <w:widowControl w:val="0"/>
              <w:tabs>
                <w:tab w:val="left" w:pos="1100"/>
              </w:tabs>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Times New Roman" w:hAnsi="Times New Roman"/>
                <w:b/>
                <w:bCs/>
                <w:sz w:val="24"/>
                <w:szCs w:val="32"/>
                <w:lang w:val="en-US" w:eastAsia="zh-CN"/>
              </w:rPr>
            </w:pPr>
            <w:r>
              <w:rPr>
                <w:rFonts w:hint="eastAsia" w:ascii="Times New Roman" w:hAnsi="Times New Roman"/>
                <w:b/>
                <w:bCs/>
                <w:sz w:val="24"/>
                <w:szCs w:val="32"/>
                <w:lang w:val="en-US" w:eastAsia="zh-CN"/>
              </w:rPr>
              <w:t>二、控制标准</w:t>
            </w:r>
          </w:p>
          <w:p w14:paraId="76D93F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①《一般工业固体废物贮存和填埋污染控制标准》（GB18599-2020）；</w:t>
            </w:r>
          </w:p>
          <w:p w14:paraId="22D423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②《危险废物贮存污染控制标准》（GB18597-2001）。</w:t>
            </w:r>
          </w:p>
        </w:tc>
      </w:tr>
      <w:tr w14:paraId="68E00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800" w:type="dxa"/>
            <w:noWrap w:val="0"/>
            <w:vAlign w:val="center"/>
          </w:tcPr>
          <w:p w14:paraId="29DB3578">
            <w:pPr>
              <w:adjustRightInd w:val="0"/>
              <w:snapToGrid w:val="0"/>
              <w:jc w:val="center"/>
              <w:rPr>
                <w:rFonts w:hint="eastAsia" w:ascii="宋体" w:hAnsi="宋体" w:cs="宋体"/>
                <w:kern w:val="0"/>
                <w:szCs w:val="21"/>
              </w:rPr>
            </w:pPr>
            <w:r>
              <w:rPr>
                <w:rFonts w:hint="eastAsia" w:ascii="宋体" w:hAnsi="宋体" w:cs="宋体"/>
                <w:kern w:val="0"/>
                <w:szCs w:val="21"/>
              </w:rPr>
              <w:t>总量</w:t>
            </w:r>
          </w:p>
          <w:p w14:paraId="793F9297">
            <w:pPr>
              <w:adjustRightInd w:val="0"/>
              <w:snapToGrid w:val="0"/>
              <w:jc w:val="center"/>
              <w:rPr>
                <w:rFonts w:hint="eastAsia" w:ascii="宋体" w:hAnsi="宋体" w:cs="宋体"/>
                <w:kern w:val="0"/>
                <w:szCs w:val="21"/>
              </w:rPr>
            </w:pPr>
            <w:r>
              <w:rPr>
                <w:rFonts w:hint="eastAsia" w:ascii="宋体" w:hAnsi="宋体" w:cs="宋体"/>
                <w:kern w:val="0"/>
                <w:szCs w:val="21"/>
              </w:rPr>
              <w:t>控制</w:t>
            </w:r>
          </w:p>
          <w:p w14:paraId="0C29D8B3">
            <w:pPr>
              <w:adjustRightInd w:val="0"/>
              <w:snapToGrid w:val="0"/>
              <w:jc w:val="center"/>
              <w:rPr>
                <w:rFonts w:ascii="宋体" w:hAnsi="宋体" w:cs="宋体"/>
                <w:kern w:val="0"/>
                <w:szCs w:val="21"/>
              </w:rPr>
            </w:pPr>
            <w:r>
              <w:rPr>
                <w:rFonts w:hint="eastAsia" w:ascii="宋体" w:hAnsi="宋体" w:cs="宋体"/>
                <w:kern w:val="0"/>
                <w:szCs w:val="21"/>
              </w:rPr>
              <w:t>指标</w:t>
            </w:r>
          </w:p>
        </w:tc>
        <w:tc>
          <w:tcPr>
            <w:tcW w:w="8190" w:type="dxa"/>
            <w:noWrap w:val="0"/>
            <w:vAlign w:val="center"/>
          </w:tcPr>
          <w:p w14:paraId="531778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kern w:val="0"/>
                <w:szCs w:val="21"/>
                <w:lang w:val="en-US" w:eastAsia="zh-CN"/>
              </w:rPr>
            </w:pPr>
            <w:r>
              <w:rPr>
                <w:rFonts w:hint="eastAsia"/>
                <w:lang w:val="en-US" w:eastAsia="zh-CN"/>
              </w:rPr>
              <w:t>本项目建议总量指标为：VOCs：0.427t/a。本项目位于大气重点控制区，污染物排放总量按照倍量替代削减要求，需要倍量替代VOCs：0.854t/a。</w:t>
            </w:r>
          </w:p>
        </w:tc>
      </w:tr>
    </w:tbl>
    <w:p w14:paraId="5CE5DD9A">
      <w:pPr>
        <w:pStyle w:val="14"/>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82"/>
      </w:tblGrid>
      <w:tr w14:paraId="18188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3" w:hRule="atLeast"/>
          <w:jc w:val="center"/>
        </w:trPr>
        <w:tc>
          <w:tcPr>
            <w:tcW w:w="746" w:type="dxa"/>
            <w:noWrap w:val="0"/>
            <w:tcMar>
              <w:left w:w="28" w:type="dxa"/>
              <w:right w:w="28" w:type="dxa"/>
            </w:tcMar>
            <w:vAlign w:val="center"/>
          </w:tcPr>
          <w:p w14:paraId="6AAFB2B6">
            <w:pPr>
              <w:pStyle w:val="14"/>
              <w:adjustRightInd w:val="0"/>
              <w:snapToGrid w:val="0"/>
              <w:spacing w:before="0" w:beforeAutospacing="0" w:after="0" w:afterAutospacing="0"/>
              <w:jc w:val="center"/>
              <w:rPr>
                <w:rFonts w:hint="eastAsia" w:cs="宋体"/>
                <w:bCs/>
                <w:kern w:val="2"/>
                <w:sz w:val="21"/>
                <w:szCs w:val="21"/>
              </w:rPr>
            </w:pPr>
            <w:r>
              <w:rPr>
                <w:rFonts w:hint="eastAsia" w:cs="宋体"/>
                <w:kern w:val="2"/>
                <w:sz w:val="21"/>
                <w:szCs w:val="21"/>
              </w:rPr>
              <w:t>施工期</w:t>
            </w:r>
            <w:r>
              <w:rPr>
                <w:rFonts w:hint="eastAsia" w:cs="宋体"/>
                <w:kern w:val="2"/>
                <w:sz w:val="21"/>
                <w:szCs w:val="21"/>
                <w:lang w:eastAsia="zh-CN"/>
              </w:rPr>
              <w:t>环境</w:t>
            </w:r>
            <w:r>
              <w:rPr>
                <w:rFonts w:hint="eastAsia" w:cs="宋体"/>
                <w:kern w:val="2"/>
                <w:sz w:val="21"/>
                <w:szCs w:val="21"/>
              </w:rPr>
              <w:t>保护措施</w:t>
            </w:r>
          </w:p>
        </w:tc>
        <w:tc>
          <w:tcPr>
            <w:tcW w:w="8162" w:type="dxa"/>
            <w:noWrap w:val="0"/>
            <w:vAlign w:val="center"/>
          </w:tcPr>
          <w:p w14:paraId="5CD5CDB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lang w:eastAsia="zh-CN"/>
              </w:rPr>
            </w:pPr>
            <w:r>
              <w:rPr>
                <w:rFonts w:hint="eastAsia"/>
                <w:lang w:eastAsia="zh-CN"/>
              </w:rPr>
              <w:t>本项目建设期主要为土建施工，环境影响因素包括施工噪声、施工扬尘、施工废水、施工固体废物等。建设单位施工期应遵守《建筑工程绿色环保施工管理规范》（</w:t>
            </w:r>
            <w:r>
              <w:rPr>
                <w:rFonts w:hint="eastAsia"/>
                <w:lang w:val="en-US" w:eastAsia="zh-CN"/>
              </w:rPr>
              <w:t>DB65T4060-2017</w:t>
            </w:r>
            <w:r>
              <w:rPr>
                <w:rFonts w:hint="eastAsia"/>
                <w:lang w:eastAsia="zh-CN"/>
              </w:rPr>
              <w:t>）和《建筑工程绿色施工规范》（</w:t>
            </w:r>
            <w:r>
              <w:rPr>
                <w:rFonts w:hint="eastAsia"/>
                <w:lang w:val="en-US" w:eastAsia="zh-CN"/>
              </w:rPr>
              <w:t>GB/T50905-2014</w:t>
            </w:r>
            <w:r>
              <w:rPr>
                <w:rFonts w:hint="eastAsia"/>
                <w:lang w:eastAsia="zh-CN"/>
              </w:rPr>
              <w:t>）的相关要求，对产生的污染物进行控制。</w:t>
            </w:r>
          </w:p>
          <w:p w14:paraId="4DE7697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一、</w:t>
            </w:r>
            <w:r>
              <w:rPr>
                <w:rFonts w:hint="eastAsia" w:cs="Times New Roman"/>
                <w:b/>
                <w:bCs/>
                <w:lang w:eastAsia="zh-CN"/>
              </w:rPr>
              <w:t>废气治理</w:t>
            </w:r>
            <w:r>
              <w:rPr>
                <w:rFonts w:hint="eastAsia" w:ascii="Times New Roman" w:hAnsi="Times New Roman" w:eastAsia="宋体" w:cs="Times New Roman"/>
                <w:b/>
                <w:bCs/>
                <w:lang w:eastAsia="zh-CN"/>
              </w:rPr>
              <w:t>措施</w:t>
            </w:r>
          </w:p>
          <w:p w14:paraId="7AC6C81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lang w:eastAsia="zh-CN"/>
              </w:rPr>
            </w:pPr>
            <w:r>
              <w:rPr>
                <w:rFonts w:hint="eastAsia"/>
                <w:lang w:eastAsia="zh-CN"/>
              </w:rPr>
              <w:t>（</w:t>
            </w:r>
            <w:r>
              <w:rPr>
                <w:rFonts w:hint="eastAsia"/>
                <w:lang w:val="en-US" w:eastAsia="zh-CN"/>
              </w:rPr>
              <w:t>1</w:t>
            </w:r>
            <w:r>
              <w:rPr>
                <w:rFonts w:hint="eastAsia"/>
                <w:lang w:eastAsia="zh-CN"/>
              </w:rPr>
              <w:t>）施工扬尘</w:t>
            </w:r>
          </w:p>
          <w:p w14:paraId="64E70DB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施工期地基处理、地面平整、运输车辆的行驶、装卸施工材料、弃土、材料临时堆存等</w:t>
            </w:r>
            <w:r>
              <w:rPr>
                <w:rFonts w:hint="eastAsia" w:ascii="Times New Roman" w:hAnsi="Times New Roman" w:eastAsia="宋体" w:cs="Times New Roman"/>
                <w:lang w:val="en-US" w:eastAsia="zh-CN"/>
              </w:rPr>
              <w:t>会</w:t>
            </w:r>
            <w:r>
              <w:rPr>
                <w:rFonts w:hint="eastAsia" w:ascii="Times New Roman" w:hAnsi="Times New Roman" w:eastAsia="宋体" w:cs="Times New Roman"/>
                <w:lang w:eastAsia="zh-CN"/>
              </w:rPr>
              <w:t>带来的</w:t>
            </w:r>
            <w:r>
              <w:rPr>
                <w:rFonts w:hint="eastAsia" w:ascii="Times New Roman" w:hAnsi="Times New Roman" w:eastAsia="宋体" w:cs="Times New Roman"/>
                <w:lang w:val="en-US" w:eastAsia="zh-CN"/>
              </w:rPr>
              <w:t>大量</w:t>
            </w:r>
            <w:r>
              <w:rPr>
                <w:rFonts w:hint="eastAsia" w:ascii="Times New Roman" w:hAnsi="Times New Roman" w:eastAsia="宋体" w:cs="Times New Roman"/>
                <w:lang w:eastAsia="zh-CN"/>
              </w:rPr>
              <w:t>扬尘；施工机械和运输车辆产生的燃油废气，主要污染物为NO</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eastAsia="zh-CN"/>
              </w:rPr>
              <w:t>、CO和烃类物。</w:t>
            </w:r>
          </w:p>
          <w:p w14:paraId="0D9AFD6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bookmarkStart w:id="3" w:name="_Toc290276855"/>
            <w:bookmarkStart w:id="4" w:name="_Toc290277553"/>
            <w:bookmarkStart w:id="5" w:name="_Toc40050932"/>
            <w:bookmarkStart w:id="6" w:name="_Toc290277204"/>
            <w:r>
              <w:rPr>
                <w:rFonts w:hint="eastAsia" w:ascii="Times New Roman" w:hAnsi="Times New Roman" w:eastAsia="宋体" w:cs="Times New Roman"/>
                <w:lang w:eastAsia="zh-CN"/>
              </w:rPr>
              <w:t>①车辆行驶扬尘</w:t>
            </w:r>
            <w:bookmarkEnd w:id="3"/>
            <w:bookmarkEnd w:id="4"/>
            <w:bookmarkEnd w:id="5"/>
            <w:bookmarkEnd w:id="6"/>
            <w:r>
              <w:rPr>
                <w:rFonts w:hint="eastAsia" w:ascii="Times New Roman" w:hAnsi="Times New Roman" w:eastAsia="宋体" w:cs="Times New Roman"/>
                <w:lang w:eastAsia="zh-CN"/>
              </w:rPr>
              <w:t>主要采取的控制措施：</w:t>
            </w:r>
          </w:p>
          <w:p w14:paraId="2AA437C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施工现场限制车辆行驶速度及保持路面的清洁。施工阶段通过对行驶路面进行洒水（每天4～5次）。</w:t>
            </w:r>
          </w:p>
          <w:p w14:paraId="67B984F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②堆场扬尘主要采取的措施：</w:t>
            </w:r>
          </w:p>
          <w:p w14:paraId="4C34F4D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施工阶段施工现场设置围栏；堆场采取定期洒水降尘措施。</w:t>
            </w:r>
          </w:p>
          <w:p w14:paraId="7CB0BB7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lang w:eastAsia="zh-CN"/>
              </w:rPr>
            </w:pPr>
            <w:r>
              <w:rPr>
                <w:rFonts w:hint="eastAsia"/>
                <w:lang w:eastAsia="zh-CN"/>
              </w:rPr>
              <w:t>（</w:t>
            </w:r>
            <w:r>
              <w:rPr>
                <w:rFonts w:hint="eastAsia"/>
                <w:lang w:val="en-US" w:eastAsia="zh-CN"/>
              </w:rPr>
              <w:t>2</w:t>
            </w:r>
            <w:r>
              <w:rPr>
                <w:rFonts w:hint="eastAsia"/>
                <w:lang w:eastAsia="zh-CN"/>
              </w:rPr>
              <w:t>）施工废气</w:t>
            </w:r>
          </w:p>
          <w:p w14:paraId="7DD0FEB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施工废气主要包括各种燃油机械的废气排放和运输车辆产生的尾气排放。主要污染物为NO</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eastAsia="zh-CN"/>
              </w:rPr>
              <w:t>、CO和碳氢化合物(HC)等，工程</w:t>
            </w:r>
            <w:r>
              <w:rPr>
                <w:rFonts w:hint="eastAsia" w:ascii="Times New Roman" w:hAnsi="Times New Roman" w:eastAsia="宋体" w:cs="Times New Roman"/>
                <w:lang w:val="en-US" w:eastAsia="zh-CN"/>
              </w:rPr>
              <w:t>应</w:t>
            </w:r>
            <w:r>
              <w:rPr>
                <w:rFonts w:hint="eastAsia" w:ascii="Times New Roman" w:hAnsi="Times New Roman" w:eastAsia="宋体" w:cs="Times New Roman"/>
                <w:lang w:eastAsia="zh-CN"/>
              </w:rPr>
              <w:t>加强施工机械、车辆运行管理与维护保养，可减少尾气排放。</w:t>
            </w:r>
          </w:p>
          <w:p w14:paraId="5AA1DA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通过上述措施，施工阶段对周边环境空气影响很小。</w:t>
            </w:r>
          </w:p>
          <w:p w14:paraId="61BDD016">
            <w:pPr>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eastAsia="宋体" w:cs="Times New Roman"/>
                <w:lang w:eastAsia="zh-CN"/>
              </w:rPr>
            </w:pPr>
            <w:r>
              <w:rPr>
                <w:rFonts w:hint="eastAsia" w:ascii="Times New Roman" w:hAnsi="Times New Roman" w:eastAsia="宋体" w:cs="Times New Roman"/>
                <w:b/>
                <w:bCs/>
                <w:lang w:eastAsia="zh-CN"/>
              </w:rPr>
              <w:t>二、</w:t>
            </w:r>
            <w:r>
              <w:rPr>
                <w:rFonts w:hint="eastAsia" w:cs="Times New Roman"/>
                <w:b/>
                <w:bCs/>
                <w:lang w:eastAsia="zh-CN"/>
              </w:rPr>
              <w:t>噪声治理</w:t>
            </w:r>
            <w:r>
              <w:rPr>
                <w:rFonts w:hint="eastAsia" w:ascii="Times New Roman" w:hAnsi="Times New Roman" w:eastAsia="宋体" w:cs="Times New Roman"/>
                <w:b/>
                <w:bCs/>
                <w:lang w:eastAsia="zh-CN"/>
              </w:rPr>
              <w:t>措施</w:t>
            </w:r>
          </w:p>
          <w:p w14:paraId="3943F35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建设施工为露天作业，无隔声与消声措施。施工场地内机械设备大多属于移动声源，</w:t>
            </w:r>
            <w:r>
              <w:rPr>
                <w:rFonts w:hint="eastAsia" w:ascii="Times New Roman" w:hAnsi="Times New Roman" w:eastAsia="宋体" w:cs="Times New Roman"/>
                <w:lang w:val="en-US" w:eastAsia="zh-CN"/>
              </w:rPr>
              <w:t>主要声环境</w:t>
            </w:r>
            <w:r>
              <w:rPr>
                <w:rFonts w:hint="eastAsia" w:ascii="Times New Roman" w:hAnsi="Times New Roman" w:eastAsia="宋体" w:cs="Times New Roman"/>
                <w:lang w:eastAsia="zh-CN"/>
              </w:rPr>
              <w:t>保护措施</w:t>
            </w:r>
            <w:r>
              <w:rPr>
                <w:rFonts w:hint="eastAsia" w:ascii="Times New Roman" w:hAnsi="Times New Roman" w:eastAsia="宋体" w:cs="Times New Roman"/>
                <w:lang w:val="en-US" w:eastAsia="zh-CN"/>
              </w:rPr>
              <w:t>包括</w:t>
            </w:r>
            <w:r>
              <w:rPr>
                <w:rFonts w:hint="eastAsia" w:ascii="Times New Roman" w:hAnsi="Times New Roman" w:eastAsia="宋体" w:cs="Times New Roman"/>
                <w:lang w:eastAsia="zh-CN"/>
              </w:rPr>
              <w:t>：</w:t>
            </w:r>
          </w:p>
          <w:p w14:paraId="0277AEF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（1）</w:t>
            </w:r>
            <w:r>
              <w:rPr>
                <w:rFonts w:hint="eastAsia" w:ascii="Times New Roman" w:hAnsi="Times New Roman" w:eastAsia="宋体" w:cs="Times New Roman"/>
                <w:lang w:val="en-US" w:eastAsia="zh-CN"/>
              </w:rPr>
              <w:t>限制</w:t>
            </w:r>
            <w:r>
              <w:rPr>
                <w:rFonts w:hint="eastAsia" w:ascii="Times New Roman" w:hAnsi="Times New Roman" w:eastAsia="宋体" w:cs="Times New Roman"/>
                <w:lang w:eastAsia="zh-CN"/>
              </w:rPr>
              <w:t>高噪声设备</w:t>
            </w:r>
            <w:r>
              <w:rPr>
                <w:rFonts w:hint="eastAsia" w:ascii="Times New Roman" w:hAnsi="Times New Roman" w:eastAsia="宋体" w:cs="Times New Roman"/>
                <w:lang w:val="en-US" w:eastAsia="zh-CN"/>
              </w:rPr>
              <w:t>或车辆</w:t>
            </w:r>
            <w:r>
              <w:rPr>
                <w:rFonts w:hint="eastAsia" w:ascii="Times New Roman" w:hAnsi="Times New Roman" w:eastAsia="宋体" w:cs="Times New Roman"/>
                <w:lang w:eastAsia="zh-CN"/>
              </w:rPr>
              <w:t>集中在施工区域，周围设置围挡。</w:t>
            </w:r>
          </w:p>
          <w:p w14:paraId="3E9576A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（2）施工现场严格控制车速，禁止鸣笛。</w:t>
            </w:r>
          </w:p>
          <w:p w14:paraId="21EA7ED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三、</w:t>
            </w:r>
            <w:r>
              <w:rPr>
                <w:rFonts w:hint="eastAsia" w:cs="Times New Roman"/>
                <w:b/>
                <w:bCs/>
                <w:lang w:eastAsia="zh-CN"/>
              </w:rPr>
              <w:t>废水治理措施</w:t>
            </w:r>
          </w:p>
          <w:p w14:paraId="49170AF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施工过程混凝土的保养浇水、砌砖的加湿淋水，废水量不大，多为无机废水，除悬浮物含量较高外，一般不含有毒有害物质。这部分废水在施工现场因自然蒸发、渗漏等原因而消耗，基本没有废水排放。针对设备的冲洗废水应设置简易沉淀池，底部敷设防渗布，车辆冲洗废水沉淀后用于堆场的降尘使用。</w:t>
            </w:r>
          </w:p>
          <w:p w14:paraId="414DAE9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项目施工期施工人员产生的少量生活污水，依托</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ascii="Times New Roman" w:hAnsi="Times New Roman" w:eastAsia="宋体" w:cs="Times New Roman"/>
                <w:lang w:eastAsia="zh-CN"/>
              </w:rPr>
              <w:t>现有生活污水收集系统</w:t>
            </w:r>
            <w:r>
              <w:rPr>
                <w:rFonts w:hint="eastAsia" w:ascii="Times New Roman" w:hAnsi="Times New Roman" w:eastAsia="宋体" w:cs="Times New Roman"/>
                <w:lang w:val="en-US" w:eastAsia="zh-CN"/>
              </w:rPr>
              <w:t>收集和</w:t>
            </w:r>
            <w:r>
              <w:rPr>
                <w:rFonts w:hint="eastAsia" w:ascii="Times New Roman" w:hAnsi="Times New Roman" w:eastAsia="宋体" w:cs="Times New Roman"/>
                <w:lang w:eastAsia="zh-CN"/>
              </w:rPr>
              <w:t>处理。</w:t>
            </w:r>
          </w:p>
          <w:p w14:paraId="3D145C3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四、固废</w:t>
            </w:r>
            <w:r>
              <w:rPr>
                <w:rFonts w:hint="eastAsia" w:cs="Times New Roman"/>
                <w:b/>
                <w:bCs/>
                <w:lang w:eastAsia="zh-CN"/>
              </w:rPr>
              <w:t>治理措施</w:t>
            </w:r>
          </w:p>
          <w:p w14:paraId="4300F0F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施工过程中固体废物主要是建筑垃圾、弃土弃渣及人员生活垃圾，均为一般固废。评价要求对施工建筑垃圾进行分类收集，对于废钢筋等可回收部分尽量回收外售，剩余的废砖、</w:t>
            </w:r>
            <w:r>
              <w:rPr>
                <w:rFonts w:hint="eastAsia" w:ascii="Times New Roman" w:hAnsi="Times New Roman" w:eastAsia="宋体" w:cs="Times New Roman"/>
                <w:lang w:val="en-US" w:eastAsia="zh-CN"/>
              </w:rPr>
              <w:t>混凝土、</w:t>
            </w:r>
            <w:r>
              <w:rPr>
                <w:rFonts w:hint="eastAsia" w:ascii="Times New Roman" w:hAnsi="Times New Roman" w:eastAsia="宋体" w:cs="Times New Roman"/>
                <w:lang w:eastAsia="zh-CN"/>
              </w:rPr>
              <w:t>石块等建筑垃圾就地回填并夯实，可起到稳固地基的作用。</w:t>
            </w:r>
            <w:r>
              <w:rPr>
                <w:rFonts w:hint="eastAsia" w:ascii="Times New Roman" w:hAnsi="Times New Roman" w:eastAsia="宋体" w:cs="Times New Roman"/>
                <w:lang w:val="en-US" w:eastAsia="zh-CN"/>
              </w:rPr>
              <w:t>若存在多余的建筑垃圾，送当地工业固体废物填埋场处置</w:t>
            </w:r>
            <w:r>
              <w:rPr>
                <w:rFonts w:hint="eastAsia" w:ascii="Times New Roman" w:hAnsi="Times New Roman" w:eastAsia="宋体" w:cs="Times New Roman"/>
                <w:lang w:eastAsia="zh-CN"/>
              </w:rPr>
              <w:t>；施工期产生的生活垃圾依托</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ascii="Times New Roman" w:hAnsi="Times New Roman" w:eastAsia="宋体" w:cs="Times New Roman"/>
                <w:lang w:eastAsia="zh-CN"/>
              </w:rPr>
              <w:t>现有垃圾收集设施收集，委托园区环卫清运至当地生活垃圾填埋场。对于施工期可能存在的废油漆桶等危险废物，由施工方回收处理。</w:t>
            </w:r>
          </w:p>
          <w:p w14:paraId="5C83E43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lang w:eastAsia="zh-CN"/>
              </w:rPr>
            </w:pPr>
            <w:r>
              <w:rPr>
                <w:rFonts w:hint="eastAsia" w:ascii="Times New Roman" w:hAnsi="Times New Roman" w:eastAsia="宋体" w:cs="Times New Roman"/>
                <w:lang w:eastAsia="zh-CN"/>
              </w:rPr>
              <w:t>项目施工期剥离的停车场混凝土及时运往工业固体废物填埋场，施工废物、生活垃圾及时收集、清运。</w:t>
            </w:r>
          </w:p>
        </w:tc>
      </w:tr>
      <w:tr w14:paraId="0D2E4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746" w:type="dxa"/>
            <w:noWrap w:val="0"/>
            <w:tcMar>
              <w:left w:w="28" w:type="dxa"/>
              <w:right w:w="28" w:type="dxa"/>
            </w:tcMar>
            <w:vAlign w:val="center"/>
          </w:tcPr>
          <w:p w14:paraId="69EFF15A">
            <w:pPr>
              <w:adjustRightInd w:val="0"/>
              <w:snapToGrid w:val="0"/>
              <w:jc w:val="center"/>
              <w:rPr>
                <w:rFonts w:hint="eastAsia" w:ascii="宋体" w:hAnsi="宋体" w:cs="宋体"/>
                <w:bCs/>
                <w:szCs w:val="21"/>
              </w:rPr>
            </w:pPr>
            <w:r>
              <w:rPr>
                <w:rFonts w:hint="eastAsia" w:ascii="宋体" w:hAnsi="宋体" w:cs="宋体"/>
                <w:bCs/>
                <w:szCs w:val="21"/>
              </w:rPr>
              <w:t>运营</w:t>
            </w:r>
          </w:p>
          <w:p w14:paraId="6E2856BB">
            <w:pPr>
              <w:adjustRightInd w:val="0"/>
              <w:snapToGrid w:val="0"/>
              <w:jc w:val="center"/>
              <w:rPr>
                <w:rFonts w:hint="eastAsia" w:ascii="宋体" w:hAnsi="宋体" w:cs="宋体"/>
                <w:bCs/>
                <w:szCs w:val="21"/>
              </w:rPr>
            </w:pPr>
            <w:r>
              <w:rPr>
                <w:rFonts w:hint="eastAsia" w:ascii="宋体" w:hAnsi="宋体" w:cs="宋体"/>
                <w:bCs/>
                <w:szCs w:val="21"/>
              </w:rPr>
              <w:t>期环</w:t>
            </w:r>
          </w:p>
          <w:p w14:paraId="1BB81F0E">
            <w:pPr>
              <w:adjustRightInd w:val="0"/>
              <w:snapToGrid w:val="0"/>
              <w:jc w:val="center"/>
              <w:rPr>
                <w:rFonts w:hint="eastAsia" w:ascii="宋体" w:hAnsi="宋体" w:cs="宋体"/>
                <w:bCs/>
                <w:szCs w:val="21"/>
              </w:rPr>
            </w:pPr>
            <w:r>
              <w:rPr>
                <w:rFonts w:hint="eastAsia" w:ascii="宋体" w:hAnsi="宋体" w:cs="宋体"/>
                <w:bCs/>
                <w:szCs w:val="21"/>
              </w:rPr>
              <w:t>境影</w:t>
            </w:r>
          </w:p>
          <w:p w14:paraId="56DF8E64">
            <w:pPr>
              <w:adjustRightInd w:val="0"/>
              <w:snapToGrid w:val="0"/>
              <w:jc w:val="center"/>
              <w:rPr>
                <w:rFonts w:hint="eastAsia" w:ascii="宋体" w:hAnsi="宋体" w:cs="宋体"/>
                <w:bCs/>
                <w:szCs w:val="21"/>
              </w:rPr>
            </w:pPr>
            <w:r>
              <w:rPr>
                <w:rFonts w:hint="eastAsia" w:ascii="宋体" w:hAnsi="宋体" w:cs="宋体"/>
                <w:bCs/>
                <w:szCs w:val="21"/>
              </w:rPr>
              <w:t>响和</w:t>
            </w:r>
          </w:p>
          <w:p w14:paraId="2674D041">
            <w:pPr>
              <w:adjustRightInd w:val="0"/>
              <w:snapToGrid w:val="0"/>
              <w:jc w:val="center"/>
              <w:rPr>
                <w:rFonts w:hint="eastAsia" w:ascii="宋体" w:hAnsi="宋体" w:cs="宋体"/>
                <w:bCs/>
                <w:szCs w:val="21"/>
              </w:rPr>
            </w:pPr>
            <w:r>
              <w:rPr>
                <w:rFonts w:hint="eastAsia" w:ascii="宋体" w:hAnsi="宋体" w:cs="宋体"/>
                <w:bCs/>
                <w:szCs w:val="21"/>
              </w:rPr>
              <w:t>保护</w:t>
            </w:r>
          </w:p>
          <w:p w14:paraId="78923B87">
            <w:pPr>
              <w:adjustRightInd w:val="0"/>
              <w:snapToGrid w:val="0"/>
              <w:jc w:val="center"/>
              <w:rPr>
                <w:rFonts w:ascii="宋体" w:hAnsi="宋体" w:cs="宋体"/>
                <w:bCs/>
                <w:szCs w:val="21"/>
              </w:rPr>
            </w:pPr>
            <w:r>
              <w:rPr>
                <w:rFonts w:hint="eastAsia" w:ascii="宋体" w:hAnsi="宋体" w:cs="宋体"/>
                <w:bCs/>
                <w:szCs w:val="21"/>
              </w:rPr>
              <w:t>措施</w:t>
            </w:r>
          </w:p>
        </w:tc>
        <w:tc>
          <w:tcPr>
            <w:tcW w:w="8162" w:type="dxa"/>
            <w:noWrap w:val="0"/>
            <w:vAlign w:val="center"/>
          </w:tcPr>
          <w:p w14:paraId="2CBF27B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eastAsia"/>
                <w:b/>
                <w:bCs/>
                <w:lang w:eastAsia="zh-CN"/>
              </w:rPr>
            </w:pPr>
            <w:r>
              <w:rPr>
                <w:rFonts w:hint="eastAsia"/>
                <w:b/>
                <w:bCs/>
                <w:lang w:eastAsia="zh-CN"/>
              </w:rPr>
              <w:t>一、大气环境影响及保护措施</w:t>
            </w:r>
          </w:p>
          <w:p w14:paraId="0CC42E1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）污染源分析及措施可行性</w:t>
            </w:r>
          </w:p>
          <w:p w14:paraId="70A6560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根据分析，本项目研发楼中做实验产生的微量实验废气中，主要关注的大气污染物甲醇、苯乙烯、乙酸和四氢呋喃排放量极少，按照实验室操作规程，通过通风橱和排风扇及时收集，通过通风系统排出大楼，可确保实验室人员健康，污染物经大气充分稀释后排放，不会对周围环境产生影响。</w:t>
            </w:r>
          </w:p>
          <w:p w14:paraId="4915F8E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试验区中聚合试验的缩聚反应出料口，流延机、吹膜机、注塑机、密炼机等试验设备在试验过程会产生少量挥发性有机废气，在设备的顶部均设置集气罩收集实验过程产生的废气，经配套的光氧</w:t>
            </w:r>
            <w:r>
              <w:rPr>
                <w:rFonts w:hint="eastAsia" w:ascii="Times New Roman" w:hAnsi="Times New Roman" w:eastAsia="宋体" w:cs="Times New Roman"/>
                <w:lang w:val="en-US" w:eastAsia="zh-CN"/>
              </w:rPr>
              <w:t>+活性炭吸附设施处理后，通过15m高排气筒排出室外。</w:t>
            </w:r>
          </w:p>
          <w:p w14:paraId="54F53B6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参考《塑料制品行业系数手册》2921塑料薄膜制造行业产排污系数表，主要原料为树脂、助剂，通过配料-混合-挤出加工生产时，NMHC的产污系数为2.5kg/t（产品），以每年试验用聚酯类</w:t>
            </w:r>
            <w:r>
              <w:rPr>
                <w:rFonts w:hint="eastAsia" w:cs="Times New Roman"/>
                <w:lang w:val="en-US" w:eastAsia="zh-CN"/>
              </w:rPr>
              <w:t>产物3</w:t>
            </w:r>
            <w:r>
              <w:rPr>
                <w:rFonts w:hint="eastAsia" w:ascii="Times New Roman" w:hAnsi="Times New Roman" w:eastAsia="宋体" w:cs="Times New Roman"/>
                <w:lang w:val="en-US" w:eastAsia="zh-CN"/>
              </w:rPr>
              <w:t>00t/a计算（预计最不利情况）</w:t>
            </w:r>
            <w:r>
              <w:rPr>
                <w:rFonts w:hint="eastAsia" w:cs="Times New Roman"/>
                <w:lang w:val="en-US" w:eastAsia="zh-CN"/>
              </w:rPr>
              <w:t>，</w:t>
            </w:r>
            <w:r>
              <w:rPr>
                <w:rFonts w:hint="eastAsia" w:ascii="Times New Roman" w:hAnsi="Times New Roman" w:eastAsia="宋体" w:cs="Times New Roman"/>
                <w:lang w:val="en-US" w:eastAsia="zh-CN"/>
              </w:rPr>
              <w:t>则NMHC产生量为</w:t>
            </w:r>
            <w:r>
              <w:rPr>
                <w:rFonts w:hint="eastAsia" w:cs="Times New Roman"/>
                <w:lang w:val="en-US" w:eastAsia="zh-CN"/>
              </w:rPr>
              <w:t>0.75</w:t>
            </w:r>
            <w:r>
              <w:rPr>
                <w:rFonts w:hint="eastAsia" w:ascii="Times New Roman" w:hAnsi="Times New Roman" w:eastAsia="宋体" w:cs="Times New Roman"/>
                <w:lang w:val="en-US" w:eastAsia="zh-CN"/>
              </w:rPr>
              <w:t>t/a。污染物产生量按下式计算：</w:t>
            </w:r>
          </w:p>
          <w:p w14:paraId="6BA8301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m:oMathPara>
              <m:oMath>
                <m:sSub>
                  <m:sSubPr>
                    <m:ctrlPr>
                      <w:rPr>
                        <w:rFonts w:hint="default" w:ascii="Cambria Math" w:hAnsi="Cambria Math" w:eastAsia="宋体" w:cs="Times New Roman"/>
                        <w:kern w:val="2"/>
                        <w:sz w:val="21"/>
                        <w:szCs w:val="24"/>
                        <w:lang w:val="en-US" w:eastAsia="zh-CN" w:bidi="ar-SA"/>
                      </w:rPr>
                    </m:ctrlPr>
                  </m:sSubPr>
                  <m:e>
                    <m:r>
                      <m:rPr>
                        <m:sty m:val="p"/>
                      </m:rPr>
                      <w:rPr>
                        <w:rFonts w:hint="default" w:ascii="Cambria Math" w:hAnsi="Cambria Math" w:eastAsia="宋体" w:cs="Times New Roman"/>
                        <w:kern w:val="2"/>
                        <w:sz w:val="21"/>
                        <w:szCs w:val="24"/>
                        <w:lang w:val="en-US" w:eastAsia="zh-CN" w:bidi="ar-SA"/>
                      </w:rPr>
                      <m:t>G</m:t>
                    </m:r>
                    <m:ctrlPr>
                      <w:rPr>
                        <w:rFonts w:hint="default" w:ascii="Cambria Math" w:hAnsi="Cambria Math" w:eastAsia="宋体" w:cs="Times New Roman"/>
                        <w:kern w:val="2"/>
                        <w:sz w:val="21"/>
                        <w:szCs w:val="24"/>
                        <w:lang w:val="en-US" w:eastAsia="zh-CN" w:bidi="ar-SA"/>
                      </w:rPr>
                    </m:ctrlPr>
                  </m:e>
                  <m:sub>
                    <m:r>
                      <m:rPr>
                        <m:sty m:val="p"/>
                      </m:rPr>
                      <w:rPr>
                        <w:rFonts w:hint="default" w:ascii="Cambria Math" w:hAnsi="Cambria Math" w:eastAsia="宋体" w:cs="Times New Roman"/>
                        <w:kern w:val="2"/>
                        <w:sz w:val="21"/>
                        <w:szCs w:val="24"/>
                        <w:lang w:val="en-US" w:eastAsia="zh-CN" w:bidi="ar-SA"/>
                      </w:rPr>
                      <m:t>产i</m:t>
                    </m:r>
                    <m:ctrlPr>
                      <w:rPr>
                        <w:rFonts w:hint="default" w:ascii="Cambria Math" w:hAnsi="Cambria Math" w:eastAsia="宋体" w:cs="Times New Roman"/>
                        <w:kern w:val="2"/>
                        <w:sz w:val="21"/>
                        <w:szCs w:val="24"/>
                        <w:lang w:val="en-US" w:eastAsia="zh-CN" w:bidi="ar-SA"/>
                      </w:rPr>
                    </m:ctrlPr>
                  </m:sub>
                </m:sSub>
                <m:r>
                  <m:rPr>
                    <m:sty m:val="p"/>
                  </m:rPr>
                  <w:rPr>
                    <w:rFonts w:hint="default" w:ascii="Cambria Math" w:hAnsi="Cambria Math" w:eastAsia="宋体" w:cs="Times New Roman"/>
                    <w:kern w:val="2"/>
                    <w:sz w:val="21"/>
                    <w:szCs w:val="24"/>
                    <w:lang w:val="en-US" w:eastAsia="zh-CN" w:bidi="ar-SA"/>
                  </w:rPr>
                  <m:t>=</m:t>
                </m:r>
                <m:sSub>
                  <m:sSubPr>
                    <m:ctrlPr>
                      <w:rPr>
                        <w:rFonts w:hint="default" w:ascii="Cambria Math" w:hAnsi="Cambria Math" w:eastAsia="宋体" w:cs="Times New Roman"/>
                        <w:kern w:val="2"/>
                        <w:sz w:val="21"/>
                        <w:szCs w:val="24"/>
                        <w:lang w:val="en-US" w:eastAsia="zh-CN" w:bidi="ar-SA"/>
                      </w:rPr>
                    </m:ctrlPr>
                  </m:sSubPr>
                  <m:e>
                    <m:r>
                      <m:rPr>
                        <m:sty m:val="p"/>
                      </m:rPr>
                      <w:rPr>
                        <w:rFonts w:hint="default" w:ascii="Cambria Math" w:hAnsi="Cambria Math" w:eastAsia="宋体" w:cs="Times New Roman"/>
                        <w:kern w:val="2"/>
                        <w:sz w:val="21"/>
                        <w:szCs w:val="24"/>
                        <w:lang w:val="en-US" w:eastAsia="zh-CN" w:bidi="ar-SA"/>
                      </w:rPr>
                      <m:t>P</m:t>
                    </m:r>
                    <m:ctrlPr>
                      <w:rPr>
                        <w:rFonts w:hint="default" w:ascii="Cambria Math" w:hAnsi="Cambria Math" w:eastAsia="宋体" w:cs="Times New Roman"/>
                        <w:kern w:val="2"/>
                        <w:sz w:val="21"/>
                        <w:szCs w:val="24"/>
                        <w:lang w:val="en-US" w:eastAsia="zh-CN" w:bidi="ar-SA"/>
                      </w:rPr>
                    </m:ctrlPr>
                  </m:e>
                  <m:sub>
                    <m:r>
                      <m:rPr>
                        <m:sty m:val="p"/>
                      </m:rPr>
                      <w:rPr>
                        <w:rFonts w:hint="default" w:ascii="Cambria Math" w:hAnsi="Cambria Math" w:eastAsia="宋体" w:cs="Times New Roman"/>
                        <w:kern w:val="2"/>
                        <w:sz w:val="21"/>
                        <w:szCs w:val="24"/>
                        <w:lang w:val="en-US" w:eastAsia="zh-CN" w:bidi="ar-SA"/>
                      </w:rPr>
                      <m:t>产</m:t>
                    </m:r>
                    <m:ctrlPr>
                      <w:rPr>
                        <w:rFonts w:hint="default" w:ascii="Cambria Math" w:hAnsi="Cambria Math" w:eastAsia="宋体" w:cs="Times New Roman"/>
                        <w:kern w:val="2"/>
                        <w:sz w:val="21"/>
                        <w:szCs w:val="24"/>
                        <w:lang w:val="en-US" w:eastAsia="zh-CN" w:bidi="ar-SA"/>
                      </w:rPr>
                    </m:ctrlPr>
                  </m:sub>
                </m:sSub>
                <m:r>
                  <m:rPr>
                    <m:sty m:val="p"/>
                  </m:rPr>
                  <w:rPr>
                    <w:rFonts w:hint="default" w:ascii="Cambria Math" w:hAnsi="Cambria Math" w:eastAsia="宋体" w:cs="Times New Roman"/>
                    <w:kern w:val="2"/>
                    <w:sz w:val="21"/>
                    <w:szCs w:val="24"/>
                    <w:lang w:val="en-US" w:eastAsia="zh-CN" w:bidi="ar-SA"/>
                  </w:rPr>
                  <m:t>×</m:t>
                </m:r>
                <m:sSub>
                  <m:sSubPr>
                    <m:ctrlPr>
                      <w:rPr>
                        <w:rFonts w:hint="default" w:ascii="Cambria Math" w:hAnsi="Cambria Math" w:eastAsia="宋体" w:cs="Times New Roman"/>
                        <w:kern w:val="2"/>
                        <w:sz w:val="21"/>
                        <w:szCs w:val="24"/>
                        <w:lang w:val="en-US" w:eastAsia="zh-CN" w:bidi="ar-SA"/>
                      </w:rPr>
                    </m:ctrlPr>
                  </m:sSubPr>
                  <m:e>
                    <m:r>
                      <m:rPr>
                        <m:sty m:val="p"/>
                      </m:rPr>
                      <w:rPr>
                        <w:rFonts w:hint="default" w:ascii="Cambria Math" w:hAnsi="Cambria Math" w:eastAsia="宋体" w:cs="Times New Roman"/>
                        <w:kern w:val="2"/>
                        <w:sz w:val="21"/>
                        <w:szCs w:val="24"/>
                        <w:lang w:val="en-US" w:eastAsia="zh-CN" w:bidi="ar-SA"/>
                      </w:rPr>
                      <m:t>M</m:t>
                    </m:r>
                    <m:ctrlPr>
                      <w:rPr>
                        <w:rFonts w:hint="default" w:ascii="Cambria Math" w:hAnsi="Cambria Math" w:eastAsia="宋体" w:cs="Times New Roman"/>
                        <w:kern w:val="2"/>
                        <w:sz w:val="21"/>
                        <w:szCs w:val="24"/>
                        <w:lang w:val="en-US" w:eastAsia="zh-CN" w:bidi="ar-SA"/>
                      </w:rPr>
                    </m:ctrlPr>
                  </m:e>
                  <m:sub>
                    <m:r>
                      <m:rPr>
                        <m:sty m:val="p"/>
                      </m:rPr>
                      <w:rPr>
                        <w:rFonts w:hint="default" w:ascii="Cambria Math" w:hAnsi="Cambria Math" w:eastAsia="宋体" w:cs="Times New Roman"/>
                        <w:kern w:val="2"/>
                        <w:sz w:val="21"/>
                        <w:szCs w:val="24"/>
                        <w:lang w:val="en-US" w:eastAsia="zh-CN" w:bidi="ar-SA"/>
                      </w:rPr>
                      <m:t>i</m:t>
                    </m:r>
                    <m:ctrlPr>
                      <w:rPr>
                        <w:rFonts w:hint="default" w:ascii="Cambria Math" w:hAnsi="Cambria Math" w:eastAsia="宋体" w:cs="Times New Roman"/>
                        <w:kern w:val="2"/>
                        <w:sz w:val="21"/>
                        <w:szCs w:val="24"/>
                        <w:lang w:val="en-US" w:eastAsia="zh-CN" w:bidi="ar-SA"/>
                      </w:rPr>
                    </m:ctrlPr>
                  </m:sub>
                </m:sSub>
              </m:oMath>
            </m:oMathPara>
          </w:p>
          <w:p w14:paraId="33147CF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w:t>
            </w:r>
            <w:r>
              <w:rPr>
                <w:rFonts w:hint="eastAsia" w:ascii="Times New Roman" w:hAnsi="Times New Roman" w:eastAsia="宋体" w:cs="Times New Roman"/>
                <w:vertAlign w:val="subscript"/>
                <w:lang w:val="en-US" w:eastAsia="zh-CN"/>
              </w:rPr>
              <w:t>产i</w:t>
            </w:r>
            <w:r>
              <w:rPr>
                <w:rFonts w:hint="eastAsia" w:ascii="Times New Roman" w:hAnsi="Times New Roman" w:eastAsia="宋体" w:cs="Times New Roman"/>
                <w:lang w:val="en-US" w:eastAsia="zh-CN"/>
              </w:rPr>
              <w:t>：工段i某污染物的平均产生量；</w:t>
            </w:r>
          </w:p>
          <w:p w14:paraId="6F598CF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P</w:t>
            </w:r>
            <w:r>
              <w:rPr>
                <w:rFonts w:hint="eastAsia" w:ascii="Times New Roman" w:hAnsi="Times New Roman" w:eastAsia="宋体" w:cs="Times New Roman"/>
                <w:vertAlign w:val="subscript"/>
                <w:lang w:val="en-US" w:eastAsia="zh-CN"/>
              </w:rPr>
              <w:t>产</w:t>
            </w:r>
            <w:r>
              <w:rPr>
                <w:rFonts w:hint="eastAsia" w:ascii="Times New Roman" w:hAnsi="Times New Roman" w:eastAsia="宋体" w:cs="Times New Roman"/>
                <w:lang w:val="en-US" w:eastAsia="zh-CN"/>
              </w:rPr>
              <w:t>：工段某污染物对应的产污系数；</w:t>
            </w:r>
          </w:p>
          <w:p w14:paraId="5C89773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M</w:t>
            </w:r>
            <w:r>
              <w:rPr>
                <w:rFonts w:hint="eastAsia" w:ascii="Times New Roman" w:hAnsi="Times New Roman" w:eastAsia="宋体" w:cs="Times New Roman"/>
                <w:vertAlign w:val="subscript"/>
                <w:lang w:val="en-US" w:eastAsia="zh-CN"/>
              </w:rPr>
              <w:t>i</w:t>
            </w:r>
            <w:r>
              <w:rPr>
                <w:rFonts w:hint="eastAsia" w:ascii="Times New Roman" w:hAnsi="Times New Roman" w:eastAsia="宋体" w:cs="Times New Roman"/>
                <w:lang w:val="en-US" w:eastAsia="zh-CN"/>
              </w:rPr>
              <w:t>：工段i的产品总量/原料总量。</w:t>
            </w:r>
          </w:p>
          <w:p w14:paraId="337FEA0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imes New Roman" w:hAnsi="Times New Roman"/>
              </w:rPr>
            </w:pPr>
            <w:r>
              <w:rPr>
                <w:rFonts w:hint="eastAsia" w:ascii="Times New Roman" w:hAnsi="Times New Roman" w:eastAsia="宋体" w:cs="Times New Roman"/>
                <w:lang w:val="en-US" w:eastAsia="zh-CN"/>
              </w:rPr>
              <w:t>根据《纳入排污许可的火电等17个行业污染物实际排放量计算方法（试行）》表3，采用半密闭罩方式收集（罩内操作），对挥发性有机物捕集效率按65%～85%</w:t>
            </w:r>
            <w:bookmarkStart w:id="8" w:name="_GoBack"/>
            <w:bookmarkEnd w:id="8"/>
            <w:r>
              <w:rPr>
                <w:rFonts w:hint="eastAsia" w:ascii="Times New Roman" w:hAnsi="Times New Roman" w:eastAsia="宋体" w:cs="Times New Roman"/>
                <w:lang w:val="en-US" w:eastAsia="zh-CN"/>
              </w:rPr>
              <w:t>计（本次评价取75%），进入废气处理设施的NMHC为</w:t>
            </w:r>
            <w:r>
              <w:rPr>
                <w:rFonts w:hint="eastAsia" w:cs="Times New Roman"/>
                <w:lang w:val="en-US" w:eastAsia="zh-CN"/>
              </w:rPr>
              <w:t>0.5625</w:t>
            </w:r>
            <w:r>
              <w:rPr>
                <w:rFonts w:hint="eastAsia" w:ascii="Times New Roman" w:hAnsi="Times New Roman" w:eastAsia="宋体" w:cs="Times New Roman"/>
                <w:lang w:val="en-US" w:eastAsia="zh-CN"/>
              </w:rPr>
              <w:t>t/a，其余未收集废气通过试验区通风系统呈无组织排放。</w:t>
            </w:r>
            <w:r>
              <w:rPr>
                <w:rFonts w:hint="eastAsia" w:cs="Times New Roman"/>
                <w:lang w:val="en-US" w:eastAsia="zh-CN"/>
              </w:rPr>
              <w:t>参考《排放源统计调查产排污核算方法和系数手册》中，塑料板、管、型材制造行业系数表中，活性炭吸附效率取21%，光催化+活性炭吸附效率取24%。</w:t>
            </w:r>
            <w:r>
              <w:rPr>
                <w:rFonts w:hint="eastAsia" w:ascii="Times New Roman" w:hAnsi="Times New Roman" w:eastAsia="宋体" w:cs="Times New Roman"/>
                <w:lang w:val="en-US" w:eastAsia="zh-CN"/>
              </w:rPr>
              <w:t>本项目有组织污染物产排放情况见表</w:t>
            </w:r>
            <w:r>
              <w:rPr>
                <w:rFonts w:hint="eastAsia" w:cs="Times New Roman"/>
                <w:lang w:val="en-US" w:eastAsia="zh-CN"/>
              </w:rPr>
              <w:t>10</w:t>
            </w:r>
            <w:r>
              <w:rPr>
                <w:rFonts w:hint="eastAsia" w:ascii="Times New Roman" w:hAnsi="Times New Roman" w:eastAsia="宋体" w:cs="Times New Roman"/>
                <w:lang w:val="en-US" w:eastAsia="zh-CN"/>
              </w:rPr>
              <w:t>。</w:t>
            </w:r>
          </w:p>
          <w:p w14:paraId="72831BF2">
            <w:pPr>
              <w:pStyle w:val="5"/>
              <w:spacing w:before="169"/>
              <w:rPr>
                <w:rFonts w:hint="default" w:ascii="Times New Roman" w:hAnsi="Times New Roman" w:eastAsia="宋体"/>
                <w:lang w:val="en-US" w:eastAsia="zh-CN"/>
              </w:rPr>
            </w:pPr>
            <w:r>
              <w:rPr>
                <w:rFonts w:ascii="Times New Roman" w:hAnsi="Times New Roman"/>
              </w:rPr>
              <w:t>表</w:t>
            </w:r>
            <w:r>
              <w:rPr>
                <w:rFonts w:hint="eastAsia" w:ascii="Times New Roman" w:hAnsi="Times New Roman"/>
                <w:lang w:val="en-US" w:eastAsia="zh-CN"/>
              </w:rPr>
              <w:t>10</w:t>
            </w:r>
            <w:r>
              <w:rPr>
                <w:rFonts w:ascii="Times New Roman" w:hAnsi="Times New Roman"/>
              </w:rPr>
              <w:t xml:space="preserve">  </w:t>
            </w:r>
            <w:r>
              <w:rPr>
                <w:rFonts w:hint="eastAsia" w:ascii="Times New Roman" w:hAnsi="Times New Roman"/>
                <w:lang w:eastAsia="zh-CN"/>
              </w:rPr>
              <w:t>本项目有组织</w:t>
            </w:r>
            <w:r>
              <w:rPr>
                <w:rFonts w:ascii="Times New Roman" w:hAnsi="Times New Roman"/>
              </w:rPr>
              <w:t>污染物产排情况</w:t>
            </w:r>
            <w:r>
              <w:rPr>
                <w:rFonts w:hint="eastAsia" w:ascii="Times New Roman" w:hAnsi="Times New Roman"/>
                <w:lang w:eastAsia="zh-CN"/>
              </w:rPr>
              <w:t>表</w:t>
            </w:r>
            <w:r>
              <w:rPr>
                <w:rFonts w:hint="eastAsia" w:ascii="Times New Roman" w:hAnsi="Times New Roman"/>
                <w:lang w:val="en-US" w:eastAsia="zh-CN"/>
              </w:rPr>
              <w:t xml:space="preserve">  （年工作2400h）</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654"/>
              <w:gridCol w:w="760"/>
              <w:gridCol w:w="782"/>
              <w:gridCol w:w="703"/>
              <w:gridCol w:w="684"/>
              <w:gridCol w:w="776"/>
              <w:gridCol w:w="545"/>
              <w:gridCol w:w="684"/>
              <w:gridCol w:w="693"/>
              <w:gridCol w:w="636"/>
              <w:gridCol w:w="535"/>
            </w:tblGrid>
            <w:tr w14:paraId="38FB5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 w:type="pct"/>
                  <w:vMerge w:val="restart"/>
                  <w:noWrap w:val="0"/>
                  <w:vAlign w:val="center"/>
                </w:tcPr>
                <w:p w14:paraId="60B447C1">
                  <w:pPr>
                    <w:spacing w:line="240" w:lineRule="auto"/>
                    <w:ind w:firstLine="0"/>
                    <w:jc w:val="center"/>
                    <w:rPr>
                      <w:rFonts w:ascii="Times New Roman"/>
                      <w:spacing w:val="-6"/>
                      <w:w w:val="90"/>
                      <w:sz w:val="21"/>
                      <w:szCs w:val="21"/>
                    </w:rPr>
                  </w:pPr>
                  <w:r>
                    <w:rPr>
                      <w:rFonts w:ascii="Times New Roman"/>
                      <w:spacing w:val="-6"/>
                      <w:w w:val="90"/>
                      <w:sz w:val="21"/>
                      <w:szCs w:val="21"/>
                    </w:rPr>
                    <w:t>项目</w:t>
                  </w:r>
                </w:p>
              </w:tc>
              <w:tc>
                <w:tcPr>
                  <w:tcW w:w="418" w:type="pct"/>
                  <w:vMerge w:val="restart"/>
                  <w:noWrap w:val="0"/>
                  <w:vAlign w:val="center"/>
                </w:tcPr>
                <w:p w14:paraId="3B83B95E">
                  <w:pPr>
                    <w:spacing w:line="240" w:lineRule="auto"/>
                    <w:ind w:firstLine="0"/>
                    <w:jc w:val="center"/>
                    <w:rPr>
                      <w:rFonts w:ascii="Times New Roman"/>
                      <w:spacing w:val="-6"/>
                      <w:w w:val="90"/>
                      <w:sz w:val="21"/>
                      <w:szCs w:val="21"/>
                    </w:rPr>
                  </w:pPr>
                  <w:r>
                    <w:rPr>
                      <w:rFonts w:ascii="Times New Roman"/>
                      <w:spacing w:val="-6"/>
                      <w:w w:val="90"/>
                      <w:sz w:val="21"/>
                      <w:szCs w:val="21"/>
                    </w:rPr>
                    <w:t>废气量m³/h</w:t>
                  </w:r>
                </w:p>
              </w:tc>
              <w:tc>
                <w:tcPr>
                  <w:tcW w:w="421" w:type="pct"/>
                  <w:vMerge w:val="restart"/>
                  <w:noWrap w:val="0"/>
                  <w:vAlign w:val="center"/>
                </w:tcPr>
                <w:p w14:paraId="74033FFE">
                  <w:pPr>
                    <w:spacing w:line="240" w:lineRule="auto"/>
                    <w:ind w:firstLine="0"/>
                    <w:jc w:val="center"/>
                    <w:rPr>
                      <w:rFonts w:ascii="Times New Roman"/>
                      <w:spacing w:val="-6"/>
                      <w:w w:val="90"/>
                      <w:sz w:val="21"/>
                      <w:szCs w:val="21"/>
                    </w:rPr>
                  </w:pPr>
                  <w:r>
                    <w:rPr>
                      <w:rFonts w:ascii="Times New Roman"/>
                      <w:spacing w:val="-6"/>
                      <w:w w:val="90"/>
                      <w:sz w:val="21"/>
                      <w:szCs w:val="21"/>
                    </w:rPr>
                    <w:t>主要污染物</w:t>
                  </w:r>
                </w:p>
              </w:tc>
              <w:tc>
                <w:tcPr>
                  <w:tcW w:w="498" w:type="pct"/>
                  <w:vMerge w:val="restart"/>
                  <w:noWrap w:val="0"/>
                  <w:vAlign w:val="center"/>
                </w:tcPr>
                <w:p w14:paraId="4FF0F416">
                  <w:pPr>
                    <w:spacing w:line="240" w:lineRule="auto"/>
                    <w:ind w:firstLine="0"/>
                    <w:jc w:val="center"/>
                    <w:rPr>
                      <w:rFonts w:ascii="Times New Roman"/>
                      <w:spacing w:val="-6"/>
                      <w:w w:val="90"/>
                      <w:sz w:val="21"/>
                      <w:szCs w:val="21"/>
                    </w:rPr>
                  </w:pPr>
                  <w:r>
                    <w:rPr>
                      <w:rFonts w:ascii="Times New Roman"/>
                      <w:spacing w:val="-6"/>
                      <w:w w:val="90"/>
                      <w:sz w:val="21"/>
                      <w:szCs w:val="21"/>
                    </w:rPr>
                    <w:t>产生量t/a</w:t>
                  </w:r>
                </w:p>
              </w:tc>
              <w:tc>
                <w:tcPr>
                  <w:tcW w:w="448" w:type="pct"/>
                  <w:vMerge w:val="restart"/>
                  <w:noWrap w:val="0"/>
                  <w:vAlign w:val="center"/>
                </w:tcPr>
                <w:p w14:paraId="2232C529">
                  <w:pPr>
                    <w:spacing w:line="240" w:lineRule="auto"/>
                    <w:ind w:firstLine="0"/>
                    <w:jc w:val="center"/>
                    <w:rPr>
                      <w:rFonts w:ascii="Times New Roman"/>
                      <w:spacing w:val="-6"/>
                      <w:w w:val="90"/>
                      <w:sz w:val="21"/>
                      <w:szCs w:val="21"/>
                    </w:rPr>
                  </w:pPr>
                  <w:r>
                    <w:rPr>
                      <w:rFonts w:ascii="Times New Roman"/>
                      <w:spacing w:val="-6"/>
                      <w:w w:val="90"/>
                      <w:sz w:val="21"/>
                      <w:szCs w:val="21"/>
                    </w:rPr>
                    <w:t>治理措施</w:t>
                  </w:r>
                </w:p>
              </w:tc>
              <w:tc>
                <w:tcPr>
                  <w:tcW w:w="930" w:type="pct"/>
                  <w:gridSpan w:val="2"/>
                  <w:noWrap w:val="0"/>
                  <w:vAlign w:val="center"/>
                </w:tcPr>
                <w:p w14:paraId="40708E56">
                  <w:pPr>
                    <w:spacing w:line="240" w:lineRule="auto"/>
                    <w:ind w:firstLine="0"/>
                    <w:jc w:val="center"/>
                    <w:rPr>
                      <w:rFonts w:ascii="Times New Roman"/>
                      <w:spacing w:val="-6"/>
                      <w:w w:val="90"/>
                      <w:sz w:val="21"/>
                      <w:szCs w:val="21"/>
                    </w:rPr>
                  </w:pPr>
                  <w:r>
                    <w:rPr>
                      <w:rFonts w:ascii="Times New Roman"/>
                      <w:spacing w:val="-6"/>
                      <w:w w:val="90"/>
                      <w:sz w:val="21"/>
                      <w:szCs w:val="21"/>
                    </w:rPr>
                    <w:t>污染物产生</w:t>
                  </w:r>
                </w:p>
              </w:tc>
              <w:tc>
                <w:tcPr>
                  <w:tcW w:w="344" w:type="pct"/>
                  <w:vMerge w:val="restart"/>
                  <w:noWrap w:val="0"/>
                  <w:vAlign w:val="center"/>
                </w:tcPr>
                <w:p w14:paraId="789BF2F9">
                  <w:pPr>
                    <w:spacing w:line="240" w:lineRule="auto"/>
                    <w:ind w:firstLine="0"/>
                    <w:jc w:val="center"/>
                    <w:rPr>
                      <w:rFonts w:ascii="Times New Roman"/>
                      <w:spacing w:val="-6"/>
                      <w:w w:val="90"/>
                      <w:sz w:val="21"/>
                      <w:szCs w:val="21"/>
                    </w:rPr>
                  </w:pPr>
                  <w:r>
                    <w:rPr>
                      <w:rFonts w:ascii="Times New Roman"/>
                      <w:spacing w:val="-6"/>
                      <w:w w:val="90"/>
                      <w:sz w:val="21"/>
                      <w:szCs w:val="21"/>
                    </w:rPr>
                    <w:t>处理</w:t>
                  </w:r>
                </w:p>
                <w:p w14:paraId="10B984FE">
                  <w:pPr>
                    <w:spacing w:line="240" w:lineRule="auto"/>
                    <w:ind w:firstLine="0"/>
                    <w:jc w:val="center"/>
                    <w:rPr>
                      <w:rFonts w:ascii="Times New Roman"/>
                      <w:spacing w:val="-6"/>
                      <w:w w:val="90"/>
                      <w:sz w:val="21"/>
                      <w:szCs w:val="21"/>
                    </w:rPr>
                  </w:pPr>
                  <w:r>
                    <w:rPr>
                      <w:rFonts w:ascii="Times New Roman"/>
                      <w:spacing w:val="-6"/>
                      <w:w w:val="90"/>
                      <w:sz w:val="21"/>
                      <w:szCs w:val="21"/>
                    </w:rPr>
                    <w:t>效率</w:t>
                  </w:r>
                </w:p>
              </w:tc>
              <w:tc>
                <w:tcPr>
                  <w:tcW w:w="881" w:type="pct"/>
                  <w:gridSpan w:val="2"/>
                  <w:noWrap w:val="0"/>
                  <w:vAlign w:val="center"/>
                </w:tcPr>
                <w:p w14:paraId="08E2955A">
                  <w:pPr>
                    <w:spacing w:line="240" w:lineRule="auto"/>
                    <w:ind w:firstLine="0"/>
                    <w:jc w:val="center"/>
                    <w:rPr>
                      <w:rFonts w:ascii="Times New Roman"/>
                      <w:spacing w:val="-6"/>
                      <w:w w:val="90"/>
                      <w:sz w:val="21"/>
                      <w:szCs w:val="21"/>
                    </w:rPr>
                  </w:pPr>
                  <w:r>
                    <w:rPr>
                      <w:rFonts w:ascii="Times New Roman"/>
                      <w:spacing w:val="-6"/>
                      <w:w w:val="90"/>
                      <w:sz w:val="21"/>
                      <w:szCs w:val="21"/>
                    </w:rPr>
                    <w:t>污染物排放</w:t>
                  </w:r>
                </w:p>
              </w:tc>
              <w:tc>
                <w:tcPr>
                  <w:tcW w:w="406" w:type="pct"/>
                  <w:vMerge w:val="restart"/>
                  <w:noWrap w:val="0"/>
                  <w:vAlign w:val="center"/>
                </w:tcPr>
                <w:p w14:paraId="411BA995">
                  <w:pPr>
                    <w:spacing w:line="240" w:lineRule="auto"/>
                    <w:ind w:firstLine="0"/>
                    <w:jc w:val="center"/>
                    <w:rPr>
                      <w:rFonts w:ascii="Times New Roman"/>
                      <w:spacing w:val="-6"/>
                      <w:w w:val="90"/>
                      <w:sz w:val="21"/>
                      <w:szCs w:val="21"/>
                    </w:rPr>
                  </w:pPr>
                  <w:r>
                    <w:rPr>
                      <w:rFonts w:ascii="Times New Roman"/>
                      <w:spacing w:val="-6"/>
                      <w:w w:val="90"/>
                      <w:sz w:val="21"/>
                      <w:szCs w:val="21"/>
                    </w:rPr>
                    <w:t>排放量</w:t>
                  </w:r>
                </w:p>
                <w:p w14:paraId="5E616DF9">
                  <w:pPr>
                    <w:spacing w:line="240" w:lineRule="auto"/>
                    <w:ind w:firstLine="0"/>
                    <w:jc w:val="center"/>
                    <w:rPr>
                      <w:rFonts w:ascii="Times New Roman"/>
                      <w:spacing w:val="-6"/>
                      <w:w w:val="90"/>
                      <w:sz w:val="21"/>
                      <w:szCs w:val="21"/>
                    </w:rPr>
                  </w:pPr>
                  <w:r>
                    <w:rPr>
                      <w:rFonts w:ascii="Times New Roman"/>
                      <w:spacing w:val="-6"/>
                      <w:w w:val="90"/>
                      <w:sz w:val="21"/>
                      <w:szCs w:val="21"/>
                    </w:rPr>
                    <w:t>t/a</w:t>
                  </w:r>
                </w:p>
              </w:tc>
              <w:tc>
                <w:tcPr>
                  <w:tcW w:w="338" w:type="pct"/>
                  <w:vMerge w:val="restart"/>
                  <w:noWrap w:val="0"/>
                  <w:vAlign w:val="center"/>
                </w:tcPr>
                <w:p w14:paraId="3EAC3FDB">
                  <w:pPr>
                    <w:spacing w:line="240" w:lineRule="auto"/>
                    <w:ind w:firstLine="0"/>
                    <w:jc w:val="center"/>
                    <w:rPr>
                      <w:rFonts w:ascii="Times New Roman"/>
                      <w:spacing w:val="-6"/>
                      <w:w w:val="90"/>
                      <w:sz w:val="21"/>
                      <w:szCs w:val="21"/>
                    </w:rPr>
                  </w:pPr>
                  <w:r>
                    <w:rPr>
                      <w:rFonts w:ascii="Times New Roman"/>
                      <w:spacing w:val="-6"/>
                      <w:w w:val="90"/>
                      <w:sz w:val="21"/>
                      <w:szCs w:val="21"/>
                    </w:rPr>
                    <w:t>排放</w:t>
                  </w:r>
                </w:p>
                <w:p w14:paraId="0A8F3DA3">
                  <w:pPr>
                    <w:spacing w:line="240" w:lineRule="auto"/>
                    <w:ind w:firstLine="0"/>
                    <w:jc w:val="center"/>
                    <w:rPr>
                      <w:rFonts w:ascii="Times New Roman"/>
                      <w:spacing w:val="-6"/>
                      <w:w w:val="90"/>
                      <w:sz w:val="21"/>
                      <w:szCs w:val="21"/>
                    </w:rPr>
                  </w:pPr>
                  <w:r>
                    <w:rPr>
                      <w:rFonts w:ascii="Times New Roman"/>
                      <w:spacing w:val="-6"/>
                      <w:w w:val="90"/>
                      <w:sz w:val="21"/>
                      <w:szCs w:val="21"/>
                    </w:rPr>
                    <w:t>位置</w:t>
                  </w:r>
                </w:p>
              </w:tc>
            </w:tr>
            <w:tr w14:paraId="3E1AE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 w:type="pct"/>
                  <w:vMerge w:val="continue"/>
                  <w:noWrap w:val="0"/>
                  <w:vAlign w:val="center"/>
                </w:tcPr>
                <w:p w14:paraId="506B5FD8">
                  <w:pPr>
                    <w:spacing w:line="240" w:lineRule="auto"/>
                    <w:ind w:firstLine="0"/>
                    <w:jc w:val="center"/>
                    <w:rPr>
                      <w:rFonts w:ascii="Times New Roman"/>
                      <w:spacing w:val="-6"/>
                      <w:w w:val="90"/>
                      <w:sz w:val="21"/>
                      <w:szCs w:val="21"/>
                    </w:rPr>
                  </w:pPr>
                </w:p>
              </w:tc>
              <w:tc>
                <w:tcPr>
                  <w:tcW w:w="418" w:type="pct"/>
                  <w:vMerge w:val="continue"/>
                  <w:noWrap w:val="0"/>
                  <w:vAlign w:val="center"/>
                </w:tcPr>
                <w:p w14:paraId="5D1DDC2F">
                  <w:pPr>
                    <w:spacing w:line="240" w:lineRule="auto"/>
                    <w:ind w:firstLine="0"/>
                    <w:jc w:val="center"/>
                    <w:rPr>
                      <w:rFonts w:ascii="Times New Roman"/>
                      <w:spacing w:val="-6"/>
                      <w:w w:val="90"/>
                      <w:sz w:val="21"/>
                      <w:szCs w:val="21"/>
                    </w:rPr>
                  </w:pPr>
                </w:p>
              </w:tc>
              <w:tc>
                <w:tcPr>
                  <w:tcW w:w="421" w:type="pct"/>
                  <w:vMerge w:val="continue"/>
                  <w:noWrap w:val="0"/>
                  <w:vAlign w:val="center"/>
                </w:tcPr>
                <w:p w14:paraId="1B7212CD">
                  <w:pPr>
                    <w:spacing w:line="240" w:lineRule="auto"/>
                    <w:ind w:firstLine="0"/>
                    <w:jc w:val="center"/>
                    <w:rPr>
                      <w:rFonts w:ascii="Times New Roman"/>
                      <w:spacing w:val="-6"/>
                      <w:w w:val="90"/>
                      <w:sz w:val="21"/>
                      <w:szCs w:val="21"/>
                    </w:rPr>
                  </w:pPr>
                </w:p>
              </w:tc>
              <w:tc>
                <w:tcPr>
                  <w:tcW w:w="498" w:type="pct"/>
                  <w:vMerge w:val="continue"/>
                  <w:noWrap w:val="0"/>
                  <w:vAlign w:val="center"/>
                </w:tcPr>
                <w:p w14:paraId="5C8D241A">
                  <w:pPr>
                    <w:spacing w:line="240" w:lineRule="auto"/>
                    <w:ind w:firstLine="0"/>
                    <w:jc w:val="center"/>
                    <w:rPr>
                      <w:rFonts w:ascii="Times New Roman"/>
                      <w:spacing w:val="-6"/>
                      <w:w w:val="90"/>
                      <w:sz w:val="21"/>
                      <w:szCs w:val="21"/>
                    </w:rPr>
                  </w:pPr>
                </w:p>
              </w:tc>
              <w:tc>
                <w:tcPr>
                  <w:tcW w:w="448" w:type="pct"/>
                  <w:vMerge w:val="continue"/>
                  <w:noWrap w:val="0"/>
                  <w:vAlign w:val="center"/>
                </w:tcPr>
                <w:p w14:paraId="3D5B5824">
                  <w:pPr>
                    <w:spacing w:line="240" w:lineRule="auto"/>
                    <w:ind w:firstLine="0"/>
                    <w:jc w:val="center"/>
                    <w:rPr>
                      <w:rFonts w:ascii="Times New Roman"/>
                      <w:spacing w:val="-6"/>
                      <w:w w:val="90"/>
                      <w:sz w:val="21"/>
                      <w:szCs w:val="21"/>
                    </w:rPr>
                  </w:pPr>
                </w:p>
              </w:tc>
              <w:tc>
                <w:tcPr>
                  <w:tcW w:w="432" w:type="pct"/>
                  <w:noWrap w:val="0"/>
                  <w:vAlign w:val="center"/>
                </w:tcPr>
                <w:p w14:paraId="5C71F273">
                  <w:pPr>
                    <w:spacing w:line="240" w:lineRule="auto"/>
                    <w:ind w:firstLine="0"/>
                    <w:jc w:val="center"/>
                    <w:rPr>
                      <w:rFonts w:ascii="Times New Roman"/>
                      <w:spacing w:val="-6"/>
                      <w:w w:val="90"/>
                      <w:sz w:val="21"/>
                      <w:szCs w:val="21"/>
                    </w:rPr>
                  </w:pPr>
                  <w:r>
                    <w:rPr>
                      <w:rFonts w:ascii="Times New Roman"/>
                      <w:spacing w:val="-6"/>
                      <w:w w:val="90"/>
                      <w:sz w:val="21"/>
                      <w:szCs w:val="21"/>
                    </w:rPr>
                    <w:t>浓度</w:t>
                  </w:r>
                </w:p>
                <w:p w14:paraId="68F94B38">
                  <w:pPr>
                    <w:spacing w:line="240" w:lineRule="auto"/>
                    <w:ind w:firstLine="0"/>
                    <w:jc w:val="center"/>
                    <w:rPr>
                      <w:rFonts w:ascii="Times New Roman"/>
                      <w:spacing w:val="-6"/>
                      <w:w w:val="90"/>
                      <w:sz w:val="21"/>
                      <w:szCs w:val="21"/>
                    </w:rPr>
                  </w:pPr>
                  <w:r>
                    <w:rPr>
                      <w:rFonts w:ascii="Times New Roman"/>
                      <w:spacing w:val="-6"/>
                      <w:w w:val="90"/>
                      <w:sz w:val="21"/>
                      <w:szCs w:val="21"/>
                    </w:rPr>
                    <w:t>mg/m³</w:t>
                  </w:r>
                </w:p>
              </w:tc>
              <w:tc>
                <w:tcPr>
                  <w:tcW w:w="498" w:type="pct"/>
                  <w:noWrap w:val="0"/>
                  <w:vAlign w:val="center"/>
                </w:tcPr>
                <w:p w14:paraId="55B06C73">
                  <w:pPr>
                    <w:spacing w:line="240" w:lineRule="auto"/>
                    <w:ind w:firstLine="0"/>
                    <w:jc w:val="center"/>
                    <w:rPr>
                      <w:rFonts w:ascii="Times New Roman"/>
                      <w:spacing w:val="-6"/>
                      <w:w w:val="90"/>
                      <w:sz w:val="21"/>
                      <w:szCs w:val="21"/>
                    </w:rPr>
                  </w:pPr>
                  <w:r>
                    <w:rPr>
                      <w:rFonts w:ascii="Times New Roman"/>
                      <w:spacing w:val="-6"/>
                      <w:w w:val="90"/>
                      <w:sz w:val="21"/>
                      <w:szCs w:val="21"/>
                    </w:rPr>
                    <w:t>速率</w:t>
                  </w:r>
                </w:p>
                <w:p w14:paraId="68FC813D">
                  <w:pPr>
                    <w:spacing w:line="240" w:lineRule="auto"/>
                    <w:ind w:firstLine="0"/>
                    <w:jc w:val="center"/>
                    <w:rPr>
                      <w:rFonts w:ascii="Times New Roman"/>
                      <w:spacing w:val="-6"/>
                      <w:w w:val="90"/>
                      <w:sz w:val="21"/>
                      <w:szCs w:val="21"/>
                    </w:rPr>
                  </w:pPr>
                  <w:r>
                    <w:rPr>
                      <w:rFonts w:ascii="Times New Roman"/>
                      <w:spacing w:val="-6"/>
                      <w:w w:val="90"/>
                      <w:sz w:val="21"/>
                      <w:szCs w:val="21"/>
                    </w:rPr>
                    <w:t>kg/h</w:t>
                  </w:r>
                </w:p>
              </w:tc>
              <w:tc>
                <w:tcPr>
                  <w:tcW w:w="344" w:type="pct"/>
                  <w:vMerge w:val="continue"/>
                  <w:noWrap w:val="0"/>
                  <w:vAlign w:val="center"/>
                </w:tcPr>
                <w:p w14:paraId="33E18E8D">
                  <w:pPr>
                    <w:spacing w:line="240" w:lineRule="auto"/>
                    <w:ind w:firstLine="0"/>
                    <w:jc w:val="center"/>
                    <w:rPr>
                      <w:rFonts w:ascii="Times New Roman"/>
                      <w:spacing w:val="-6"/>
                      <w:w w:val="90"/>
                      <w:sz w:val="21"/>
                      <w:szCs w:val="21"/>
                    </w:rPr>
                  </w:pPr>
                </w:p>
              </w:tc>
              <w:tc>
                <w:tcPr>
                  <w:tcW w:w="435" w:type="pct"/>
                  <w:noWrap w:val="0"/>
                  <w:vAlign w:val="center"/>
                </w:tcPr>
                <w:p w14:paraId="58112B04">
                  <w:pPr>
                    <w:spacing w:line="240" w:lineRule="auto"/>
                    <w:ind w:firstLine="0"/>
                    <w:jc w:val="center"/>
                    <w:rPr>
                      <w:rFonts w:ascii="Times New Roman"/>
                      <w:spacing w:val="-6"/>
                      <w:w w:val="90"/>
                      <w:sz w:val="21"/>
                      <w:szCs w:val="21"/>
                    </w:rPr>
                  </w:pPr>
                  <w:r>
                    <w:rPr>
                      <w:rFonts w:ascii="Times New Roman"/>
                      <w:spacing w:val="-6"/>
                      <w:w w:val="90"/>
                      <w:sz w:val="21"/>
                      <w:szCs w:val="21"/>
                    </w:rPr>
                    <w:t>浓度</w:t>
                  </w:r>
                </w:p>
                <w:p w14:paraId="0E739B73">
                  <w:pPr>
                    <w:spacing w:line="240" w:lineRule="auto"/>
                    <w:ind w:firstLine="0"/>
                    <w:jc w:val="center"/>
                    <w:rPr>
                      <w:rFonts w:ascii="Times New Roman"/>
                      <w:spacing w:val="-6"/>
                      <w:w w:val="90"/>
                      <w:sz w:val="21"/>
                      <w:szCs w:val="21"/>
                    </w:rPr>
                  </w:pPr>
                  <w:r>
                    <w:rPr>
                      <w:rFonts w:ascii="Times New Roman"/>
                      <w:spacing w:val="-6"/>
                      <w:w w:val="90"/>
                      <w:sz w:val="21"/>
                      <w:szCs w:val="21"/>
                    </w:rPr>
                    <w:t>mg/m³</w:t>
                  </w:r>
                </w:p>
              </w:tc>
              <w:tc>
                <w:tcPr>
                  <w:tcW w:w="446" w:type="pct"/>
                  <w:noWrap w:val="0"/>
                  <w:vAlign w:val="center"/>
                </w:tcPr>
                <w:p w14:paraId="198E5B3E">
                  <w:pPr>
                    <w:spacing w:line="240" w:lineRule="auto"/>
                    <w:ind w:firstLine="0"/>
                    <w:jc w:val="center"/>
                    <w:rPr>
                      <w:rFonts w:ascii="Times New Roman"/>
                      <w:spacing w:val="-6"/>
                      <w:w w:val="90"/>
                      <w:sz w:val="21"/>
                      <w:szCs w:val="21"/>
                    </w:rPr>
                  </w:pPr>
                  <w:r>
                    <w:rPr>
                      <w:rFonts w:ascii="Times New Roman"/>
                      <w:spacing w:val="-6"/>
                      <w:w w:val="90"/>
                      <w:sz w:val="21"/>
                      <w:szCs w:val="21"/>
                    </w:rPr>
                    <w:t>速率</w:t>
                  </w:r>
                </w:p>
                <w:p w14:paraId="0764CE14">
                  <w:pPr>
                    <w:spacing w:line="240" w:lineRule="auto"/>
                    <w:ind w:firstLine="0"/>
                    <w:jc w:val="center"/>
                    <w:rPr>
                      <w:rFonts w:ascii="Times New Roman"/>
                      <w:spacing w:val="-6"/>
                      <w:w w:val="90"/>
                      <w:sz w:val="21"/>
                      <w:szCs w:val="21"/>
                    </w:rPr>
                  </w:pPr>
                  <w:r>
                    <w:rPr>
                      <w:rFonts w:ascii="Times New Roman"/>
                      <w:spacing w:val="-6"/>
                      <w:w w:val="90"/>
                      <w:sz w:val="21"/>
                      <w:szCs w:val="21"/>
                    </w:rPr>
                    <w:t>kg/h</w:t>
                  </w:r>
                </w:p>
              </w:tc>
              <w:tc>
                <w:tcPr>
                  <w:tcW w:w="406" w:type="pct"/>
                  <w:vMerge w:val="continue"/>
                  <w:noWrap w:val="0"/>
                  <w:vAlign w:val="center"/>
                </w:tcPr>
                <w:p w14:paraId="58958795">
                  <w:pPr>
                    <w:spacing w:line="240" w:lineRule="auto"/>
                    <w:ind w:firstLine="0"/>
                    <w:jc w:val="center"/>
                    <w:rPr>
                      <w:rFonts w:ascii="Times New Roman"/>
                      <w:spacing w:val="-6"/>
                      <w:w w:val="90"/>
                      <w:sz w:val="21"/>
                      <w:szCs w:val="21"/>
                    </w:rPr>
                  </w:pPr>
                </w:p>
              </w:tc>
              <w:tc>
                <w:tcPr>
                  <w:tcW w:w="338" w:type="pct"/>
                  <w:vMerge w:val="continue"/>
                  <w:noWrap w:val="0"/>
                  <w:vAlign w:val="center"/>
                </w:tcPr>
                <w:p w14:paraId="6EA5AFD4">
                  <w:pPr>
                    <w:spacing w:line="240" w:lineRule="auto"/>
                    <w:ind w:firstLine="0"/>
                    <w:jc w:val="center"/>
                    <w:rPr>
                      <w:rFonts w:ascii="Times New Roman"/>
                      <w:spacing w:val="-6"/>
                      <w:w w:val="90"/>
                      <w:sz w:val="21"/>
                      <w:szCs w:val="21"/>
                    </w:rPr>
                  </w:pPr>
                </w:p>
              </w:tc>
            </w:tr>
            <w:tr w14:paraId="4619F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 w:type="pct"/>
                  <w:noWrap w:val="0"/>
                  <w:vAlign w:val="center"/>
                </w:tcPr>
                <w:p w14:paraId="5D6D9930">
                  <w:pPr>
                    <w:spacing w:line="240" w:lineRule="auto"/>
                    <w:ind w:firstLine="0"/>
                    <w:jc w:val="center"/>
                    <w:rPr>
                      <w:rFonts w:hint="eastAsia" w:ascii="Times New Roman" w:eastAsia="宋体"/>
                      <w:spacing w:val="-6"/>
                      <w:w w:val="90"/>
                      <w:sz w:val="21"/>
                      <w:szCs w:val="21"/>
                      <w:lang w:eastAsia="zh-CN"/>
                    </w:rPr>
                  </w:pPr>
                  <w:r>
                    <w:rPr>
                      <w:rFonts w:hint="eastAsia" w:ascii="Times New Roman"/>
                      <w:spacing w:val="-6"/>
                      <w:w w:val="90"/>
                      <w:sz w:val="21"/>
                      <w:szCs w:val="21"/>
                      <w:lang w:eastAsia="zh-CN"/>
                    </w:rPr>
                    <w:t>试验区</w:t>
                  </w:r>
                </w:p>
              </w:tc>
              <w:tc>
                <w:tcPr>
                  <w:tcW w:w="418" w:type="pct"/>
                  <w:noWrap w:val="0"/>
                  <w:vAlign w:val="center"/>
                </w:tcPr>
                <w:p w14:paraId="6884E7F2">
                  <w:pPr>
                    <w:spacing w:line="240" w:lineRule="auto"/>
                    <w:ind w:firstLine="0"/>
                    <w:jc w:val="center"/>
                    <w:rPr>
                      <w:rFonts w:ascii="Times New Roman"/>
                      <w:spacing w:val="-6"/>
                      <w:w w:val="90"/>
                      <w:sz w:val="21"/>
                      <w:szCs w:val="21"/>
                    </w:rPr>
                  </w:pPr>
                  <w:r>
                    <w:rPr>
                      <w:rFonts w:ascii="Times New Roman"/>
                      <w:spacing w:val="-6"/>
                      <w:w w:val="90"/>
                      <w:sz w:val="21"/>
                      <w:szCs w:val="21"/>
                    </w:rPr>
                    <w:t>3000</w:t>
                  </w:r>
                </w:p>
              </w:tc>
              <w:tc>
                <w:tcPr>
                  <w:tcW w:w="421" w:type="pct"/>
                  <w:noWrap w:val="0"/>
                  <w:vAlign w:val="center"/>
                </w:tcPr>
                <w:p w14:paraId="6ABA48FD">
                  <w:pPr>
                    <w:spacing w:line="240" w:lineRule="auto"/>
                    <w:ind w:firstLine="0" w:firstLineChars="0"/>
                    <w:jc w:val="center"/>
                    <w:rPr>
                      <w:rFonts w:ascii="Times New Roman"/>
                      <w:spacing w:val="-6"/>
                      <w:w w:val="90"/>
                      <w:kern w:val="2"/>
                      <w:sz w:val="21"/>
                      <w:szCs w:val="21"/>
                      <w:lang w:val="en-US" w:eastAsia="zh-CN" w:bidi="ar-SA"/>
                    </w:rPr>
                  </w:pPr>
                  <w:r>
                    <w:rPr>
                      <w:rFonts w:ascii="Times New Roman"/>
                      <w:spacing w:val="-6"/>
                      <w:w w:val="90"/>
                      <w:sz w:val="21"/>
                      <w:szCs w:val="21"/>
                    </w:rPr>
                    <w:t>NMHC</w:t>
                  </w:r>
                </w:p>
              </w:tc>
              <w:tc>
                <w:tcPr>
                  <w:tcW w:w="498" w:type="pct"/>
                  <w:noWrap w:val="0"/>
                  <w:vAlign w:val="center"/>
                </w:tcPr>
                <w:p w14:paraId="6E7CD7F0">
                  <w:pPr>
                    <w:spacing w:line="240" w:lineRule="auto"/>
                    <w:ind w:firstLine="0" w:firstLineChars="0"/>
                    <w:jc w:val="center"/>
                    <w:rPr>
                      <w:rFonts w:hint="default" w:ascii="Times New Roman" w:eastAsia="宋体"/>
                      <w:spacing w:val="-6"/>
                      <w:w w:val="90"/>
                      <w:kern w:val="2"/>
                      <w:sz w:val="21"/>
                      <w:szCs w:val="21"/>
                      <w:lang w:val="en-US" w:eastAsia="zh-CN" w:bidi="ar-SA"/>
                    </w:rPr>
                  </w:pPr>
                  <w:r>
                    <w:rPr>
                      <w:rFonts w:hint="eastAsia"/>
                      <w:spacing w:val="-6"/>
                      <w:w w:val="90"/>
                      <w:sz w:val="21"/>
                      <w:szCs w:val="21"/>
                      <w:lang w:val="en-US" w:eastAsia="zh-CN"/>
                    </w:rPr>
                    <w:t>0.5625</w:t>
                  </w:r>
                </w:p>
              </w:tc>
              <w:tc>
                <w:tcPr>
                  <w:tcW w:w="448" w:type="pct"/>
                  <w:noWrap w:val="0"/>
                  <w:vAlign w:val="center"/>
                </w:tcPr>
                <w:p w14:paraId="4EA2C9EE">
                  <w:pPr>
                    <w:spacing w:line="240" w:lineRule="auto"/>
                    <w:ind w:firstLine="0"/>
                    <w:jc w:val="center"/>
                    <w:rPr>
                      <w:rFonts w:ascii="Times New Roman"/>
                      <w:spacing w:val="-6"/>
                      <w:w w:val="90"/>
                      <w:sz w:val="21"/>
                      <w:szCs w:val="21"/>
                    </w:rPr>
                  </w:pPr>
                  <w:r>
                    <w:rPr>
                      <w:rFonts w:hint="eastAsia" w:ascii="Times New Roman"/>
                      <w:spacing w:val="-6"/>
                      <w:w w:val="90"/>
                      <w:sz w:val="21"/>
                      <w:szCs w:val="21"/>
                      <w:lang w:eastAsia="zh-CN"/>
                    </w:rPr>
                    <w:t>光氧</w:t>
                  </w:r>
                  <w:r>
                    <w:rPr>
                      <w:rFonts w:ascii="Times New Roman"/>
                      <w:spacing w:val="-6"/>
                      <w:w w:val="90"/>
                      <w:sz w:val="21"/>
                      <w:szCs w:val="21"/>
                    </w:rPr>
                    <w:t>+活性</w:t>
                  </w:r>
                </w:p>
                <w:p w14:paraId="2F63976F">
                  <w:pPr>
                    <w:spacing w:line="240" w:lineRule="auto"/>
                    <w:ind w:firstLine="0"/>
                    <w:jc w:val="center"/>
                    <w:rPr>
                      <w:rFonts w:ascii="Times New Roman"/>
                      <w:spacing w:val="-6"/>
                      <w:w w:val="90"/>
                      <w:sz w:val="21"/>
                      <w:szCs w:val="21"/>
                    </w:rPr>
                  </w:pPr>
                  <w:r>
                    <w:rPr>
                      <w:rFonts w:ascii="Times New Roman"/>
                      <w:spacing w:val="-6"/>
                      <w:w w:val="90"/>
                      <w:sz w:val="21"/>
                      <w:szCs w:val="21"/>
                    </w:rPr>
                    <w:t>炭</w:t>
                  </w:r>
                </w:p>
              </w:tc>
              <w:tc>
                <w:tcPr>
                  <w:tcW w:w="432" w:type="pct"/>
                  <w:noWrap w:val="0"/>
                  <w:vAlign w:val="center"/>
                </w:tcPr>
                <w:p w14:paraId="7A8B68A5">
                  <w:pPr>
                    <w:spacing w:line="240" w:lineRule="auto"/>
                    <w:ind w:firstLine="0" w:firstLineChars="0"/>
                    <w:jc w:val="center"/>
                    <w:rPr>
                      <w:rFonts w:hint="default" w:ascii="Times New Roman"/>
                      <w:spacing w:val="-6"/>
                      <w:w w:val="90"/>
                      <w:kern w:val="2"/>
                      <w:sz w:val="21"/>
                      <w:szCs w:val="21"/>
                      <w:lang w:val="en-US" w:eastAsia="zh-CN" w:bidi="ar-SA"/>
                    </w:rPr>
                  </w:pPr>
                  <w:r>
                    <w:rPr>
                      <w:rFonts w:hint="eastAsia"/>
                      <w:spacing w:val="-6"/>
                      <w:w w:val="90"/>
                      <w:kern w:val="2"/>
                      <w:sz w:val="21"/>
                      <w:szCs w:val="21"/>
                      <w:lang w:val="en-US" w:eastAsia="zh-CN" w:bidi="ar-SA"/>
                    </w:rPr>
                    <w:t>78.12</w:t>
                  </w:r>
                </w:p>
              </w:tc>
              <w:tc>
                <w:tcPr>
                  <w:tcW w:w="498" w:type="pct"/>
                  <w:noWrap w:val="0"/>
                  <w:vAlign w:val="center"/>
                </w:tcPr>
                <w:p w14:paraId="3EBB8F11">
                  <w:pPr>
                    <w:spacing w:line="240" w:lineRule="auto"/>
                    <w:ind w:firstLine="0" w:firstLineChars="0"/>
                    <w:jc w:val="center"/>
                    <w:rPr>
                      <w:rFonts w:hint="default" w:ascii="Times New Roman"/>
                      <w:spacing w:val="-6"/>
                      <w:w w:val="90"/>
                      <w:kern w:val="2"/>
                      <w:sz w:val="21"/>
                      <w:szCs w:val="21"/>
                      <w:lang w:val="en-US" w:eastAsia="zh-CN" w:bidi="ar-SA"/>
                    </w:rPr>
                  </w:pPr>
                  <w:r>
                    <w:rPr>
                      <w:rFonts w:hint="eastAsia"/>
                      <w:spacing w:val="-6"/>
                      <w:w w:val="90"/>
                      <w:kern w:val="2"/>
                      <w:sz w:val="21"/>
                      <w:szCs w:val="21"/>
                      <w:lang w:val="en-US" w:eastAsia="zh-CN" w:bidi="ar-SA"/>
                    </w:rPr>
                    <w:t>0.234</w:t>
                  </w:r>
                </w:p>
              </w:tc>
              <w:tc>
                <w:tcPr>
                  <w:tcW w:w="344" w:type="pct"/>
                  <w:noWrap w:val="0"/>
                  <w:vAlign w:val="center"/>
                </w:tcPr>
                <w:p w14:paraId="33D5F4B4">
                  <w:pPr>
                    <w:spacing w:line="240" w:lineRule="auto"/>
                    <w:ind w:firstLine="0" w:firstLineChars="0"/>
                    <w:jc w:val="center"/>
                    <w:rPr>
                      <w:rFonts w:ascii="Times New Roman"/>
                      <w:spacing w:val="-6"/>
                      <w:w w:val="90"/>
                      <w:kern w:val="2"/>
                      <w:sz w:val="21"/>
                      <w:szCs w:val="21"/>
                      <w:lang w:val="en-US" w:eastAsia="zh-CN" w:bidi="ar-SA"/>
                    </w:rPr>
                  </w:pPr>
                  <w:r>
                    <w:rPr>
                      <w:rFonts w:hint="eastAsia"/>
                      <w:spacing w:val="-6"/>
                      <w:w w:val="90"/>
                      <w:sz w:val="21"/>
                      <w:szCs w:val="21"/>
                      <w:lang w:val="en-US" w:eastAsia="zh-CN"/>
                    </w:rPr>
                    <w:t>24</w:t>
                  </w:r>
                  <w:r>
                    <w:rPr>
                      <w:rFonts w:ascii="Times New Roman"/>
                      <w:spacing w:val="-6"/>
                      <w:w w:val="90"/>
                      <w:sz w:val="21"/>
                      <w:szCs w:val="21"/>
                    </w:rPr>
                    <w:t>%</w:t>
                  </w:r>
                </w:p>
              </w:tc>
              <w:tc>
                <w:tcPr>
                  <w:tcW w:w="435" w:type="pct"/>
                  <w:noWrap w:val="0"/>
                  <w:vAlign w:val="center"/>
                </w:tcPr>
                <w:p w14:paraId="24AA7832">
                  <w:pPr>
                    <w:spacing w:line="240" w:lineRule="auto"/>
                    <w:ind w:firstLine="0"/>
                    <w:jc w:val="center"/>
                    <w:rPr>
                      <w:rFonts w:hint="default" w:ascii="Times New Roman" w:eastAsia="宋体"/>
                      <w:spacing w:val="-6"/>
                      <w:w w:val="90"/>
                      <w:sz w:val="21"/>
                      <w:szCs w:val="21"/>
                      <w:lang w:val="en-US" w:eastAsia="zh-CN"/>
                    </w:rPr>
                  </w:pPr>
                  <w:r>
                    <w:rPr>
                      <w:rFonts w:hint="eastAsia"/>
                      <w:spacing w:val="-6"/>
                      <w:w w:val="90"/>
                      <w:sz w:val="21"/>
                      <w:szCs w:val="21"/>
                      <w:lang w:val="en-US" w:eastAsia="zh-CN"/>
                    </w:rPr>
                    <w:t>59.3</w:t>
                  </w:r>
                </w:p>
              </w:tc>
              <w:tc>
                <w:tcPr>
                  <w:tcW w:w="446" w:type="pct"/>
                  <w:noWrap w:val="0"/>
                  <w:vAlign w:val="center"/>
                </w:tcPr>
                <w:p w14:paraId="79E21D7D">
                  <w:pPr>
                    <w:spacing w:line="240" w:lineRule="auto"/>
                    <w:ind w:firstLine="0"/>
                    <w:jc w:val="center"/>
                    <w:rPr>
                      <w:rFonts w:hint="default" w:ascii="Times New Roman" w:eastAsia="宋体"/>
                      <w:spacing w:val="-6"/>
                      <w:w w:val="90"/>
                      <w:sz w:val="21"/>
                      <w:szCs w:val="21"/>
                      <w:lang w:val="en-US" w:eastAsia="zh-CN"/>
                    </w:rPr>
                  </w:pPr>
                  <w:r>
                    <w:rPr>
                      <w:rFonts w:hint="eastAsia"/>
                      <w:spacing w:val="-6"/>
                      <w:w w:val="90"/>
                      <w:sz w:val="21"/>
                      <w:szCs w:val="21"/>
                      <w:lang w:val="en-US" w:eastAsia="zh-CN"/>
                    </w:rPr>
                    <w:t>0.177</w:t>
                  </w:r>
                </w:p>
              </w:tc>
              <w:tc>
                <w:tcPr>
                  <w:tcW w:w="406" w:type="pct"/>
                  <w:noWrap w:val="0"/>
                  <w:vAlign w:val="center"/>
                </w:tcPr>
                <w:p w14:paraId="6C063C0D">
                  <w:pPr>
                    <w:spacing w:line="240" w:lineRule="auto"/>
                    <w:ind w:firstLine="0"/>
                    <w:jc w:val="center"/>
                    <w:rPr>
                      <w:rFonts w:hint="default" w:ascii="Times New Roman" w:eastAsia="宋体"/>
                      <w:spacing w:val="-6"/>
                      <w:w w:val="90"/>
                      <w:sz w:val="21"/>
                      <w:szCs w:val="21"/>
                      <w:lang w:val="en-US" w:eastAsia="zh-CN"/>
                    </w:rPr>
                  </w:pPr>
                  <w:r>
                    <w:rPr>
                      <w:rFonts w:hint="eastAsia"/>
                      <w:spacing w:val="-6"/>
                      <w:w w:val="90"/>
                      <w:sz w:val="21"/>
                      <w:szCs w:val="21"/>
                      <w:lang w:val="en-US" w:eastAsia="zh-CN"/>
                    </w:rPr>
                    <w:t>0.427</w:t>
                  </w:r>
                </w:p>
              </w:tc>
              <w:tc>
                <w:tcPr>
                  <w:tcW w:w="338" w:type="pct"/>
                  <w:noWrap w:val="0"/>
                  <w:vAlign w:val="center"/>
                </w:tcPr>
                <w:p w14:paraId="1747C608">
                  <w:pPr>
                    <w:spacing w:line="240" w:lineRule="auto"/>
                    <w:ind w:firstLine="0"/>
                    <w:jc w:val="center"/>
                    <w:rPr>
                      <w:rFonts w:ascii="Times New Roman"/>
                      <w:spacing w:val="-6"/>
                      <w:w w:val="90"/>
                      <w:sz w:val="21"/>
                      <w:szCs w:val="21"/>
                    </w:rPr>
                  </w:pPr>
                  <w:r>
                    <w:rPr>
                      <w:rFonts w:ascii="Times New Roman"/>
                      <w:spacing w:val="-6"/>
                      <w:w w:val="90"/>
                      <w:sz w:val="21"/>
                      <w:szCs w:val="21"/>
                    </w:rPr>
                    <w:t>15m</w:t>
                  </w:r>
                </w:p>
              </w:tc>
            </w:tr>
          </w:tbl>
          <w:p w14:paraId="2563818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cs="Times New Roman"/>
                <w:lang w:val="en-US" w:eastAsia="zh-CN"/>
              </w:rPr>
              <w:t>本项目</w:t>
            </w:r>
            <w:r>
              <w:rPr>
                <w:rFonts w:hint="eastAsia" w:ascii="Times New Roman" w:hAnsi="Times New Roman" w:eastAsia="宋体" w:cs="Times New Roman"/>
                <w:lang w:val="en-US" w:eastAsia="zh-CN"/>
              </w:rPr>
              <w:t>NMHC预计排放浓度约为</w:t>
            </w:r>
            <w:r>
              <w:rPr>
                <w:rFonts w:hint="eastAsia" w:cs="Times New Roman"/>
                <w:lang w:val="en-US" w:eastAsia="zh-CN"/>
              </w:rPr>
              <w:t>59.3</w:t>
            </w:r>
            <w:r>
              <w:rPr>
                <w:rFonts w:hint="eastAsia" w:ascii="Times New Roman" w:hAnsi="Times New Roman" w:eastAsia="宋体" w:cs="Times New Roman"/>
                <w:lang w:val="en-US" w:eastAsia="zh-CN"/>
              </w:rPr>
              <w:t>mg/m³，可满足《</w:t>
            </w:r>
            <w:r>
              <w:rPr>
                <w:rFonts w:hint="eastAsia" w:cs="Times New Roman"/>
                <w:lang w:val="en-US" w:eastAsia="zh-CN"/>
              </w:rPr>
              <w:t>合成树脂工业污染物</w:t>
            </w:r>
            <w:r>
              <w:rPr>
                <w:rFonts w:hint="eastAsia" w:ascii="Times New Roman" w:hAnsi="Times New Roman" w:eastAsia="宋体" w:cs="Times New Roman"/>
                <w:lang w:val="en-US" w:eastAsia="zh-CN"/>
              </w:rPr>
              <w:t>排放标准》（GB</w:t>
            </w:r>
            <w:r>
              <w:rPr>
                <w:rFonts w:hint="eastAsia" w:cs="Times New Roman"/>
                <w:lang w:val="en-US" w:eastAsia="zh-CN"/>
              </w:rPr>
              <w:t>31572-2015</w:t>
            </w:r>
            <w:r>
              <w:rPr>
                <w:rFonts w:hint="eastAsia" w:ascii="Times New Roman" w:hAnsi="Times New Roman" w:eastAsia="宋体" w:cs="Times New Roman"/>
                <w:lang w:val="en-US" w:eastAsia="zh-CN"/>
              </w:rPr>
              <w:t>）表</w:t>
            </w:r>
            <w:r>
              <w:rPr>
                <w:rFonts w:hint="eastAsia" w:cs="Times New Roman"/>
                <w:lang w:val="en-US" w:eastAsia="zh-CN"/>
              </w:rPr>
              <w:t>5大气污染物特别</w:t>
            </w:r>
            <w:r>
              <w:rPr>
                <w:rFonts w:hint="eastAsia" w:ascii="Times New Roman" w:hAnsi="Times New Roman" w:eastAsia="宋体" w:cs="Times New Roman"/>
                <w:lang w:val="en-US" w:eastAsia="zh-CN"/>
              </w:rPr>
              <w:t>排放限值（</w:t>
            </w:r>
            <w:r>
              <w:rPr>
                <w:rFonts w:hint="eastAsia" w:cs="Times New Roman"/>
                <w:lang w:val="en-US" w:eastAsia="zh-CN"/>
              </w:rPr>
              <w:t>NMHC：6</w:t>
            </w:r>
            <w:r>
              <w:rPr>
                <w:rFonts w:hint="eastAsia" w:ascii="Times New Roman" w:hAnsi="Times New Roman" w:eastAsia="宋体" w:cs="Times New Roman"/>
                <w:lang w:val="en-US" w:eastAsia="zh-CN"/>
              </w:rPr>
              <w:t>0mg/m³）。</w:t>
            </w:r>
          </w:p>
          <w:p w14:paraId="379BBEB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本项目试验设备均在室内，产生的NMHC应尽量收集，</w:t>
            </w:r>
            <w:r>
              <w:rPr>
                <w:rFonts w:hint="eastAsia" w:cs="Times New Roman"/>
                <w:lang w:val="en-US" w:eastAsia="zh-CN"/>
              </w:rPr>
              <w:t>确保</w:t>
            </w:r>
            <w:r>
              <w:rPr>
                <w:rFonts w:hint="eastAsia" w:ascii="Times New Roman" w:hAnsi="Times New Roman" w:eastAsia="宋体" w:cs="Times New Roman"/>
                <w:lang w:val="en-US" w:eastAsia="zh-CN"/>
              </w:rPr>
              <w:t>新疆维格瑞生物科技有限公司厂界无组织NMHC排放满足《合成树脂工业污染物排放标准》（GB31572-2015）表9企业边界大气污染物浓度限值要求。</w:t>
            </w:r>
          </w:p>
          <w:p w14:paraId="6016752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本项目试验区实际只进行相关材料测试实验，</w:t>
            </w:r>
            <w:r>
              <w:rPr>
                <w:rFonts w:hint="eastAsia" w:cs="Times New Roman"/>
                <w:lang w:val="en-US" w:eastAsia="zh-CN"/>
              </w:rPr>
              <w:t>没有具体的产能和产品方案，没有成套的工艺流程</w:t>
            </w:r>
            <w:r>
              <w:rPr>
                <w:rFonts w:hint="eastAsia" w:ascii="Times New Roman" w:hAnsi="Times New Roman" w:eastAsia="宋体" w:cs="Times New Roman"/>
                <w:lang w:val="en-US" w:eastAsia="zh-CN"/>
              </w:rPr>
              <w:t>，排放浓度主要与同时进行实验的设备数量有关，废气为间歇排放，采用集气罩收集，光氧+活性炭吸附处理措施处理后通过15m高排气筒排放，可以满足达标排放要求。</w:t>
            </w:r>
          </w:p>
          <w:p w14:paraId="74745A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）环境影响分析</w:t>
            </w:r>
          </w:p>
          <w:p w14:paraId="3B0C067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本项目位于昌吉</w:t>
            </w:r>
            <w:r>
              <w:rPr>
                <w:rFonts w:hint="eastAsia" w:cs="Times New Roman"/>
                <w:lang w:eastAsia="zh-CN"/>
              </w:rPr>
              <w:t>高新技术产业开发区</w:t>
            </w:r>
            <w:r>
              <w:rPr>
                <w:rFonts w:hint="eastAsia" w:ascii="Times New Roman" w:hAnsi="Times New Roman" w:eastAsia="宋体" w:cs="Times New Roman"/>
                <w:lang w:eastAsia="zh-CN"/>
              </w:rPr>
              <w:t>，属于大气污染物重点控制区，应重点控制废气排放。项目废气仅来自实验过程产生的废气。根据实验耗材</w:t>
            </w:r>
            <w:r>
              <w:rPr>
                <w:rFonts w:hint="eastAsia" w:ascii="Times New Roman" w:hAnsi="Times New Roman" w:eastAsia="宋体" w:cs="Times New Roman"/>
                <w:lang w:val="en-US" w:eastAsia="zh-CN"/>
              </w:rPr>
              <w:t>和药品</w:t>
            </w:r>
            <w:r>
              <w:rPr>
                <w:rFonts w:hint="eastAsia" w:ascii="Times New Roman" w:hAnsi="Times New Roman" w:eastAsia="宋体" w:cs="Times New Roman"/>
                <w:lang w:eastAsia="zh-CN"/>
              </w:rPr>
              <w:t>的</w:t>
            </w:r>
            <w:r>
              <w:rPr>
                <w:rFonts w:hint="eastAsia" w:ascii="Times New Roman" w:hAnsi="Times New Roman" w:eastAsia="宋体" w:cs="Times New Roman"/>
                <w:lang w:val="en-US" w:eastAsia="zh-CN"/>
              </w:rPr>
              <w:t>调查</w:t>
            </w:r>
            <w:r>
              <w:rPr>
                <w:rFonts w:hint="eastAsia" w:ascii="Times New Roman" w:hAnsi="Times New Roman" w:eastAsia="宋体" w:cs="Times New Roman"/>
                <w:lang w:eastAsia="zh-CN"/>
              </w:rPr>
              <w:t>，研发楼</w:t>
            </w:r>
            <w:r>
              <w:rPr>
                <w:rFonts w:hint="eastAsia" w:ascii="Times New Roman" w:hAnsi="Times New Roman" w:eastAsia="宋体" w:cs="Times New Roman"/>
                <w:lang w:val="en-US" w:eastAsia="zh-CN"/>
              </w:rPr>
              <w:t>药品中主要关注的物质</w:t>
            </w:r>
            <w:r>
              <w:rPr>
                <w:rFonts w:hint="eastAsia" w:ascii="Times New Roman" w:hAnsi="Times New Roman" w:eastAsia="宋体" w:cs="Times New Roman"/>
                <w:lang w:eastAsia="zh-CN"/>
              </w:rPr>
              <w:t>包括甲醇、苯乙烯、乙酸和四氢呋喃，</w:t>
            </w:r>
            <w:r>
              <w:rPr>
                <w:rFonts w:hint="eastAsia" w:ascii="Times New Roman" w:hAnsi="Times New Roman" w:eastAsia="宋体" w:cs="Times New Roman"/>
                <w:lang w:val="en-US" w:eastAsia="zh-CN"/>
              </w:rPr>
              <w:t>试验按照规范操作的情况下，实验过程药品</w:t>
            </w:r>
            <w:r>
              <w:rPr>
                <w:rFonts w:hint="eastAsia" w:ascii="Times New Roman" w:hAnsi="Times New Roman" w:eastAsia="宋体" w:cs="Times New Roman"/>
                <w:lang w:eastAsia="zh-CN"/>
              </w:rPr>
              <w:t>逸散产生的污染物极微量，经</w:t>
            </w:r>
            <w:r>
              <w:rPr>
                <w:rFonts w:hint="eastAsia" w:ascii="Times New Roman" w:hAnsi="Times New Roman" w:eastAsia="宋体" w:cs="Times New Roman"/>
                <w:lang w:val="en-US" w:eastAsia="zh-CN"/>
              </w:rPr>
              <w:t>通风橱收集，</w:t>
            </w:r>
            <w:r>
              <w:rPr>
                <w:rFonts w:hint="eastAsia" w:ascii="Times New Roman" w:hAnsi="Times New Roman" w:eastAsia="宋体" w:cs="Times New Roman"/>
                <w:lang w:eastAsia="zh-CN"/>
              </w:rPr>
              <w:t>排风扇排入大气稀释后，不会对周围环境产生影响。</w:t>
            </w:r>
          </w:p>
          <w:p w14:paraId="29AEE4D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试验区中产生的废气污染物</w:t>
            </w:r>
            <w:r>
              <w:rPr>
                <w:rFonts w:hint="eastAsia"/>
                <w:lang w:val="en-US" w:eastAsia="zh-CN"/>
              </w:rPr>
              <w:t>主要来自聚合</w:t>
            </w:r>
            <w:r>
              <w:rPr>
                <w:rFonts w:hint="eastAsia" w:ascii="Times New Roman" w:hAnsi="Times New Roman" w:eastAsia="宋体" w:cs="Times New Roman"/>
                <w:lang w:val="en-US" w:eastAsia="zh-CN"/>
              </w:rPr>
              <w:t>试验</w:t>
            </w:r>
            <w:r>
              <w:rPr>
                <w:rFonts w:hint="eastAsia"/>
                <w:lang w:val="en-US" w:eastAsia="zh-CN"/>
              </w:rPr>
              <w:t>的缩聚反应出料口、热塑弹性体实验中的</w:t>
            </w:r>
            <w:r>
              <w:rPr>
                <w:rFonts w:hint="eastAsia" w:ascii="Times New Roman" w:hAnsi="Times New Roman" w:eastAsia="宋体" w:cs="Times New Roman"/>
                <w:lang w:eastAsia="zh-CN"/>
              </w:rPr>
              <w:t>流延机、吹膜机、注塑机</w:t>
            </w:r>
            <w:r>
              <w:rPr>
                <w:rFonts w:hint="eastAsia" w:ascii="Times New Roman" w:hAnsi="Times New Roman" w:eastAsia="宋体" w:cs="Times New Roman"/>
                <w:lang w:val="en-US" w:eastAsia="zh-CN"/>
              </w:rPr>
              <w:t>和</w:t>
            </w:r>
            <w:r>
              <w:rPr>
                <w:rFonts w:hint="eastAsia" w:ascii="Times New Roman" w:hAnsi="Times New Roman" w:eastAsia="宋体" w:cs="Times New Roman"/>
                <w:lang w:eastAsia="zh-CN"/>
              </w:rPr>
              <w:t>密炼机。</w:t>
            </w:r>
            <w:r>
              <w:rPr>
                <w:rFonts w:hint="eastAsia" w:cs="Times New Roman"/>
                <w:lang w:eastAsia="zh-CN"/>
              </w:rPr>
              <w:t>本项目采取的</w:t>
            </w:r>
            <w:r>
              <w:rPr>
                <w:rFonts w:hint="eastAsia"/>
                <w:color w:val="auto"/>
                <w:lang w:val="en-US" w:eastAsia="zh-CN"/>
              </w:rPr>
              <w:t>光催化+活性炭吸附属于成熟的废气处理措施，具有工艺简单，反应速率快等特点，能高效去除挥发性有机物和各种恶臭味，不需要添加任何物质参与反应，对废气的适应能力强，可连续工作，处理成本低，设备占地面积小，运行稳定。本项目废气基本不含水且无色，对光催化作用影响很小，可确保光催化对有机物的分解作用正常进行。</w:t>
            </w:r>
            <w:r>
              <w:rPr>
                <w:rFonts w:hint="eastAsia" w:cs="Times New Roman"/>
                <w:lang w:val="en-US" w:eastAsia="zh-CN"/>
              </w:rPr>
              <w:t>增加活性炭吸附设施后，</w:t>
            </w:r>
            <w:r>
              <w:rPr>
                <w:rFonts w:hint="eastAsia" w:ascii="Times New Roman" w:hAnsi="Times New Roman" w:eastAsia="宋体" w:cs="Times New Roman"/>
                <w:lang w:val="en-US" w:eastAsia="zh-CN"/>
              </w:rPr>
              <w:t>可以确保采用光催化+活性炭吸附的末端治理效率达</w:t>
            </w:r>
            <w:r>
              <w:rPr>
                <w:rFonts w:hint="eastAsia" w:cs="Times New Roman"/>
                <w:lang w:val="en-US" w:eastAsia="zh-CN"/>
              </w:rPr>
              <w:t>24</w:t>
            </w:r>
            <w:r>
              <w:rPr>
                <w:rFonts w:hint="eastAsia" w:ascii="Times New Roman" w:hAnsi="Times New Roman" w:eastAsia="宋体" w:cs="Times New Roman"/>
                <w:lang w:val="en-US" w:eastAsia="zh-CN"/>
              </w:rPr>
              <w:t>%。</w:t>
            </w:r>
          </w:p>
          <w:p w14:paraId="4ACF676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项目位于大气污染物重点控制区，参考《排污许可证申请与核发</w:t>
            </w:r>
            <w:r>
              <w:rPr>
                <w:rFonts w:hint="eastAsia" w:ascii="Times New Roman" w:hAnsi="Times New Roman" w:eastAsia="宋体" w:cs="Times New Roman"/>
                <w:color w:val="auto"/>
                <w:lang w:eastAsia="zh-CN"/>
              </w:rPr>
              <w:t>技术规范</w:t>
            </w:r>
            <w:r>
              <w:rPr>
                <w:rFonts w:hint="eastAsia" w:ascii="Times New Roman" w:hAnsi="Times New Roman" w:eastAsia="宋体" w:cs="Times New Roman"/>
                <w:color w:val="auto"/>
                <w:lang w:val="en-US" w:eastAsia="zh-CN"/>
              </w:rPr>
              <w:t xml:space="preserve"> 废弃资源加工业</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HJ1034-2</w:t>
            </w:r>
            <w:r>
              <w:rPr>
                <w:rFonts w:hint="eastAsia" w:ascii="Times New Roman" w:hAnsi="Times New Roman" w:eastAsia="宋体" w:cs="Times New Roman"/>
                <w:lang w:val="en-US" w:eastAsia="zh-CN"/>
              </w:rPr>
              <w:t>019</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表14</w:t>
            </w:r>
            <w:r>
              <w:rPr>
                <w:rFonts w:hint="eastAsia" w:ascii="Times New Roman" w:hAnsi="Times New Roman" w:eastAsia="宋体" w:cs="Times New Roman"/>
                <w:lang w:eastAsia="zh-CN"/>
              </w:rPr>
              <w:t>，对于挤出机等设备采取活性炭吸附技术处理属于可行技术，因此项目采用光氧</w:t>
            </w:r>
            <w:r>
              <w:rPr>
                <w:rFonts w:hint="eastAsia" w:ascii="Times New Roman" w:hAnsi="Times New Roman" w:eastAsia="宋体" w:cs="Times New Roman"/>
                <w:lang w:val="en-US" w:eastAsia="zh-CN"/>
              </w:rPr>
              <w:t>+活性炭吸附处理废气</w:t>
            </w:r>
            <w:r>
              <w:rPr>
                <w:rFonts w:hint="eastAsia" w:ascii="Times New Roman" w:hAnsi="Times New Roman" w:eastAsia="宋体" w:cs="Times New Roman"/>
                <w:lang w:eastAsia="zh-CN"/>
              </w:rPr>
              <w:t>措施可行。</w:t>
            </w:r>
          </w:p>
          <w:p w14:paraId="11ED887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实验室内按照实验规程严格操作，</w:t>
            </w:r>
            <w:r>
              <w:rPr>
                <w:rFonts w:hint="eastAsia" w:ascii="Times New Roman" w:hAnsi="Times New Roman" w:eastAsia="宋体" w:cs="Times New Roman"/>
                <w:lang w:val="en-US" w:eastAsia="zh-CN"/>
              </w:rPr>
              <w:t>对项目周边大气环境的影响较小。</w:t>
            </w:r>
          </w:p>
          <w:p w14:paraId="45D04489">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eastAsia="zh-CN"/>
              </w:rPr>
            </w:pPr>
            <w:r>
              <w:rPr>
                <w:rFonts w:hint="eastAsia"/>
                <w:color w:val="000000"/>
                <w:lang w:eastAsia="zh-CN"/>
              </w:rPr>
              <w:t>（</w:t>
            </w:r>
            <w:r>
              <w:rPr>
                <w:rFonts w:hint="eastAsia"/>
                <w:color w:val="000000"/>
                <w:lang w:val="en-US" w:eastAsia="zh-CN"/>
              </w:rPr>
              <w:t>3</w:t>
            </w:r>
            <w:r>
              <w:rPr>
                <w:rFonts w:hint="eastAsia"/>
                <w:color w:val="000000"/>
                <w:lang w:eastAsia="zh-CN"/>
              </w:rPr>
              <w:t>）废气监测计划</w:t>
            </w:r>
          </w:p>
          <w:p w14:paraId="59E9A55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eastAsia="zh-CN"/>
              </w:rPr>
              <w:t>本项目产生的废气污染源主要来自试验设施，废气产生量小且无固定的产生周期，项目应严格按照试验规程操作，实验过程严格开启通风橱、排风扇和尾气处理系统，确保实验人员健康。废气监测计划参考</w:t>
            </w:r>
            <w:r>
              <w:rPr>
                <w:rFonts w:hint="eastAsia" w:ascii="Times New Roman" w:hAnsi="Times New Roman" w:eastAsia="宋体" w:cs="Times New Roman"/>
                <w:lang w:eastAsia="zh-CN"/>
              </w:rPr>
              <w:t>《排污许可证申请与核发</w:t>
            </w:r>
            <w:r>
              <w:rPr>
                <w:rFonts w:hint="eastAsia" w:ascii="Times New Roman" w:hAnsi="Times New Roman" w:eastAsia="宋体" w:cs="Times New Roman"/>
                <w:color w:val="auto"/>
                <w:lang w:eastAsia="zh-CN"/>
              </w:rPr>
              <w:t>技术规范</w:t>
            </w:r>
            <w:r>
              <w:rPr>
                <w:rFonts w:hint="eastAsia" w:ascii="Times New Roman" w:hAnsi="Times New Roman" w:eastAsia="宋体" w:cs="Times New Roman"/>
                <w:color w:val="auto"/>
                <w:lang w:val="en-US" w:eastAsia="zh-CN"/>
              </w:rPr>
              <w:t xml:space="preserve"> 废弃资源加工业</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HJ1034-2</w:t>
            </w:r>
            <w:r>
              <w:rPr>
                <w:rFonts w:hint="eastAsia" w:ascii="Times New Roman" w:hAnsi="Times New Roman" w:eastAsia="宋体" w:cs="Times New Roman"/>
                <w:lang w:val="en-US" w:eastAsia="zh-CN"/>
              </w:rPr>
              <w:t>019</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表1</w:t>
            </w:r>
            <w:r>
              <w:rPr>
                <w:rFonts w:hint="eastAsia" w:cs="Times New Roman"/>
                <w:lang w:val="en-US" w:eastAsia="zh-CN"/>
              </w:rPr>
              <w:t>1</w:t>
            </w:r>
            <w:r>
              <w:rPr>
                <w:rFonts w:hint="eastAsia" w:ascii="Times New Roman" w:hAnsi="Times New Roman" w:eastAsia="宋体" w:cs="Times New Roman"/>
                <w:lang w:val="en-US" w:eastAsia="zh-CN"/>
              </w:rPr>
              <w:t>。</w:t>
            </w:r>
            <w:r>
              <w:rPr>
                <w:rFonts w:hint="eastAsia" w:ascii="Times New Roman" w:hAnsi="Times New Roman" w:eastAsia="宋体" w:cs="Times New Roman"/>
                <w:color w:val="000000"/>
                <w:lang w:val="en-US" w:eastAsia="zh-CN"/>
              </w:rPr>
              <w:t xml:space="preserve">  </w:t>
            </w:r>
          </w:p>
          <w:p w14:paraId="637B36F9">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000000"/>
                <w:sz w:val="21"/>
                <w:szCs w:val="21"/>
                <w:lang w:val="en-US" w:eastAsia="zh-CN" w:bidi="ar-SA"/>
              </w:rPr>
            </w:pPr>
            <w:r>
              <w:rPr>
                <w:rFonts w:hint="eastAsia" w:ascii="Times New Roman" w:hAnsi="Times New Roman" w:eastAsia="宋体" w:cs="Times New Roman"/>
                <w:b/>
                <w:bCs/>
                <w:color w:val="000000"/>
                <w:sz w:val="21"/>
                <w:szCs w:val="21"/>
                <w:lang w:val="en-US" w:eastAsia="zh-CN" w:bidi="ar-SA"/>
              </w:rPr>
              <w:t>表1</w:t>
            </w:r>
            <w:r>
              <w:rPr>
                <w:rFonts w:hint="eastAsia" w:cs="Times New Roman"/>
                <w:b/>
                <w:bCs/>
                <w:color w:val="000000"/>
                <w:sz w:val="21"/>
                <w:szCs w:val="21"/>
                <w:lang w:val="en-US" w:eastAsia="zh-CN" w:bidi="ar-SA"/>
              </w:rPr>
              <w:t>1</w:t>
            </w:r>
            <w:r>
              <w:rPr>
                <w:rFonts w:hint="eastAsia" w:ascii="Times New Roman" w:hAnsi="Times New Roman" w:eastAsia="宋体" w:cs="Times New Roman"/>
                <w:b/>
                <w:bCs/>
                <w:color w:val="000000"/>
                <w:sz w:val="21"/>
                <w:szCs w:val="21"/>
                <w:lang w:val="en-US" w:eastAsia="zh-CN" w:bidi="ar-SA"/>
              </w:rPr>
              <w:t xml:space="preserve">  废气监测计划</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7"/>
              <w:gridCol w:w="1587"/>
              <w:gridCol w:w="1588"/>
            </w:tblGrid>
            <w:tr w14:paraId="62E2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12" w:space="0"/>
                  </w:tcBorders>
                  <w:noWrap w:val="0"/>
                  <w:vAlign w:val="center"/>
                </w:tcPr>
                <w:p w14:paraId="56F5CE4F">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类别</w:t>
                  </w:r>
                </w:p>
              </w:tc>
              <w:tc>
                <w:tcPr>
                  <w:tcW w:w="1587" w:type="dxa"/>
                  <w:tcBorders>
                    <w:top w:val="single" w:color="auto" w:sz="12" w:space="0"/>
                  </w:tcBorders>
                  <w:noWrap w:val="0"/>
                  <w:vAlign w:val="center"/>
                </w:tcPr>
                <w:p w14:paraId="46AB02D5">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监测位置</w:t>
                  </w:r>
                </w:p>
              </w:tc>
              <w:tc>
                <w:tcPr>
                  <w:tcW w:w="1587" w:type="dxa"/>
                  <w:tcBorders>
                    <w:top w:val="single" w:color="auto" w:sz="12" w:space="0"/>
                  </w:tcBorders>
                  <w:noWrap w:val="0"/>
                  <w:vAlign w:val="center"/>
                </w:tcPr>
                <w:p w14:paraId="4B4BB92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监测项目</w:t>
                  </w:r>
                </w:p>
              </w:tc>
              <w:tc>
                <w:tcPr>
                  <w:tcW w:w="1587" w:type="dxa"/>
                  <w:tcBorders>
                    <w:top w:val="single" w:color="auto" w:sz="12" w:space="0"/>
                  </w:tcBorders>
                  <w:noWrap w:val="0"/>
                  <w:vAlign w:val="center"/>
                </w:tcPr>
                <w:p w14:paraId="4CDBB29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监测频率</w:t>
                  </w:r>
                </w:p>
              </w:tc>
              <w:tc>
                <w:tcPr>
                  <w:tcW w:w="1588" w:type="dxa"/>
                  <w:tcBorders>
                    <w:top w:val="single" w:color="auto" w:sz="12" w:space="0"/>
                    <w:right w:val="single" w:color="auto" w:sz="12" w:space="0"/>
                  </w:tcBorders>
                  <w:noWrap w:val="0"/>
                  <w:vAlign w:val="center"/>
                </w:tcPr>
                <w:p w14:paraId="3D6E338C">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实施单位</w:t>
                  </w:r>
                </w:p>
              </w:tc>
            </w:tr>
            <w:tr w14:paraId="467C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left w:val="single" w:color="auto" w:sz="4" w:space="0"/>
                    <w:bottom w:val="single" w:color="auto" w:sz="12" w:space="0"/>
                  </w:tcBorders>
                  <w:noWrap w:val="0"/>
                  <w:vAlign w:val="center"/>
                </w:tcPr>
                <w:p w14:paraId="54FA5230">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有组织废气</w:t>
                  </w:r>
                </w:p>
              </w:tc>
              <w:tc>
                <w:tcPr>
                  <w:tcW w:w="1587" w:type="dxa"/>
                  <w:tcBorders>
                    <w:bottom w:val="single" w:color="auto" w:sz="12" w:space="0"/>
                  </w:tcBorders>
                  <w:noWrap w:val="0"/>
                  <w:vAlign w:val="center"/>
                </w:tcPr>
                <w:p w14:paraId="4CAB112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15m高排气筒</w:t>
                  </w:r>
                </w:p>
              </w:tc>
              <w:tc>
                <w:tcPr>
                  <w:tcW w:w="1587" w:type="dxa"/>
                  <w:tcBorders>
                    <w:bottom w:val="single" w:color="auto" w:sz="12" w:space="0"/>
                  </w:tcBorders>
                  <w:noWrap w:val="0"/>
                  <w:vAlign w:val="center"/>
                </w:tcPr>
                <w:p w14:paraId="2202AE4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NMHC</w:t>
                  </w:r>
                </w:p>
              </w:tc>
              <w:tc>
                <w:tcPr>
                  <w:tcW w:w="1587" w:type="dxa"/>
                  <w:tcBorders>
                    <w:bottom w:val="single" w:color="auto" w:sz="12" w:space="0"/>
                  </w:tcBorders>
                  <w:noWrap w:val="0"/>
                  <w:vAlign w:val="center"/>
                </w:tcPr>
                <w:p w14:paraId="56322246">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一次/半年</w:t>
                  </w:r>
                </w:p>
              </w:tc>
              <w:tc>
                <w:tcPr>
                  <w:tcW w:w="1588" w:type="dxa"/>
                  <w:tcBorders>
                    <w:bottom w:val="single" w:color="auto" w:sz="12" w:space="0"/>
                    <w:right w:val="single" w:color="auto" w:sz="12" w:space="0"/>
                  </w:tcBorders>
                  <w:noWrap w:val="0"/>
                  <w:vAlign w:val="center"/>
                </w:tcPr>
                <w:p w14:paraId="72274EF9">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vertAlign w:val="baseline"/>
                      <w:lang w:val="en-US" w:eastAsia="zh-CN"/>
                    </w:rPr>
                  </w:pPr>
                  <w:r>
                    <w:rPr>
                      <w:rFonts w:hint="eastAsia" w:ascii="Times New Roman" w:hAnsi="Times New Roman" w:eastAsia="宋体" w:cs="Times New Roman"/>
                      <w:color w:val="000000"/>
                      <w:vertAlign w:val="baseline"/>
                      <w:lang w:val="en-US" w:eastAsia="zh-CN"/>
                    </w:rPr>
                    <w:t>企业自行委托</w:t>
                  </w:r>
                </w:p>
              </w:tc>
            </w:tr>
          </w:tbl>
          <w:p w14:paraId="48B30D7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color w:val="000000"/>
                <w:lang w:eastAsia="zh-CN"/>
              </w:rPr>
            </w:pPr>
            <w:r>
              <w:rPr>
                <w:rFonts w:hint="eastAsia" w:cs="Times New Roman"/>
                <w:color w:val="000000"/>
                <w:lang w:val="en-US" w:eastAsia="zh-CN"/>
              </w:rPr>
              <w:t>本项目位于大气污染重点控制区，</w:t>
            </w:r>
            <w:r>
              <w:rPr>
                <w:rFonts w:hint="eastAsia" w:ascii="Times New Roman" w:hAnsi="Times New Roman" w:eastAsia="宋体" w:cs="Times New Roman"/>
                <w:color w:val="000000"/>
                <w:lang w:val="en-US" w:eastAsia="zh-CN"/>
              </w:rPr>
              <w:t>试验区</w:t>
            </w:r>
            <w:r>
              <w:rPr>
                <w:rFonts w:hint="eastAsia" w:ascii="Times New Roman" w:hAnsi="Times New Roman" w:eastAsia="宋体" w:cs="Times New Roman"/>
                <w:color w:val="000000"/>
                <w:lang w:eastAsia="zh-CN"/>
              </w:rPr>
              <w:t>废气</w:t>
            </w:r>
            <w:r>
              <w:rPr>
                <w:rFonts w:hint="eastAsia" w:ascii="Times New Roman" w:hAnsi="Times New Roman" w:eastAsia="宋体" w:cs="Times New Roman"/>
                <w:color w:val="000000"/>
                <w:lang w:val="en-US" w:eastAsia="zh-CN"/>
              </w:rPr>
              <w:t>经处理后，排气筒排放废气执行《</w:t>
            </w:r>
            <w:r>
              <w:rPr>
                <w:rFonts w:hint="eastAsia" w:cs="Times New Roman"/>
                <w:color w:val="000000"/>
                <w:lang w:val="en-US" w:eastAsia="zh-CN"/>
              </w:rPr>
              <w:t>合成树脂工业</w:t>
            </w:r>
            <w:r>
              <w:rPr>
                <w:rFonts w:hint="eastAsia" w:ascii="Times New Roman" w:hAnsi="Times New Roman" w:eastAsia="宋体" w:cs="Times New Roman"/>
                <w:color w:val="000000"/>
                <w:lang w:val="en-US" w:eastAsia="zh-CN"/>
              </w:rPr>
              <w:t>污染物排放标准》（GB</w:t>
            </w:r>
            <w:r>
              <w:rPr>
                <w:rFonts w:hint="eastAsia" w:cs="Times New Roman"/>
                <w:color w:val="000000"/>
                <w:lang w:val="en-US" w:eastAsia="zh-CN"/>
              </w:rPr>
              <w:t>31572-2015</w:t>
            </w:r>
            <w:r>
              <w:rPr>
                <w:rFonts w:hint="eastAsia" w:ascii="Times New Roman" w:hAnsi="Times New Roman" w:eastAsia="宋体" w:cs="Times New Roman"/>
                <w:color w:val="000000"/>
                <w:lang w:val="en-US" w:eastAsia="zh-CN"/>
              </w:rPr>
              <w:t>）表</w:t>
            </w:r>
            <w:r>
              <w:rPr>
                <w:rFonts w:hint="eastAsia" w:cs="Times New Roman"/>
                <w:color w:val="000000"/>
                <w:lang w:val="en-US" w:eastAsia="zh-CN"/>
              </w:rPr>
              <w:t>5大气污染物特别</w:t>
            </w:r>
            <w:r>
              <w:rPr>
                <w:rFonts w:hint="eastAsia" w:ascii="Times New Roman" w:hAnsi="Times New Roman" w:eastAsia="宋体" w:cs="Times New Roman"/>
                <w:color w:val="000000"/>
                <w:lang w:val="en-US" w:eastAsia="zh-CN"/>
              </w:rPr>
              <w:t>排放限值</w:t>
            </w:r>
            <w:r>
              <w:rPr>
                <w:rFonts w:hint="eastAsia" w:ascii="Times New Roman" w:hAnsi="Times New Roman" w:eastAsia="宋体" w:cs="Times New Roman"/>
                <w:color w:val="000000"/>
                <w:lang w:eastAsia="zh-CN"/>
              </w:rPr>
              <w:t>。</w:t>
            </w:r>
          </w:p>
          <w:p w14:paraId="4DECF3C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eastAsia="zh-CN"/>
              </w:rPr>
              <w:t>根据《关于新疆蓝山屯河聚酯有限公司</w:t>
            </w:r>
            <w:r>
              <w:rPr>
                <w:rFonts w:hint="eastAsia" w:ascii="Times New Roman" w:hAnsi="Times New Roman" w:eastAsia="宋体" w:cs="Times New Roman"/>
                <w:color w:val="000000"/>
                <w:lang w:val="en-US" w:eastAsia="zh-CN"/>
              </w:rPr>
              <w:t>2×3万吨/年PBS全生物降解树脂项目环境影响报告书的批复</w:t>
            </w:r>
            <w:r>
              <w:rPr>
                <w:rFonts w:hint="eastAsia" w:ascii="Times New Roman" w:hAnsi="Times New Roman" w:eastAsia="宋体" w:cs="Times New Roman"/>
                <w:color w:val="000000"/>
                <w:lang w:eastAsia="zh-CN"/>
              </w:rPr>
              <w:t>》，新环函</w:t>
            </w:r>
            <w:r>
              <w:rPr>
                <w:rFonts w:hint="eastAsia" w:ascii="Times New Roman" w:hAnsi="Times New Roman" w:eastAsia="宋体" w:cs="Times New Roman"/>
                <w:color w:val="000000"/>
                <w:lang w:val="en-US" w:eastAsia="zh-CN"/>
              </w:rPr>
              <w:t>[2016]1342号，</w:t>
            </w:r>
            <w:r>
              <w:rPr>
                <w:rFonts w:hint="eastAsia" w:ascii="Times New Roman" w:hAnsi="Times New Roman" w:eastAsia="宋体" w:cs="Times New Roman"/>
                <w:color w:val="000000"/>
                <w:lang w:eastAsia="zh-CN"/>
              </w:rPr>
              <w:t>厂界</w:t>
            </w:r>
            <w:r>
              <w:rPr>
                <w:rFonts w:hint="eastAsia" w:ascii="Times New Roman" w:hAnsi="Times New Roman" w:eastAsia="宋体" w:cs="Times New Roman"/>
                <w:color w:val="000000"/>
                <w:lang w:val="en-US" w:eastAsia="zh-CN"/>
              </w:rPr>
              <w:t>NMHC应满足《合成树脂工业污染物排放标准》（GB31572-2015）表9企业边界大气污染物浓度限值要求，厂界NMHC监测纳入新疆维格瑞生物科技有限公司监测计划。</w:t>
            </w:r>
          </w:p>
          <w:p w14:paraId="4D3B1DDB">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b/>
                <w:bCs/>
                <w:lang w:eastAsia="zh-CN"/>
              </w:rPr>
            </w:pPr>
            <w:r>
              <w:rPr>
                <w:rFonts w:hint="eastAsia"/>
                <w:b/>
                <w:bCs/>
                <w:lang w:eastAsia="zh-CN"/>
              </w:rPr>
              <w:t>二、水环境影响分析</w:t>
            </w:r>
          </w:p>
          <w:p w14:paraId="7862DE69">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eastAsia="zh-CN"/>
              </w:rPr>
            </w:pPr>
            <w:r>
              <w:rPr>
                <w:rFonts w:hint="eastAsia"/>
                <w:color w:val="000000"/>
                <w:lang w:eastAsia="zh-CN"/>
              </w:rPr>
              <w:t>（</w:t>
            </w:r>
            <w:r>
              <w:rPr>
                <w:rFonts w:hint="eastAsia"/>
                <w:color w:val="000000"/>
                <w:lang w:val="en-US" w:eastAsia="zh-CN"/>
              </w:rPr>
              <w:t>1</w:t>
            </w:r>
            <w:r>
              <w:rPr>
                <w:rFonts w:hint="eastAsia"/>
                <w:color w:val="000000"/>
                <w:lang w:eastAsia="zh-CN"/>
              </w:rPr>
              <w:t>）环境影响分析</w:t>
            </w:r>
          </w:p>
          <w:p w14:paraId="78BAF5D7">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color w:val="000000"/>
                <w:lang w:val="en-US" w:eastAsia="zh-CN"/>
              </w:rPr>
            </w:pPr>
            <w:r>
              <w:rPr>
                <w:rFonts w:hint="eastAsia"/>
                <w:color w:val="000000"/>
                <w:lang w:val="en-US" w:eastAsia="zh-CN"/>
              </w:rPr>
              <w:t>本项目建成后，主要产生员工生活污水和少量的试验区废水，试验区废水（0.1m³/d）收集后依托新疆维格瑞生物科技有限公司污水站处理。生活污水（8m³/d）直接排园区管网。废水产生情况见表12。</w:t>
            </w:r>
          </w:p>
          <w:p w14:paraId="564A8EC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000000"/>
                <w:sz w:val="21"/>
                <w:szCs w:val="21"/>
                <w:lang w:val="en-US" w:eastAsia="zh-CN" w:bidi="ar-SA"/>
              </w:rPr>
            </w:pPr>
            <w:r>
              <w:rPr>
                <w:rFonts w:hint="eastAsia" w:ascii="Times New Roman" w:hAnsi="Times New Roman" w:eastAsia="宋体" w:cs="Times New Roman"/>
                <w:b/>
                <w:bCs/>
                <w:color w:val="000000"/>
                <w:sz w:val="21"/>
                <w:szCs w:val="21"/>
                <w:lang w:val="en-US" w:eastAsia="zh-CN" w:bidi="ar-SA"/>
              </w:rPr>
              <w:t>表1</w:t>
            </w:r>
            <w:r>
              <w:rPr>
                <w:rFonts w:hint="eastAsia" w:cs="Times New Roman"/>
                <w:b/>
                <w:bCs/>
                <w:color w:val="000000"/>
                <w:sz w:val="21"/>
                <w:szCs w:val="21"/>
                <w:lang w:val="en-US" w:eastAsia="zh-CN" w:bidi="ar-SA"/>
              </w:rPr>
              <w:t>2</w:t>
            </w:r>
            <w:r>
              <w:rPr>
                <w:rFonts w:hint="eastAsia" w:ascii="Times New Roman" w:hAnsi="Times New Roman" w:eastAsia="宋体" w:cs="Times New Roman"/>
                <w:b/>
                <w:bCs/>
                <w:color w:val="000000"/>
                <w:sz w:val="21"/>
                <w:szCs w:val="21"/>
                <w:lang w:val="en-US" w:eastAsia="zh-CN" w:bidi="ar-SA"/>
              </w:rPr>
              <w:t xml:space="preserve">  本项目废水产生情况一览表</w:t>
            </w:r>
          </w:p>
          <w:tbl>
            <w:tblPr>
              <w:tblStyle w:val="17"/>
              <w:tblW w:w="0" w:type="auto"/>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105"/>
              <w:gridCol w:w="990"/>
              <w:gridCol w:w="1020"/>
              <w:gridCol w:w="1102"/>
              <w:gridCol w:w="988"/>
              <w:gridCol w:w="2132"/>
            </w:tblGrid>
            <w:tr w14:paraId="6F375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79" w:type="dxa"/>
                  <w:vMerge w:val="restart"/>
                  <w:tcBorders>
                    <w:tl2br w:val="nil"/>
                    <w:tr2bl w:val="nil"/>
                  </w:tcBorders>
                  <w:noWrap w:val="0"/>
                  <w:vAlign w:val="center"/>
                </w:tcPr>
                <w:p w14:paraId="45B59732">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编号</w:t>
                  </w:r>
                </w:p>
              </w:tc>
              <w:tc>
                <w:tcPr>
                  <w:tcW w:w="1105" w:type="dxa"/>
                  <w:vMerge w:val="restart"/>
                  <w:tcBorders>
                    <w:tl2br w:val="nil"/>
                    <w:tr2bl w:val="nil"/>
                  </w:tcBorders>
                  <w:noWrap w:val="0"/>
                  <w:vAlign w:val="center"/>
                </w:tcPr>
                <w:p w14:paraId="59C68E66">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污染源</w:t>
                  </w:r>
                </w:p>
              </w:tc>
              <w:tc>
                <w:tcPr>
                  <w:tcW w:w="990" w:type="dxa"/>
                  <w:vMerge w:val="restart"/>
                  <w:tcBorders>
                    <w:tl2br w:val="nil"/>
                    <w:tr2bl w:val="nil"/>
                  </w:tcBorders>
                  <w:noWrap w:val="0"/>
                  <w:vAlign w:val="center"/>
                </w:tcPr>
                <w:p w14:paraId="72664A89">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产生量</w:t>
                  </w:r>
                </w:p>
                <w:p w14:paraId="1EE5D4CA">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m³</w:t>
                  </w:r>
                  <w:r>
                    <w:rPr>
                      <w:rFonts w:hint="eastAsia" w:eastAsia="宋体" w:cs="Times New Roman"/>
                      <w:b w:val="0"/>
                      <w:bCs/>
                      <w:color w:val="000000"/>
                      <w:kern w:val="2"/>
                      <w:sz w:val="21"/>
                      <w:szCs w:val="24"/>
                      <w:vertAlign w:val="baseline"/>
                      <w:lang w:val="en-US" w:eastAsia="zh-CN" w:bidi="ar-SA"/>
                    </w:rPr>
                    <w:t>/d</w:t>
                  </w:r>
                </w:p>
              </w:tc>
              <w:tc>
                <w:tcPr>
                  <w:tcW w:w="1020" w:type="dxa"/>
                  <w:vMerge w:val="restart"/>
                  <w:tcBorders>
                    <w:tl2br w:val="nil"/>
                    <w:tr2bl w:val="nil"/>
                  </w:tcBorders>
                  <w:noWrap w:val="0"/>
                  <w:vAlign w:val="center"/>
                </w:tcPr>
                <w:p w14:paraId="07DA8819">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污染物名称</w:t>
                  </w:r>
                </w:p>
              </w:tc>
              <w:tc>
                <w:tcPr>
                  <w:tcW w:w="2090" w:type="dxa"/>
                  <w:gridSpan w:val="2"/>
                  <w:tcBorders>
                    <w:tl2br w:val="nil"/>
                    <w:tr2bl w:val="nil"/>
                  </w:tcBorders>
                  <w:noWrap w:val="0"/>
                  <w:vAlign w:val="center"/>
                </w:tcPr>
                <w:p w14:paraId="5193DD2C">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产生</w:t>
                  </w:r>
                  <w:r>
                    <w:rPr>
                      <w:rFonts w:hint="eastAsia" w:ascii="Times New Roman" w:hAnsi="Times New Roman" w:eastAsia="宋体" w:cs="Times New Roman"/>
                      <w:b w:val="0"/>
                      <w:bCs/>
                      <w:color w:val="000000"/>
                      <w:kern w:val="2"/>
                      <w:sz w:val="21"/>
                      <w:szCs w:val="24"/>
                      <w:vertAlign w:val="baseline"/>
                      <w:lang w:val="en-US" w:eastAsia="zh-CN" w:bidi="ar-SA"/>
                    </w:rPr>
                    <w:t>情况</w:t>
                  </w:r>
                </w:p>
              </w:tc>
              <w:tc>
                <w:tcPr>
                  <w:tcW w:w="2132" w:type="dxa"/>
                  <w:vMerge w:val="restart"/>
                  <w:tcBorders>
                    <w:tl2br w:val="nil"/>
                    <w:tr2bl w:val="nil"/>
                  </w:tcBorders>
                  <w:noWrap w:val="0"/>
                  <w:vAlign w:val="center"/>
                </w:tcPr>
                <w:p w14:paraId="1BD58AD1">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治理措施</w:t>
                  </w:r>
                </w:p>
              </w:tc>
            </w:tr>
            <w:tr w14:paraId="4C153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9" w:type="dxa"/>
                  <w:vMerge w:val="continue"/>
                  <w:tcBorders>
                    <w:tl2br w:val="nil"/>
                    <w:tr2bl w:val="nil"/>
                  </w:tcBorders>
                  <w:noWrap w:val="0"/>
                  <w:vAlign w:val="center"/>
                </w:tcPr>
                <w:p w14:paraId="7A33EF2C">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Times New Roman"/>
                      <w:b w:val="0"/>
                      <w:bCs/>
                      <w:color w:val="000000"/>
                      <w:kern w:val="2"/>
                      <w:sz w:val="21"/>
                      <w:szCs w:val="24"/>
                      <w:vertAlign w:val="baseline"/>
                      <w:lang w:val="en-US" w:eastAsia="zh-CN" w:bidi="ar-SA"/>
                    </w:rPr>
                  </w:pPr>
                </w:p>
              </w:tc>
              <w:tc>
                <w:tcPr>
                  <w:tcW w:w="1105" w:type="dxa"/>
                  <w:vMerge w:val="continue"/>
                  <w:tcBorders>
                    <w:tl2br w:val="nil"/>
                    <w:tr2bl w:val="nil"/>
                  </w:tcBorders>
                  <w:noWrap w:val="0"/>
                  <w:vAlign w:val="center"/>
                </w:tcPr>
                <w:p w14:paraId="04607B5B">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Times New Roman"/>
                      <w:b w:val="0"/>
                      <w:bCs/>
                      <w:color w:val="000000"/>
                      <w:kern w:val="2"/>
                      <w:sz w:val="21"/>
                      <w:szCs w:val="24"/>
                      <w:vertAlign w:val="baseline"/>
                      <w:lang w:val="en-US" w:eastAsia="zh-CN" w:bidi="ar-SA"/>
                    </w:rPr>
                  </w:pPr>
                </w:p>
              </w:tc>
              <w:tc>
                <w:tcPr>
                  <w:tcW w:w="990" w:type="dxa"/>
                  <w:vMerge w:val="continue"/>
                  <w:tcBorders>
                    <w:tl2br w:val="nil"/>
                    <w:tr2bl w:val="nil"/>
                  </w:tcBorders>
                  <w:noWrap w:val="0"/>
                  <w:vAlign w:val="center"/>
                </w:tcPr>
                <w:p w14:paraId="7011E362">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Times New Roman"/>
                      <w:b w:val="0"/>
                      <w:bCs/>
                      <w:color w:val="000000"/>
                      <w:kern w:val="2"/>
                      <w:sz w:val="21"/>
                      <w:szCs w:val="24"/>
                      <w:vertAlign w:val="baseline"/>
                      <w:lang w:val="en-US" w:eastAsia="zh-CN" w:bidi="ar-SA"/>
                    </w:rPr>
                  </w:pPr>
                </w:p>
              </w:tc>
              <w:tc>
                <w:tcPr>
                  <w:tcW w:w="1020" w:type="dxa"/>
                  <w:vMerge w:val="continue"/>
                  <w:tcBorders>
                    <w:tl2br w:val="nil"/>
                    <w:tr2bl w:val="nil"/>
                  </w:tcBorders>
                  <w:noWrap w:val="0"/>
                  <w:vAlign w:val="center"/>
                </w:tcPr>
                <w:p w14:paraId="636A8605">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Times New Roman"/>
                      <w:b w:val="0"/>
                      <w:bCs/>
                      <w:color w:val="000000"/>
                      <w:kern w:val="2"/>
                      <w:sz w:val="21"/>
                      <w:szCs w:val="24"/>
                      <w:vertAlign w:val="baseline"/>
                      <w:lang w:val="en-US" w:eastAsia="zh-CN" w:bidi="ar-SA"/>
                    </w:rPr>
                  </w:pPr>
                </w:p>
              </w:tc>
              <w:tc>
                <w:tcPr>
                  <w:tcW w:w="1102" w:type="dxa"/>
                  <w:tcBorders>
                    <w:tl2br w:val="nil"/>
                    <w:tr2bl w:val="nil"/>
                  </w:tcBorders>
                  <w:noWrap w:val="0"/>
                  <w:vAlign w:val="center"/>
                </w:tcPr>
                <w:p w14:paraId="192642EA">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产生浓度</w:t>
                  </w:r>
                </w:p>
                <w:p w14:paraId="74111492">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mg/L</w:t>
                  </w:r>
                </w:p>
              </w:tc>
              <w:tc>
                <w:tcPr>
                  <w:tcW w:w="988" w:type="dxa"/>
                  <w:tcBorders>
                    <w:tl2br w:val="nil"/>
                    <w:tr2bl w:val="nil"/>
                  </w:tcBorders>
                  <w:noWrap w:val="0"/>
                  <w:vAlign w:val="center"/>
                </w:tcPr>
                <w:p w14:paraId="13641CB9">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产生量</w:t>
                  </w:r>
                </w:p>
                <w:p w14:paraId="19AA3E18">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kg/a</w:t>
                  </w:r>
                </w:p>
              </w:tc>
              <w:tc>
                <w:tcPr>
                  <w:tcW w:w="2132" w:type="dxa"/>
                  <w:vMerge w:val="continue"/>
                  <w:tcBorders>
                    <w:tl2br w:val="nil"/>
                    <w:tr2bl w:val="nil"/>
                  </w:tcBorders>
                  <w:noWrap w:val="0"/>
                  <w:vAlign w:val="center"/>
                </w:tcPr>
                <w:p w14:paraId="3ED6F088">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r>
            <w:tr w14:paraId="1508D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9" w:type="dxa"/>
                  <w:tcBorders>
                    <w:tl2br w:val="nil"/>
                    <w:tr2bl w:val="nil"/>
                  </w:tcBorders>
                  <w:noWrap w:val="0"/>
                  <w:vAlign w:val="center"/>
                </w:tcPr>
                <w:p w14:paraId="6791E486">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1</w:t>
                  </w:r>
                </w:p>
              </w:tc>
              <w:tc>
                <w:tcPr>
                  <w:tcW w:w="1105" w:type="dxa"/>
                  <w:tcBorders>
                    <w:tl2br w:val="nil"/>
                    <w:tr2bl w:val="nil"/>
                  </w:tcBorders>
                  <w:noWrap w:val="0"/>
                  <w:vAlign w:val="center"/>
                </w:tcPr>
                <w:p w14:paraId="09E53BB7">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试验废水</w:t>
                  </w:r>
                </w:p>
              </w:tc>
              <w:tc>
                <w:tcPr>
                  <w:tcW w:w="990" w:type="dxa"/>
                  <w:tcBorders>
                    <w:tl2br w:val="nil"/>
                    <w:tr2bl w:val="nil"/>
                  </w:tcBorders>
                  <w:noWrap w:val="0"/>
                  <w:vAlign w:val="center"/>
                </w:tcPr>
                <w:p w14:paraId="4DFC0A8B">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0.1</w:t>
                  </w:r>
                </w:p>
              </w:tc>
              <w:tc>
                <w:tcPr>
                  <w:tcW w:w="1020" w:type="dxa"/>
                  <w:tcBorders>
                    <w:tl2br w:val="nil"/>
                    <w:tr2bl w:val="nil"/>
                  </w:tcBorders>
                  <w:noWrap w:val="0"/>
                  <w:vAlign w:val="center"/>
                </w:tcPr>
                <w:p w14:paraId="7FBF3C23">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COD</w:t>
                  </w:r>
                </w:p>
              </w:tc>
              <w:tc>
                <w:tcPr>
                  <w:tcW w:w="1102" w:type="dxa"/>
                  <w:tcBorders>
                    <w:tl2br w:val="nil"/>
                    <w:tr2bl w:val="nil"/>
                  </w:tcBorders>
                  <w:noWrap w:val="0"/>
                  <w:vAlign w:val="center"/>
                </w:tcPr>
                <w:p w14:paraId="2366D7E7">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4000</w:t>
                  </w:r>
                </w:p>
              </w:tc>
              <w:tc>
                <w:tcPr>
                  <w:tcW w:w="988" w:type="dxa"/>
                  <w:tcBorders>
                    <w:tl2br w:val="nil"/>
                    <w:tr2bl w:val="nil"/>
                  </w:tcBorders>
                  <w:noWrap w:val="0"/>
                  <w:vAlign w:val="center"/>
                </w:tcPr>
                <w:p w14:paraId="3AA58E48">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120</w:t>
                  </w:r>
                </w:p>
              </w:tc>
              <w:tc>
                <w:tcPr>
                  <w:tcW w:w="2132" w:type="dxa"/>
                  <w:tcBorders>
                    <w:tl2br w:val="nil"/>
                    <w:tr2bl w:val="nil"/>
                  </w:tcBorders>
                  <w:noWrap w:val="0"/>
                  <w:vAlign w:val="center"/>
                </w:tcPr>
                <w:p w14:paraId="09DB38BE">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厌氧池+水解酸化+接触氧化+二沉池</w:t>
                  </w:r>
                </w:p>
              </w:tc>
            </w:tr>
            <w:tr w14:paraId="4DCBC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9" w:type="dxa"/>
                  <w:vMerge w:val="restart"/>
                  <w:tcBorders>
                    <w:tl2br w:val="nil"/>
                    <w:tr2bl w:val="nil"/>
                  </w:tcBorders>
                  <w:noWrap w:val="0"/>
                  <w:vAlign w:val="center"/>
                </w:tcPr>
                <w:p w14:paraId="7876E954">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2</w:t>
                  </w:r>
                </w:p>
              </w:tc>
              <w:tc>
                <w:tcPr>
                  <w:tcW w:w="1105" w:type="dxa"/>
                  <w:vMerge w:val="restart"/>
                  <w:tcBorders>
                    <w:tl2br w:val="nil"/>
                    <w:tr2bl w:val="nil"/>
                  </w:tcBorders>
                  <w:noWrap w:val="0"/>
                  <w:vAlign w:val="center"/>
                </w:tcPr>
                <w:p w14:paraId="68E0C5E7">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生活污水</w:t>
                  </w:r>
                </w:p>
              </w:tc>
              <w:tc>
                <w:tcPr>
                  <w:tcW w:w="990" w:type="dxa"/>
                  <w:vMerge w:val="restart"/>
                  <w:tcBorders>
                    <w:tl2br w:val="nil"/>
                    <w:tr2bl w:val="nil"/>
                  </w:tcBorders>
                  <w:noWrap w:val="0"/>
                  <w:vAlign w:val="center"/>
                </w:tcPr>
                <w:p w14:paraId="65CE981E">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8</w:t>
                  </w:r>
                </w:p>
              </w:tc>
              <w:tc>
                <w:tcPr>
                  <w:tcW w:w="1020" w:type="dxa"/>
                  <w:tcBorders>
                    <w:tl2br w:val="nil"/>
                    <w:tr2bl w:val="nil"/>
                  </w:tcBorders>
                  <w:noWrap w:val="0"/>
                  <w:vAlign w:val="center"/>
                </w:tcPr>
                <w:p w14:paraId="7FC73B78">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COD</w:t>
                  </w:r>
                </w:p>
              </w:tc>
              <w:tc>
                <w:tcPr>
                  <w:tcW w:w="1102" w:type="dxa"/>
                  <w:tcBorders>
                    <w:tl2br w:val="nil"/>
                    <w:tr2bl w:val="nil"/>
                  </w:tcBorders>
                  <w:noWrap w:val="0"/>
                  <w:vAlign w:val="center"/>
                </w:tcPr>
                <w:p w14:paraId="7673B54E">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300</w:t>
                  </w:r>
                </w:p>
              </w:tc>
              <w:tc>
                <w:tcPr>
                  <w:tcW w:w="988" w:type="dxa"/>
                  <w:tcBorders>
                    <w:tl2br w:val="nil"/>
                    <w:tr2bl w:val="nil"/>
                  </w:tcBorders>
                  <w:noWrap w:val="0"/>
                  <w:vAlign w:val="center"/>
                </w:tcPr>
                <w:p w14:paraId="2DC2EC38">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720</w:t>
                  </w:r>
                </w:p>
              </w:tc>
              <w:tc>
                <w:tcPr>
                  <w:tcW w:w="2132" w:type="dxa"/>
                  <w:vMerge w:val="restart"/>
                  <w:tcBorders>
                    <w:tl2br w:val="nil"/>
                    <w:tr2bl w:val="nil"/>
                  </w:tcBorders>
                  <w:noWrap w:val="0"/>
                  <w:vAlign w:val="center"/>
                </w:tcPr>
                <w:p w14:paraId="01F2B71F">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r>
                    <w:rPr>
                      <w:rFonts w:hint="eastAsia" w:cs="Times New Roman"/>
                      <w:b w:val="0"/>
                      <w:bCs/>
                      <w:color w:val="000000"/>
                      <w:kern w:val="2"/>
                      <w:sz w:val="21"/>
                      <w:szCs w:val="24"/>
                      <w:vertAlign w:val="baseline"/>
                      <w:lang w:val="en-US" w:eastAsia="zh-CN" w:bidi="ar-SA"/>
                    </w:rPr>
                    <w:t>直接排园区管网</w:t>
                  </w:r>
                </w:p>
              </w:tc>
            </w:tr>
            <w:tr w14:paraId="7C3D2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9" w:type="dxa"/>
                  <w:vMerge w:val="continue"/>
                  <w:tcBorders>
                    <w:tl2br w:val="nil"/>
                    <w:tr2bl w:val="nil"/>
                  </w:tcBorders>
                  <w:noWrap w:val="0"/>
                  <w:vAlign w:val="center"/>
                </w:tcPr>
                <w:p w14:paraId="6899EB6A">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1105" w:type="dxa"/>
                  <w:vMerge w:val="continue"/>
                  <w:tcBorders>
                    <w:tl2br w:val="nil"/>
                    <w:tr2bl w:val="nil"/>
                  </w:tcBorders>
                  <w:noWrap w:val="0"/>
                  <w:vAlign w:val="center"/>
                </w:tcPr>
                <w:p w14:paraId="49A4E5DB">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990" w:type="dxa"/>
                  <w:vMerge w:val="continue"/>
                  <w:tcBorders>
                    <w:tl2br w:val="nil"/>
                    <w:tr2bl w:val="nil"/>
                  </w:tcBorders>
                  <w:noWrap w:val="0"/>
                  <w:vAlign w:val="center"/>
                </w:tcPr>
                <w:p w14:paraId="3C071462">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1020" w:type="dxa"/>
                  <w:tcBorders>
                    <w:tl2br w:val="nil"/>
                    <w:tr2bl w:val="nil"/>
                  </w:tcBorders>
                  <w:noWrap w:val="0"/>
                  <w:vAlign w:val="center"/>
                </w:tcPr>
                <w:p w14:paraId="6D0B4E11">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BOD</w:t>
                  </w:r>
                  <w:r>
                    <w:rPr>
                      <w:rFonts w:hint="eastAsia" w:eastAsia="宋体" w:cs="Times New Roman"/>
                      <w:b w:val="0"/>
                      <w:bCs/>
                      <w:color w:val="000000"/>
                      <w:kern w:val="2"/>
                      <w:sz w:val="21"/>
                      <w:szCs w:val="24"/>
                      <w:vertAlign w:val="subscript"/>
                      <w:lang w:val="en-US" w:eastAsia="zh-CN" w:bidi="ar-SA"/>
                    </w:rPr>
                    <w:t>5</w:t>
                  </w:r>
                </w:p>
              </w:tc>
              <w:tc>
                <w:tcPr>
                  <w:tcW w:w="1102" w:type="dxa"/>
                  <w:tcBorders>
                    <w:tl2br w:val="nil"/>
                    <w:tr2bl w:val="nil"/>
                  </w:tcBorders>
                  <w:noWrap w:val="0"/>
                  <w:vAlign w:val="center"/>
                </w:tcPr>
                <w:p w14:paraId="7B086541">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150</w:t>
                  </w:r>
                </w:p>
              </w:tc>
              <w:tc>
                <w:tcPr>
                  <w:tcW w:w="988" w:type="dxa"/>
                  <w:tcBorders>
                    <w:tl2br w:val="nil"/>
                    <w:tr2bl w:val="nil"/>
                  </w:tcBorders>
                  <w:noWrap w:val="0"/>
                  <w:vAlign w:val="center"/>
                </w:tcPr>
                <w:p w14:paraId="5EB5839A">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360</w:t>
                  </w:r>
                </w:p>
              </w:tc>
              <w:tc>
                <w:tcPr>
                  <w:tcW w:w="2132" w:type="dxa"/>
                  <w:vMerge w:val="continue"/>
                  <w:tcBorders>
                    <w:tl2br w:val="nil"/>
                    <w:tr2bl w:val="nil"/>
                  </w:tcBorders>
                  <w:noWrap w:val="0"/>
                  <w:vAlign w:val="center"/>
                </w:tcPr>
                <w:p w14:paraId="14D9ACE7">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r>
            <w:tr w14:paraId="49DBF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9" w:type="dxa"/>
                  <w:vMerge w:val="continue"/>
                  <w:tcBorders>
                    <w:tl2br w:val="nil"/>
                    <w:tr2bl w:val="nil"/>
                  </w:tcBorders>
                  <w:noWrap w:val="0"/>
                  <w:vAlign w:val="center"/>
                </w:tcPr>
                <w:p w14:paraId="16E7BF1A">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1105" w:type="dxa"/>
                  <w:vMerge w:val="continue"/>
                  <w:tcBorders>
                    <w:tl2br w:val="nil"/>
                    <w:tr2bl w:val="nil"/>
                  </w:tcBorders>
                  <w:noWrap w:val="0"/>
                  <w:vAlign w:val="center"/>
                </w:tcPr>
                <w:p w14:paraId="5BD3F754">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990" w:type="dxa"/>
                  <w:vMerge w:val="continue"/>
                  <w:tcBorders>
                    <w:tl2br w:val="nil"/>
                    <w:tr2bl w:val="nil"/>
                  </w:tcBorders>
                  <w:noWrap w:val="0"/>
                  <w:vAlign w:val="center"/>
                </w:tcPr>
                <w:p w14:paraId="20F0D583">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1020" w:type="dxa"/>
                  <w:tcBorders>
                    <w:tl2br w:val="nil"/>
                    <w:tr2bl w:val="nil"/>
                  </w:tcBorders>
                  <w:noWrap w:val="0"/>
                  <w:vAlign w:val="center"/>
                </w:tcPr>
                <w:p w14:paraId="2C6270E6">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NH</w:t>
                  </w:r>
                  <w:r>
                    <w:rPr>
                      <w:rFonts w:hint="eastAsia" w:eastAsia="宋体" w:cs="Times New Roman"/>
                      <w:b w:val="0"/>
                      <w:bCs/>
                      <w:color w:val="000000"/>
                      <w:kern w:val="2"/>
                      <w:sz w:val="21"/>
                      <w:szCs w:val="24"/>
                      <w:vertAlign w:val="subscript"/>
                      <w:lang w:val="en-US" w:eastAsia="zh-CN" w:bidi="ar-SA"/>
                    </w:rPr>
                    <w:t>3</w:t>
                  </w:r>
                  <w:r>
                    <w:rPr>
                      <w:rFonts w:hint="eastAsia" w:eastAsia="宋体" w:cs="Times New Roman"/>
                      <w:b w:val="0"/>
                      <w:bCs/>
                      <w:color w:val="000000"/>
                      <w:kern w:val="2"/>
                      <w:sz w:val="21"/>
                      <w:szCs w:val="24"/>
                      <w:vertAlign w:val="baseline"/>
                      <w:lang w:val="en-US" w:eastAsia="zh-CN" w:bidi="ar-SA"/>
                    </w:rPr>
                    <w:t>-N</w:t>
                  </w:r>
                </w:p>
              </w:tc>
              <w:tc>
                <w:tcPr>
                  <w:tcW w:w="1102" w:type="dxa"/>
                  <w:tcBorders>
                    <w:tl2br w:val="nil"/>
                    <w:tr2bl w:val="nil"/>
                  </w:tcBorders>
                  <w:noWrap w:val="0"/>
                  <w:vAlign w:val="center"/>
                </w:tcPr>
                <w:p w14:paraId="11F1CB82">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65</w:t>
                  </w:r>
                </w:p>
              </w:tc>
              <w:tc>
                <w:tcPr>
                  <w:tcW w:w="988" w:type="dxa"/>
                  <w:tcBorders>
                    <w:tl2br w:val="nil"/>
                    <w:tr2bl w:val="nil"/>
                  </w:tcBorders>
                  <w:noWrap w:val="0"/>
                  <w:vAlign w:val="center"/>
                </w:tcPr>
                <w:p w14:paraId="089F90B3">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val="0"/>
                      <w:bCs/>
                      <w:color w:val="000000"/>
                      <w:kern w:val="2"/>
                      <w:sz w:val="21"/>
                      <w:szCs w:val="24"/>
                      <w:vertAlign w:val="baseline"/>
                      <w:lang w:val="en-US" w:eastAsia="zh-CN" w:bidi="ar-SA"/>
                    </w:rPr>
                  </w:pPr>
                  <w:r>
                    <w:rPr>
                      <w:rFonts w:hint="eastAsia" w:eastAsia="宋体" w:cs="Times New Roman"/>
                      <w:b w:val="0"/>
                      <w:bCs/>
                      <w:color w:val="000000"/>
                      <w:kern w:val="2"/>
                      <w:sz w:val="21"/>
                      <w:szCs w:val="24"/>
                      <w:vertAlign w:val="baseline"/>
                      <w:lang w:val="en-US" w:eastAsia="zh-CN" w:bidi="ar-SA"/>
                    </w:rPr>
                    <w:t>156</w:t>
                  </w:r>
                </w:p>
              </w:tc>
              <w:tc>
                <w:tcPr>
                  <w:tcW w:w="2132" w:type="dxa"/>
                  <w:vMerge w:val="continue"/>
                  <w:tcBorders>
                    <w:tl2br w:val="nil"/>
                    <w:tr2bl w:val="nil"/>
                  </w:tcBorders>
                  <w:noWrap w:val="0"/>
                  <w:vAlign w:val="center"/>
                </w:tcPr>
                <w:p w14:paraId="6BDC73CE">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r>
            <w:tr w14:paraId="5BE10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9" w:type="dxa"/>
                  <w:vMerge w:val="continue"/>
                  <w:tcBorders>
                    <w:tl2br w:val="nil"/>
                    <w:tr2bl w:val="nil"/>
                  </w:tcBorders>
                  <w:noWrap w:val="0"/>
                  <w:vAlign w:val="center"/>
                </w:tcPr>
                <w:p w14:paraId="722CE4A9">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1105" w:type="dxa"/>
                  <w:vMerge w:val="continue"/>
                  <w:tcBorders>
                    <w:tl2br w:val="nil"/>
                    <w:tr2bl w:val="nil"/>
                  </w:tcBorders>
                  <w:noWrap w:val="0"/>
                  <w:vAlign w:val="center"/>
                </w:tcPr>
                <w:p w14:paraId="2C2CC51B">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990" w:type="dxa"/>
                  <w:vMerge w:val="continue"/>
                  <w:tcBorders>
                    <w:tl2br w:val="nil"/>
                    <w:tr2bl w:val="nil"/>
                  </w:tcBorders>
                  <w:noWrap w:val="0"/>
                  <w:vAlign w:val="center"/>
                </w:tcPr>
                <w:p w14:paraId="5ADC7E8E">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c>
                <w:tcPr>
                  <w:tcW w:w="1020" w:type="dxa"/>
                  <w:tcBorders>
                    <w:tl2br w:val="nil"/>
                    <w:tr2bl w:val="nil"/>
                  </w:tcBorders>
                  <w:noWrap w:val="0"/>
                  <w:vAlign w:val="center"/>
                </w:tcPr>
                <w:p w14:paraId="2A17DE3A">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Times New Roman"/>
                      <w:b w:val="0"/>
                      <w:bCs/>
                      <w:color w:val="000000"/>
                      <w:kern w:val="2"/>
                      <w:sz w:val="21"/>
                      <w:szCs w:val="24"/>
                      <w:vertAlign w:val="baseline"/>
                      <w:lang w:val="en-US" w:eastAsia="zh-CN" w:bidi="ar-SA"/>
                    </w:rPr>
                  </w:pPr>
                  <w:r>
                    <w:rPr>
                      <w:rFonts w:hint="eastAsia" w:cs="Times New Roman"/>
                      <w:b w:val="0"/>
                      <w:bCs/>
                      <w:color w:val="000000"/>
                      <w:kern w:val="2"/>
                      <w:sz w:val="21"/>
                      <w:szCs w:val="24"/>
                      <w:vertAlign w:val="baseline"/>
                      <w:lang w:val="en-US" w:eastAsia="zh-CN" w:bidi="ar-SA"/>
                    </w:rPr>
                    <w:t>SS</w:t>
                  </w:r>
                </w:p>
              </w:tc>
              <w:tc>
                <w:tcPr>
                  <w:tcW w:w="1102" w:type="dxa"/>
                  <w:tcBorders>
                    <w:tl2br w:val="nil"/>
                    <w:tr2bl w:val="nil"/>
                  </w:tcBorders>
                  <w:noWrap w:val="0"/>
                  <w:vAlign w:val="center"/>
                </w:tcPr>
                <w:p w14:paraId="147AFBC6">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Times New Roman"/>
                      <w:b w:val="0"/>
                      <w:bCs/>
                      <w:color w:val="000000"/>
                      <w:kern w:val="2"/>
                      <w:sz w:val="21"/>
                      <w:szCs w:val="24"/>
                      <w:vertAlign w:val="baseline"/>
                      <w:lang w:val="en-US" w:eastAsia="zh-CN" w:bidi="ar-SA"/>
                    </w:rPr>
                  </w:pPr>
                  <w:r>
                    <w:rPr>
                      <w:rFonts w:hint="eastAsia" w:cs="Times New Roman"/>
                      <w:b w:val="0"/>
                      <w:bCs/>
                      <w:color w:val="000000"/>
                      <w:kern w:val="2"/>
                      <w:sz w:val="21"/>
                      <w:szCs w:val="24"/>
                      <w:vertAlign w:val="baseline"/>
                      <w:lang w:val="en-US" w:eastAsia="zh-CN" w:bidi="ar-SA"/>
                    </w:rPr>
                    <w:t>250</w:t>
                  </w:r>
                </w:p>
              </w:tc>
              <w:tc>
                <w:tcPr>
                  <w:tcW w:w="988" w:type="dxa"/>
                  <w:tcBorders>
                    <w:tl2br w:val="nil"/>
                    <w:tr2bl w:val="nil"/>
                  </w:tcBorders>
                  <w:noWrap w:val="0"/>
                  <w:vAlign w:val="center"/>
                </w:tcPr>
                <w:p w14:paraId="4993B1F3">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Times New Roman"/>
                      <w:b w:val="0"/>
                      <w:bCs/>
                      <w:color w:val="000000"/>
                      <w:kern w:val="2"/>
                      <w:sz w:val="21"/>
                      <w:szCs w:val="24"/>
                      <w:vertAlign w:val="baseline"/>
                      <w:lang w:val="en-US" w:eastAsia="zh-CN" w:bidi="ar-SA"/>
                    </w:rPr>
                  </w:pPr>
                  <w:r>
                    <w:rPr>
                      <w:rFonts w:hint="eastAsia" w:cs="Times New Roman"/>
                      <w:b w:val="0"/>
                      <w:bCs/>
                      <w:color w:val="000000"/>
                      <w:kern w:val="2"/>
                      <w:sz w:val="21"/>
                      <w:szCs w:val="24"/>
                      <w:vertAlign w:val="baseline"/>
                      <w:lang w:val="en-US" w:eastAsia="zh-CN" w:bidi="ar-SA"/>
                    </w:rPr>
                    <w:t>600</w:t>
                  </w:r>
                </w:p>
              </w:tc>
              <w:tc>
                <w:tcPr>
                  <w:tcW w:w="2132" w:type="dxa"/>
                  <w:vMerge w:val="continue"/>
                  <w:tcBorders>
                    <w:tl2br w:val="nil"/>
                    <w:tr2bl w:val="nil"/>
                  </w:tcBorders>
                  <w:noWrap w:val="0"/>
                  <w:vAlign w:val="center"/>
                </w:tcPr>
                <w:p w14:paraId="17CD88B6">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b w:val="0"/>
                      <w:bCs/>
                      <w:color w:val="000000"/>
                      <w:kern w:val="2"/>
                      <w:sz w:val="21"/>
                      <w:szCs w:val="24"/>
                      <w:vertAlign w:val="baseline"/>
                      <w:lang w:val="en-US" w:eastAsia="zh-CN" w:bidi="ar-SA"/>
                    </w:rPr>
                  </w:pPr>
                </w:p>
              </w:tc>
            </w:tr>
          </w:tbl>
          <w:p w14:paraId="593EA709">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污水处理</w:t>
            </w:r>
            <w:r>
              <w:rPr>
                <w:rFonts w:hint="eastAsia" w:cs="Times New Roman"/>
                <w:color w:val="000000"/>
                <w:lang w:val="en-US" w:eastAsia="zh-CN"/>
              </w:rPr>
              <w:t>站</w:t>
            </w:r>
            <w:r>
              <w:rPr>
                <w:rFonts w:hint="eastAsia" w:ascii="Times New Roman" w:hAnsi="Times New Roman" w:eastAsia="宋体" w:cs="Times New Roman"/>
                <w:color w:val="000000"/>
                <w:lang w:val="en-US" w:eastAsia="zh-CN"/>
              </w:rPr>
              <w:t>工艺</w:t>
            </w:r>
            <w:r>
              <w:rPr>
                <w:rFonts w:hint="eastAsia" w:cs="Times New Roman"/>
                <w:color w:val="000000"/>
                <w:lang w:val="en-US" w:eastAsia="zh-CN"/>
              </w:rPr>
              <w:t>流程</w:t>
            </w:r>
            <w:r>
              <w:rPr>
                <w:rFonts w:hint="eastAsia" w:ascii="Times New Roman" w:hAnsi="Times New Roman" w:eastAsia="宋体" w:cs="Times New Roman"/>
                <w:color w:val="000000"/>
                <w:lang w:val="en-US" w:eastAsia="zh-CN"/>
              </w:rPr>
              <w:t>见图</w:t>
            </w:r>
            <w:r>
              <w:rPr>
                <w:rFonts w:hint="eastAsia" w:cs="Times New Roman"/>
                <w:color w:val="000000"/>
                <w:lang w:val="en-US" w:eastAsia="zh-CN"/>
              </w:rPr>
              <w:t>11</w:t>
            </w:r>
            <w:r>
              <w:rPr>
                <w:rFonts w:hint="eastAsia" w:ascii="Times New Roman" w:hAnsi="Times New Roman" w:eastAsia="宋体" w:cs="Times New Roman"/>
                <w:color w:val="000000"/>
                <w:lang w:val="en-US" w:eastAsia="zh-CN"/>
              </w:rPr>
              <w:t>。</w:t>
            </w:r>
          </w:p>
          <w:p w14:paraId="23C0F56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bCs/>
                <w:color w:val="000000"/>
                <w:sz w:val="21"/>
                <w:szCs w:val="21"/>
                <w:lang w:val="en-US" w:eastAsia="zh-CN" w:bidi="ar-SA"/>
              </w:rPr>
            </w:pPr>
            <w:r>
              <w:rPr>
                <w:rFonts w:ascii="宋体" w:hAnsi="宋体" w:eastAsia="宋体" w:cs="宋体"/>
                <w:kern w:val="0"/>
                <w:sz w:val="24"/>
                <w:szCs w:val="24"/>
                <w:lang w:val="en-US" w:eastAsia="zh-CN" w:bidi="ar"/>
              </w:rPr>
              <w:drawing>
                <wp:anchor distT="0" distB="0" distL="114300" distR="114300" simplePos="0" relativeHeight="251664384" behindDoc="0" locked="0" layoutInCell="1" allowOverlap="1">
                  <wp:simplePos x="0" y="0"/>
                  <wp:positionH relativeFrom="column">
                    <wp:posOffset>502285</wp:posOffset>
                  </wp:positionH>
                  <wp:positionV relativeFrom="paragraph">
                    <wp:posOffset>159385</wp:posOffset>
                  </wp:positionV>
                  <wp:extent cx="3938270" cy="2098040"/>
                  <wp:effectExtent l="0" t="0" r="8890" b="5080"/>
                  <wp:wrapTopAndBottom/>
                  <wp:docPr id="6"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descr="IMG_256"/>
                          <pic:cNvPicPr>
                            <a:picLocks noChangeAspect="1"/>
                          </pic:cNvPicPr>
                        </pic:nvPicPr>
                        <pic:blipFill>
                          <a:blip r:embed="rId16"/>
                          <a:stretch>
                            <a:fillRect/>
                          </a:stretch>
                        </pic:blipFill>
                        <pic:spPr>
                          <a:xfrm>
                            <a:off x="0" y="0"/>
                            <a:ext cx="3938270" cy="2098040"/>
                          </a:xfrm>
                          <a:prstGeom prst="rect">
                            <a:avLst/>
                          </a:prstGeom>
                          <a:noFill/>
                          <a:ln>
                            <a:noFill/>
                          </a:ln>
                        </pic:spPr>
                      </pic:pic>
                    </a:graphicData>
                  </a:graphic>
                </wp:anchor>
              </w:drawing>
            </w:r>
          </w:p>
          <w:p w14:paraId="5394F24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cs="Times New Roman"/>
                <w:b/>
                <w:bCs/>
                <w:color w:val="000000"/>
                <w:sz w:val="21"/>
                <w:szCs w:val="21"/>
                <w:lang w:val="en-US" w:eastAsia="zh-CN" w:bidi="ar-SA"/>
              </w:rPr>
            </w:pPr>
            <w:r>
              <w:rPr>
                <w:rFonts w:hint="eastAsia" w:ascii="Times New Roman" w:hAnsi="Times New Roman" w:eastAsia="宋体" w:cs="Times New Roman"/>
                <w:b/>
                <w:bCs/>
                <w:color w:val="000000"/>
                <w:sz w:val="21"/>
                <w:szCs w:val="21"/>
                <w:lang w:val="en-US" w:eastAsia="zh-CN" w:bidi="ar-SA"/>
              </w:rPr>
              <w:t>图</w:t>
            </w:r>
            <w:r>
              <w:rPr>
                <w:rFonts w:hint="eastAsia" w:cs="Times New Roman"/>
                <w:b/>
                <w:bCs/>
                <w:color w:val="000000"/>
                <w:sz w:val="21"/>
                <w:szCs w:val="21"/>
                <w:lang w:val="en-US" w:eastAsia="zh-CN" w:bidi="ar-SA"/>
              </w:rPr>
              <w:t>11</w:t>
            </w:r>
            <w:r>
              <w:rPr>
                <w:rFonts w:hint="eastAsia" w:ascii="Times New Roman" w:hAnsi="Times New Roman" w:eastAsia="宋体" w:cs="Times New Roman"/>
                <w:b/>
                <w:bCs/>
                <w:color w:val="000000"/>
                <w:sz w:val="21"/>
                <w:szCs w:val="21"/>
                <w:lang w:val="en-US" w:eastAsia="zh-CN" w:bidi="ar-SA"/>
              </w:rPr>
              <w:t xml:space="preserve">  污水站处理工艺流程图</w:t>
            </w:r>
          </w:p>
          <w:p w14:paraId="63642C3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color w:val="000000"/>
                <w:lang w:val="en-US" w:eastAsia="zh-CN"/>
              </w:rPr>
              <w:t>（2）环保措施可行性</w:t>
            </w:r>
          </w:p>
          <w:p w14:paraId="5A62A4B3">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color w:val="000000"/>
                <w:lang w:val="en-US" w:eastAsia="zh-CN"/>
              </w:rPr>
              <w:t>①水量</w:t>
            </w:r>
          </w:p>
          <w:p w14:paraId="1114A504">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lang w:eastAsia="zh-CN"/>
              </w:rPr>
              <w:t>本项目研发大楼和试验区设计定员</w:t>
            </w:r>
            <w:r>
              <w:rPr>
                <w:rFonts w:hint="eastAsia"/>
                <w:lang w:val="en-US" w:eastAsia="zh-CN"/>
              </w:rPr>
              <w:t>100人，</w:t>
            </w:r>
            <w:r>
              <w:rPr>
                <w:rFonts w:hint="eastAsia"/>
                <w:lang w:eastAsia="zh-CN"/>
              </w:rPr>
              <w:t>废水主要为生活污水</w:t>
            </w:r>
            <w:r>
              <w:rPr>
                <w:rFonts w:hint="eastAsia"/>
                <w:lang w:val="en-US" w:eastAsia="zh-CN"/>
              </w:rPr>
              <w:t>和试验废水</w:t>
            </w:r>
            <w:r>
              <w:rPr>
                <w:rFonts w:hint="eastAsia"/>
                <w:lang w:eastAsia="zh-CN"/>
              </w:rPr>
              <w:t>，少量试验废水依托</w:t>
            </w:r>
            <w:r>
              <w:rPr>
                <w:rFonts w:hint="eastAsia" w:ascii="宋体" w:hAnsi="宋体" w:cs="宋体"/>
                <w:kern w:val="0"/>
                <w:szCs w:val="21"/>
                <w:lang w:eastAsia="zh-CN"/>
              </w:rPr>
              <w:t>新疆维格瑞生物科技有限公司污水处理站</w:t>
            </w:r>
            <w:r>
              <w:rPr>
                <w:rFonts w:hint="eastAsia"/>
                <w:lang w:eastAsia="zh-CN"/>
              </w:rPr>
              <w:t>处理，生活污水直接排入园区下水管网。本项目依托的污水处理站设计处理规模为</w:t>
            </w:r>
            <w:r>
              <w:rPr>
                <w:rFonts w:hint="eastAsia"/>
                <w:lang w:val="en-US" w:eastAsia="zh-CN"/>
              </w:rPr>
              <w:t>600m³/d，新疆维格瑞生物科技有限公司现有生产废水、生活污水和清净下水最大产生量为483m³/d，因此污水站至少剩余117m³/d的处理能力，本项目试验废水产生量0.1m³/d，因此新疆维格瑞生物科技有限公司污水站处理能力可满足本项目的需要。</w:t>
            </w:r>
          </w:p>
          <w:p w14:paraId="07F6325A">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color w:val="000000"/>
                <w:lang w:val="en-US" w:eastAsia="zh-CN"/>
              </w:rPr>
              <w:t>②水质</w:t>
            </w:r>
          </w:p>
          <w:p w14:paraId="42CF9B2F">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color w:val="000000"/>
                <w:lang w:val="en-US" w:eastAsia="zh-CN"/>
              </w:rPr>
            </w:pPr>
            <w:r>
              <w:rPr>
                <w:rFonts w:hint="eastAsia"/>
                <w:color w:val="000000"/>
                <w:lang w:val="en-US" w:eastAsia="zh-CN"/>
              </w:rPr>
              <w:t>本项目废水主要为生活污水，少量的试验废水。新疆维格瑞生物科技有限公司厂内运营期废水包括切粒水箱废水、汽提塔排水、地面冲洗水、脱盐水站废水、软水制备废水、冷却塔废水、蒸汽发生器废水和生活废水。根据统计本项目运行后，预计新疆维格瑞生物科技有限公司生产废水污染物产排情况见表13。</w:t>
            </w:r>
          </w:p>
          <w:p w14:paraId="5C7EC0F5">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000000"/>
                <w:sz w:val="21"/>
                <w:szCs w:val="21"/>
                <w:lang w:val="en-US" w:eastAsia="zh-CN" w:bidi="ar-SA"/>
              </w:rPr>
            </w:pPr>
            <w:r>
              <w:rPr>
                <w:rFonts w:hint="eastAsia" w:ascii="Times New Roman" w:hAnsi="Times New Roman" w:eastAsia="宋体" w:cs="Times New Roman"/>
                <w:b/>
                <w:bCs/>
                <w:color w:val="000000"/>
                <w:sz w:val="21"/>
                <w:szCs w:val="21"/>
                <w:lang w:val="en-US" w:eastAsia="zh-CN" w:bidi="ar-SA"/>
              </w:rPr>
              <w:t>表</w:t>
            </w:r>
            <w:r>
              <w:rPr>
                <w:rFonts w:hint="eastAsia" w:cs="Times New Roman"/>
                <w:b/>
                <w:bCs/>
                <w:color w:val="000000"/>
                <w:sz w:val="21"/>
                <w:szCs w:val="21"/>
                <w:lang w:val="en-US" w:eastAsia="zh-CN" w:bidi="ar-SA"/>
              </w:rPr>
              <w:t>13</w:t>
            </w:r>
            <w:r>
              <w:rPr>
                <w:rFonts w:hint="eastAsia" w:ascii="Times New Roman" w:hAnsi="Times New Roman" w:eastAsia="宋体" w:cs="Times New Roman"/>
                <w:b/>
                <w:bCs/>
                <w:color w:val="000000"/>
                <w:sz w:val="21"/>
                <w:szCs w:val="21"/>
                <w:lang w:val="en-US" w:eastAsia="zh-CN" w:bidi="ar-SA"/>
              </w:rPr>
              <w:t xml:space="preserve">  新疆维格瑞生物科技有限公司废水污染物产排情况一览表</w:t>
            </w:r>
          </w:p>
          <w:tbl>
            <w:tblPr>
              <w:tblStyle w:val="17"/>
              <w:tblW w:w="7936"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835"/>
              <w:gridCol w:w="711"/>
              <w:gridCol w:w="621"/>
              <w:gridCol w:w="606"/>
              <w:gridCol w:w="621"/>
              <w:gridCol w:w="606"/>
              <w:gridCol w:w="711"/>
              <w:gridCol w:w="621"/>
              <w:gridCol w:w="708"/>
              <w:gridCol w:w="593"/>
            </w:tblGrid>
            <w:tr w14:paraId="0EDE1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03" w:type="dxa"/>
                  <w:vMerge w:val="restart"/>
                  <w:tcBorders>
                    <w:tl2br w:val="nil"/>
                    <w:tr2bl w:val="nil"/>
                  </w:tcBorders>
                  <w:vAlign w:val="center"/>
                </w:tcPr>
                <w:p w14:paraId="1601345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污染源</w:t>
                  </w:r>
                </w:p>
              </w:tc>
              <w:tc>
                <w:tcPr>
                  <w:tcW w:w="835" w:type="dxa"/>
                  <w:tcBorders>
                    <w:tl2br w:val="nil"/>
                    <w:tr2bl w:val="nil"/>
                  </w:tcBorders>
                  <w:vAlign w:val="center"/>
                </w:tcPr>
                <w:p w14:paraId="01741BE0">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水量</w:t>
                  </w:r>
                </w:p>
              </w:tc>
              <w:tc>
                <w:tcPr>
                  <w:tcW w:w="1332" w:type="dxa"/>
                  <w:gridSpan w:val="2"/>
                  <w:tcBorders>
                    <w:tl2br w:val="nil"/>
                    <w:tr2bl w:val="nil"/>
                  </w:tcBorders>
                  <w:vAlign w:val="center"/>
                </w:tcPr>
                <w:p w14:paraId="6FCF432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COD</w:t>
                  </w:r>
                </w:p>
              </w:tc>
              <w:tc>
                <w:tcPr>
                  <w:tcW w:w="1227" w:type="dxa"/>
                  <w:gridSpan w:val="2"/>
                  <w:tcBorders>
                    <w:tl2br w:val="nil"/>
                    <w:tr2bl w:val="nil"/>
                  </w:tcBorders>
                  <w:vAlign w:val="center"/>
                </w:tcPr>
                <w:p w14:paraId="05CAE8F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SS</w:t>
                  </w:r>
                </w:p>
              </w:tc>
              <w:tc>
                <w:tcPr>
                  <w:tcW w:w="1317" w:type="dxa"/>
                  <w:gridSpan w:val="2"/>
                  <w:tcBorders>
                    <w:tl2br w:val="nil"/>
                    <w:tr2bl w:val="nil"/>
                  </w:tcBorders>
                  <w:vAlign w:val="center"/>
                </w:tcPr>
                <w:p w14:paraId="08C0D96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NH</w:t>
                  </w:r>
                  <w:r>
                    <w:rPr>
                      <w:rFonts w:hint="eastAsia"/>
                      <w:color w:val="000000"/>
                      <w:sz w:val="18"/>
                      <w:szCs w:val="21"/>
                      <w:vertAlign w:val="subscript"/>
                      <w:lang w:val="en-US" w:eastAsia="zh-CN"/>
                    </w:rPr>
                    <w:t>3</w:t>
                  </w:r>
                  <w:r>
                    <w:rPr>
                      <w:rFonts w:hint="eastAsia"/>
                      <w:color w:val="000000"/>
                      <w:sz w:val="18"/>
                      <w:szCs w:val="21"/>
                      <w:vertAlign w:val="baseline"/>
                      <w:lang w:val="en-US" w:eastAsia="zh-CN"/>
                    </w:rPr>
                    <w:t>-N</w:t>
                  </w:r>
                </w:p>
              </w:tc>
              <w:tc>
                <w:tcPr>
                  <w:tcW w:w="1329" w:type="dxa"/>
                  <w:gridSpan w:val="2"/>
                  <w:tcBorders>
                    <w:tl2br w:val="nil"/>
                    <w:tr2bl w:val="nil"/>
                  </w:tcBorders>
                  <w:vAlign w:val="center"/>
                </w:tcPr>
                <w:p w14:paraId="0B7E710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BOD</w:t>
                  </w:r>
                  <w:r>
                    <w:rPr>
                      <w:rFonts w:hint="eastAsia"/>
                      <w:color w:val="000000"/>
                      <w:sz w:val="18"/>
                      <w:szCs w:val="21"/>
                      <w:vertAlign w:val="subscript"/>
                      <w:lang w:val="en-US" w:eastAsia="zh-CN"/>
                    </w:rPr>
                    <w:t>5</w:t>
                  </w:r>
                </w:p>
              </w:tc>
              <w:tc>
                <w:tcPr>
                  <w:tcW w:w="593" w:type="dxa"/>
                  <w:vMerge w:val="restart"/>
                  <w:tcBorders>
                    <w:tl2br w:val="nil"/>
                    <w:tr2bl w:val="nil"/>
                  </w:tcBorders>
                  <w:vAlign w:val="center"/>
                </w:tcPr>
                <w:p w14:paraId="7C665F0C">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排放</w:t>
                  </w:r>
                </w:p>
                <w:p w14:paraId="49858A22">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去向</w:t>
                  </w:r>
                </w:p>
              </w:tc>
            </w:tr>
            <w:tr w14:paraId="01328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3" w:type="dxa"/>
                  <w:vMerge w:val="continue"/>
                  <w:tcBorders>
                    <w:tl2br w:val="nil"/>
                    <w:tr2bl w:val="nil"/>
                  </w:tcBorders>
                  <w:vAlign w:val="center"/>
                </w:tcPr>
                <w:p w14:paraId="6690F4E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c>
                <w:tcPr>
                  <w:tcW w:w="835" w:type="dxa"/>
                  <w:tcBorders>
                    <w:tl2br w:val="nil"/>
                    <w:tr2bl w:val="nil"/>
                  </w:tcBorders>
                  <w:vAlign w:val="center"/>
                </w:tcPr>
                <w:p w14:paraId="1FA51D3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t/a</w:t>
                  </w:r>
                </w:p>
              </w:tc>
              <w:tc>
                <w:tcPr>
                  <w:tcW w:w="711" w:type="dxa"/>
                  <w:tcBorders>
                    <w:tl2br w:val="nil"/>
                    <w:tr2bl w:val="nil"/>
                  </w:tcBorders>
                  <w:vAlign w:val="center"/>
                </w:tcPr>
                <w:p w14:paraId="5748CB4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mg/L</w:t>
                  </w:r>
                </w:p>
              </w:tc>
              <w:tc>
                <w:tcPr>
                  <w:tcW w:w="621" w:type="dxa"/>
                  <w:tcBorders>
                    <w:tl2br w:val="nil"/>
                    <w:tr2bl w:val="nil"/>
                  </w:tcBorders>
                  <w:vAlign w:val="center"/>
                </w:tcPr>
                <w:p w14:paraId="5BF2A86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t/a</w:t>
                  </w:r>
                </w:p>
              </w:tc>
              <w:tc>
                <w:tcPr>
                  <w:tcW w:w="606" w:type="dxa"/>
                  <w:tcBorders>
                    <w:tl2br w:val="nil"/>
                    <w:tr2bl w:val="nil"/>
                  </w:tcBorders>
                  <w:vAlign w:val="center"/>
                </w:tcPr>
                <w:p w14:paraId="5B8BF78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000000"/>
                      <w:kern w:val="2"/>
                      <w:sz w:val="18"/>
                      <w:szCs w:val="21"/>
                      <w:vertAlign w:val="baseline"/>
                      <w:lang w:val="en-US" w:eastAsia="zh-CN" w:bidi="ar-SA"/>
                    </w:rPr>
                  </w:pPr>
                  <w:r>
                    <w:rPr>
                      <w:rFonts w:hint="eastAsia"/>
                      <w:color w:val="000000"/>
                      <w:sz w:val="18"/>
                      <w:szCs w:val="21"/>
                      <w:vertAlign w:val="baseline"/>
                      <w:lang w:val="en-US" w:eastAsia="zh-CN"/>
                    </w:rPr>
                    <w:t>mg/L</w:t>
                  </w:r>
                </w:p>
              </w:tc>
              <w:tc>
                <w:tcPr>
                  <w:tcW w:w="621" w:type="dxa"/>
                  <w:tcBorders>
                    <w:tl2br w:val="nil"/>
                    <w:tr2bl w:val="nil"/>
                  </w:tcBorders>
                  <w:vAlign w:val="center"/>
                </w:tcPr>
                <w:p w14:paraId="6F18D4E5">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000000"/>
                      <w:kern w:val="2"/>
                      <w:sz w:val="18"/>
                      <w:szCs w:val="21"/>
                      <w:vertAlign w:val="baseline"/>
                      <w:lang w:val="en-US" w:eastAsia="zh-CN" w:bidi="ar-SA"/>
                    </w:rPr>
                  </w:pPr>
                  <w:r>
                    <w:rPr>
                      <w:rFonts w:hint="eastAsia"/>
                      <w:color w:val="000000"/>
                      <w:sz w:val="18"/>
                      <w:szCs w:val="21"/>
                      <w:vertAlign w:val="baseline"/>
                      <w:lang w:val="en-US" w:eastAsia="zh-CN"/>
                    </w:rPr>
                    <w:t>t/a</w:t>
                  </w:r>
                </w:p>
              </w:tc>
              <w:tc>
                <w:tcPr>
                  <w:tcW w:w="606" w:type="dxa"/>
                  <w:tcBorders>
                    <w:tl2br w:val="nil"/>
                    <w:tr2bl w:val="nil"/>
                  </w:tcBorders>
                  <w:vAlign w:val="center"/>
                </w:tcPr>
                <w:p w14:paraId="4A0DBE2F">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000000"/>
                      <w:kern w:val="2"/>
                      <w:sz w:val="18"/>
                      <w:szCs w:val="21"/>
                      <w:vertAlign w:val="baseline"/>
                      <w:lang w:val="en-US" w:eastAsia="zh-CN" w:bidi="ar-SA"/>
                    </w:rPr>
                  </w:pPr>
                  <w:r>
                    <w:rPr>
                      <w:rFonts w:hint="eastAsia"/>
                      <w:color w:val="000000"/>
                      <w:sz w:val="18"/>
                      <w:szCs w:val="21"/>
                      <w:vertAlign w:val="baseline"/>
                      <w:lang w:val="en-US" w:eastAsia="zh-CN"/>
                    </w:rPr>
                    <w:t>mg/L</w:t>
                  </w:r>
                </w:p>
              </w:tc>
              <w:tc>
                <w:tcPr>
                  <w:tcW w:w="711" w:type="dxa"/>
                  <w:tcBorders>
                    <w:tl2br w:val="nil"/>
                    <w:tr2bl w:val="nil"/>
                  </w:tcBorders>
                  <w:vAlign w:val="center"/>
                </w:tcPr>
                <w:p w14:paraId="40F11CF0">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000000"/>
                      <w:kern w:val="2"/>
                      <w:sz w:val="18"/>
                      <w:szCs w:val="21"/>
                      <w:vertAlign w:val="baseline"/>
                      <w:lang w:val="en-US" w:eastAsia="zh-CN" w:bidi="ar-SA"/>
                    </w:rPr>
                  </w:pPr>
                  <w:r>
                    <w:rPr>
                      <w:rFonts w:hint="eastAsia"/>
                      <w:color w:val="000000"/>
                      <w:sz w:val="18"/>
                      <w:szCs w:val="21"/>
                      <w:vertAlign w:val="baseline"/>
                      <w:lang w:val="en-US" w:eastAsia="zh-CN"/>
                    </w:rPr>
                    <w:t>t/a</w:t>
                  </w:r>
                </w:p>
              </w:tc>
              <w:tc>
                <w:tcPr>
                  <w:tcW w:w="621" w:type="dxa"/>
                  <w:tcBorders>
                    <w:tl2br w:val="nil"/>
                    <w:tr2bl w:val="nil"/>
                  </w:tcBorders>
                  <w:vAlign w:val="center"/>
                </w:tcPr>
                <w:p w14:paraId="6A9E20F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000000"/>
                      <w:kern w:val="2"/>
                      <w:sz w:val="18"/>
                      <w:szCs w:val="21"/>
                      <w:vertAlign w:val="baseline"/>
                      <w:lang w:val="en-US" w:eastAsia="zh-CN" w:bidi="ar-SA"/>
                    </w:rPr>
                  </w:pPr>
                  <w:r>
                    <w:rPr>
                      <w:rFonts w:hint="eastAsia"/>
                      <w:color w:val="000000"/>
                      <w:sz w:val="18"/>
                      <w:szCs w:val="21"/>
                      <w:vertAlign w:val="baseline"/>
                      <w:lang w:val="en-US" w:eastAsia="zh-CN"/>
                    </w:rPr>
                    <w:t>mg/L</w:t>
                  </w:r>
                </w:p>
              </w:tc>
              <w:tc>
                <w:tcPr>
                  <w:tcW w:w="708" w:type="dxa"/>
                  <w:tcBorders>
                    <w:tl2br w:val="nil"/>
                    <w:tr2bl w:val="nil"/>
                  </w:tcBorders>
                  <w:vAlign w:val="center"/>
                </w:tcPr>
                <w:p w14:paraId="3540F29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000000"/>
                      <w:kern w:val="2"/>
                      <w:sz w:val="18"/>
                      <w:szCs w:val="21"/>
                      <w:vertAlign w:val="baseline"/>
                      <w:lang w:val="en-US" w:eastAsia="zh-CN" w:bidi="ar-SA"/>
                    </w:rPr>
                  </w:pPr>
                  <w:r>
                    <w:rPr>
                      <w:rFonts w:hint="eastAsia"/>
                      <w:color w:val="000000"/>
                      <w:sz w:val="18"/>
                      <w:szCs w:val="21"/>
                      <w:vertAlign w:val="baseline"/>
                      <w:lang w:val="en-US" w:eastAsia="zh-CN"/>
                    </w:rPr>
                    <w:t>t/a</w:t>
                  </w:r>
                </w:p>
              </w:tc>
              <w:tc>
                <w:tcPr>
                  <w:tcW w:w="593" w:type="dxa"/>
                  <w:vMerge w:val="continue"/>
                  <w:tcBorders>
                    <w:tl2br w:val="nil"/>
                    <w:tr2bl w:val="nil"/>
                  </w:tcBorders>
                  <w:vAlign w:val="center"/>
                </w:tcPr>
                <w:p w14:paraId="2768FD3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r>
            <w:tr w14:paraId="2CA6E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3" w:type="dxa"/>
                  <w:tcBorders>
                    <w:tl2br w:val="nil"/>
                    <w:tr2bl w:val="nil"/>
                  </w:tcBorders>
                  <w:vAlign w:val="center"/>
                </w:tcPr>
                <w:p w14:paraId="7CBB790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切粒水箱</w:t>
                  </w:r>
                </w:p>
              </w:tc>
              <w:tc>
                <w:tcPr>
                  <w:tcW w:w="835" w:type="dxa"/>
                  <w:tcBorders>
                    <w:tl2br w:val="nil"/>
                    <w:tr2bl w:val="nil"/>
                  </w:tcBorders>
                  <w:vAlign w:val="center"/>
                </w:tcPr>
                <w:p w14:paraId="1174B96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000000"/>
                      <w:kern w:val="2"/>
                      <w:sz w:val="18"/>
                      <w:szCs w:val="21"/>
                      <w:vertAlign w:val="baseline"/>
                      <w:lang w:val="en-US" w:eastAsia="zh-CN" w:bidi="ar-SA"/>
                    </w:rPr>
                  </w:pPr>
                  <w:r>
                    <w:rPr>
                      <w:rFonts w:hint="eastAsia"/>
                      <w:color w:val="000000"/>
                      <w:sz w:val="18"/>
                      <w:szCs w:val="21"/>
                      <w:vertAlign w:val="baseline"/>
                      <w:lang w:val="en-US" w:eastAsia="zh-CN"/>
                    </w:rPr>
                    <w:t>279.72</w:t>
                  </w:r>
                </w:p>
              </w:tc>
              <w:tc>
                <w:tcPr>
                  <w:tcW w:w="711" w:type="dxa"/>
                  <w:tcBorders>
                    <w:tl2br w:val="nil"/>
                    <w:tr2bl w:val="nil"/>
                  </w:tcBorders>
                  <w:vAlign w:val="center"/>
                </w:tcPr>
                <w:p w14:paraId="1287622E">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500</w:t>
                  </w:r>
                </w:p>
              </w:tc>
              <w:tc>
                <w:tcPr>
                  <w:tcW w:w="621" w:type="dxa"/>
                  <w:tcBorders>
                    <w:tl2br w:val="nil"/>
                    <w:tr2bl w:val="nil"/>
                  </w:tcBorders>
                  <w:vAlign w:val="center"/>
                </w:tcPr>
                <w:p w14:paraId="27CCDFC0">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0.14</w:t>
                  </w:r>
                </w:p>
              </w:tc>
              <w:tc>
                <w:tcPr>
                  <w:tcW w:w="606" w:type="dxa"/>
                  <w:tcBorders>
                    <w:tl2br w:val="nil"/>
                    <w:tr2bl w:val="nil"/>
                  </w:tcBorders>
                  <w:vAlign w:val="center"/>
                </w:tcPr>
                <w:p w14:paraId="3B65B91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200</w:t>
                  </w:r>
                </w:p>
              </w:tc>
              <w:tc>
                <w:tcPr>
                  <w:tcW w:w="621" w:type="dxa"/>
                  <w:tcBorders>
                    <w:tl2br w:val="nil"/>
                    <w:tr2bl w:val="nil"/>
                  </w:tcBorders>
                  <w:vAlign w:val="center"/>
                </w:tcPr>
                <w:p w14:paraId="2BA4EEC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0.056</w:t>
                  </w:r>
                </w:p>
              </w:tc>
              <w:tc>
                <w:tcPr>
                  <w:tcW w:w="606" w:type="dxa"/>
                  <w:tcBorders>
                    <w:tl2br w:val="nil"/>
                    <w:tr2bl w:val="nil"/>
                  </w:tcBorders>
                  <w:vAlign w:val="center"/>
                </w:tcPr>
                <w:p w14:paraId="119E1BA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30</w:t>
                  </w:r>
                </w:p>
              </w:tc>
              <w:tc>
                <w:tcPr>
                  <w:tcW w:w="711" w:type="dxa"/>
                  <w:tcBorders>
                    <w:tl2br w:val="nil"/>
                    <w:tr2bl w:val="nil"/>
                  </w:tcBorders>
                  <w:vAlign w:val="center"/>
                </w:tcPr>
                <w:p w14:paraId="135EDEB5">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0.008</w:t>
                  </w:r>
                </w:p>
              </w:tc>
              <w:tc>
                <w:tcPr>
                  <w:tcW w:w="621" w:type="dxa"/>
                  <w:tcBorders>
                    <w:tl2br w:val="nil"/>
                    <w:tr2bl w:val="nil"/>
                  </w:tcBorders>
                  <w:vAlign w:val="center"/>
                </w:tcPr>
                <w:p w14:paraId="76DFC8E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w:t>
                  </w:r>
                </w:p>
              </w:tc>
              <w:tc>
                <w:tcPr>
                  <w:tcW w:w="708" w:type="dxa"/>
                  <w:tcBorders>
                    <w:tl2br w:val="nil"/>
                    <w:tr2bl w:val="nil"/>
                  </w:tcBorders>
                  <w:vAlign w:val="center"/>
                </w:tcPr>
                <w:p w14:paraId="60EEDB0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w:t>
                  </w:r>
                </w:p>
              </w:tc>
              <w:tc>
                <w:tcPr>
                  <w:tcW w:w="593" w:type="dxa"/>
                  <w:vMerge w:val="restart"/>
                  <w:tcBorders>
                    <w:tl2br w:val="nil"/>
                    <w:tr2bl w:val="nil"/>
                  </w:tcBorders>
                  <w:vAlign w:val="center"/>
                </w:tcPr>
                <w:p w14:paraId="6AE4404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污水站</w:t>
                  </w:r>
                </w:p>
              </w:tc>
            </w:tr>
            <w:tr w14:paraId="37EB4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3" w:type="dxa"/>
                  <w:tcBorders>
                    <w:tl2br w:val="nil"/>
                    <w:tr2bl w:val="nil"/>
                  </w:tcBorders>
                  <w:vAlign w:val="center"/>
                </w:tcPr>
                <w:p w14:paraId="53B87F1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汽提塔</w:t>
                  </w:r>
                </w:p>
              </w:tc>
              <w:tc>
                <w:tcPr>
                  <w:tcW w:w="835" w:type="dxa"/>
                  <w:tcBorders>
                    <w:tl2br w:val="nil"/>
                    <w:tr2bl w:val="nil"/>
                  </w:tcBorders>
                  <w:vAlign w:val="center"/>
                </w:tcPr>
                <w:p w14:paraId="1CE09BEF">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2"/>
                      <w:sz w:val="18"/>
                      <w:szCs w:val="21"/>
                      <w:vertAlign w:val="baseline"/>
                      <w:lang w:val="en-US" w:eastAsia="zh-CN" w:bidi="ar-SA"/>
                    </w:rPr>
                  </w:pPr>
                  <w:r>
                    <w:rPr>
                      <w:rFonts w:hint="eastAsia"/>
                      <w:color w:val="000000"/>
                      <w:sz w:val="18"/>
                      <w:szCs w:val="21"/>
                      <w:vertAlign w:val="baseline"/>
                      <w:lang w:val="en-US" w:eastAsia="zh-CN"/>
                    </w:rPr>
                    <w:t>40821.8</w:t>
                  </w:r>
                </w:p>
              </w:tc>
              <w:tc>
                <w:tcPr>
                  <w:tcW w:w="711" w:type="dxa"/>
                  <w:tcBorders>
                    <w:tl2br w:val="nil"/>
                    <w:tr2bl w:val="nil"/>
                  </w:tcBorders>
                  <w:vAlign w:val="center"/>
                </w:tcPr>
                <w:p w14:paraId="1DE5E56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3500</w:t>
                  </w:r>
                </w:p>
              </w:tc>
              <w:tc>
                <w:tcPr>
                  <w:tcW w:w="621" w:type="dxa"/>
                  <w:tcBorders>
                    <w:tl2br w:val="nil"/>
                    <w:tr2bl w:val="nil"/>
                  </w:tcBorders>
                  <w:vAlign w:val="center"/>
                </w:tcPr>
                <w:p w14:paraId="759DE1B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142.9</w:t>
                  </w:r>
                </w:p>
              </w:tc>
              <w:tc>
                <w:tcPr>
                  <w:tcW w:w="606" w:type="dxa"/>
                  <w:tcBorders>
                    <w:tl2br w:val="nil"/>
                    <w:tr2bl w:val="nil"/>
                  </w:tcBorders>
                  <w:vAlign w:val="center"/>
                </w:tcPr>
                <w:p w14:paraId="10E55C75">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w:t>
                  </w:r>
                </w:p>
              </w:tc>
              <w:tc>
                <w:tcPr>
                  <w:tcW w:w="621" w:type="dxa"/>
                  <w:tcBorders>
                    <w:tl2br w:val="nil"/>
                    <w:tr2bl w:val="nil"/>
                  </w:tcBorders>
                  <w:vAlign w:val="center"/>
                </w:tcPr>
                <w:p w14:paraId="1E576C0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w:t>
                  </w:r>
                </w:p>
              </w:tc>
              <w:tc>
                <w:tcPr>
                  <w:tcW w:w="606" w:type="dxa"/>
                  <w:tcBorders>
                    <w:tl2br w:val="nil"/>
                    <w:tr2bl w:val="nil"/>
                  </w:tcBorders>
                  <w:vAlign w:val="center"/>
                </w:tcPr>
                <w:p w14:paraId="5D27A3AC">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30</w:t>
                  </w:r>
                </w:p>
              </w:tc>
              <w:tc>
                <w:tcPr>
                  <w:tcW w:w="711" w:type="dxa"/>
                  <w:tcBorders>
                    <w:tl2br w:val="nil"/>
                    <w:tr2bl w:val="nil"/>
                  </w:tcBorders>
                  <w:vAlign w:val="center"/>
                </w:tcPr>
                <w:p w14:paraId="6794D5B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1.23</w:t>
                  </w:r>
                </w:p>
              </w:tc>
              <w:tc>
                <w:tcPr>
                  <w:tcW w:w="621" w:type="dxa"/>
                  <w:tcBorders>
                    <w:tl2br w:val="nil"/>
                    <w:tr2bl w:val="nil"/>
                  </w:tcBorders>
                  <w:vAlign w:val="center"/>
                </w:tcPr>
                <w:p w14:paraId="4286613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100</w:t>
                  </w:r>
                </w:p>
              </w:tc>
              <w:tc>
                <w:tcPr>
                  <w:tcW w:w="708" w:type="dxa"/>
                  <w:tcBorders>
                    <w:tl2br w:val="nil"/>
                    <w:tr2bl w:val="nil"/>
                  </w:tcBorders>
                  <w:vAlign w:val="center"/>
                </w:tcPr>
                <w:p w14:paraId="071D518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4.08</w:t>
                  </w:r>
                </w:p>
              </w:tc>
              <w:tc>
                <w:tcPr>
                  <w:tcW w:w="593" w:type="dxa"/>
                  <w:vMerge w:val="continue"/>
                  <w:tcBorders>
                    <w:tl2br w:val="nil"/>
                    <w:tr2bl w:val="nil"/>
                  </w:tcBorders>
                  <w:vAlign w:val="center"/>
                </w:tcPr>
                <w:p w14:paraId="0D89BC6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r>
            <w:tr w14:paraId="36BB8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3" w:type="dxa"/>
                  <w:tcBorders>
                    <w:tl2br w:val="nil"/>
                    <w:tr2bl w:val="nil"/>
                  </w:tcBorders>
                  <w:vAlign w:val="center"/>
                </w:tcPr>
                <w:p w14:paraId="0F6589C8">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设备地面清洗</w:t>
                  </w:r>
                </w:p>
              </w:tc>
              <w:tc>
                <w:tcPr>
                  <w:tcW w:w="835" w:type="dxa"/>
                  <w:tcBorders>
                    <w:tl2br w:val="nil"/>
                    <w:tr2bl w:val="nil"/>
                  </w:tcBorders>
                  <w:vAlign w:val="center"/>
                </w:tcPr>
                <w:p w14:paraId="09C68F10">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2131.2</w:t>
                  </w:r>
                </w:p>
              </w:tc>
              <w:tc>
                <w:tcPr>
                  <w:tcW w:w="711" w:type="dxa"/>
                  <w:tcBorders>
                    <w:tl2br w:val="nil"/>
                    <w:tr2bl w:val="nil"/>
                  </w:tcBorders>
                  <w:vAlign w:val="center"/>
                </w:tcPr>
                <w:p w14:paraId="374B54E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300</w:t>
                  </w:r>
                </w:p>
              </w:tc>
              <w:tc>
                <w:tcPr>
                  <w:tcW w:w="621" w:type="dxa"/>
                  <w:tcBorders>
                    <w:tl2br w:val="nil"/>
                    <w:tr2bl w:val="nil"/>
                  </w:tcBorders>
                  <w:vAlign w:val="center"/>
                </w:tcPr>
                <w:p w14:paraId="716D786C">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0.64</w:t>
                  </w:r>
                </w:p>
              </w:tc>
              <w:tc>
                <w:tcPr>
                  <w:tcW w:w="606" w:type="dxa"/>
                  <w:tcBorders>
                    <w:tl2br w:val="nil"/>
                    <w:tr2bl w:val="nil"/>
                  </w:tcBorders>
                  <w:vAlign w:val="center"/>
                </w:tcPr>
                <w:p w14:paraId="665A5D2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250</w:t>
                  </w:r>
                </w:p>
              </w:tc>
              <w:tc>
                <w:tcPr>
                  <w:tcW w:w="621" w:type="dxa"/>
                  <w:tcBorders>
                    <w:tl2br w:val="nil"/>
                    <w:tr2bl w:val="nil"/>
                  </w:tcBorders>
                  <w:vAlign w:val="center"/>
                </w:tcPr>
                <w:p w14:paraId="00BB456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0.53</w:t>
                  </w:r>
                </w:p>
              </w:tc>
              <w:tc>
                <w:tcPr>
                  <w:tcW w:w="606" w:type="dxa"/>
                  <w:tcBorders>
                    <w:tl2br w:val="nil"/>
                    <w:tr2bl w:val="nil"/>
                  </w:tcBorders>
                  <w:vAlign w:val="center"/>
                </w:tcPr>
                <w:p w14:paraId="327A6A2C">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30</w:t>
                  </w:r>
                </w:p>
              </w:tc>
              <w:tc>
                <w:tcPr>
                  <w:tcW w:w="711" w:type="dxa"/>
                  <w:tcBorders>
                    <w:tl2br w:val="nil"/>
                    <w:tr2bl w:val="nil"/>
                  </w:tcBorders>
                  <w:vAlign w:val="center"/>
                </w:tcPr>
                <w:p w14:paraId="7C164B1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0.064</w:t>
                  </w:r>
                </w:p>
              </w:tc>
              <w:tc>
                <w:tcPr>
                  <w:tcW w:w="621" w:type="dxa"/>
                  <w:tcBorders>
                    <w:tl2br w:val="nil"/>
                    <w:tr2bl w:val="nil"/>
                  </w:tcBorders>
                  <w:vAlign w:val="center"/>
                </w:tcPr>
                <w:p w14:paraId="54542996">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100</w:t>
                  </w:r>
                </w:p>
              </w:tc>
              <w:tc>
                <w:tcPr>
                  <w:tcW w:w="708" w:type="dxa"/>
                  <w:tcBorders>
                    <w:tl2br w:val="nil"/>
                    <w:tr2bl w:val="nil"/>
                  </w:tcBorders>
                  <w:vAlign w:val="center"/>
                </w:tcPr>
                <w:p w14:paraId="0879E356">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0.22</w:t>
                  </w:r>
                </w:p>
              </w:tc>
              <w:tc>
                <w:tcPr>
                  <w:tcW w:w="593" w:type="dxa"/>
                  <w:vMerge w:val="continue"/>
                  <w:tcBorders>
                    <w:tl2br w:val="nil"/>
                    <w:tr2bl w:val="nil"/>
                  </w:tcBorders>
                  <w:vAlign w:val="center"/>
                </w:tcPr>
                <w:p w14:paraId="4AD64B1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r>
            <w:tr w14:paraId="2F47C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3" w:type="dxa"/>
                  <w:tcBorders>
                    <w:tl2br w:val="nil"/>
                    <w:tr2bl w:val="nil"/>
                  </w:tcBorders>
                  <w:vAlign w:val="center"/>
                </w:tcPr>
                <w:p w14:paraId="7B2EBF0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项目试验废水</w:t>
                  </w:r>
                </w:p>
              </w:tc>
              <w:tc>
                <w:tcPr>
                  <w:tcW w:w="835" w:type="dxa"/>
                  <w:tcBorders>
                    <w:tl2br w:val="nil"/>
                    <w:tr2bl w:val="nil"/>
                  </w:tcBorders>
                  <w:vAlign w:val="center"/>
                </w:tcPr>
                <w:p w14:paraId="027CD3E5">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30</w:t>
                  </w:r>
                </w:p>
              </w:tc>
              <w:tc>
                <w:tcPr>
                  <w:tcW w:w="711" w:type="dxa"/>
                  <w:tcBorders>
                    <w:tl2br w:val="nil"/>
                    <w:tr2bl w:val="nil"/>
                  </w:tcBorders>
                  <w:vAlign w:val="center"/>
                </w:tcPr>
                <w:p w14:paraId="2FCC6A09">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4000</w:t>
                  </w:r>
                </w:p>
              </w:tc>
              <w:tc>
                <w:tcPr>
                  <w:tcW w:w="621" w:type="dxa"/>
                  <w:tcBorders>
                    <w:tl2br w:val="nil"/>
                    <w:tr2bl w:val="nil"/>
                  </w:tcBorders>
                  <w:vAlign w:val="center"/>
                </w:tcPr>
                <w:p w14:paraId="0E933AB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0.12</w:t>
                  </w:r>
                </w:p>
              </w:tc>
              <w:tc>
                <w:tcPr>
                  <w:tcW w:w="606" w:type="dxa"/>
                  <w:tcBorders>
                    <w:tl2br w:val="nil"/>
                    <w:tr2bl w:val="nil"/>
                  </w:tcBorders>
                  <w:vAlign w:val="center"/>
                </w:tcPr>
                <w:p w14:paraId="17FA04B5">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w:t>
                  </w:r>
                </w:p>
              </w:tc>
              <w:tc>
                <w:tcPr>
                  <w:tcW w:w="621" w:type="dxa"/>
                  <w:tcBorders>
                    <w:tl2br w:val="nil"/>
                    <w:tr2bl w:val="nil"/>
                  </w:tcBorders>
                  <w:vAlign w:val="center"/>
                </w:tcPr>
                <w:p w14:paraId="1EBA6E2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w:t>
                  </w:r>
                </w:p>
              </w:tc>
              <w:tc>
                <w:tcPr>
                  <w:tcW w:w="606" w:type="dxa"/>
                  <w:tcBorders>
                    <w:tl2br w:val="nil"/>
                    <w:tr2bl w:val="nil"/>
                  </w:tcBorders>
                  <w:vAlign w:val="center"/>
                </w:tcPr>
                <w:p w14:paraId="193E64C8">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30</w:t>
                  </w:r>
                </w:p>
              </w:tc>
              <w:tc>
                <w:tcPr>
                  <w:tcW w:w="711" w:type="dxa"/>
                  <w:tcBorders>
                    <w:tl2br w:val="nil"/>
                    <w:tr2bl w:val="nil"/>
                  </w:tcBorders>
                  <w:vAlign w:val="center"/>
                </w:tcPr>
                <w:p w14:paraId="1D7CA7CE">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0.001</w:t>
                  </w:r>
                </w:p>
              </w:tc>
              <w:tc>
                <w:tcPr>
                  <w:tcW w:w="621" w:type="dxa"/>
                  <w:tcBorders>
                    <w:tl2br w:val="nil"/>
                    <w:tr2bl w:val="nil"/>
                  </w:tcBorders>
                  <w:vAlign w:val="center"/>
                </w:tcPr>
                <w:p w14:paraId="3AD4539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100</w:t>
                  </w:r>
                </w:p>
              </w:tc>
              <w:tc>
                <w:tcPr>
                  <w:tcW w:w="708" w:type="dxa"/>
                  <w:tcBorders>
                    <w:tl2br w:val="nil"/>
                    <w:tr2bl w:val="nil"/>
                  </w:tcBorders>
                  <w:vAlign w:val="center"/>
                </w:tcPr>
                <w:p w14:paraId="70A59122">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0.003</w:t>
                  </w:r>
                </w:p>
              </w:tc>
              <w:tc>
                <w:tcPr>
                  <w:tcW w:w="593" w:type="dxa"/>
                  <w:vMerge w:val="continue"/>
                  <w:tcBorders>
                    <w:tl2br w:val="nil"/>
                    <w:tr2bl w:val="nil"/>
                  </w:tcBorders>
                  <w:vAlign w:val="center"/>
                </w:tcPr>
                <w:p w14:paraId="08F7114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r>
            <w:tr w14:paraId="537E8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3" w:type="dxa"/>
                  <w:tcBorders>
                    <w:tl2br w:val="nil"/>
                    <w:tr2bl w:val="nil"/>
                  </w:tcBorders>
                  <w:vAlign w:val="center"/>
                </w:tcPr>
                <w:p w14:paraId="616FCA8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污水站入水</w:t>
                  </w:r>
                </w:p>
              </w:tc>
              <w:tc>
                <w:tcPr>
                  <w:tcW w:w="835" w:type="dxa"/>
                  <w:tcBorders>
                    <w:tl2br w:val="nil"/>
                    <w:tr2bl w:val="nil"/>
                  </w:tcBorders>
                  <w:vAlign w:val="center"/>
                </w:tcPr>
                <w:p w14:paraId="09CAE3EF">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43262.7</w:t>
                  </w:r>
                </w:p>
              </w:tc>
              <w:tc>
                <w:tcPr>
                  <w:tcW w:w="711" w:type="dxa"/>
                  <w:tcBorders>
                    <w:tl2br w:val="nil"/>
                    <w:tr2bl w:val="nil"/>
                  </w:tcBorders>
                  <w:vAlign w:val="center"/>
                </w:tcPr>
                <w:p w14:paraId="702C212C">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3323.8</w:t>
                  </w:r>
                </w:p>
              </w:tc>
              <w:tc>
                <w:tcPr>
                  <w:tcW w:w="621" w:type="dxa"/>
                  <w:tcBorders>
                    <w:tl2br w:val="nil"/>
                    <w:tr2bl w:val="nil"/>
                  </w:tcBorders>
                  <w:vAlign w:val="center"/>
                </w:tcPr>
                <w:p w14:paraId="5F1A3B43">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143.8</w:t>
                  </w:r>
                </w:p>
              </w:tc>
              <w:tc>
                <w:tcPr>
                  <w:tcW w:w="606" w:type="dxa"/>
                  <w:tcBorders>
                    <w:tl2br w:val="nil"/>
                    <w:tr2bl w:val="nil"/>
                  </w:tcBorders>
                  <w:vAlign w:val="center"/>
                </w:tcPr>
                <w:p w14:paraId="0F4F2DE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13.5</w:t>
                  </w:r>
                </w:p>
              </w:tc>
              <w:tc>
                <w:tcPr>
                  <w:tcW w:w="621" w:type="dxa"/>
                  <w:tcBorders>
                    <w:tl2br w:val="nil"/>
                    <w:tr2bl w:val="nil"/>
                  </w:tcBorders>
                  <w:vAlign w:val="center"/>
                </w:tcPr>
                <w:p w14:paraId="54C4F50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0.586</w:t>
                  </w:r>
                </w:p>
              </w:tc>
              <w:tc>
                <w:tcPr>
                  <w:tcW w:w="606" w:type="dxa"/>
                  <w:tcBorders>
                    <w:tl2br w:val="nil"/>
                    <w:tr2bl w:val="nil"/>
                  </w:tcBorders>
                  <w:vAlign w:val="center"/>
                </w:tcPr>
                <w:p w14:paraId="42BCCCC2">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30.1</w:t>
                  </w:r>
                </w:p>
              </w:tc>
              <w:tc>
                <w:tcPr>
                  <w:tcW w:w="711" w:type="dxa"/>
                  <w:tcBorders>
                    <w:tl2br w:val="nil"/>
                    <w:tr2bl w:val="nil"/>
                  </w:tcBorders>
                  <w:vAlign w:val="center"/>
                </w:tcPr>
                <w:p w14:paraId="1B51FC0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1.303</w:t>
                  </w:r>
                </w:p>
              </w:tc>
              <w:tc>
                <w:tcPr>
                  <w:tcW w:w="621" w:type="dxa"/>
                  <w:tcBorders>
                    <w:tl2br w:val="nil"/>
                    <w:tr2bl w:val="nil"/>
                  </w:tcBorders>
                  <w:vAlign w:val="center"/>
                </w:tcPr>
                <w:p w14:paraId="493EA102">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99.4</w:t>
                  </w:r>
                </w:p>
              </w:tc>
              <w:tc>
                <w:tcPr>
                  <w:tcW w:w="708" w:type="dxa"/>
                  <w:tcBorders>
                    <w:tl2br w:val="nil"/>
                    <w:tr2bl w:val="nil"/>
                  </w:tcBorders>
                  <w:vAlign w:val="center"/>
                </w:tcPr>
                <w:p w14:paraId="6486C209">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4.303</w:t>
                  </w:r>
                </w:p>
              </w:tc>
              <w:tc>
                <w:tcPr>
                  <w:tcW w:w="593" w:type="dxa"/>
                  <w:tcBorders>
                    <w:tl2br w:val="nil"/>
                    <w:tr2bl w:val="nil"/>
                  </w:tcBorders>
                  <w:vAlign w:val="center"/>
                </w:tcPr>
                <w:p w14:paraId="3C7BE550">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w:t>
                  </w:r>
                </w:p>
              </w:tc>
            </w:tr>
            <w:tr w14:paraId="565A2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3" w:type="dxa"/>
                  <w:tcBorders>
                    <w:tl2br w:val="nil"/>
                    <w:tr2bl w:val="nil"/>
                  </w:tcBorders>
                  <w:vAlign w:val="center"/>
                </w:tcPr>
                <w:p w14:paraId="093BD8B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污水站出水</w:t>
                  </w:r>
                </w:p>
              </w:tc>
              <w:tc>
                <w:tcPr>
                  <w:tcW w:w="835" w:type="dxa"/>
                  <w:tcBorders>
                    <w:tl2br w:val="nil"/>
                    <w:tr2bl w:val="nil"/>
                  </w:tcBorders>
                  <w:vAlign w:val="center"/>
                </w:tcPr>
                <w:p w14:paraId="27EE40C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43262.7</w:t>
                  </w:r>
                </w:p>
              </w:tc>
              <w:tc>
                <w:tcPr>
                  <w:tcW w:w="711" w:type="dxa"/>
                  <w:tcBorders>
                    <w:tl2br w:val="nil"/>
                    <w:tr2bl w:val="nil"/>
                  </w:tcBorders>
                  <w:vAlign w:val="center"/>
                </w:tcPr>
                <w:p w14:paraId="6DBEFEE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456.9</w:t>
                  </w:r>
                </w:p>
              </w:tc>
              <w:tc>
                <w:tcPr>
                  <w:tcW w:w="621" w:type="dxa"/>
                  <w:tcBorders>
                    <w:tl2br w:val="nil"/>
                    <w:tr2bl w:val="nil"/>
                  </w:tcBorders>
                  <w:vAlign w:val="center"/>
                </w:tcPr>
                <w:p w14:paraId="717A3EE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19.77</w:t>
                  </w:r>
                </w:p>
              </w:tc>
              <w:tc>
                <w:tcPr>
                  <w:tcW w:w="606" w:type="dxa"/>
                  <w:tcBorders>
                    <w:tl2br w:val="nil"/>
                    <w:tr2bl w:val="nil"/>
                  </w:tcBorders>
                  <w:vAlign w:val="center"/>
                </w:tcPr>
                <w:p w14:paraId="54F5078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10.1</w:t>
                  </w:r>
                </w:p>
              </w:tc>
              <w:tc>
                <w:tcPr>
                  <w:tcW w:w="621" w:type="dxa"/>
                  <w:tcBorders>
                    <w:tl2br w:val="nil"/>
                    <w:tr2bl w:val="nil"/>
                  </w:tcBorders>
                  <w:vAlign w:val="center"/>
                </w:tcPr>
                <w:p w14:paraId="1C14A342">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0.437</w:t>
                  </w:r>
                </w:p>
              </w:tc>
              <w:tc>
                <w:tcPr>
                  <w:tcW w:w="606" w:type="dxa"/>
                  <w:tcBorders>
                    <w:tl2br w:val="nil"/>
                    <w:tr2bl w:val="nil"/>
                  </w:tcBorders>
                  <w:vAlign w:val="center"/>
                </w:tcPr>
                <w:p w14:paraId="59A1BEB6">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20.1</w:t>
                  </w:r>
                </w:p>
              </w:tc>
              <w:tc>
                <w:tcPr>
                  <w:tcW w:w="711" w:type="dxa"/>
                  <w:tcBorders>
                    <w:tl2br w:val="nil"/>
                    <w:tr2bl w:val="nil"/>
                  </w:tcBorders>
                  <w:vAlign w:val="center"/>
                </w:tcPr>
                <w:p w14:paraId="20236B6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0.872</w:t>
                  </w:r>
                </w:p>
              </w:tc>
              <w:tc>
                <w:tcPr>
                  <w:tcW w:w="621" w:type="dxa"/>
                  <w:tcBorders>
                    <w:tl2br w:val="nil"/>
                    <w:tr2bl w:val="nil"/>
                  </w:tcBorders>
                  <w:vAlign w:val="center"/>
                </w:tcPr>
                <w:p w14:paraId="3593F373">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99.4</w:t>
                  </w:r>
                </w:p>
              </w:tc>
              <w:tc>
                <w:tcPr>
                  <w:tcW w:w="708" w:type="dxa"/>
                  <w:tcBorders>
                    <w:tl2br w:val="nil"/>
                    <w:tr2bl w:val="nil"/>
                  </w:tcBorders>
                  <w:vAlign w:val="center"/>
                </w:tcPr>
                <w:p w14:paraId="467C3D29">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4.303</w:t>
                  </w:r>
                </w:p>
              </w:tc>
              <w:tc>
                <w:tcPr>
                  <w:tcW w:w="593" w:type="dxa"/>
                  <w:vMerge w:val="restart"/>
                  <w:tcBorders>
                    <w:tl2br w:val="nil"/>
                    <w:tr2bl w:val="nil"/>
                  </w:tcBorders>
                  <w:vAlign w:val="center"/>
                </w:tcPr>
                <w:p w14:paraId="6A66102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开发区污水厂</w:t>
                  </w:r>
                </w:p>
              </w:tc>
            </w:tr>
            <w:tr w14:paraId="6228F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3" w:type="dxa"/>
                  <w:tcBorders>
                    <w:tl2br w:val="nil"/>
                    <w:tr2bl w:val="nil"/>
                  </w:tcBorders>
                  <w:vAlign w:val="center"/>
                </w:tcPr>
                <w:p w14:paraId="37E78A66">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r>
                    <w:rPr>
                      <w:rFonts w:hint="eastAsia"/>
                      <w:color w:val="000000"/>
                      <w:sz w:val="18"/>
                      <w:szCs w:val="21"/>
                      <w:vertAlign w:val="baseline"/>
                      <w:lang w:val="en-US" w:eastAsia="zh-CN"/>
                    </w:rPr>
                    <w:t>排水标准</w:t>
                  </w:r>
                </w:p>
              </w:tc>
              <w:tc>
                <w:tcPr>
                  <w:tcW w:w="835" w:type="dxa"/>
                  <w:tcBorders>
                    <w:tl2br w:val="nil"/>
                    <w:tr2bl w:val="nil"/>
                  </w:tcBorders>
                  <w:vAlign w:val="center"/>
                </w:tcPr>
                <w:p w14:paraId="189BD18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c>
                <w:tcPr>
                  <w:tcW w:w="711" w:type="dxa"/>
                  <w:tcBorders>
                    <w:tl2br w:val="nil"/>
                    <w:tr2bl w:val="nil"/>
                  </w:tcBorders>
                  <w:vAlign w:val="center"/>
                </w:tcPr>
                <w:p w14:paraId="007F73D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500</w:t>
                  </w:r>
                </w:p>
              </w:tc>
              <w:tc>
                <w:tcPr>
                  <w:tcW w:w="621" w:type="dxa"/>
                  <w:tcBorders>
                    <w:tl2br w:val="nil"/>
                    <w:tr2bl w:val="nil"/>
                  </w:tcBorders>
                  <w:vAlign w:val="center"/>
                </w:tcPr>
                <w:p w14:paraId="7D3739E2">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c>
                <w:tcPr>
                  <w:tcW w:w="606" w:type="dxa"/>
                  <w:tcBorders>
                    <w:tl2br w:val="nil"/>
                    <w:tr2bl w:val="nil"/>
                  </w:tcBorders>
                  <w:vAlign w:val="center"/>
                </w:tcPr>
                <w:p w14:paraId="3D95824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400</w:t>
                  </w:r>
                </w:p>
              </w:tc>
              <w:tc>
                <w:tcPr>
                  <w:tcW w:w="621" w:type="dxa"/>
                  <w:tcBorders>
                    <w:tl2br w:val="nil"/>
                    <w:tr2bl w:val="nil"/>
                  </w:tcBorders>
                  <w:vAlign w:val="center"/>
                </w:tcPr>
                <w:p w14:paraId="61ABA110">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c>
                <w:tcPr>
                  <w:tcW w:w="606" w:type="dxa"/>
                  <w:tcBorders>
                    <w:tl2br w:val="nil"/>
                    <w:tr2bl w:val="nil"/>
                  </w:tcBorders>
                  <w:vAlign w:val="center"/>
                </w:tcPr>
                <w:p w14:paraId="38EC5686">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w:t>
                  </w:r>
                </w:p>
              </w:tc>
              <w:tc>
                <w:tcPr>
                  <w:tcW w:w="711" w:type="dxa"/>
                  <w:tcBorders>
                    <w:tl2br w:val="nil"/>
                    <w:tr2bl w:val="nil"/>
                  </w:tcBorders>
                  <w:vAlign w:val="center"/>
                </w:tcPr>
                <w:p w14:paraId="66BBB4F3">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c>
                <w:tcPr>
                  <w:tcW w:w="621" w:type="dxa"/>
                  <w:tcBorders>
                    <w:tl2br w:val="nil"/>
                    <w:tr2bl w:val="nil"/>
                  </w:tcBorders>
                  <w:vAlign w:val="center"/>
                </w:tcPr>
                <w:p w14:paraId="1EA8D623">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sz w:val="18"/>
                      <w:szCs w:val="21"/>
                      <w:vertAlign w:val="baseline"/>
                      <w:lang w:val="en-US" w:eastAsia="zh-CN"/>
                    </w:rPr>
                  </w:pPr>
                  <w:r>
                    <w:rPr>
                      <w:rFonts w:hint="eastAsia"/>
                      <w:color w:val="000000"/>
                      <w:sz w:val="18"/>
                      <w:szCs w:val="21"/>
                      <w:vertAlign w:val="baseline"/>
                      <w:lang w:val="en-US" w:eastAsia="zh-CN"/>
                    </w:rPr>
                    <w:t>300</w:t>
                  </w:r>
                </w:p>
              </w:tc>
              <w:tc>
                <w:tcPr>
                  <w:tcW w:w="708" w:type="dxa"/>
                  <w:tcBorders>
                    <w:tl2br w:val="nil"/>
                    <w:tr2bl w:val="nil"/>
                  </w:tcBorders>
                  <w:vAlign w:val="center"/>
                </w:tcPr>
                <w:p w14:paraId="60C56DD2">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c>
                <w:tcPr>
                  <w:tcW w:w="593" w:type="dxa"/>
                  <w:vMerge w:val="continue"/>
                  <w:tcBorders>
                    <w:tl2br w:val="nil"/>
                    <w:tr2bl w:val="nil"/>
                  </w:tcBorders>
                  <w:vAlign w:val="center"/>
                </w:tcPr>
                <w:p w14:paraId="1AE2A9C7">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sz w:val="18"/>
                      <w:szCs w:val="21"/>
                      <w:vertAlign w:val="baseline"/>
                      <w:lang w:val="en-US" w:eastAsia="zh-CN"/>
                    </w:rPr>
                  </w:pPr>
                </w:p>
              </w:tc>
            </w:tr>
          </w:tbl>
          <w:p w14:paraId="7E6D834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color w:val="000000"/>
                <w:lang w:val="en-US" w:eastAsia="zh-CN"/>
              </w:rPr>
              <w:t>新疆维格瑞生物科技有限公司采用“厌氧池+水解酸化+接触氧化+二沉池”的工艺对生产废水进行处理，根据环评批复，处理后的水质执行《合成树脂工业污染物排放标准》（GB31572-2015）表1间接排放标准要求，同时满足《污水综合排放标准》（GB8978-1996）表4三级标准要求。</w:t>
            </w:r>
          </w:p>
          <w:p w14:paraId="17E7AE2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color w:val="000000"/>
                <w:lang w:val="en-US" w:eastAsia="zh-CN"/>
              </w:rPr>
              <w:t>根据分析，新疆维格瑞生产废水收集处理后，在未与脱盐水制备水、软水制备废水、蒸汽发生器废水、循环冷却塔等清净废水和办公生活污水混合的情况下，已可以满足达标排放要求。根据2021年四季度的总排口例行监测报告，</w:t>
            </w:r>
            <w:r>
              <w:rPr>
                <w:rFonts w:hint="eastAsia" w:ascii="Times New Roman" w:hAnsi="Times New Roman" w:eastAsia="宋体" w:cs="Times New Roman"/>
                <w:color w:val="000000"/>
                <w:lang w:val="en-US" w:eastAsia="zh-CN"/>
              </w:rPr>
              <w:t>污水排放中，CODcr浓度为13mg/L，BOD</w:t>
            </w:r>
            <w:r>
              <w:rPr>
                <w:rFonts w:hint="eastAsia" w:ascii="Times New Roman" w:hAnsi="Times New Roman" w:eastAsia="宋体" w:cs="Times New Roman"/>
                <w:color w:val="000000"/>
                <w:vertAlign w:val="subscript"/>
                <w:lang w:val="en-US" w:eastAsia="zh-CN"/>
              </w:rPr>
              <w:t>5</w:t>
            </w:r>
            <w:r>
              <w:rPr>
                <w:rFonts w:hint="eastAsia" w:ascii="Times New Roman" w:hAnsi="Times New Roman" w:eastAsia="宋体" w:cs="Times New Roman"/>
                <w:color w:val="000000"/>
                <w:lang w:val="en-US" w:eastAsia="zh-CN"/>
              </w:rPr>
              <w:t>为5.1mg/L，NH</w:t>
            </w:r>
            <w:r>
              <w:rPr>
                <w:rFonts w:hint="eastAsia" w:ascii="Times New Roman" w:hAnsi="Times New Roman" w:eastAsia="宋体" w:cs="Times New Roman"/>
                <w:color w:val="000000"/>
                <w:vertAlign w:val="subscript"/>
                <w:lang w:val="en-US" w:eastAsia="zh-CN"/>
              </w:rPr>
              <w:t>3</w:t>
            </w:r>
            <w:r>
              <w:rPr>
                <w:rFonts w:hint="eastAsia" w:ascii="Times New Roman" w:hAnsi="Times New Roman" w:eastAsia="宋体" w:cs="Times New Roman"/>
                <w:color w:val="000000"/>
                <w:lang w:val="en-US" w:eastAsia="zh-CN"/>
              </w:rPr>
              <w:t>-N浓度为0.216mg/L，满足达标排放要求。</w:t>
            </w:r>
          </w:p>
          <w:p w14:paraId="028939E3">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color w:val="000000"/>
                <w:lang w:val="en-US" w:eastAsia="zh-CN"/>
              </w:rPr>
              <w:t>本项目排水水质不会对污水处理站造成过大负荷，不会影响污水站出水水质，也不会影响下游污水处理厂。依托新疆维格瑞生物科技有限公司污水处理站处理本项目废水是可行的。</w:t>
            </w:r>
          </w:p>
          <w:p w14:paraId="32E0D9D2">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color w:val="000000"/>
                <w:lang w:val="en-US" w:eastAsia="zh-CN"/>
              </w:rPr>
              <w:t>（3）废水排放监测计划</w:t>
            </w:r>
          </w:p>
          <w:p w14:paraId="039206E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color w:val="000000"/>
                <w:lang w:val="en-US" w:eastAsia="zh-CN"/>
              </w:rPr>
            </w:pPr>
            <w:r>
              <w:rPr>
                <w:rFonts w:hint="eastAsia"/>
                <w:color w:val="000000"/>
                <w:lang w:val="en-US" w:eastAsia="zh-CN"/>
              </w:rPr>
              <w:t>本项目不单独设置废水监测计划，其废水监测纳入新疆维格瑞生物科技有限公司污水处理站监测计划。</w:t>
            </w:r>
          </w:p>
          <w:p w14:paraId="504C9315">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b/>
                <w:bCs/>
                <w:lang w:eastAsia="zh-CN"/>
              </w:rPr>
            </w:pPr>
            <w:r>
              <w:rPr>
                <w:rFonts w:hint="eastAsia"/>
                <w:b/>
                <w:bCs/>
                <w:lang w:eastAsia="zh-CN"/>
              </w:rPr>
              <w:t>三、噪声</w:t>
            </w:r>
          </w:p>
          <w:p w14:paraId="3B456F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（1）环境噪声影响分析</w:t>
            </w:r>
          </w:p>
          <w:p w14:paraId="0ADC9D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000000"/>
                <w:kern w:val="2"/>
                <w:sz w:val="21"/>
                <w:szCs w:val="24"/>
                <w:lang w:val="en-US" w:eastAsia="zh-CN" w:bidi="ar-SA"/>
              </w:rPr>
            </w:pPr>
            <w:r>
              <w:rPr>
                <w:rFonts w:hint="eastAsia"/>
                <w:color w:val="000000"/>
                <w:kern w:val="2"/>
                <w:sz w:val="21"/>
                <w:szCs w:val="24"/>
                <w:lang w:val="en-US" w:eastAsia="zh-CN" w:bidi="ar-SA"/>
              </w:rPr>
              <w:t>本项目主要噪声污染源来自泵机、粉碎机、搅拌机等设备噪声，属于间歇噪声，根据同类设备类比，设备噪声声压级在65～85dB（A）之间。设备噪声源统计见表14。</w:t>
            </w:r>
          </w:p>
          <w:p w14:paraId="676659BD">
            <w:pPr>
              <w:pStyle w:val="5"/>
              <w:rPr>
                <w:rFonts w:hint="eastAsia"/>
              </w:rPr>
            </w:pPr>
            <w:r>
              <w:rPr>
                <w:rFonts w:hint="eastAsia"/>
              </w:rPr>
              <w:t>表</w:t>
            </w:r>
            <w:r>
              <w:rPr>
                <w:rFonts w:hint="eastAsia" w:ascii="Times New Roman" w:hAnsi="Times New Roman" w:cs="Times New Roman"/>
                <w:lang w:val="en-US" w:eastAsia="zh-CN"/>
              </w:rPr>
              <w:t>14</w:t>
            </w:r>
            <w:r>
              <w:rPr>
                <w:rFonts w:hint="eastAsia"/>
              </w:rPr>
              <w:t xml:space="preserve">  噪声源距预测点距离统计表  单位：</w:t>
            </w:r>
            <w:r>
              <w:rPr>
                <w:rFonts w:hint="eastAsia" w:ascii="Times New Roman" w:hAnsi="Times New Roman" w:cs="Times New Roman"/>
              </w:rPr>
              <w:t>m</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930"/>
              <w:gridCol w:w="956"/>
              <w:gridCol w:w="1152"/>
              <w:gridCol w:w="821"/>
              <w:gridCol w:w="821"/>
              <w:gridCol w:w="821"/>
              <w:gridCol w:w="823"/>
            </w:tblGrid>
            <w:tr w14:paraId="0BC62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87" w:type="dxa"/>
                  <w:tcBorders>
                    <w:tl2br w:val="nil"/>
                    <w:tr2bl w:val="nil"/>
                  </w:tcBorders>
                  <w:noWrap w:val="0"/>
                  <w:vAlign w:val="center"/>
                </w:tcPr>
                <w:p w14:paraId="174247C1">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eastAsia="zh-CN"/>
                    </w:rPr>
                  </w:pPr>
                  <w:r>
                    <w:rPr>
                      <w:rFonts w:hint="eastAsia" w:ascii="宋体" w:hAnsi="宋体"/>
                      <w:color w:val="auto"/>
                      <w:sz w:val="21"/>
                      <w:szCs w:val="21"/>
                      <w:lang w:eastAsia="zh-CN"/>
                    </w:rPr>
                    <w:t>序号</w:t>
                  </w:r>
                </w:p>
              </w:tc>
              <w:tc>
                <w:tcPr>
                  <w:tcW w:w="1930" w:type="dxa"/>
                  <w:tcBorders>
                    <w:tl2br w:val="nil"/>
                    <w:tr2bl w:val="nil"/>
                  </w:tcBorders>
                  <w:noWrap w:val="0"/>
                  <w:vAlign w:val="center"/>
                </w:tcPr>
                <w:p w14:paraId="10D10691">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color w:val="auto"/>
                      <w:sz w:val="21"/>
                      <w:szCs w:val="21"/>
                    </w:rPr>
                  </w:pPr>
                  <w:r>
                    <w:rPr>
                      <w:rFonts w:hint="eastAsia" w:ascii="宋体" w:hAnsi="宋体"/>
                      <w:color w:val="auto"/>
                      <w:sz w:val="21"/>
                      <w:szCs w:val="21"/>
                    </w:rPr>
                    <w:t>噪声设备</w:t>
                  </w:r>
                </w:p>
              </w:tc>
              <w:tc>
                <w:tcPr>
                  <w:tcW w:w="956" w:type="dxa"/>
                  <w:tcBorders>
                    <w:tl2br w:val="nil"/>
                    <w:tr2bl w:val="nil"/>
                  </w:tcBorders>
                  <w:noWrap w:val="0"/>
                  <w:vAlign w:val="center"/>
                </w:tcPr>
                <w:p w14:paraId="52F6510A">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color w:val="auto"/>
                      <w:sz w:val="21"/>
                      <w:szCs w:val="21"/>
                      <w:lang w:eastAsia="zh-CN"/>
                    </w:rPr>
                  </w:pPr>
                  <w:r>
                    <w:rPr>
                      <w:rFonts w:hint="eastAsia" w:ascii="宋体" w:hAnsi="宋体"/>
                      <w:color w:val="auto"/>
                      <w:sz w:val="21"/>
                      <w:szCs w:val="21"/>
                      <w:lang w:eastAsia="zh-CN"/>
                    </w:rPr>
                    <w:t>数量</w:t>
                  </w:r>
                </w:p>
                <w:p w14:paraId="220500BA">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eastAsia="zh-CN"/>
                    </w:rPr>
                  </w:pPr>
                  <w:r>
                    <w:rPr>
                      <w:rFonts w:hint="eastAsia" w:ascii="宋体" w:hAnsi="宋体"/>
                      <w:color w:val="auto"/>
                      <w:sz w:val="21"/>
                      <w:szCs w:val="21"/>
                      <w:lang w:eastAsia="zh-CN"/>
                    </w:rPr>
                    <w:t>（台）</w:t>
                  </w:r>
                </w:p>
              </w:tc>
              <w:tc>
                <w:tcPr>
                  <w:tcW w:w="1152" w:type="dxa"/>
                  <w:tcBorders>
                    <w:tl2br w:val="nil"/>
                    <w:tr2bl w:val="nil"/>
                  </w:tcBorders>
                  <w:noWrap w:val="0"/>
                  <w:vAlign w:val="center"/>
                </w:tcPr>
                <w:p w14:paraId="08D3D3F9">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color w:val="auto"/>
                      <w:sz w:val="21"/>
                      <w:szCs w:val="21"/>
                      <w:lang w:val="en-US" w:eastAsia="zh-CN"/>
                    </w:rPr>
                  </w:pPr>
                  <w:r>
                    <w:rPr>
                      <w:rFonts w:hint="eastAsia" w:ascii="宋体" w:hAnsi="宋体"/>
                      <w:color w:val="auto"/>
                      <w:sz w:val="21"/>
                      <w:szCs w:val="21"/>
                      <w:lang w:val="en-US" w:eastAsia="zh-CN"/>
                    </w:rPr>
                    <w:t>单台噪声级</w:t>
                  </w:r>
                </w:p>
              </w:tc>
              <w:tc>
                <w:tcPr>
                  <w:tcW w:w="821" w:type="dxa"/>
                  <w:tcBorders>
                    <w:tl2br w:val="nil"/>
                    <w:tr2bl w:val="nil"/>
                  </w:tcBorders>
                  <w:noWrap w:val="0"/>
                  <w:vAlign w:val="center"/>
                </w:tcPr>
                <w:p w14:paraId="6348A130">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eastAsia="zh-CN"/>
                    </w:rPr>
                  </w:pPr>
                  <w:r>
                    <w:rPr>
                      <w:rFonts w:hint="eastAsia" w:ascii="宋体" w:hAnsi="宋体"/>
                      <w:color w:val="auto"/>
                      <w:sz w:val="21"/>
                      <w:szCs w:val="21"/>
                    </w:rPr>
                    <w:t>厂界</w:t>
                  </w:r>
                  <w:r>
                    <w:rPr>
                      <w:rFonts w:hint="eastAsia" w:hAnsi="宋体"/>
                      <w:color w:val="auto"/>
                      <w:sz w:val="21"/>
                      <w:szCs w:val="21"/>
                      <w:lang w:val="en-US" w:eastAsia="zh-CN"/>
                    </w:rPr>
                    <w:t>北</w:t>
                  </w:r>
                </w:p>
              </w:tc>
              <w:tc>
                <w:tcPr>
                  <w:tcW w:w="821" w:type="dxa"/>
                  <w:tcBorders>
                    <w:tl2br w:val="nil"/>
                    <w:tr2bl w:val="nil"/>
                  </w:tcBorders>
                  <w:noWrap w:val="0"/>
                  <w:vAlign w:val="center"/>
                </w:tcPr>
                <w:p w14:paraId="0723762D">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eastAsia="zh-CN"/>
                    </w:rPr>
                  </w:pPr>
                  <w:r>
                    <w:rPr>
                      <w:rFonts w:hint="eastAsia" w:ascii="宋体" w:hAnsi="宋体"/>
                      <w:color w:val="auto"/>
                      <w:sz w:val="21"/>
                      <w:szCs w:val="21"/>
                    </w:rPr>
                    <w:t>厂界</w:t>
                  </w:r>
                  <w:r>
                    <w:rPr>
                      <w:rFonts w:hint="eastAsia" w:hAnsi="宋体"/>
                      <w:color w:val="auto"/>
                      <w:sz w:val="21"/>
                      <w:szCs w:val="21"/>
                      <w:lang w:val="en-US" w:eastAsia="zh-CN"/>
                    </w:rPr>
                    <w:t>东</w:t>
                  </w:r>
                </w:p>
              </w:tc>
              <w:tc>
                <w:tcPr>
                  <w:tcW w:w="821" w:type="dxa"/>
                  <w:tcBorders>
                    <w:tl2br w:val="nil"/>
                    <w:tr2bl w:val="nil"/>
                  </w:tcBorders>
                  <w:noWrap w:val="0"/>
                  <w:vAlign w:val="center"/>
                </w:tcPr>
                <w:p w14:paraId="75C6BBC0">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eastAsia="zh-CN"/>
                    </w:rPr>
                  </w:pPr>
                  <w:r>
                    <w:rPr>
                      <w:rFonts w:hint="eastAsia" w:ascii="宋体" w:hAnsi="宋体"/>
                      <w:color w:val="auto"/>
                      <w:sz w:val="21"/>
                      <w:szCs w:val="21"/>
                    </w:rPr>
                    <w:t>厂界</w:t>
                  </w:r>
                  <w:r>
                    <w:rPr>
                      <w:rFonts w:hint="eastAsia" w:hAnsi="宋体"/>
                      <w:color w:val="auto"/>
                      <w:sz w:val="21"/>
                      <w:szCs w:val="21"/>
                      <w:lang w:val="en-US" w:eastAsia="zh-CN"/>
                    </w:rPr>
                    <w:t>南</w:t>
                  </w:r>
                </w:p>
              </w:tc>
              <w:tc>
                <w:tcPr>
                  <w:tcW w:w="823" w:type="dxa"/>
                  <w:tcBorders>
                    <w:tl2br w:val="nil"/>
                    <w:tr2bl w:val="nil"/>
                  </w:tcBorders>
                  <w:noWrap w:val="0"/>
                  <w:vAlign w:val="center"/>
                </w:tcPr>
                <w:p w14:paraId="1B6B655E">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eastAsia="zh-CN"/>
                    </w:rPr>
                  </w:pPr>
                  <w:r>
                    <w:rPr>
                      <w:rFonts w:hint="eastAsia" w:ascii="宋体" w:hAnsi="宋体"/>
                      <w:color w:val="auto"/>
                      <w:sz w:val="21"/>
                      <w:szCs w:val="21"/>
                    </w:rPr>
                    <w:t>厂界</w:t>
                  </w:r>
                  <w:r>
                    <w:rPr>
                      <w:rFonts w:hint="eastAsia" w:hAnsi="宋体"/>
                      <w:color w:val="auto"/>
                      <w:sz w:val="21"/>
                      <w:szCs w:val="21"/>
                      <w:lang w:val="en-US" w:eastAsia="zh-CN"/>
                    </w:rPr>
                    <w:t>西</w:t>
                  </w:r>
                </w:p>
              </w:tc>
            </w:tr>
            <w:tr w14:paraId="67605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87" w:type="dxa"/>
                  <w:tcBorders>
                    <w:tl2br w:val="nil"/>
                    <w:tr2bl w:val="nil"/>
                  </w:tcBorders>
                  <w:noWrap w:val="0"/>
                  <w:vAlign w:val="center"/>
                </w:tcPr>
                <w:p w14:paraId="00F9C683">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930" w:type="dxa"/>
                  <w:tcBorders>
                    <w:tl2br w:val="nil"/>
                    <w:tr2bl w:val="nil"/>
                  </w:tcBorders>
                  <w:noWrap w:val="0"/>
                  <w:vAlign w:val="center"/>
                </w:tcPr>
                <w:p w14:paraId="765C98AB">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摆锤冲击试验机</w:t>
                  </w:r>
                </w:p>
              </w:tc>
              <w:tc>
                <w:tcPr>
                  <w:tcW w:w="956" w:type="dxa"/>
                  <w:tcBorders>
                    <w:tl2br w:val="nil"/>
                    <w:tr2bl w:val="nil"/>
                  </w:tcBorders>
                  <w:noWrap w:val="0"/>
                  <w:vAlign w:val="center"/>
                </w:tcPr>
                <w:p w14:paraId="321F49FB">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3</w:t>
                  </w:r>
                </w:p>
              </w:tc>
              <w:tc>
                <w:tcPr>
                  <w:tcW w:w="1152" w:type="dxa"/>
                  <w:tcBorders>
                    <w:tl2br w:val="nil"/>
                    <w:tr2bl w:val="nil"/>
                  </w:tcBorders>
                  <w:noWrap w:val="0"/>
                  <w:vAlign w:val="center"/>
                </w:tcPr>
                <w:p w14:paraId="719477D3">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65</w:t>
                  </w:r>
                </w:p>
              </w:tc>
              <w:tc>
                <w:tcPr>
                  <w:tcW w:w="821" w:type="dxa"/>
                  <w:tcBorders>
                    <w:tl2br w:val="nil"/>
                    <w:tr2bl w:val="nil"/>
                  </w:tcBorders>
                  <w:noWrap w:val="0"/>
                  <w:vAlign w:val="center"/>
                </w:tcPr>
                <w:p w14:paraId="71F830B2">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135</w:t>
                  </w:r>
                </w:p>
              </w:tc>
              <w:tc>
                <w:tcPr>
                  <w:tcW w:w="821" w:type="dxa"/>
                  <w:tcBorders>
                    <w:tl2br w:val="nil"/>
                    <w:tr2bl w:val="nil"/>
                  </w:tcBorders>
                  <w:noWrap w:val="0"/>
                  <w:vAlign w:val="center"/>
                </w:tcPr>
                <w:p w14:paraId="1435A566">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459</w:t>
                  </w:r>
                </w:p>
              </w:tc>
              <w:tc>
                <w:tcPr>
                  <w:tcW w:w="821" w:type="dxa"/>
                  <w:tcBorders>
                    <w:tl2br w:val="nil"/>
                    <w:tr2bl w:val="nil"/>
                  </w:tcBorders>
                  <w:noWrap w:val="0"/>
                  <w:vAlign w:val="center"/>
                </w:tcPr>
                <w:p w14:paraId="4CA3684C">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219</w:t>
                  </w:r>
                </w:p>
              </w:tc>
              <w:tc>
                <w:tcPr>
                  <w:tcW w:w="823" w:type="dxa"/>
                  <w:tcBorders>
                    <w:tl2br w:val="nil"/>
                    <w:tr2bl w:val="nil"/>
                  </w:tcBorders>
                  <w:noWrap w:val="0"/>
                  <w:vAlign w:val="center"/>
                </w:tcPr>
                <w:p w14:paraId="632A3A8F">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kern w:val="2"/>
                      <w:sz w:val="21"/>
                      <w:szCs w:val="21"/>
                      <w:lang w:val="en-US" w:eastAsia="zh-CN" w:bidi="ar-SA"/>
                    </w:rPr>
                  </w:pPr>
                  <w:r>
                    <w:rPr>
                      <w:rFonts w:hint="eastAsia" w:ascii="宋体" w:hAnsi="宋体" w:eastAsia="宋体"/>
                      <w:color w:val="auto"/>
                      <w:sz w:val="21"/>
                      <w:szCs w:val="21"/>
                      <w:lang w:val="en-US" w:eastAsia="zh-CN"/>
                    </w:rPr>
                    <w:t>102</w:t>
                  </w:r>
                </w:p>
              </w:tc>
            </w:tr>
            <w:tr w14:paraId="4C1F8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87" w:type="dxa"/>
                  <w:tcBorders>
                    <w:tl2br w:val="nil"/>
                    <w:tr2bl w:val="nil"/>
                  </w:tcBorders>
                  <w:noWrap w:val="0"/>
                  <w:vAlign w:val="center"/>
                </w:tcPr>
                <w:p w14:paraId="68027B23">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1930" w:type="dxa"/>
                  <w:tcBorders>
                    <w:tl2br w:val="nil"/>
                    <w:tr2bl w:val="nil"/>
                  </w:tcBorders>
                  <w:noWrap w:val="0"/>
                  <w:vAlign w:val="center"/>
                </w:tcPr>
                <w:p w14:paraId="73C31F95">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真空泵</w:t>
                  </w:r>
                </w:p>
              </w:tc>
              <w:tc>
                <w:tcPr>
                  <w:tcW w:w="956" w:type="dxa"/>
                  <w:tcBorders>
                    <w:tl2br w:val="nil"/>
                    <w:tr2bl w:val="nil"/>
                  </w:tcBorders>
                  <w:noWrap w:val="0"/>
                  <w:vAlign w:val="center"/>
                </w:tcPr>
                <w:p w14:paraId="3E7DBE28">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9</w:t>
                  </w:r>
                </w:p>
              </w:tc>
              <w:tc>
                <w:tcPr>
                  <w:tcW w:w="1152" w:type="dxa"/>
                  <w:tcBorders>
                    <w:tl2br w:val="nil"/>
                    <w:tr2bl w:val="nil"/>
                  </w:tcBorders>
                  <w:noWrap w:val="0"/>
                  <w:vAlign w:val="center"/>
                </w:tcPr>
                <w:p w14:paraId="7AB0AE0E">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85</w:t>
                  </w:r>
                </w:p>
              </w:tc>
              <w:tc>
                <w:tcPr>
                  <w:tcW w:w="821" w:type="dxa"/>
                  <w:tcBorders>
                    <w:tl2br w:val="nil"/>
                    <w:tr2bl w:val="nil"/>
                  </w:tcBorders>
                  <w:noWrap w:val="0"/>
                  <w:vAlign w:val="center"/>
                </w:tcPr>
                <w:p w14:paraId="4E46A4AC">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132</w:t>
                  </w:r>
                </w:p>
              </w:tc>
              <w:tc>
                <w:tcPr>
                  <w:tcW w:w="821" w:type="dxa"/>
                  <w:tcBorders>
                    <w:tl2br w:val="nil"/>
                    <w:tr2bl w:val="nil"/>
                  </w:tcBorders>
                  <w:noWrap w:val="0"/>
                  <w:vAlign w:val="center"/>
                </w:tcPr>
                <w:p w14:paraId="04376F1E">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453</w:t>
                  </w:r>
                </w:p>
              </w:tc>
              <w:tc>
                <w:tcPr>
                  <w:tcW w:w="821" w:type="dxa"/>
                  <w:tcBorders>
                    <w:tl2br w:val="nil"/>
                    <w:tr2bl w:val="nil"/>
                  </w:tcBorders>
                  <w:noWrap w:val="0"/>
                  <w:vAlign w:val="center"/>
                </w:tcPr>
                <w:p w14:paraId="79310EC1">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211</w:t>
                  </w:r>
                </w:p>
              </w:tc>
              <w:tc>
                <w:tcPr>
                  <w:tcW w:w="823" w:type="dxa"/>
                  <w:tcBorders>
                    <w:tl2br w:val="nil"/>
                    <w:tr2bl w:val="nil"/>
                  </w:tcBorders>
                  <w:noWrap w:val="0"/>
                  <w:vAlign w:val="center"/>
                </w:tcPr>
                <w:p w14:paraId="5630F52D">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kern w:val="2"/>
                      <w:sz w:val="21"/>
                      <w:szCs w:val="21"/>
                      <w:lang w:val="en-US" w:eastAsia="zh-CN" w:bidi="ar-SA"/>
                    </w:rPr>
                  </w:pPr>
                  <w:r>
                    <w:rPr>
                      <w:rFonts w:hint="eastAsia" w:ascii="宋体" w:hAnsi="宋体" w:eastAsia="宋体"/>
                      <w:color w:val="auto"/>
                      <w:sz w:val="21"/>
                      <w:szCs w:val="21"/>
                      <w:lang w:val="en-US" w:eastAsia="zh-CN"/>
                    </w:rPr>
                    <w:t>94</w:t>
                  </w:r>
                </w:p>
              </w:tc>
            </w:tr>
            <w:tr w14:paraId="0147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87" w:type="dxa"/>
                  <w:tcBorders>
                    <w:tl2br w:val="nil"/>
                    <w:tr2bl w:val="nil"/>
                  </w:tcBorders>
                  <w:noWrap w:val="0"/>
                  <w:vAlign w:val="center"/>
                </w:tcPr>
                <w:p w14:paraId="5EF1B396">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930" w:type="dxa"/>
                  <w:tcBorders>
                    <w:tl2br w:val="nil"/>
                    <w:tr2bl w:val="nil"/>
                  </w:tcBorders>
                  <w:noWrap w:val="0"/>
                  <w:vAlign w:val="center"/>
                </w:tcPr>
                <w:p w14:paraId="0FF90622">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粉碎机</w:t>
                  </w:r>
                </w:p>
              </w:tc>
              <w:tc>
                <w:tcPr>
                  <w:tcW w:w="956" w:type="dxa"/>
                  <w:tcBorders>
                    <w:tl2br w:val="nil"/>
                    <w:tr2bl w:val="nil"/>
                  </w:tcBorders>
                  <w:noWrap w:val="0"/>
                  <w:vAlign w:val="center"/>
                </w:tcPr>
                <w:p w14:paraId="787D837B">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2</w:t>
                  </w:r>
                </w:p>
              </w:tc>
              <w:tc>
                <w:tcPr>
                  <w:tcW w:w="1152" w:type="dxa"/>
                  <w:tcBorders>
                    <w:tl2br w:val="nil"/>
                    <w:tr2bl w:val="nil"/>
                  </w:tcBorders>
                  <w:noWrap w:val="0"/>
                  <w:vAlign w:val="center"/>
                </w:tcPr>
                <w:p w14:paraId="3453BEAF">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80</w:t>
                  </w:r>
                </w:p>
              </w:tc>
              <w:tc>
                <w:tcPr>
                  <w:tcW w:w="821" w:type="dxa"/>
                  <w:tcBorders>
                    <w:tl2br w:val="nil"/>
                    <w:tr2bl w:val="nil"/>
                  </w:tcBorders>
                  <w:noWrap w:val="0"/>
                  <w:vAlign w:val="center"/>
                </w:tcPr>
                <w:p w14:paraId="7CF2F777">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135</w:t>
                  </w:r>
                </w:p>
              </w:tc>
              <w:tc>
                <w:tcPr>
                  <w:tcW w:w="821" w:type="dxa"/>
                  <w:tcBorders>
                    <w:tl2br w:val="nil"/>
                    <w:tr2bl w:val="nil"/>
                  </w:tcBorders>
                  <w:noWrap w:val="0"/>
                  <w:vAlign w:val="center"/>
                </w:tcPr>
                <w:p w14:paraId="5CF5D641">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455</w:t>
                  </w:r>
                </w:p>
              </w:tc>
              <w:tc>
                <w:tcPr>
                  <w:tcW w:w="821" w:type="dxa"/>
                  <w:tcBorders>
                    <w:tl2br w:val="nil"/>
                    <w:tr2bl w:val="nil"/>
                  </w:tcBorders>
                  <w:noWrap w:val="0"/>
                  <w:vAlign w:val="center"/>
                </w:tcPr>
                <w:p w14:paraId="0E895779">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215</w:t>
                  </w:r>
                </w:p>
              </w:tc>
              <w:tc>
                <w:tcPr>
                  <w:tcW w:w="823" w:type="dxa"/>
                  <w:tcBorders>
                    <w:tl2br w:val="nil"/>
                    <w:tr2bl w:val="nil"/>
                  </w:tcBorders>
                  <w:noWrap w:val="0"/>
                  <w:vAlign w:val="center"/>
                </w:tcPr>
                <w:p w14:paraId="3D84BD81">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kern w:val="2"/>
                      <w:sz w:val="21"/>
                      <w:szCs w:val="21"/>
                      <w:lang w:val="en-US" w:eastAsia="zh-CN" w:bidi="ar-SA"/>
                    </w:rPr>
                  </w:pPr>
                  <w:r>
                    <w:rPr>
                      <w:rFonts w:hint="eastAsia" w:ascii="宋体" w:hAnsi="宋体" w:eastAsia="宋体"/>
                      <w:color w:val="auto"/>
                      <w:sz w:val="21"/>
                      <w:szCs w:val="21"/>
                      <w:lang w:val="en-US" w:eastAsia="zh-CN"/>
                    </w:rPr>
                    <w:t>102</w:t>
                  </w:r>
                </w:p>
              </w:tc>
            </w:tr>
            <w:tr w14:paraId="05408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87" w:type="dxa"/>
                  <w:tcBorders>
                    <w:tl2br w:val="nil"/>
                    <w:tr2bl w:val="nil"/>
                  </w:tcBorders>
                  <w:noWrap w:val="0"/>
                  <w:vAlign w:val="center"/>
                </w:tcPr>
                <w:p w14:paraId="195411D1">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imes New Roman" w:hAnsi="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930" w:type="dxa"/>
                  <w:tcBorders>
                    <w:tl2br w:val="nil"/>
                    <w:tr2bl w:val="nil"/>
                  </w:tcBorders>
                  <w:noWrap w:val="0"/>
                  <w:vAlign w:val="center"/>
                </w:tcPr>
                <w:p w14:paraId="60D9F2B9">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Times New Roman"/>
                      <w:bCs/>
                      <w:color w:val="auto"/>
                      <w:sz w:val="21"/>
                      <w:szCs w:val="21"/>
                      <w:lang w:val="en-US" w:eastAsia="zh-CN"/>
                    </w:rPr>
                  </w:pPr>
                  <w:r>
                    <w:rPr>
                      <w:rFonts w:hint="eastAsia" w:ascii="Times New Roman"/>
                      <w:bCs/>
                      <w:color w:val="auto"/>
                      <w:sz w:val="21"/>
                      <w:szCs w:val="21"/>
                      <w:lang w:val="en-US" w:eastAsia="zh-CN"/>
                    </w:rPr>
                    <w:t>搅拌机</w:t>
                  </w:r>
                </w:p>
              </w:tc>
              <w:tc>
                <w:tcPr>
                  <w:tcW w:w="956" w:type="dxa"/>
                  <w:tcBorders>
                    <w:tl2br w:val="nil"/>
                    <w:tr2bl w:val="nil"/>
                  </w:tcBorders>
                  <w:noWrap w:val="0"/>
                  <w:vAlign w:val="center"/>
                </w:tcPr>
                <w:p w14:paraId="4F1FEA7A">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Times New Roman"/>
                      <w:bCs/>
                      <w:color w:val="auto"/>
                      <w:sz w:val="21"/>
                      <w:szCs w:val="21"/>
                      <w:lang w:val="en-US" w:eastAsia="zh-CN"/>
                    </w:rPr>
                  </w:pPr>
                  <w:r>
                    <w:rPr>
                      <w:rFonts w:hint="eastAsia" w:ascii="Times New Roman"/>
                      <w:bCs/>
                      <w:color w:val="auto"/>
                      <w:sz w:val="21"/>
                      <w:szCs w:val="21"/>
                      <w:lang w:val="en-US" w:eastAsia="zh-CN"/>
                    </w:rPr>
                    <w:t>2</w:t>
                  </w:r>
                </w:p>
              </w:tc>
              <w:tc>
                <w:tcPr>
                  <w:tcW w:w="1152" w:type="dxa"/>
                  <w:tcBorders>
                    <w:tl2br w:val="nil"/>
                    <w:tr2bl w:val="nil"/>
                  </w:tcBorders>
                  <w:noWrap w:val="0"/>
                  <w:vAlign w:val="center"/>
                </w:tcPr>
                <w:p w14:paraId="038FBE08">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Times New Roman"/>
                      <w:bCs/>
                      <w:color w:val="auto"/>
                      <w:sz w:val="21"/>
                      <w:szCs w:val="21"/>
                      <w:lang w:val="en-US" w:eastAsia="zh-CN"/>
                    </w:rPr>
                  </w:pPr>
                  <w:r>
                    <w:rPr>
                      <w:rFonts w:hint="eastAsia" w:ascii="Times New Roman"/>
                      <w:bCs/>
                      <w:color w:val="auto"/>
                      <w:sz w:val="21"/>
                      <w:szCs w:val="21"/>
                      <w:lang w:val="en-US" w:eastAsia="zh-CN"/>
                    </w:rPr>
                    <w:t>75</w:t>
                  </w:r>
                </w:p>
              </w:tc>
              <w:tc>
                <w:tcPr>
                  <w:tcW w:w="821" w:type="dxa"/>
                  <w:tcBorders>
                    <w:tl2br w:val="nil"/>
                    <w:tr2bl w:val="nil"/>
                  </w:tcBorders>
                  <w:noWrap w:val="0"/>
                  <w:vAlign w:val="center"/>
                </w:tcPr>
                <w:p w14:paraId="0C7D3D5C">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136</w:t>
                  </w:r>
                </w:p>
              </w:tc>
              <w:tc>
                <w:tcPr>
                  <w:tcW w:w="821" w:type="dxa"/>
                  <w:tcBorders>
                    <w:tl2br w:val="nil"/>
                    <w:tr2bl w:val="nil"/>
                  </w:tcBorders>
                  <w:noWrap w:val="0"/>
                  <w:vAlign w:val="center"/>
                </w:tcPr>
                <w:p w14:paraId="0A4AC744">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461</w:t>
                  </w:r>
                </w:p>
              </w:tc>
              <w:tc>
                <w:tcPr>
                  <w:tcW w:w="821" w:type="dxa"/>
                  <w:tcBorders>
                    <w:tl2br w:val="nil"/>
                    <w:tr2bl w:val="nil"/>
                  </w:tcBorders>
                  <w:noWrap w:val="0"/>
                  <w:vAlign w:val="center"/>
                </w:tcPr>
                <w:p w14:paraId="43E54D65">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215</w:t>
                  </w:r>
                </w:p>
              </w:tc>
              <w:tc>
                <w:tcPr>
                  <w:tcW w:w="823" w:type="dxa"/>
                  <w:tcBorders>
                    <w:tl2br w:val="nil"/>
                    <w:tr2bl w:val="nil"/>
                  </w:tcBorders>
                  <w:noWrap w:val="0"/>
                  <w:vAlign w:val="center"/>
                </w:tcPr>
                <w:p w14:paraId="18101353">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color w:val="auto"/>
                      <w:kern w:val="2"/>
                      <w:sz w:val="21"/>
                      <w:szCs w:val="21"/>
                      <w:lang w:val="en-US" w:eastAsia="zh-CN" w:bidi="ar-SA"/>
                    </w:rPr>
                  </w:pPr>
                  <w:r>
                    <w:rPr>
                      <w:rFonts w:hint="eastAsia" w:ascii="宋体" w:hAnsi="宋体" w:eastAsia="宋体"/>
                      <w:color w:val="auto"/>
                      <w:sz w:val="21"/>
                      <w:szCs w:val="21"/>
                      <w:lang w:val="en-US" w:eastAsia="zh-CN"/>
                    </w:rPr>
                    <w:t>105</w:t>
                  </w:r>
                </w:p>
              </w:tc>
            </w:tr>
            <w:tr w14:paraId="64482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87" w:type="dxa"/>
                  <w:tcBorders>
                    <w:tl2br w:val="nil"/>
                    <w:tr2bl w:val="nil"/>
                  </w:tcBorders>
                  <w:noWrap w:val="0"/>
                  <w:vAlign w:val="center"/>
                </w:tcPr>
                <w:p w14:paraId="0B93C213">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1930" w:type="dxa"/>
                  <w:tcBorders>
                    <w:tl2br w:val="nil"/>
                    <w:tr2bl w:val="nil"/>
                  </w:tcBorders>
                  <w:noWrap w:val="0"/>
                  <w:vAlign w:val="center"/>
                </w:tcPr>
                <w:p w14:paraId="47CB3D2F">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切粒机</w:t>
                  </w:r>
                </w:p>
              </w:tc>
              <w:tc>
                <w:tcPr>
                  <w:tcW w:w="956" w:type="dxa"/>
                  <w:tcBorders>
                    <w:tl2br w:val="nil"/>
                    <w:tr2bl w:val="nil"/>
                  </w:tcBorders>
                  <w:noWrap w:val="0"/>
                  <w:vAlign w:val="center"/>
                </w:tcPr>
                <w:p w14:paraId="51306ECE">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2</w:t>
                  </w:r>
                </w:p>
              </w:tc>
              <w:tc>
                <w:tcPr>
                  <w:tcW w:w="1152" w:type="dxa"/>
                  <w:tcBorders>
                    <w:tl2br w:val="nil"/>
                    <w:tr2bl w:val="nil"/>
                  </w:tcBorders>
                  <w:noWrap w:val="0"/>
                  <w:vAlign w:val="center"/>
                </w:tcPr>
                <w:p w14:paraId="3FFAD902">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80</w:t>
                  </w:r>
                </w:p>
              </w:tc>
              <w:tc>
                <w:tcPr>
                  <w:tcW w:w="821" w:type="dxa"/>
                  <w:tcBorders>
                    <w:tl2br w:val="nil"/>
                    <w:tr2bl w:val="nil"/>
                  </w:tcBorders>
                  <w:noWrap w:val="0"/>
                  <w:vAlign w:val="center"/>
                </w:tcPr>
                <w:p w14:paraId="5ADB3622">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color w:val="auto"/>
                      <w:sz w:val="21"/>
                      <w:szCs w:val="21"/>
                      <w:lang w:val="en-US" w:eastAsia="zh-CN"/>
                    </w:rPr>
                  </w:pPr>
                  <w:r>
                    <w:rPr>
                      <w:rFonts w:hint="eastAsia" w:ascii="宋体" w:hAnsi="宋体"/>
                      <w:color w:val="auto"/>
                      <w:sz w:val="21"/>
                      <w:szCs w:val="21"/>
                      <w:lang w:val="en-US" w:eastAsia="zh-CN"/>
                    </w:rPr>
                    <w:t>131</w:t>
                  </w:r>
                </w:p>
              </w:tc>
              <w:tc>
                <w:tcPr>
                  <w:tcW w:w="821" w:type="dxa"/>
                  <w:tcBorders>
                    <w:tl2br w:val="nil"/>
                    <w:tr2bl w:val="nil"/>
                  </w:tcBorders>
                  <w:noWrap w:val="0"/>
                  <w:vAlign w:val="center"/>
                </w:tcPr>
                <w:p w14:paraId="612494FB">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color w:val="auto"/>
                      <w:sz w:val="21"/>
                      <w:szCs w:val="21"/>
                      <w:lang w:val="en-US" w:eastAsia="zh-CN"/>
                    </w:rPr>
                  </w:pPr>
                  <w:r>
                    <w:rPr>
                      <w:rFonts w:hint="eastAsia" w:ascii="宋体" w:hAnsi="宋体"/>
                      <w:color w:val="auto"/>
                      <w:sz w:val="21"/>
                      <w:szCs w:val="21"/>
                      <w:lang w:val="en-US" w:eastAsia="zh-CN"/>
                    </w:rPr>
                    <w:t>459</w:t>
                  </w:r>
                </w:p>
              </w:tc>
              <w:tc>
                <w:tcPr>
                  <w:tcW w:w="821" w:type="dxa"/>
                  <w:tcBorders>
                    <w:tl2br w:val="nil"/>
                    <w:tr2bl w:val="nil"/>
                  </w:tcBorders>
                  <w:noWrap w:val="0"/>
                  <w:vAlign w:val="center"/>
                </w:tcPr>
                <w:p w14:paraId="24DF0A91">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color w:val="auto"/>
                      <w:sz w:val="21"/>
                      <w:szCs w:val="21"/>
                      <w:lang w:val="en-US" w:eastAsia="zh-CN"/>
                    </w:rPr>
                  </w:pPr>
                  <w:r>
                    <w:rPr>
                      <w:rFonts w:hint="eastAsia" w:ascii="宋体" w:hAnsi="宋体"/>
                      <w:color w:val="auto"/>
                      <w:sz w:val="21"/>
                      <w:szCs w:val="21"/>
                      <w:lang w:val="en-US" w:eastAsia="zh-CN"/>
                    </w:rPr>
                    <w:t>210</w:t>
                  </w:r>
                </w:p>
              </w:tc>
              <w:tc>
                <w:tcPr>
                  <w:tcW w:w="823" w:type="dxa"/>
                  <w:tcBorders>
                    <w:tl2br w:val="nil"/>
                    <w:tr2bl w:val="nil"/>
                  </w:tcBorders>
                  <w:noWrap w:val="0"/>
                  <w:vAlign w:val="center"/>
                </w:tcPr>
                <w:p w14:paraId="3EAB4029">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default" w:ascii="宋体" w:hAnsi="宋体"/>
                      <w:color w:val="auto"/>
                      <w:kern w:val="2"/>
                      <w:sz w:val="21"/>
                      <w:szCs w:val="21"/>
                      <w:lang w:val="en-US" w:eastAsia="zh-CN" w:bidi="ar-SA"/>
                    </w:rPr>
                  </w:pPr>
                  <w:r>
                    <w:rPr>
                      <w:rFonts w:hint="eastAsia" w:ascii="宋体" w:hAnsi="宋体"/>
                      <w:color w:val="auto"/>
                      <w:sz w:val="21"/>
                      <w:szCs w:val="21"/>
                      <w:lang w:val="en-US" w:eastAsia="zh-CN"/>
                    </w:rPr>
                    <w:t>101</w:t>
                  </w:r>
                </w:p>
              </w:tc>
            </w:tr>
          </w:tbl>
          <w:p w14:paraId="58241BDA">
            <w:pPr>
              <w:ind w:firstLine="480"/>
              <w:rPr>
                <w:rFonts w:hint="eastAsia"/>
                <w:color w:val="auto"/>
              </w:rPr>
            </w:pPr>
            <w:r>
              <w:rPr>
                <w:rFonts w:hint="eastAsia"/>
                <w:color w:val="auto"/>
              </w:rPr>
              <w:t>室外声源采用衰减公式为：</w:t>
            </w:r>
          </w:p>
          <w:p w14:paraId="3B5BCF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drawing>
                <wp:inline distT="0" distB="0" distL="114300" distR="114300">
                  <wp:extent cx="1790700" cy="428625"/>
                  <wp:effectExtent l="0" t="0" r="7620" b="133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7"/>
                          <a:stretch>
                            <a:fillRect/>
                          </a:stretch>
                        </pic:blipFill>
                        <pic:spPr>
                          <a:xfrm>
                            <a:off x="0" y="0"/>
                            <a:ext cx="1790700" cy="428625"/>
                          </a:xfrm>
                          <a:prstGeom prst="rect">
                            <a:avLst/>
                          </a:prstGeom>
                          <a:noFill/>
                          <a:ln>
                            <a:noFill/>
                          </a:ln>
                        </pic:spPr>
                      </pic:pic>
                    </a:graphicData>
                  </a:graphic>
                </wp:inline>
              </w:drawing>
            </w:r>
          </w:p>
          <w:p w14:paraId="554830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式中：L</w:t>
            </w:r>
            <w:r>
              <w:rPr>
                <w:rFonts w:hint="eastAsia" w:ascii="Times New Roman" w:hAnsi="Times New Roman" w:eastAsia="宋体" w:cs="Times New Roman"/>
                <w:color w:val="000000"/>
                <w:kern w:val="2"/>
                <w:sz w:val="21"/>
                <w:szCs w:val="24"/>
                <w:vertAlign w:val="subscript"/>
                <w:lang w:val="en-US" w:eastAsia="zh-CN" w:bidi="ar-SA"/>
              </w:rPr>
              <w:t xml:space="preserve">p(r) </w:t>
            </w:r>
            <w:r>
              <w:rPr>
                <w:rFonts w:hint="eastAsia" w:ascii="Times New Roman" w:hAnsi="Times New Roman" w:eastAsia="宋体" w:cs="Times New Roman"/>
                <w:color w:val="000000"/>
                <w:kern w:val="2"/>
                <w:sz w:val="21"/>
                <w:szCs w:val="24"/>
                <w:lang w:val="en-US" w:eastAsia="zh-CN" w:bidi="ar-SA"/>
              </w:rPr>
              <w:t>—声源在预测点的声压级，dB(A)；</w:t>
            </w:r>
          </w:p>
          <w:p w14:paraId="3AB202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L</w:t>
            </w:r>
            <w:r>
              <w:rPr>
                <w:rFonts w:hint="eastAsia" w:ascii="Times New Roman" w:hAnsi="Times New Roman" w:eastAsia="宋体" w:cs="Times New Roman"/>
                <w:color w:val="000000"/>
                <w:kern w:val="2"/>
                <w:sz w:val="21"/>
                <w:szCs w:val="24"/>
                <w:vertAlign w:val="subscript"/>
                <w:lang w:val="en-US" w:eastAsia="zh-CN" w:bidi="ar-SA"/>
              </w:rPr>
              <w:t>p(r0)</w:t>
            </w:r>
            <w:r>
              <w:rPr>
                <w:rFonts w:hint="eastAsia" w:ascii="Times New Roman" w:hAnsi="Times New Roman" w:eastAsia="宋体" w:cs="Times New Roman"/>
                <w:color w:val="000000"/>
                <w:kern w:val="2"/>
                <w:sz w:val="21"/>
                <w:szCs w:val="24"/>
                <w:lang w:val="en-US" w:eastAsia="zh-CN" w:bidi="ar-SA"/>
              </w:rPr>
              <w:t xml:space="preserve"> —参考位置的声压级，dB(A)；</w:t>
            </w:r>
          </w:p>
          <w:p w14:paraId="253022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sym w:font="Symbol" w:char="F044"/>
            </w:r>
            <w:r>
              <w:rPr>
                <w:rFonts w:hint="eastAsia" w:ascii="Times New Roman" w:hAnsi="Times New Roman" w:eastAsia="宋体" w:cs="Times New Roman"/>
                <w:color w:val="000000"/>
                <w:kern w:val="2"/>
                <w:sz w:val="21"/>
                <w:szCs w:val="24"/>
                <w:lang w:val="en-US" w:eastAsia="zh-CN" w:bidi="ar-SA"/>
              </w:rPr>
              <w:t>L —为各种因素引起的声衰减量，dB(A)；</w:t>
            </w:r>
          </w:p>
          <w:p w14:paraId="0E4168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r —声源“声源中心”距预测点间的距离，m。</w:t>
            </w:r>
          </w:p>
          <w:p w14:paraId="6134C5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000000"/>
                <w:kern w:val="2"/>
                <w:sz w:val="21"/>
                <w:szCs w:val="24"/>
                <w:lang w:val="en-US" w:eastAsia="zh-CN" w:bidi="ar-SA"/>
              </w:rPr>
            </w:pPr>
            <w:r>
              <w:rPr>
                <w:rFonts w:hint="eastAsia"/>
                <w:color w:val="000000"/>
                <w:kern w:val="2"/>
                <w:sz w:val="21"/>
                <w:szCs w:val="24"/>
                <w:lang w:val="en-US" w:eastAsia="zh-CN" w:bidi="ar-SA"/>
              </w:rPr>
              <w:t>由于</w:t>
            </w:r>
            <w:r>
              <w:rPr>
                <w:rFonts w:hint="eastAsia"/>
                <w:lang w:val="en-US" w:eastAsia="zh-CN"/>
              </w:rPr>
              <w:t>试验</w:t>
            </w:r>
            <w:r>
              <w:rPr>
                <w:rFonts w:hint="eastAsia"/>
                <w:color w:val="000000"/>
                <w:kern w:val="2"/>
                <w:sz w:val="21"/>
                <w:szCs w:val="24"/>
                <w:lang w:val="en-US" w:eastAsia="zh-CN" w:bidi="ar-SA"/>
              </w:rPr>
              <w:t>设备均位于室内，预计噪声排放可减少15~20dB（A），经预测，噪声贡献值预测结果见表15。</w:t>
            </w:r>
          </w:p>
          <w:p w14:paraId="190E06A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黑体" w:hAnsi="黑体" w:eastAsia="宋体" w:cs="Times New Roman"/>
                <w:b/>
                <w:kern w:val="0"/>
                <w:sz w:val="21"/>
                <w:szCs w:val="20"/>
                <w:lang w:val="en-US" w:eastAsia="zh-CN" w:bidi="ar-SA"/>
              </w:rPr>
            </w:pPr>
            <w:r>
              <w:rPr>
                <w:rFonts w:hint="eastAsia" w:ascii="黑体" w:hAnsi="黑体" w:eastAsia="宋体" w:cs="Times New Roman"/>
                <w:b/>
                <w:kern w:val="0"/>
                <w:sz w:val="21"/>
                <w:szCs w:val="20"/>
                <w:lang w:val="en-US" w:eastAsia="zh-CN" w:bidi="ar-SA"/>
              </w:rPr>
              <w:t>表1</w:t>
            </w:r>
            <w:r>
              <w:rPr>
                <w:rFonts w:hint="eastAsia" w:ascii="黑体" w:hAnsi="黑体" w:cs="Times New Roman"/>
                <w:b/>
                <w:kern w:val="0"/>
                <w:sz w:val="21"/>
                <w:szCs w:val="20"/>
                <w:lang w:val="en-US" w:eastAsia="zh-CN" w:bidi="ar-SA"/>
              </w:rPr>
              <w:t>5</w:t>
            </w:r>
            <w:r>
              <w:rPr>
                <w:rFonts w:hint="eastAsia" w:ascii="黑体" w:hAnsi="黑体" w:eastAsia="宋体" w:cs="Times New Roman"/>
                <w:b/>
                <w:kern w:val="0"/>
                <w:sz w:val="21"/>
                <w:szCs w:val="20"/>
                <w:lang w:val="en-US" w:eastAsia="zh-CN" w:bidi="ar-SA"/>
              </w:rPr>
              <w:t xml:space="preserve">  噪声影响预测结果 单位dB（A）</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7"/>
              <w:gridCol w:w="1587"/>
              <w:gridCol w:w="1588"/>
            </w:tblGrid>
            <w:tr w14:paraId="7BF4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top w:val="single" w:color="auto" w:sz="12" w:space="0"/>
                  </w:tcBorders>
                  <w:noWrap w:val="0"/>
                  <w:vAlign w:val="center"/>
                </w:tcPr>
                <w:p w14:paraId="1C5F6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预测位置</w:t>
                  </w:r>
                </w:p>
              </w:tc>
              <w:tc>
                <w:tcPr>
                  <w:tcW w:w="1587" w:type="dxa"/>
                  <w:tcBorders>
                    <w:top w:val="single" w:color="auto" w:sz="12" w:space="0"/>
                  </w:tcBorders>
                  <w:noWrap w:val="0"/>
                  <w:vAlign w:val="center"/>
                </w:tcPr>
                <w:p w14:paraId="23C5B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北厂界</w:t>
                  </w:r>
                </w:p>
              </w:tc>
              <w:tc>
                <w:tcPr>
                  <w:tcW w:w="1587" w:type="dxa"/>
                  <w:tcBorders>
                    <w:top w:val="single" w:color="auto" w:sz="12" w:space="0"/>
                  </w:tcBorders>
                  <w:noWrap w:val="0"/>
                  <w:vAlign w:val="center"/>
                </w:tcPr>
                <w:p w14:paraId="6AC63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西厂界</w:t>
                  </w:r>
                </w:p>
              </w:tc>
              <w:tc>
                <w:tcPr>
                  <w:tcW w:w="1587" w:type="dxa"/>
                  <w:tcBorders>
                    <w:top w:val="single" w:color="auto" w:sz="12" w:space="0"/>
                  </w:tcBorders>
                  <w:noWrap w:val="0"/>
                  <w:vAlign w:val="center"/>
                </w:tcPr>
                <w:p w14:paraId="79FA3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南厂界</w:t>
                  </w:r>
                </w:p>
              </w:tc>
              <w:tc>
                <w:tcPr>
                  <w:tcW w:w="1588" w:type="dxa"/>
                  <w:tcBorders>
                    <w:top w:val="single" w:color="auto" w:sz="12" w:space="0"/>
                    <w:right w:val="single" w:color="auto" w:sz="12" w:space="0"/>
                  </w:tcBorders>
                  <w:noWrap w:val="0"/>
                  <w:vAlign w:val="center"/>
                </w:tcPr>
                <w:p w14:paraId="0941E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东厂界</w:t>
                  </w:r>
                </w:p>
              </w:tc>
            </w:tr>
            <w:tr w14:paraId="1544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left w:val="single" w:color="auto" w:sz="4" w:space="0"/>
                  </w:tcBorders>
                  <w:noWrap w:val="0"/>
                  <w:vAlign w:val="center"/>
                </w:tcPr>
                <w:p w14:paraId="79D5D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贡献值</w:t>
                  </w:r>
                </w:p>
              </w:tc>
              <w:tc>
                <w:tcPr>
                  <w:tcW w:w="1587" w:type="dxa"/>
                  <w:noWrap w:val="0"/>
                  <w:vAlign w:val="center"/>
                </w:tcPr>
                <w:p w14:paraId="18D45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37.6</w:t>
                  </w:r>
                </w:p>
              </w:tc>
              <w:tc>
                <w:tcPr>
                  <w:tcW w:w="1587" w:type="dxa"/>
                  <w:noWrap w:val="0"/>
                  <w:vAlign w:val="center"/>
                </w:tcPr>
                <w:p w14:paraId="38F1E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26.9</w:t>
                  </w:r>
                </w:p>
              </w:tc>
              <w:tc>
                <w:tcPr>
                  <w:tcW w:w="1587" w:type="dxa"/>
                  <w:noWrap w:val="0"/>
                  <w:vAlign w:val="center"/>
                </w:tcPr>
                <w:p w14:paraId="2E8D1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33.6</w:t>
                  </w:r>
                </w:p>
              </w:tc>
              <w:tc>
                <w:tcPr>
                  <w:tcW w:w="1588" w:type="dxa"/>
                  <w:tcBorders>
                    <w:right w:val="single" w:color="auto" w:sz="12" w:space="0"/>
                  </w:tcBorders>
                  <w:noWrap w:val="0"/>
                  <w:vAlign w:val="center"/>
                </w:tcPr>
                <w:p w14:paraId="3F00D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40.2</w:t>
                  </w:r>
                </w:p>
              </w:tc>
            </w:tr>
            <w:tr w14:paraId="5482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Borders>
                    <w:left w:val="single" w:color="auto" w:sz="4" w:space="0"/>
                    <w:bottom w:val="single" w:color="auto" w:sz="12" w:space="0"/>
                  </w:tcBorders>
                  <w:noWrap w:val="0"/>
                  <w:vAlign w:val="center"/>
                </w:tcPr>
                <w:p w14:paraId="1B299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评价标准</w:t>
                  </w:r>
                </w:p>
              </w:tc>
              <w:tc>
                <w:tcPr>
                  <w:tcW w:w="6349" w:type="dxa"/>
                  <w:gridSpan w:val="4"/>
                  <w:tcBorders>
                    <w:bottom w:val="single" w:color="auto" w:sz="12" w:space="0"/>
                    <w:right w:val="single" w:color="auto" w:sz="12" w:space="0"/>
                  </w:tcBorders>
                  <w:noWrap w:val="0"/>
                  <w:vAlign w:val="center"/>
                </w:tcPr>
                <w:p w14:paraId="2BE6F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kern w:val="2"/>
                      <w:sz w:val="21"/>
                      <w:szCs w:val="24"/>
                      <w:vertAlign w:val="baseline"/>
                      <w:lang w:val="en-US" w:eastAsia="zh-CN" w:bidi="ar-SA"/>
                    </w:rPr>
                  </w:pPr>
                  <w:r>
                    <w:rPr>
                      <w:rFonts w:hint="eastAsia"/>
                      <w:color w:val="000000"/>
                      <w:kern w:val="2"/>
                      <w:sz w:val="21"/>
                      <w:szCs w:val="24"/>
                      <w:vertAlign w:val="baseline"/>
                      <w:lang w:val="en-US" w:eastAsia="zh-CN" w:bidi="ar-SA"/>
                    </w:rPr>
                    <w:t>昼间：65，夜间：55</w:t>
                  </w:r>
                </w:p>
              </w:tc>
            </w:tr>
          </w:tbl>
          <w:p w14:paraId="4F968F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经预测，噪声贡献值满足《工业企业厂界环境噪声排放标准》（GB12348-2008）3类标准。本项目实验设备产生的噪声为间歇噪声，对周围声环境的影响很小。</w:t>
            </w:r>
          </w:p>
          <w:p w14:paraId="7D12FC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（2）噪声污染防治措施</w:t>
            </w:r>
          </w:p>
          <w:p w14:paraId="7BE3ED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①对门窗采取隔声措施，必要时人员佩戴耳塞。</w:t>
            </w:r>
          </w:p>
          <w:p w14:paraId="27BF88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②当风机、泵机存在明显振动时，对设备基座进行调整，降低设备振动。</w:t>
            </w:r>
          </w:p>
          <w:p w14:paraId="6C9373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000000"/>
                <w:kern w:val="2"/>
                <w:sz w:val="21"/>
                <w:szCs w:val="24"/>
                <w:lang w:val="en-US" w:eastAsia="zh-CN" w:bidi="ar-SA"/>
              </w:rPr>
              <w:t>（3）噪声监测计划</w:t>
            </w:r>
          </w:p>
          <w:p w14:paraId="6DE2DB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本项目不单独设置噪声排放监测计划，其噪声监测纳入新疆维格瑞生物科技有限公司噪声监测计划。</w:t>
            </w:r>
          </w:p>
          <w:p w14:paraId="56725B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kern w:val="2"/>
                <w:sz w:val="21"/>
                <w:szCs w:val="24"/>
                <w:lang w:val="en-US" w:eastAsia="zh-CN" w:bidi="ar-SA"/>
              </w:rPr>
            </w:pPr>
            <w:r>
              <w:rPr>
                <w:rFonts w:hint="eastAsia"/>
                <w:b/>
                <w:bCs/>
                <w:color w:val="000000"/>
                <w:kern w:val="2"/>
                <w:sz w:val="21"/>
                <w:szCs w:val="24"/>
                <w:lang w:val="en-US" w:eastAsia="zh-CN" w:bidi="ar-SA"/>
              </w:rPr>
              <w:t>四、固废</w:t>
            </w:r>
          </w:p>
          <w:p w14:paraId="4586E9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（1）固废产生及治理措施</w:t>
            </w:r>
          </w:p>
          <w:p w14:paraId="7F005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本项目依托的新疆维格瑞生物科技有限公司危废暂存间占地</w:t>
            </w:r>
            <w:r>
              <w:rPr>
                <w:rFonts w:hint="eastAsia"/>
                <w:lang w:val="en-US" w:eastAsia="zh-CN"/>
              </w:rPr>
              <w:t>200㎡，严格按照《危险废物贮存污染控制标准》（GB18597-2001）规范建设，地面进行严格防渗硬化，地面设置截水沟和集水池，设置通风设施，目前危废暂存间内暂存的危险废物包括过滤残渣、废三甘醇、废导热油、废活性炭、废润滑油等，各危险废物妥善收集，分类暂存。</w:t>
            </w:r>
          </w:p>
          <w:p w14:paraId="42D984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项目试验区内，聚酯类试验过程中初步检测合格的试验品材料可进一步进行性能测试，部分检测后不合格的试验品材料作为废品回收。研发楼内，合格的试验品材料经回收挤塑后可制成后续产品，进行产品合格检测，检测合格的试验品可作为产品进入产品库存放。研发楼内检测不合格的废聚酯类产品，试验区不合格试验品材料和边角料（无法做成产品的），以及</w:t>
            </w:r>
            <w:r>
              <w:rPr>
                <w:rFonts w:hint="eastAsia" w:ascii="Times New Roman" w:hAnsi="Times New Roman" w:eastAsia="宋体" w:cs="Times New Roman"/>
                <w:lang w:val="en-US" w:eastAsia="zh-CN"/>
              </w:rPr>
              <w:t>粉碎机产生的少量酯类聚合物粉尘，</w:t>
            </w:r>
            <w:r>
              <w:rPr>
                <w:rFonts w:hint="eastAsia"/>
                <w:lang w:val="en-US" w:eastAsia="zh-CN"/>
              </w:rPr>
              <w:t>产生量约300t/a，收集后送当地废品回收站。</w:t>
            </w:r>
          </w:p>
          <w:p w14:paraId="425A9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生活垃圾依托</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lang w:eastAsia="zh-CN"/>
              </w:rPr>
              <w:t>现有设施收集，交园区环卫部门处理。</w:t>
            </w:r>
          </w:p>
          <w:p w14:paraId="2B7BB2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val="en-US" w:eastAsia="zh-CN"/>
              </w:rPr>
              <w:t>实验过程中</w:t>
            </w:r>
            <w:r>
              <w:rPr>
                <w:rFonts w:hint="eastAsia"/>
                <w:lang w:eastAsia="zh-CN"/>
              </w:rPr>
              <w:t>产生的废液，沾染有机溶剂或废酸的一次性实验用品等属于危险废物（</w:t>
            </w:r>
            <w:r>
              <w:rPr>
                <w:rFonts w:hint="eastAsia"/>
                <w:lang w:val="en-US" w:eastAsia="zh-CN"/>
              </w:rPr>
              <w:t>900-047-49</w:t>
            </w:r>
            <w:r>
              <w:rPr>
                <w:rFonts w:hint="eastAsia"/>
                <w:lang w:eastAsia="zh-CN"/>
              </w:rPr>
              <w:t>），妥善收集后，依托</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lang w:eastAsia="zh-CN"/>
              </w:rPr>
              <w:t>危废暂存间暂存，定期委托有资质的单位处理。设备检维修产生的废机油（</w:t>
            </w:r>
            <w:r>
              <w:rPr>
                <w:rFonts w:hint="eastAsia"/>
                <w:lang w:val="en-US" w:eastAsia="zh-CN"/>
              </w:rPr>
              <w:t>900-217-08</w:t>
            </w:r>
            <w:r>
              <w:rPr>
                <w:rFonts w:hint="eastAsia"/>
                <w:lang w:eastAsia="zh-CN"/>
              </w:rPr>
              <w:t>）；废活性炭吸附设施运行产生的废活性炭属于（</w:t>
            </w:r>
            <w:r>
              <w:rPr>
                <w:rFonts w:hint="eastAsia"/>
                <w:lang w:val="en-US" w:eastAsia="zh-CN"/>
              </w:rPr>
              <w:t>900-047-49</w:t>
            </w:r>
            <w:r>
              <w:rPr>
                <w:rFonts w:hint="eastAsia"/>
                <w:lang w:eastAsia="zh-CN"/>
              </w:rPr>
              <w:t>）危险废物，密封包装收集，依托新疆维格瑞生物科技有限公司危废暂存间暂存，定期委托有资质的单位处理。</w:t>
            </w:r>
          </w:p>
          <w:p w14:paraId="6F299F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本项目危险废物产生量总体较少，定期处理，不会影响危废暂存间的正常运行管理。</w:t>
            </w:r>
          </w:p>
          <w:p w14:paraId="4E30D5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（2）固废管理要求</w:t>
            </w:r>
          </w:p>
          <w:p w14:paraId="6B1FE9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①危险废物暂存严格遵循《危险废物贮存污染控制标准》（GB18597-2001）、《环境保护图形标志-固体废物贮存（处置）场》（GB15562.2-1995）等规范要求，建立危险废物转移计划及管理台账。固体废物污染环境防治设施必须做到“三同时”。危险废物转移过程应严格执行《危险废物转移管理办法》。</w:t>
            </w:r>
          </w:p>
          <w:p w14:paraId="7ADA4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000000"/>
                <w:kern w:val="2"/>
                <w:sz w:val="21"/>
                <w:szCs w:val="24"/>
                <w:lang w:val="en-US" w:eastAsia="zh-CN" w:bidi="ar-SA"/>
              </w:rPr>
            </w:pPr>
            <w:r>
              <w:rPr>
                <w:rFonts w:hint="eastAsia"/>
                <w:color w:val="000000"/>
                <w:kern w:val="2"/>
                <w:sz w:val="21"/>
                <w:szCs w:val="24"/>
                <w:lang w:val="en-US" w:eastAsia="zh-CN" w:bidi="ar-SA"/>
              </w:rPr>
              <w:t>②应妥善收集、储存部分聚酯类聚合物或边角料等固废，</w:t>
            </w:r>
            <w:r>
              <w:rPr>
                <w:rFonts w:hint="eastAsia"/>
                <w:lang w:val="en-US" w:eastAsia="zh-CN"/>
              </w:rPr>
              <w:t>按照《一般工业固体废物贮存和填埋污染控制标准》（GB18599-2020）要求定点收集，定期交当地废品回收站。</w:t>
            </w:r>
          </w:p>
          <w:p w14:paraId="51339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kern w:val="2"/>
                <w:sz w:val="21"/>
                <w:szCs w:val="24"/>
                <w:lang w:val="en-US" w:eastAsia="zh-CN" w:bidi="ar-SA"/>
              </w:rPr>
            </w:pPr>
            <w:r>
              <w:rPr>
                <w:rFonts w:hint="eastAsia"/>
                <w:color w:val="000000"/>
                <w:kern w:val="2"/>
                <w:sz w:val="21"/>
                <w:szCs w:val="24"/>
                <w:lang w:val="en-US" w:eastAsia="zh-CN" w:bidi="ar-SA"/>
              </w:rPr>
              <w:t>③应记录固体废物的产生量、处置量及去向和贮存量。固废记录并入</w:t>
            </w:r>
            <w:r>
              <w:rPr>
                <w:rFonts w:hint="eastAsia" w:ascii="Times New Roman" w:hAnsi="Times New Roman" w:eastAsia="宋体" w:cs="Times New Roman"/>
                <w:color w:val="000000"/>
                <w:kern w:val="2"/>
                <w:sz w:val="21"/>
                <w:szCs w:val="24"/>
                <w:lang w:val="en-US" w:eastAsia="zh-CN" w:bidi="ar-SA"/>
              </w:rPr>
              <w:t>新疆维格瑞生物科技有限公司</w:t>
            </w:r>
            <w:r>
              <w:rPr>
                <w:rFonts w:hint="eastAsia"/>
                <w:color w:val="000000"/>
                <w:kern w:val="2"/>
                <w:sz w:val="21"/>
                <w:szCs w:val="24"/>
                <w:lang w:val="en-US" w:eastAsia="zh-CN" w:bidi="ar-SA"/>
              </w:rPr>
              <w:t>主体工程并形成台账。</w:t>
            </w:r>
          </w:p>
          <w:p w14:paraId="05ECA88E">
            <w:pPr>
              <w:pStyle w:val="13"/>
              <w:rPr>
                <w:rFonts w:hint="eastAsia"/>
                <w:b/>
                <w:bCs/>
                <w:lang w:eastAsia="zh-CN"/>
              </w:rPr>
            </w:pPr>
            <w:r>
              <w:rPr>
                <w:rFonts w:hint="eastAsia"/>
                <w:b/>
                <w:bCs/>
                <w:lang w:eastAsia="zh-CN"/>
              </w:rPr>
              <w:t>五、地下水、土壤</w:t>
            </w:r>
          </w:p>
          <w:p w14:paraId="57A7D150">
            <w:pPr>
              <w:rPr>
                <w:rFonts w:hint="eastAsia"/>
                <w:lang w:eastAsia="zh-CN"/>
              </w:rPr>
            </w:pPr>
          </w:p>
          <w:p w14:paraId="105B18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本项目不涉及地下水和土壤环境污染途径，实验室按照国家实验室标准进行建设，地面按照相关要求进行硬化防渗。</w:t>
            </w:r>
          </w:p>
          <w:p w14:paraId="3ACCD7D1">
            <w:pPr>
              <w:pStyle w:val="13"/>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s="Times New Roman"/>
                <w:b/>
                <w:bCs/>
                <w:color w:val="000000"/>
                <w:kern w:val="2"/>
                <w:sz w:val="21"/>
                <w:szCs w:val="24"/>
                <w:lang w:val="en-US" w:eastAsia="zh-CN" w:bidi="ar-SA"/>
              </w:rPr>
            </w:pPr>
            <w:r>
              <w:rPr>
                <w:rFonts w:hint="eastAsia" w:cs="Times New Roman"/>
                <w:b/>
                <w:bCs/>
                <w:color w:val="000000"/>
                <w:kern w:val="2"/>
                <w:sz w:val="21"/>
                <w:szCs w:val="24"/>
                <w:lang w:val="en-US" w:eastAsia="zh-CN" w:bidi="ar-SA"/>
              </w:rPr>
              <w:t>六、环境风险</w:t>
            </w:r>
          </w:p>
          <w:p w14:paraId="213ED4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项目涉及的危险物质主要为实验室药品，存放于药品库，存放量很小，按照评价等级分类要求，本项目评价等级属“简单分析”。</w:t>
            </w:r>
          </w:p>
          <w:p w14:paraId="28F60F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根据本项目危险物质调查，结合《建设项目环境风险导则》（HJ169-2018），实验药品中，苯乙烯、甲醇、乙酸属于导则中关注的化学品，试验药品均为瓶装液体（分析纯），专用的药品库内的药品柜中保存，实验室严格按照实验室规章制度进行取用，项目的环境风险可控。</w:t>
            </w:r>
          </w:p>
          <w:p w14:paraId="14BA8431">
            <w:pPr>
              <w:pStyle w:val="13"/>
              <w:keepNext w:val="0"/>
              <w:keepLines w:val="0"/>
              <w:pageBreakBefore w:val="0"/>
              <w:widowControl w:val="0"/>
              <w:kinsoku/>
              <w:wordWrap/>
              <w:overflowPunct/>
              <w:topLinePunct w:val="0"/>
              <w:bidi w:val="0"/>
              <w:snapToGrid/>
              <w:spacing w:line="360" w:lineRule="auto"/>
              <w:textAlignment w:val="auto"/>
              <w:rPr>
                <w:rFonts w:hint="eastAsia" w:cs="Times New Roman"/>
                <w:b/>
                <w:bCs/>
                <w:color w:val="000000"/>
                <w:kern w:val="2"/>
                <w:sz w:val="21"/>
                <w:szCs w:val="24"/>
                <w:lang w:val="en-US" w:eastAsia="zh-CN" w:bidi="ar-SA"/>
              </w:rPr>
            </w:pPr>
            <w:r>
              <w:rPr>
                <w:rFonts w:hint="eastAsia" w:cs="Times New Roman"/>
                <w:b/>
                <w:bCs/>
                <w:color w:val="000000"/>
                <w:kern w:val="2"/>
                <w:sz w:val="21"/>
                <w:szCs w:val="24"/>
                <w:lang w:val="en-US" w:eastAsia="zh-CN" w:bidi="ar-SA"/>
              </w:rPr>
              <w:t>七、排污许可</w:t>
            </w:r>
          </w:p>
          <w:p w14:paraId="38AE9B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根据《排污许可证申请与核发技术规范 废弃资源加工业》（HJ1034-2019），本项目排污许可限值包括许可总量和许可浓度，其中有组织排放包括许可浓度和总量，无组织排放仅许可厂界浓度。本项目排污许可限值建议见表16。</w:t>
            </w:r>
          </w:p>
          <w:p w14:paraId="4C7FCE4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黑体" w:hAnsi="黑体" w:eastAsia="宋体" w:cs="Times New Roman"/>
                <w:b/>
                <w:kern w:val="0"/>
                <w:sz w:val="21"/>
                <w:szCs w:val="20"/>
                <w:lang w:val="en-US" w:eastAsia="zh-CN" w:bidi="ar-SA"/>
              </w:rPr>
            </w:pPr>
            <w:r>
              <w:rPr>
                <w:rFonts w:hint="eastAsia" w:ascii="黑体" w:hAnsi="黑体" w:eastAsia="宋体" w:cs="Times New Roman"/>
                <w:b/>
                <w:kern w:val="0"/>
                <w:sz w:val="21"/>
                <w:szCs w:val="20"/>
                <w:lang w:val="en-US" w:eastAsia="zh-CN" w:bidi="ar-SA"/>
              </w:rPr>
              <w:t>表16  排污许可限值建议一览表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1262"/>
              <w:gridCol w:w="1652"/>
              <w:gridCol w:w="1513"/>
              <w:gridCol w:w="1010"/>
            </w:tblGrid>
            <w:tr w14:paraId="6C85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vAlign w:val="center"/>
                </w:tcPr>
                <w:p w14:paraId="2385B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排放源</w:t>
                  </w:r>
                </w:p>
              </w:tc>
              <w:tc>
                <w:tcPr>
                  <w:tcW w:w="793" w:type="pct"/>
                  <w:vAlign w:val="center"/>
                </w:tcPr>
                <w:p w14:paraId="55BD7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污染因子</w:t>
                  </w:r>
                </w:p>
              </w:tc>
              <w:tc>
                <w:tcPr>
                  <w:tcW w:w="1038" w:type="pct"/>
                  <w:vAlign w:val="center"/>
                </w:tcPr>
                <w:p w14:paraId="09227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许可浓度</w:t>
                  </w:r>
                </w:p>
                <w:p w14:paraId="3810F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（Nmg/m³）</w:t>
                  </w:r>
                </w:p>
              </w:tc>
              <w:tc>
                <w:tcPr>
                  <w:tcW w:w="951" w:type="pct"/>
                  <w:vAlign w:val="center"/>
                </w:tcPr>
                <w:p w14:paraId="396E0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建议许可量</w:t>
                  </w:r>
                </w:p>
                <w:p w14:paraId="1E41D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（t/a）</w:t>
                  </w:r>
                </w:p>
              </w:tc>
              <w:tc>
                <w:tcPr>
                  <w:tcW w:w="635" w:type="pct"/>
                  <w:vAlign w:val="center"/>
                </w:tcPr>
                <w:p w14:paraId="17C49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备注</w:t>
                  </w:r>
                </w:p>
              </w:tc>
            </w:tr>
            <w:tr w14:paraId="207B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vAlign w:val="center"/>
                </w:tcPr>
                <w:p w14:paraId="42FC2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活性炭吸附设施排口</w:t>
                  </w:r>
                </w:p>
              </w:tc>
              <w:tc>
                <w:tcPr>
                  <w:tcW w:w="793" w:type="pct"/>
                  <w:vAlign w:val="center"/>
                </w:tcPr>
                <w:p w14:paraId="2B5BC7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NMHC</w:t>
                  </w:r>
                </w:p>
              </w:tc>
              <w:tc>
                <w:tcPr>
                  <w:tcW w:w="1038" w:type="pct"/>
                  <w:vAlign w:val="center"/>
                </w:tcPr>
                <w:p w14:paraId="53F50B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60</w:t>
                  </w:r>
                </w:p>
              </w:tc>
              <w:tc>
                <w:tcPr>
                  <w:tcW w:w="951" w:type="pct"/>
                  <w:vAlign w:val="center"/>
                </w:tcPr>
                <w:p w14:paraId="050B35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0.427</w:t>
                  </w:r>
                </w:p>
              </w:tc>
              <w:tc>
                <w:tcPr>
                  <w:tcW w:w="635" w:type="pct"/>
                  <w:vAlign w:val="center"/>
                </w:tcPr>
                <w:p w14:paraId="682C6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运行期</w:t>
                  </w:r>
                </w:p>
              </w:tc>
            </w:tr>
            <w:tr w14:paraId="5435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pct"/>
                  <w:vAlign w:val="center"/>
                </w:tcPr>
                <w:p w14:paraId="178B6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全厂无组织排放</w:t>
                  </w:r>
                </w:p>
              </w:tc>
              <w:tc>
                <w:tcPr>
                  <w:tcW w:w="793" w:type="pct"/>
                  <w:vAlign w:val="center"/>
                </w:tcPr>
                <w:p w14:paraId="09E84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NMHC</w:t>
                  </w:r>
                </w:p>
              </w:tc>
              <w:tc>
                <w:tcPr>
                  <w:tcW w:w="1038" w:type="pct"/>
                  <w:vAlign w:val="center"/>
                </w:tcPr>
                <w:p w14:paraId="02209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4</w:t>
                  </w:r>
                </w:p>
              </w:tc>
              <w:tc>
                <w:tcPr>
                  <w:tcW w:w="951" w:type="pct"/>
                  <w:vAlign w:val="center"/>
                </w:tcPr>
                <w:p w14:paraId="72308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w:t>
                  </w:r>
                </w:p>
              </w:tc>
              <w:tc>
                <w:tcPr>
                  <w:tcW w:w="635" w:type="pct"/>
                  <w:vAlign w:val="center"/>
                </w:tcPr>
                <w:p w14:paraId="54657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4"/>
                      <w:vertAlign w:val="baseline"/>
                      <w:lang w:val="en-US" w:eastAsia="zh-CN" w:bidi="ar-SA"/>
                    </w:rPr>
                  </w:pPr>
                  <w:r>
                    <w:rPr>
                      <w:rFonts w:hint="eastAsia" w:cs="Times New Roman"/>
                      <w:color w:val="000000"/>
                      <w:kern w:val="2"/>
                      <w:sz w:val="21"/>
                      <w:szCs w:val="24"/>
                      <w:vertAlign w:val="baseline"/>
                      <w:lang w:val="en-US" w:eastAsia="zh-CN" w:bidi="ar-SA"/>
                    </w:rPr>
                    <w:t>全阶段</w:t>
                  </w:r>
                </w:p>
              </w:tc>
            </w:tr>
          </w:tbl>
          <w:p w14:paraId="22B0F5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p>
          <w:p w14:paraId="4E9E2A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p>
          <w:p w14:paraId="4FEBA0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p>
          <w:p w14:paraId="15C045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tc>
      </w:tr>
    </w:tbl>
    <w:p w14:paraId="3AB15C42">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E3D8744">
      <w:pPr>
        <w:pStyle w:val="14"/>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7" w:name="_Hlk54167917"/>
      <w:r>
        <w:rPr>
          <w:rFonts w:hint="eastAsia" w:ascii="黑体" w:hAnsi="黑体" w:eastAsia="黑体"/>
          <w:snapToGrid w:val="0"/>
          <w:sz w:val="30"/>
          <w:szCs w:val="30"/>
        </w:rPr>
        <w:t>环境保护措施监督检查清单</w:t>
      </w:r>
      <w:bookmarkEnd w:id="7"/>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655"/>
        <w:gridCol w:w="1271"/>
        <w:gridCol w:w="1538"/>
        <w:gridCol w:w="2558"/>
      </w:tblGrid>
      <w:tr w14:paraId="32ECC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14:paraId="23AB8623">
            <w:pPr>
              <w:adjustRightInd w:val="0"/>
              <w:snapToGrid w:val="0"/>
              <w:ind w:firstLine="840"/>
              <w:rPr>
                <w:rFonts w:hint="eastAsia" w:ascii="宋体" w:hAnsi="宋体" w:cs="宋体"/>
                <w:szCs w:val="21"/>
              </w:rPr>
            </w:pPr>
            <w:r>
              <w:rPr>
                <w:rFonts w:hint="eastAsia" w:ascii="宋体" w:hAnsi="宋体" w:cs="宋体"/>
                <w:szCs w:val="21"/>
              </w:rPr>
              <w:t>内容</w:t>
            </w:r>
          </w:p>
          <w:p w14:paraId="730CE1E6">
            <w:pPr>
              <w:adjustRightInd w:val="0"/>
              <w:snapToGrid w:val="0"/>
              <w:rPr>
                <w:rFonts w:hint="eastAsia" w:ascii="宋体" w:hAnsi="宋体" w:cs="宋体"/>
                <w:szCs w:val="21"/>
              </w:rPr>
            </w:pPr>
            <w:r>
              <w:rPr>
                <w:rFonts w:hint="eastAsia" w:ascii="宋体" w:hAnsi="宋体" w:cs="宋体"/>
                <w:szCs w:val="21"/>
              </w:rPr>
              <w:t>要素</w:t>
            </w:r>
          </w:p>
        </w:tc>
        <w:tc>
          <w:tcPr>
            <w:tcW w:w="1655" w:type="dxa"/>
            <w:noWrap w:val="0"/>
            <w:vAlign w:val="center"/>
          </w:tcPr>
          <w:p w14:paraId="6F8D6045">
            <w:pPr>
              <w:adjustRightInd w:val="0"/>
              <w:snapToGrid w:val="0"/>
              <w:jc w:val="center"/>
              <w:rPr>
                <w:rFonts w:hint="eastAsia" w:ascii="宋体" w:hAnsi="宋体" w:cs="宋体"/>
                <w:szCs w:val="21"/>
              </w:rPr>
            </w:pPr>
            <w:r>
              <w:rPr>
                <w:rFonts w:hint="eastAsia" w:ascii="宋体" w:hAnsi="宋体" w:cs="宋体"/>
                <w:szCs w:val="21"/>
              </w:rPr>
              <w:t>排放口(编号、</w:t>
            </w:r>
          </w:p>
          <w:p w14:paraId="31C89785">
            <w:pPr>
              <w:adjustRightInd w:val="0"/>
              <w:snapToGrid w:val="0"/>
              <w:jc w:val="center"/>
              <w:rPr>
                <w:rFonts w:hint="eastAsia" w:ascii="宋体" w:hAnsi="宋体" w:cs="宋体"/>
                <w:szCs w:val="21"/>
              </w:rPr>
            </w:pPr>
            <w:r>
              <w:rPr>
                <w:rFonts w:hint="eastAsia" w:ascii="宋体" w:hAnsi="宋体" w:cs="宋体"/>
                <w:szCs w:val="21"/>
              </w:rPr>
              <w:t>名称)/污染源</w:t>
            </w:r>
          </w:p>
        </w:tc>
        <w:tc>
          <w:tcPr>
            <w:tcW w:w="1271" w:type="dxa"/>
            <w:noWrap w:val="0"/>
            <w:vAlign w:val="center"/>
          </w:tcPr>
          <w:p w14:paraId="2BC5F83E">
            <w:pPr>
              <w:adjustRightInd w:val="0"/>
              <w:snapToGrid w:val="0"/>
              <w:jc w:val="center"/>
              <w:rPr>
                <w:rFonts w:hint="eastAsia" w:ascii="宋体" w:hAnsi="宋体" w:cs="宋体"/>
                <w:szCs w:val="21"/>
              </w:rPr>
            </w:pPr>
            <w:r>
              <w:rPr>
                <w:rFonts w:hint="eastAsia" w:ascii="宋体" w:hAnsi="宋体" w:cs="宋体"/>
                <w:szCs w:val="21"/>
              </w:rPr>
              <w:t>污染物项目</w:t>
            </w:r>
          </w:p>
        </w:tc>
        <w:tc>
          <w:tcPr>
            <w:tcW w:w="1538" w:type="dxa"/>
            <w:noWrap w:val="0"/>
            <w:vAlign w:val="center"/>
          </w:tcPr>
          <w:p w14:paraId="20D37CCE">
            <w:pPr>
              <w:adjustRightInd w:val="0"/>
              <w:snapToGrid w:val="0"/>
              <w:jc w:val="center"/>
              <w:rPr>
                <w:rFonts w:hint="eastAsia" w:ascii="宋体" w:hAnsi="宋体" w:cs="宋体"/>
                <w:szCs w:val="21"/>
              </w:rPr>
            </w:pPr>
            <w:r>
              <w:rPr>
                <w:rFonts w:hint="eastAsia" w:ascii="宋体" w:hAnsi="宋体" w:cs="宋体"/>
                <w:szCs w:val="21"/>
              </w:rPr>
              <w:t>环境保护措施</w:t>
            </w:r>
          </w:p>
        </w:tc>
        <w:tc>
          <w:tcPr>
            <w:tcW w:w="2558" w:type="dxa"/>
            <w:noWrap w:val="0"/>
            <w:vAlign w:val="center"/>
          </w:tcPr>
          <w:p w14:paraId="460C4212">
            <w:pPr>
              <w:adjustRightInd w:val="0"/>
              <w:snapToGrid w:val="0"/>
              <w:jc w:val="center"/>
              <w:rPr>
                <w:rFonts w:hint="eastAsia" w:ascii="宋体" w:hAnsi="宋体" w:cs="宋体"/>
                <w:szCs w:val="21"/>
              </w:rPr>
            </w:pPr>
            <w:r>
              <w:rPr>
                <w:rFonts w:hint="eastAsia" w:ascii="宋体" w:hAnsi="宋体" w:cs="宋体"/>
                <w:szCs w:val="21"/>
              </w:rPr>
              <w:t>执行标准</w:t>
            </w:r>
          </w:p>
        </w:tc>
      </w:tr>
      <w:tr w14:paraId="24FC6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53B09718">
            <w:pPr>
              <w:adjustRightInd w:val="0"/>
              <w:snapToGrid w:val="0"/>
              <w:jc w:val="center"/>
              <w:rPr>
                <w:rFonts w:hint="eastAsia" w:ascii="宋体" w:hAnsi="宋体" w:cs="宋体"/>
                <w:szCs w:val="21"/>
              </w:rPr>
            </w:pPr>
            <w:r>
              <w:rPr>
                <w:rFonts w:hint="eastAsia" w:ascii="宋体" w:hAnsi="宋体" w:cs="宋体"/>
                <w:szCs w:val="21"/>
              </w:rPr>
              <w:t>大气环境</w:t>
            </w:r>
          </w:p>
        </w:tc>
        <w:tc>
          <w:tcPr>
            <w:tcW w:w="1655" w:type="dxa"/>
            <w:noWrap w:val="0"/>
            <w:vAlign w:val="center"/>
          </w:tcPr>
          <w:p w14:paraId="2F764C7A">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试验区15m排气筒（DA001）</w:t>
            </w:r>
          </w:p>
        </w:tc>
        <w:tc>
          <w:tcPr>
            <w:tcW w:w="1271" w:type="dxa"/>
            <w:noWrap w:val="0"/>
            <w:vAlign w:val="center"/>
          </w:tcPr>
          <w:p w14:paraId="14A92EEA">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NMHC</w:t>
            </w:r>
          </w:p>
        </w:tc>
        <w:tc>
          <w:tcPr>
            <w:tcW w:w="1538" w:type="dxa"/>
            <w:noWrap w:val="0"/>
            <w:vAlign w:val="center"/>
          </w:tcPr>
          <w:p w14:paraId="74DA526E">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光催化氧化+活性炭吸附</w:t>
            </w:r>
          </w:p>
        </w:tc>
        <w:tc>
          <w:tcPr>
            <w:tcW w:w="2558" w:type="dxa"/>
            <w:noWrap w:val="0"/>
            <w:vAlign w:val="center"/>
          </w:tcPr>
          <w:p w14:paraId="37C4F6BF">
            <w:pPr>
              <w:adjustRightInd w:val="0"/>
              <w:snapToGrid w:val="0"/>
              <w:jc w:val="center"/>
              <w:rPr>
                <w:rFonts w:hint="default" w:ascii="宋体" w:hAnsi="宋体" w:eastAsia="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合成树脂工业污染物</w:t>
            </w:r>
            <w:r>
              <w:rPr>
                <w:rFonts w:hint="eastAsia" w:ascii="宋体" w:hAnsi="宋体" w:cs="宋体"/>
                <w:szCs w:val="21"/>
                <w:lang w:eastAsia="zh-CN"/>
              </w:rPr>
              <w:t>排放标准》（</w:t>
            </w:r>
            <w:r>
              <w:rPr>
                <w:rFonts w:hint="eastAsia" w:ascii="宋体" w:hAnsi="宋体" w:cs="宋体"/>
                <w:szCs w:val="21"/>
                <w:lang w:val="en-US" w:eastAsia="zh-CN"/>
              </w:rPr>
              <w:t>GB31572-2015</w:t>
            </w:r>
            <w:r>
              <w:rPr>
                <w:rFonts w:hint="eastAsia" w:ascii="宋体" w:hAnsi="宋体" w:cs="宋体"/>
                <w:szCs w:val="21"/>
                <w:lang w:eastAsia="zh-CN"/>
              </w:rPr>
              <w:t>）表</w:t>
            </w:r>
            <w:r>
              <w:rPr>
                <w:rFonts w:hint="eastAsia" w:ascii="宋体" w:hAnsi="宋体" w:cs="宋体"/>
                <w:szCs w:val="21"/>
                <w:lang w:val="en-US" w:eastAsia="zh-CN"/>
              </w:rPr>
              <w:t>5大气污染物特别排放限值</w:t>
            </w:r>
          </w:p>
        </w:tc>
      </w:tr>
      <w:tr w14:paraId="6122A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151F9E5A">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水环境</w:t>
            </w:r>
          </w:p>
        </w:tc>
        <w:tc>
          <w:tcPr>
            <w:tcW w:w="1655" w:type="dxa"/>
            <w:noWrap w:val="0"/>
            <w:vAlign w:val="center"/>
          </w:tcPr>
          <w:p w14:paraId="6B94B458">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w:t>
            </w:r>
          </w:p>
        </w:tc>
        <w:tc>
          <w:tcPr>
            <w:tcW w:w="1271" w:type="dxa"/>
            <w:noWrap w:val="0"/>
            <w:vAlign w:val="center"/>
          </w:tcPr>
          <w:p w14:paraId="1093E1BE">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w:t>
            </w:r>
          </w:p>
        </w:tc>
        <w:tc>
          <w:tcPr>
            <w:tcW w:w="1538" w:type="dxa"/>
            <w:noWrap w:val="0"/>
            <w:vAlign w:val="center"/>
          </w:tcPr>
          <w:p w14:paraId="4D82B4CD">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w:t>
            </w:r>
          </w:p>
        </w:tc>
        <w:tc>
          <w:tcPr>
            <w:tcW w:w="2558" w:type="dxa"/>
            <w:noWrap w:val="0"/>
            <w:vAlign w:val="center"/>
          </w:tcPr>
          <w:p w14:paraId="242121D5">
            <w:pPr>
              <w:adjustRightInd w:val="0"/>
              <w:snapToGrid w:val="0"/>
              <w:jc w:val="center"/>
              <w:rPr>
                <w:rFonts w:hint="eastAsia" w:ascii="宋体" w:hAnsi="宋体" w:cs="宋体"/>
                <w:szCs w:val="21"/>
                <w:lang w:eastAsia="zh-CN"/>
              </w:rPr>
            </w:pPr>
            <w:r>
              <w:rPr>
                <w:rFonts w:hint="eastAsia"/>
                <w:color w:val="000000"/>
                <w:lang w:val="en-US" w:eastAsia="zh-CN"/>
              </w:rPr>
              <w:t>/</w:t>
            </w:r>
          </w:p>
        </w:tc>
      </w:tr>
      <w:tr w14:paraId="4552D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17164CBD">
            <w:pPr>
              <w:adjustRightInd w:val="0"/>
              <w:snapToGrid w:val="0"/>
              <w:jc w:val="center"/>
              <w:rPr>
                <w:rFonts w:hint="eastAsia" w:ascii="宋体" w:hAnsi="宋体" w:cs="宋体"/>
                <w:szCs w:val="21"/>
              </w:rPr>
            </w:pPr>
            <w:r>
              <w:rPr>
                <w:rFonts w:hint="eastAsia" w:ascii="宋体" w:hAnsi="宋体" w:cs="宋体"/>
                <w:szCs w:val="21"/>
              </w:rPr>
              <w:t>声环境</w:t>
            </w:r>
          </w:p>
        </w:tc>
        <w:tc>
          <w:tcPr>
            <w:tcW w:w="1655" w:type="dxa"/>
            <w:noWrap w:val="0"/>
            <w:vAlign w:val="center"/>
          </w:tcPr>
          <w:p w14:paraId="07D82C10">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宋体" w:hAnsi="宋体" w:eastAsia="宋体" w:cs="宋体"/>
                <w:szCs w:val="21"/>
                <w:lang w:eastAsia="zh-CN"/>
              </w:rPr>
            </w:pPr>
            <w:r>
              <w:rPr>
                <w:rFonts w:hint="eastAsia" w:ascii="宋体" w:hAnsi="宋体" w:eastAsia="宋体"/>
                <w:bCs/>
                <w:color w:val="auto"/>
                <w:sz w:val="21"/>
                <w:szCs w:val="21"/>
                <w:lang w:val="en-US" w:eastAsia="zh-CN"/>
              </w:rPr>
              <w:t>摆锤冲击试验机、真空泵、粉碎机、</w:t>
            </w:r>
            <w:r>
              <w:rPr>
                <w:rFonts w:hint="eastAsia" w:ascii="Times New Roman"/>
                <w:bCs/>
                <w:color w:val="auto"/>
                <w:sz w:val="21"/>
                <w:szCs w:val="21"/>
                <w:lang w:val="en-US" w:eastAsia="zh-CN"/>
              </w:rPr>
              <w:t>搅拌机、切粒机等</w:t>
            </w:r>
          </w:p>
        </w:tc>
        <w:tc>
          <w:tcPr>
            <w:tcW w:w="1271" w:type="dxa"/>
            <w:noWrap w:val="0"/>
            <w:vAlign w:val="center"/>
          </w:tcPr>
          <w:p w14:paraId="17E2A9FC">
            <w:pPr>
              <w:adjustRightInd w:val="0"/>
              <w:snapToGrid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等效A声级</w:t>
            </w:r>
          </w:p>
        </w:tc>
        <w:tc>
          <w:tcPr>
            <w:tcW w:w="1538" w:type="dxa"/>
            <w:noWrap w:val="0"/>
            <w:vAlign w:val="center"/>
          </w:tcPr>
          <w:p w14:paraId="14E708A0">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厂房隔声</w:t>
            </w:r>
          </w:p>
        </w:tc>
        <w:tc>
          <w:tcPr>
            <w:tcW w:w="2558" w:type="dxa"/>
            <w:noWrap w:val="0"/>
            <w:vAlign w:val="center"/>
          </w:tcPr>
          <w:p w14:paraId="4661A1CA">
            <w:pPr>
              <w:adjustRightInd w:val="0"/>
              <w:snapToGrid w:val="0"/>
              <w:jc w:val="center"/>
              <w:rPr>
                <w:rFonts w:hint="default" w:ascii="宋体" w:hAnsi="宋体" w:eastAsia="宋体" w:cs="宋体"/>
                <w:szCs w:val="21"/>
                <w:lang w:val="en-US" w:eastAsia="zh-CN"/>
              </w:rPr>
            </w:pPr>
            <w:r>
              <w:rPr>
                <w:rFonts w:hint="eastAsia" w:ascii="宋体" w:hAnsi="宋体" w:cs="宋体"/>
                <w:szCs w:val="21"/>
                <w:lang w:eastAsia="zh-CN"/>
              </w:rPr>
              <w:t>《工业企业厂界环境噪声排放标准》（</w:t>
            </w:r>
            <w:r>
              <w:rPr>
                <w:rFonts w:hint="eastAsia" w:ascii="宋体" w:hAnsi="宋体" w:cs="宋体"/>
                <w:szCs w:val="21"/>
                <w:lang w:val="en-US" w:eastAsia="zh-CN"/>
              </w:rPr>
              <w:t>GB12348-2008</w:t>
            </w:r>
            <w:r>
              <w:rPr>
                <w:rFonts w:hint="eastAsia" w:ascii="宋体" w:hAnsi="宋体" w:cs="宋体"/>
                <w:szCs w:val="21"/>
                <w:lang w:eastAsia="zh-CN"/>
              </w:rPr>
              <w:t>）</w:t>
            </w:r>
            <w:r>
              <w:rPr>
                <w:rFonts w:hint="eastAsia" w:ascii="宋体" w:hAnsi="宋体" w:cs="宋体"/>
                <w:szCs w:val="21"/>
                <w:lang w:val="en-US" w:eastAsia="zh-CN"/>
              </w:rPr>
              <w:t>3类功能区标准</w:t>
            </w:r>
          </w:p>
        </w:tc>
      </w:tr>
      <w:tr w14:paraId="6E5BA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778" w:type="dxa"/>
            <w:noWrap w:val="0"/>
            <w:vAlign w:val="center"/>
          </w:tcPr>
          <w:p w14:paraId="039F3495">
            <w:pPr>
              <w:adjustRightInd w:val="0"/>
              <w:snapToGrid w:val="0"/>
              <w:jc w:val="center"/>
              <w:rPr>
                <w:rFonts w:hint="eastAsia" w:ascii="宋体" w:hAnsi="宋体" w:cs="宋体"/>
                <w:szCs w:val="21"/>
              </w:rPr>
            </w:pPr>
            <w:r>
              <w:rPr>
                <w:rFonts w:hint="eastAsia" w:ascii="宋体" w:hAnsi="宋体" w:cs="宋体"/>
                <w:szCs w:val="21"/>
              </w:rPr>
              <w:t>固体废物</w:t>
            </w:r>
          </w:p>
        </w:tc>
        <w:tc>
          <w:tcPr>
            <w:tcW w:w="7022" w:type="dxa"/>
            <w:gridSpan w:val="4"/>
            <w:noWrap w:val="0"/>
            <w:vAlign w:val="center"/>
          </w:tcPr>
          <w:p w14:paraId="136B67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Times New Roman"/>
                <w:color w:val="000000"/>
                <w:kern w:val="2"/>
                <w:sz w:val="21"/>
                <w:szCs w:val="24"/>
                <w:lang w:val="en-US" w:eastAsia="zh-CN" w:bidi="ar-SA"/>
              </w:rPr>
              <w:t>本项目一般固废主要包括试验产生的部分聚酯类聚合物</w:t>
            </w:r>
            <w:r>
              <w:rPr>
                <w:rFonts w:hint="eastAsia"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边角料</w:t>
            </w:r>
            <w:r>
              <w:rPr>
                <w:rFonts w:hint="eastAsia"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粉碎机收尘等，产生量约</w:t>
            </w:r>
            <w:r>
              <w:rPr>
                <w:rFonts w:hint="eastAsia" w:cs="Times New Roman"/>
                <w:color w:val="000000"/>
                <w:kern w:val="2"/>
                <w:sz w:val="21"/>
                <w:szCs w:val="24"/>
                <w:lang w:val="en-US" w:eastAsia="zh-CN" w:bidi="ar-SA"/>
              </w:rPr>
              <w:t>3</w:t>
            </w:r>
            <w:r>
              <w:rPr>
                <w:rFonts w:hint="eastAsia" w:ascii="Times New Roman" w:hAnsi="Times New Roman" w:eastAsia="宋体" w:cs="Times New Roman"/>
                <w:color w:val="000000"/>
                <w:kern w:val="2"/>
                <w:sz w:val="21"/>
                <w:szCs w:val="24"/>
                <w:lang w:val="en-US" w:eastAsia="zh-CN" w:bidi="ar-SA"/>
              </w:rPr>
              <w:t>00t/a，收集后送当地废品回收站。生活垃圾产生量约15t/a，依托新疆维格瑞生物科技有限公司现有设施收集，交园区环卫部门处理。</w:t>
            </w:r>
          </w:p>
          <w:p w14:paraId="1FBC78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1"/>
                <w:lang w:val="en-US" w:eastAsia="zh-CN"/>
              </w:rPr>
            </w:pPr>
            <w:r>
              <w:rPr>
                <w:rFonts w:hint="eastAsia" w:cs="Times New Roman"/>
                <w:color w:val="000000"/>
                <w:kern w:val="2"/>
                <w:sz w:val="21"/>
                <w:szCs w:val="24"/>
                <w:lang w:val="en-US" w:eastAsia="zh-CN" w:bidi="ar-SA"/>
              </w:rPr>
              <w:t>本项目</w:t>
            </w:r>
            <w:r>
              <w:rPr>
                <w:rFonts w:hint="eastAsia" w:ascii="Times New Roman" w:hAnsi="Times New Roman" w:eastAsia="宋体" w:cs="Times New Roman"/>
                <w:color w:val="000000"/>
                <w:kern w:val="2"/>
                <w:sz w:val="21"/>
                <w:szCs w:val="24"/>
                <w:lang w:val="en-US" w:eastAsia="zh-CN" w:bidi="ar-SA"/>
              </w:rPr>
              <w:t>试验过程产生的废液，沾染有机溶剂或废酸的一次性实验用品等属危险废物（900-047-49），产生量约1t/a</w:t>
            </w:r>
            <w:r>
              <w:rPr>
                <w:rFonts w:hint="eastAsia"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设备检维修产生的废机油（900-217-08），产生量约0.04t/a</w:t>
            </w:r>
            <w:r>
              <w:rPr>
                <w:rFonts w:hint="eastAsia" w:cs="Times New Roman"/>
                <w:color w:val="000000"/>
                <w:kern w:val="2"/>
                <w:sz w:val="21"/>
                <w:szCs w:val="24"/>
                <w:lang w:val="en-US" w:eastAsia="zh-CN" w:bidi="ar-SA"/>
              </w:rPr>
              <w:t>；</w:t>
            </w:r>
            <w:r>
              <w:rPr>
                <w:rFonts w:hint="eastAsia" w:ascii="Times New Roman" w:hAnsi="Times New Roman" w:eastAsia="宋体" w:cs="Times New Roman"/>
                <w:color w:val="000000"/>
                <w:kern w:val="2"/>
                <w:sz w:val="21"/>
                <w:szCs w:val="24"/>
                <w:lang w:val="en-US" w:eastAsia="zh-CN" w:bidi="ar-SA"/>
              </w:rPr>
              <w:t>废活性炭吸附设施产生的废活性炭，产生量约0.05t/a，属于危险废物（900-047-49），</w:t>
            </w:r>
            <w:r>
              <w:rPr>
                <w:rFonts w:hint="eastAsia" w:cs="Times New Roman"/>
                <w:color w:val="000000"/>
                <w:kern w:val="2"/>
                <w:sz w:val="21"/>
                <w:szCs w:val="24"/>
                <w:lang w:val="en-US" w:eastAsia="zh-CN" w:bidi="ar-SA"/>
              </w:rPr>
              <w:t>以上危险废物均采用密闭包装收集，</w:t>
            </w:r>
            <w:r>
              <w:rPr>
                <w:rFonts w:hint="eastAsia" w:ascii="Times New Roman" w:hAnsi="Times New Roman" w:eastAsia="宋体" w:cs="Times New Roman"/>
                <w:color w:val="000000"/>
                <w:kern w:val="2"/>
                <w:sz w:val="21"/>
                <w:szCs w:val="24"/>
                <w:lang w:val="en-US" w:eastAsia="zh-CN" w:bidi="ar-SA"/>
              </w:rPr>
              <w:t>依托新疆维格瑞生物科技有限公司危废暂存间暂存，定期委托有资质的单位处理。</w:t>
            </w:r>
          </w:p>
        </w:tc>
      </w:tr>
      <w:tr w14:paraId="6F140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778" w:type="dxa"/>
            <w:noWrap w:val="0"/>
            <w:vAlign w:val="center"/>
          </w:tcPr>
          <w:p w14:paraId="5C5232C7">
            <w:pPr>
              <w:adjustRightInd w:val="0"/>
              <w:snapToGrid w:val="0"/>
              <w:jc w:val="center"/>
              <w:rPr>
                <w:rFonts w:hint="eastAsia" w:ascii="宋体" w:hAnsi="宋体" w:cs="宋体"/>
                <w:szCs w:val="21"/>
              </w:rPr>
            </w:pPr>
            <w:r>
              <w:rPr>
                <w:rFonts w:hint="eastAsia" w:ascii="宋体" w:hAnsi="宋体" w:cs="宋体"/>
                <w:szCs w:val="21"/>
              </w:rPr>
              <w:t>土壤及地下水</w:t>
            </w:r>
          </w:p>
          <w:p w14:paraId="0A763C04">
            <w:pPr>
              <w:adjustRightInd w:val="0"/>
              <w:snapToGrid w:val="0"/>
              <w:jc w:val="center"/>
              <w:rPr>
                <w:rFonts w:hint="eastAsia" w:ascii="宋体" w:hAnsi="宋体" w:cs="宋体"/>
                <w:szCs w:val="21"/>
              </w:rPr>
            </w:pPr>
            <w:r>
              <w:rPr>
                <w:rFonts w:hint="eastAsia" w:ascii="宋体" w:hAnsi="宋体" w:cs="宋体"/>
                <w:szCs w:val="21"/>
              </w:rPr>
              <w:t>污染防治措施</w:t>
            </w:r>
          </w:p>
        </w:tc>
        <w:tc>
          <w:tcPr>
            <w:tcW w:w="7022" w:type="dxa"/>
            <w:gridSpan w:val="4"/>
            <w:noWrap w:val="0"/>
            <w:vAlign w:val="center"/>
          </w:tcPr>
          <w:p w14:paraId="40398008">
            <w:pPr>
              <w:adjustRightInd w:val="0"/>
              <w:snapToGrid w:val="0"/>
              <w:jc w:val="center"/>
              <w:rPr>
                <w:rFonts w:hint="eastAsia" w:ascii="宋体" w:hAnsi="宋体" w:eastAsia="宋体" w:cs="宋体"/>
                <w:szCs w:val="21"/>
                <w:lang w:eastAsia="zh-CN"/>
              </w:rPr>
            </w:pPr>
            <w:r>
              <w:rPr>
                <w:rFonts w:hint="eastAsia" w:ascii="宋体" w:hAnsi="宋体" w:cs="宋体"/>
                <w:szCs w:val="21"/>
                <w:lang w:val="en-US" w:eastAsia="zh-CN"/>
              </w:rPr>
              <w:t>无</w:t>
            </w:r>
          </w:p>
        </w:tc>
      </w:tr>
      <w:tr w14:paraId="6D0AB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78" w:type="dxa"/>
            <w:noWrap w:val="0"/>
            <w:vAlign w:val="center"/>
          </w:tcPr>
          <w:p w14:paraId="4A14395D">
            <w:pPr>
              <w:adjustRightInd w:val="0"/>
              <w:snapToGrid w:val="0"/>
              <w:jc w:val="center"/>
              <w:rPr>
                <w:rFonts w:hint="eastAsia" w:ascii="宋体" w:hAnsi="宋体" w:cs="宋体"/>
                <w:szCs w:val="21"/>
              </w:rPr>
            </w:pPr>
            <w:r>
              <w:rPr>
                <w:rFonts w:hint="eastAsia" w:ascii="宋体" w:hAnsi="宋体" w:cs="宋体"/>
                <w:szCs w:val="21"/>
              </w:rPr>
              <w:t>生态保护措施</w:t>
            </w:r>
          </w:p>
        </w:tc>
        <w:tc>
          <w:tcPr>
            <w:tcW w:w="7022" w:type="dxa"/>
            <w:gridSpan w:val="4"/>
            <w:noWrap w:val="0"/>
            <w:vAlign w:val="center"/>
          </w:tcPr>
          <w:p w14:paraId="715BBEE1">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无</w:t>
            </w:r>
          </w:p>
        </w:tc>
      </w:tr>
      <w:tr w14:paraId="72D63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778" w:type="dxa"/>
            <w:noWrap w:val="0"/>
            <w:vAlign w:val="center"/>
          </w:tcPr>
          <w:p w14:paraId="4A8E9659">
            <w:pPr>
              <w:adjustRightInd w:val="0"/>
              <w:snapToGrid w:val="0"/>
              <w:jc w:val="center"/>
              <w:rPr>
                <w:rFonts w:ascii="宋体" w:hAnsi="宋体" w:cs="宋体"/>
                <w:spacing w:val="-8"/>
                <w:szCs w:val="21"/>
              </w:rPr>
            </w:pPr>
            <w:r>
              <w:rPr>
                <w:rFonts w:hint="eastAsia" w:ascii="宋体" w:hAnsi="宋体" w:cs="宋体"/>
                <w:spacing w:val="-8"/>
                <w:szCs w:val="21"/>
              </w:rPr>
              <w:t>环境风险</w:t>
            </w:r>
          </w:p>
          <w:p w14:paraId="16C9D86D">
            <w:pPr>
              <w:adjustRightInd w:val="0"/>
              <w:snapToGrid w:val="0"/>
              <w:jc w:val="center"/>
              <w:rPr>
                <w:rFonts w:hint="eastAsia" w:ascii="宋体" w:hAnsi="宋体" w:cs="宋体"/>
                <w:spacing w:val="-8"/>
                <w:szCs w:val="21"/>
              </w:rPr>
            </w:pPr>
            <w:r>
              <w:rPr>
                <w:rFonts w:hint="eastAsia" w:ascii="宋体" w:hAnsi="宋体" w:cs="宋体"/>
                <w:spacing w:val="-8"/>
                <w:szCs w:val="21"/>
              </w:rPr>
              <w:t>防范措施</w:t>
            </w:r>
          </w:p>
        </w:tc>
        <w:tc>
          <w:tcPr>
            <w:tcW w:w="7022" w:type="dxa"/>
            <w:gridSpan w:val="4"/>
            <w:noWrap w:val="0"/>
            <w:vAlign w:val="center"/>
          </w:tcPr>
          <w:p w14:paraId="27903C3F">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严格按照实验规程操作，实验室内设置有毒有害气体报警和火灾报警设施</w:t>
            </w:r>
          </w:p>
        </w:tc>
      </w:tr>
      <w:tr w14:paraId="7ECC7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778" w:type="dxa"/>
            <w:noWrap w:val="0"/>
            <w:vAlign w:val="center"/>
          </w:tcPr>
          <w:p w14:paraId="584AEBB7">
            <w:pPr>
              <w:adjustRightInd w:val="0"/>
              <w:snapToGrid w:val="0"/>
              <w:jc w:val="center"/>
              <w:rPr>
                <w:rFonts w:ascii="宋体" w:hAnsi="宋体" w:cs="宋体"/>
                <w:spacing w:val="-8"/>
                <w:szCs w:val="21"/>
              </w:rPr>
            </w:pPr>
            <w:r>
              <w:rPr>
                <w:rFonts w:hint="eastAsia" w:ascii="宋体" w:hAnsi="宋体" w:cs="宋体"/>
                <w:spacing w:val="-8"/>
                <w:szCs w:val="21"/>
              </w:rPr>
              <w:t>其他环境</w:t>
            </w:r>
          </w:p>
          <w:p w14:paraId="57C022EE">
            <w:pPr>
              <w:adjustRightInd w:val="0"/>
              <w:snapToGrid w:val="0"/>
              <w:jc w:val="center"/>
              <w:rPr>
                <w:rFonts w:hint="eastAsia" w:ascii="宋体" w:hAnsi="宋体" w:cs="宋体"/>
                <w:spacing w:val="-8"/>
                <w:szCs w:val="21"/>
              </w:rPr>
            </w:pPr>
            <w:r>
              <w:rPr>
                <w:rFonts w:hint="eastAsia" w:ascii="宋体" w:hAnsi="宋体" w:cs="宋体"/>
                <w:spacing w:val="-8"/>
                <w:szCs w:val="21"/>
              </w:rPr>
              <w:t>管理要求</w:t>
            </w:r>
          </w:p>
        </w:tc>
        <w:tc>
          <w:tcPr>
            <w:tcW w:w="7022" w:type="dxa"/>
            <w:gridSpan w:val="4"/>
            <w:noWrap w:val="0"/>
            <w:vAlign w:val="center"/>
          </w:tcPr>
          <w:p w14:paraId="171B4664">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强化</w:t>
            </w:r>
            <w:r>
              <w:rPr>
                <w:rFonts w:hint="eastAsia" w:ascii="宋体" w:hAnsi="宋体" w:cs="宋体"/>
                <w:szCs w:val="21"/>
                <w:lang w:val="en-US" w:eastAsia="zh-CN"/>
              </w:rPr>
              <w:t>实验设备</w:t>
            </w:r>
            <w:r>
              <w:rPr>
                <w:rFonts w:hint="eastAsia" w:ascii="宋体" w:hAnsi="宋体" w:cs="宋体"/>
                <w:szCs w:val="21"/>
                <w:lang w:eastAsia="zh-CN"/>
              </w:rPr>
              <w:t>管理，定期维护</w:t>
            </w:r>
          </w:p>
        </w:tc>
      </w:tr>
    </w:tbl>
    <w:p w14:paraId="65988367">
      <w:pPr>
        <w:pStyle w:val="14"/>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7DA7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275588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ascii="Times New Roman" w:hAnsi="Times New Roman"/>
                <w:b w:val="0"/>
                <w:bCs/>
                <w:color w:val="auto"/>
              </w:rPr>
              <w:t>本</w:t>
            </w:r>
            <w:r>
              <w:rPr>
                <w:rFonts w:hint="eastAsia"/>
                <w:b w:val="0"/>
                <w:bCs/>
                <w:color w:val="auto"/>
                <w:lang w:val="en-US" w:eastAsia="zh-CN"/>
              </w:rPr>
              <w:t>项目</w:t>
            </w:r>
            <w:r>
              <w:rPr>
                <w:rFonts w:ascii="Times New Roman" w:hAnsi="Times New Roman"/>
                <w:b w:val="0"/>
                <w:bCs/>
                <w:color w:val="auto"/>
              </w:rPr>
              <w:t>建设符合国家产业政策，在严格采取环评报告</w:t>
            </w:r>
            <w:r>
              <w:rPr>
                <w:rFonts w:hint="eastAsia"/>
                <w:b w:val="0"/>
                <w:bCs/>
                <w:color w:val="auto"/>
                <w:lang w:val="en-US" w:eastAsia="zh-CN"/>
              </w:rPr>
              <w:t>要求</w:t>
            </w:r>
            <w:r>
              <w:rPr>
                <w:rFonts w:ascii="Times New Roman" w:hAnsi="Times New Roman"/>
                <w:b w:val="0"/>
                <w:bCs/>
                <w:color w:val="auto"/>
              </w:rPr>
              <w:t>的环境保护对策后，各污染源所排放污染物可以达标排放，对环境影响较小。</w:t>
            </w:r>
            <w:r>
              <w:rPr>
                <w:rFonts w:hint="eastAsia" w:ascii="Times New Roman" w:hAnsi="Times New Roman"/>
                <w:b w:val="0"/>
                <w:bCs/>
                <w:color w:val="auto"/>
                <w:lang w:eastAsia="zh-CN"/>
              </w:rPr>
              <w:t>建设单位应</w:t>
            </w:r>
            <w:r>
              <w:rPr>
                <w:rFonts w:ascii="Times New Roman" w:hAnsi="Times New Roman"/>
                <w:b w:val="0"/>
                <w:bCs/>
                <w:color w:val="auto"/>
              </w:rPr>
              <w:t>在日常运转管理中，切实落实好本评价提出的有关环境保护的对策和措施，从环境保护的角度，该项目</w:t>
            </w:r>
            <w:r>
              <w:rPr>
                <w:rFonts w:hint="eastAsia"/>
                <w:b w:val="0"/>
                <w:bCs/>
                <w:color w:val="auto"/>
                <w:lang w:val="en-US" w:eastAsia="zh-CN"/>
              </w:rPr>
              <w:t>建设</w:t>
            </w:r>
            <w:r>
              <w:rPr>
                <w:rFonts w:ascii="Times New Roman" w:hAnsi="Times New Roman"/>
                <w:b w:val="0"/>
                <w:bCs/>
                <w:color w:val="auto"/>
              </w:rPr>
              <w:t>是可行的。</w:t>
            </w:r>
          </w:p>
        </w:tc>
      </w:tr>
    </w:tbl>
    <w:p w14:paraId="7155340A">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6522FCE">
      <w:pPr>
        <w:pStyle w:val="14"/>
        <w:adjustRightInd w:val="0"/>
        <w:snapToGrid w:val="0"/>
        <w:spacing w:before="0" w:beforeAutospacing="0" w:after="0" w:afterAutospacing="0" w:line="648"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14:paraId="6603E9AA">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auto"/>
        <w:jc w:val="center"/>
        <w:textAlignment w:val="auto"/>
        <w:outlineLvl w:val="0"/>
        <w:rPr>
          <w:rFonts w:hint="eastAsia"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1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704"/>
        <w:gridCol w:w="1081"/>
      </w:tblGrid>
      <w:tr w14:paraId="34328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1E96FE21">
            <w:pPr>
              <w:pStyle w:val="34"/>
              <w:spacing w:beforeLines="0" w:afterLines="0" w:line="240" w:lineRule="auto"/>
              <w:jc w:val="righ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14:paraId="5E919DD8">
            <w:pPr>
              <w:pStyle w:val="34"/>
              <w:spacing w:beforeLines="0" w:afterLines="0" w:line="240" w:lineRule="auto"/>
              <w:jc w:val="lef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417" w:type="dxa"/>
            <w:noWrap w:val="0"/>
            <w:tcMar>
              <w:left w:w="28" w:type="dxa"/>
              <w:right w:w="28" w:type="dxa"/>
            </w:tcMar>
            <w:vAlign w:val="center"/>
          </w:tcPr>
          <w:p w14:paraId="429CDD06">
            <w:pPr>
              <w:pStyle w:val="34"/>
              <w:spacing w:beforeLines="0" w:afterLines="0" w:line="240" w:lineRule="auto"/>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701" w:type="dxa"/>
            <w:noWrap w:val="0"/>
            <w:tcMar>
              <w:left w:w="28" w:type="dxa"/>
              <w:right w:w="28" w:type="dxa"/>
            </w:tcMar>
            <w:vAlign w:val="center"/>
          </w:tcPr>
          <w:p w14:paraId="776EADAC">
            <w:pPr>
              <w:pStyle w:val="34"/>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14:paraId="14EACAA0">
            <w:pPr>
              <w:pStyle w:val="34"/>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1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color w:val="000000"/>
                <w:spacing w:val="-6"/>
                <w:kern w:val="21"/>
                <w:szCs w:val="21"/>
              </w:rPr>
              <w:fldChar w:fldCharType="end"/>
            </w:r>
          </w:p>
        </w:tc>
        <w:tc>
          <w:tcPr>
            <w:tcW w:w="1276" w:type="dxa"/>
            <w:noWrap w:val="0"/>
            <w:tcMar>
              <w:left w:w="28" w:type="dxa"/>
              <w:right w:w="28" w:type="dxa"/>
            </w:tcMar>
            <w:vAlign w:val="center"/>
          </w:tcPr>
          <w:p w14:paraId="1E123DE2">
            <w:pPr>
              <w:pStyle w:val="34"/>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14:paraId="7C881EFF">
            <w:pPr>
              <w:pStyle w:val="34"/>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许可排放量</w:t>
            </w:r>
          </w:p>
          <w:p w14:paraId="08081B1A">
            <w:pPr>
              <w:pStyle w:val="34"/>
              <w:spacing w:beforeLines="0" w:afterLines="0"/>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2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ascii="黑体" w:hAnsi="黑体" w:eastAsia="黑体"/>
                <w:snapToGrid w:val="0"/>
                <w:color w:val="000000"/>
                <w:spacing w:val="-6"/>
                <w:kern w:val="21"/>
                <w:szCs w:val="21"/>
              </w:rPr>
              <w:fldChar w:fldCharType="end"/>
            </w:r>
          </w:p>
        </w:tc>
        <w:tc>
          <w:tcPr>
            <w:tcW w:w="1701" w:type="dxa"/>
            <w:noWrap w:val="0"/>
            <w:tcMar>
              <w:left w:w="28" w:type="dxa"/>
              <w:right w:w="28" w:type="dxa"/>
            </w:tcMar>
            <w:vAlign w:val="center"/>
          </w:tcPr>
          <w:p w14:paraId="25F6A533">
            <w:pPr>
              <w:pStyle w:val="34"/>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在建工程</w:t>
            </w:r>
          </w:p>
          <w:p w14:paraId="2B54CEE7">
            <w:pPr>
              <w:pStyle w:val="34"/>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3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color w:val="000000"/>
                <w:spacing w:val="-6"/>
                <w:kern w:val="21"/>
                <w:szCs w:val="21"/>
              </w:rPr>
              <w:fldChar w:fldCharType="end"/>
            </w:r>
          </w:p>
        </w:tc>
        <w:tc>
          <w:tcPr>
            <w:tcW w:w="1559" w:type="dxa"/>
            <w:noWrap w:val="0"/>
            <w:tcMar>
              <w:left w:w="28" w:type="dxa"/>
              <w:right w:w="28" w:type="dxa"/>
            </w:tcMar>
            <w:vAlign w:val="center"/>
          </w:tcPr>
          <w:p w14:paraId="092A862C">
            <w:pPr>
              <w:pStyle w:val="34"/>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本项目</w:t>
            </w:r>
          </w:p>
          <w:p w14:paraId="67E8A097">
            <w:pPr>
              <w:pStyle w:val="34"/>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4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color w:val="000000"/>
                <w:spacing w:val="-6"/>
                <w:kern w:val="21"/>
                <w:szCs w:val="21"/>
              </w:rPr>
              <w:fldChar w:fldCharType="end"/>
            </w:r>
          </w:p>
        </w:tc>
        <w:tc>
          <w:tcPr>
            <w:tcW w:w="1761" w:type="dxa"/>
            <w:noWrap w:val="0"/>
            <w:tcMar>
              <w:left w:w="28" w:type="dxa"/>
              <w:right w:w="28" w:type="dxa"/>
            </w:tcMar>
            <w:vAlign w:val="center"/>
          </w:tcPr>
          <w:p w14:paraId="4F52C902">
            <w:pPr>
              <w:pStyle w:val="34"/>
              <w:spacing w:beforeLines="0" w:afterLines="0" w:line="240" w:lineRule="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以新带老削减量</w:t>
            </w:r>
          </w:p>
          <w:p w14:paraId="3D125C1A">
            <w:pPr>
              <w:pStyle w:val="34"/>
              <w:spacing w:beforeLines="0" w:afterLines="0" w:line="240" w:lineRule="auto"/>
              <w:rPr>
                <w:rFonts w:ascii="黑体" w:hAnsi="黑体" w:eastAsia="黑体"/>
                <w:snapToGrid w:val="0"/>
                <w:color w:val="000000"/>
                <w:spacing w:val="-16"/>
                <w:kern w:val="21"/>
                <w:szCs w:val="21"/>
              </w:rPr>
            </w:pPr>
            <w:r>
              <w:rPr>
                <w:rFonts w:ascii="黑体" w:hAnsi="黑体" w:eastAsia="黑体"/>
                <w:snapToGrid w:val="0"/>
                <w:color w:val="000000"/>
                <w:spacing w:val="-16"/>
                <w:kern w:val="21"/>
                <w:szCs w:val="21"/>
              </w:rPr>
              <w:t>（新建项目不填）</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5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color w:val="000000"/>
                <w:spacing w:val="-16"/>
                <w:kern w:val="21"/>
                <w:szCs w:val="21"/>
              </w:rPr>
              <w:fldChar w:fldCharType="end"/>
            </w:r>
          </w:p>
        </w:tc>
        <w:tc>
          <w:tcPr>
            <w:tcW w:w="1704" w:type="dxa"/>
            <w:noWrap w:val="0"/>
            <w:tcMar>
              <w:left w:w="28" w:type="dxa"/>
              <w:right w:w="28" w:type="dxa"/>
            </w:tcMar>
            <w:vAlign w:val="center"/>
          </w:tcPr>
          <w:p w14:paraId="1F910FE9">
            <w:pPr>
              <w:pStyle w:val="34"/>
              <w:spacing w:beforeLines="0" w:afterLines="0" w:line="240" w:lineRule="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本项目建成后</w:t>
            </w:r>
          </w:p>
          <w:p w14:paraId="66B0DFF1">
            <w:pPr>
              <w:pStyle w:val="34"/>
              <w:spacing w:beforeLines="0" w:afterLines="0" w:line="240" w:lineRule="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全厂</w:t>
            </w:r>
            <w:r>
              <w:rPr>
                <w:rFonts w:ascii="黑体" w:hAnsi="黑体" w:eastAsia="黑体"/>
                <w:snapToGrid w:val="0"/>
                <w:color w:val="000000"/>
                <w:spacing w:val="-16"/>
                <w:kern w:val="21"/>
                <w:szCs w:val="21"/>
              </w:rPr>
              <w:t>排放量（固</w:t>
            </w:r>
            <w:r>
              <w:rPr>
                <w:rFonts w:hint="eastAsia" w:ascii="黑体" w:hAnsi="黑体" w:eastAsia="黑体"/>
                <w:snapToGrid w:val="0"/>
                <w:color w:val="000000"/>
                <w:spacing w:val="-16"/>
                <w:kern w:val="21"/>
                <w:szCs w:val="21"/>
              </w:rPr>
              <w:t>体</w:t>
            </w:r>
            <w:r>
              <w:rPr>
                <w:rFonts w:ascii="黑体" w:hAnsi="黑体" w:eastAsia="黑体"/>
                <w:snapToGrid w:val="0"/>
                <w:color w:val="000000"/>
                <w:spacing w:val="-16"/>
                <w:kern w:val="21"/>
                <w:szCs w:val="21"/>
              </w:rPr>
              <w:t>废</w:t>
            </w:r>
            <w:r>
              <w:rPr>
                <w:rFonts w:hint="eastAsia" w:ascii="黑体" w:hAnsi="黑体" w:eastAsia="黑体"/>
                <w:snapToGrid w:val="0"/>
                <w:color w:val="000000"/>
                <w:spacing w:val="-16"/>
                <w:kern w:val="21"/>
                <w:szCs w:val="21"/>
              </w:rPr>
              <w:t>物</w:t>
            </w:r>
            <w:r>
              <w:rPr>
                <w:rFonts w:ascii="黑体" w:hAnsi="黑体" w:eastAsia="黑体"/>
                <w:snapToGrid w:val="0"/>
                <w:color w:val="000000"/>
                <w:spacing w:val="-16"/>
                <w:kern w:val="21"/>
                <w:szCs w:val="21"/>
              </w:rPr>
              <w:t>产生量）</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6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color w:val="000000"/>
                <w:spacing w:val="-16"/>
                <w:kern w:val="21"/>
                <w:szCs w:val="21"/>
              </w:rPr>
              <w:fldChar w:fldCharType="end"/>
            </w:r>
          </w:p>
        </w:tc>
        <w:tc>
          <w:tcPr>
            <w:tcW w:w="1081" w:type="dxa"/>
            <w:noWrap w:val="0"/>
            <w:tcMar>
              <w:left w:w="28" w:type="dxa"/>
              <w:right w:w="28" w:type="dxa"/>
            </w:tcMar>
            <w:vAlign w:val="center"/>
          </w:tcPr>
          <w:p w14:paraId="78B703F0">
            <w:pPr>
              <w:pStyle w:val="34"/>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变化量</w:t>
            </w:r>
          </w:p>
          <w:p w14:paraId="380CDC10">
            <w:pPr>
              <w:pStyle w:val="34"/>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7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color w:val="000000"/>
                <w:spacing w:val="-6"/>
                <w:kern w:val="21"/>
                <w:szCs w:val="21"/>
              </w:rPr>
              <w:fldChar w:fldCharType="end"/>
            </w:r>
          </w:p>
        </w:tc>
      </w:tr>
      <w:tr w14:paraId="78FA1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41A40C5F">
            <w:pPr>
              <w:pStyle w:val="34"/>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废气</w:t>
            </w:r>
          </w:p>
        </w:tc>
        <w:tc>
          <w:tcPr>
            <w:tcW w:w="1417" w:type="dxa"/>
            <w:noWrap w:val="0"/>
            <w:vAlign w:val="center"/>
          </w:tcPr>
          <w:p w14:paraId="4E8D0A87">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NMHC</w:t>
            </w:r>
          </w:p>
        </w:tc>
        <w:tc>
          <w:tcPr>
            <w:tcW w:w="1701" w:type="dxa"/>
            <w:noWrap w:val="0"/>
            <w:vAlign w:val="center"/>
          </w:tcPr>
          <w:p w14:paraId="43AFCA29">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eastAsia="宋体" w:cs="宋体"/>
                <w:snapToGrid w:val="0"/>
                <w:color w:val="000000"/>
                <w:kern w:val="21"/>
                <w:szCs w:val="21"/>
                <w:lang w:val="en-US" w:eastAsia="zh-CN"/>
              </w:rPr>
              <w:t>/</w:t>
            </w:r>
          </w:p>
        </w:tc>
        <w:tc>
          <w:tcPr>
            <w:tcW w:w="1276" w:type="dxa"/>
            <w:noWrap w:val="0"/>
            <w:vAlign w:val="center"/>
          </w:tcPr>
          <w:p w14:paraId="36C26AC7">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1" w:type="dxa"/>
            <w:noWrap w:val="0"/>
            <w:vAlign w:val="center"/>
          </w:tcPr>
          <w:p w14:paraId="37A44C10">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559" w:type="dxa"/>
            <w:noWrap w:val="0"/>
            <w:vAlign w:val="center"/>
          </w:tcPr>
          <w:p w14:paraId="08C64291">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0.427t/a</w:t>
            </w:r>
          </w:p>
        </w:tc>
        <w:tc>
          <w:tcPr>
            <w:tcW w:w="1761" w:type="dxa"/>
            <w:noWrap w:val="0"/>
            <w:vAlign w:val="center"/>
          </w:tcPr>
          <w:p w14:paraId="3F3C7494">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4" w:type="dxa"/>
            <w:noWrap w:val="0"/>
            <w:vAlign w:val="center"/>
          </w:tcPr>
          <w:p w14:paraId="74498F77">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0.427t/a</w:t>
            </w:r>
          </w:p>
        </w:tc>
        <w:tc>
          <w:tcPr>
            <w:tcW w:w="1081" w:type="dxa"/>
            <w:noWrap w:val="0"/>
            <w:vAlign w:val="center"/>
          </w:tcPr>
          <w:p w14:paraId="17236EDF">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0.427t/a</w:t>
            </w:r>
          </w:p>
        </w:tc>
      </w:tr>
      <w:tr w14:paraId="3EB59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5F6B2DC0">
            <w:pPr>
              <w:pStyle w:val="34"/>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废水</w:t>
            </w:r>
          </w:p>
        </w:tc>
        <w:tc>
          <w:tcPr>
            <w:tcW w:w="1417" w:type="dxa"/>
            <w:noWrap w:val="0"/>
            <w:vAlign w:val="center"/>
          </w:tcPr>
          <w:p w14:paraId="3712F58D">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eastAsia="宋体" w:cs="宋体"/>
                <w:snapToGrid w:val="0"/>
                <w:color w:val="000000"/>
                <w:kern w:val="21"/>
                <w:szCs w:val="21"/>
                <w:lang w:val="en-US" w:eastAsia="zh-CN"/>
              </w:rPr>
              <w:t>实验废水</w:t>
            </w:r>
          </w:p>
        </w:tc>
        <w:tc>
          <w:tcPr>
            <w:tcW w:w="1701" w:type="dxa"/>
            <w:noWrap w:val="0"/>
            <w:vAlign w:val="center"/>
          </w:tcPr>
          <w:p w14:paraId="42821EB4">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276" w:type="dxa"/>
            <w:noWrap w:val="0"/>
            <w:vAlign w:val="center"/>
          </w:tcPr>
          <w:p w14:paraId="7631C563">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1" w:type="dxa"/>
            <w:noWrap w:val="0"/>
            <w:vAlign w:val="center"/>
          </w:tcPr>
          <w:p w14:paraId="78A5501E">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559" w:type="dxa"/>
            <w:noWrap w:val="0"/>
            <w:vAlign w:val="center"/>
          </w:tcPr>
          <w:p w14:paraId="5732D3E8">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30m³/a</w:t>
            </w:r>
          </w:p>
        </w:tc>
        <w:tc>
          <w:tcPr>
            <w:tcW w:w="1761" w:type="dxa"/>
            <w:noWrap w:val="0"/>
            <w:vAlign w:val="center"/>
          </w:tcPr>
          <w:p w14:paraId="513D42A1">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4" w:type="dxa"/>
            <w:noWrap w:val="0"/>
            <w:vAlign w:val="center"/>
          </w:tcPr>
          <w:p w14:paraId="6087A380">
            <w:pPr>
              <w:pStyle w:val="34"/>
              <w:spacing w:beforeLines="0" w:afterLines="0" w:line="240" w:lineRule="auto"/>
              <w:rPr>
                <w:rFonts w:hint="default" w:ascii="宋体"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30m³/a</w:t>
            </w:r>
          </w:p>
        </w:tc>
        <w:tc>
          <w:tcPr>
            <w:tcW w:w="1081" w:type="dxa"/>
            <w:noWrap w:val="0"/>
            <w:vAlign w:val="center"/>
          </w:tcPr>
          <w:p w14:paraId="7DF05F7B">
            <w:pPr>
              <w:pStyle w:val="34"/>
              <w:spacing w:beforeLines="0" w:afterLines="0" w:line="240" w:lineRule="auto"/>
              <w:rPr>
                <w:rFonts w:hint="default" w:ascii="宋体"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30m³/a</w:t>
            </w:r>
          </w:p>
        </w:tc>
      </w:tr>
      <w:tr w14:paraId="79E96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3BBF5443">
            <w:pPr>
              <w:pStyle w:val="34"/>
              <w:spacing w:beforeLines="0" w:afterLines="0" w:line="240" w:lineRule="auto"/>
              <w:rPr>
                <w:rFonts w:hint="eastAsia" w:hAnsi="宋体" w:cs="宋体"/>
                <w:snapToGrid w:val="0"/>
                <w:color w:val="000000"/>
                <w:kern w:val="21"/>
                <w:szCs w:val="21"/>
              </w:rPr>
            </w:pPr>
          </w:p>
        </w:tc>
        <w:tc>
          <w:tcPr>
            <w:tcW w:w="1417" w:type="dxa"/>
            <w:noWrap w:val="0"/>
            <w:vAlign w:val="center"/>
          </w:tcPr>
          <w:p w14:paraId="7D412389">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生活废水</w:t>
            </w:r>
          </w:p>
        </w:tc>
        <w:tc>
          <w:tcPr>
            <w:tcW w:w="1701" w:type="dxa"/>
            <w:noWrap w:val="0"/>
            <w:vAlign w:val="center"/>
          </w:tcPr>
          <w:p w14:paraId="1C96D1CB">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276" w:type="dxa"/>
            <w:noWrap w:val="0"/>
            <w:vAlign w:val="center"/>
          </w:tcPr>
          <w:p w14:paraId="7B8228C8">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1" w:type="dxa"/>
            <w:noWrap w:val="0"/>
            <w:vAlign w:val="center"/>
          </w:tcPr>
          <w:p w14:paraId="271D9D91">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559" w:type="dxa"/>
            <w:noWrap w:val="0"/>
            <w:vAlign w:val="center"/>
          </w:tcPr>
          <w:p w14:paraId="15518D1B">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2400m³/a</w:t>
            </w:r>
          </w:p>
        </w:tc>
        <w:tc>
          <w:tcPr>
            <w:tcW w:w="1761" w:type="dxa"/>
            <w:noWrap w:val="0"/>
            <w:vAlign w:val="center"/>
          </w:tcPr>
          <w:p w14:paraId="1E110B00">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4" w:type="dxa"/>
            <w:noWrap w:val="0"/>
            <w:vAlign w:val="center"/>
          </w:tcPr>
          <w:p w14:paraId="4931E368">
            <w:pPr>
              <w:pStyle w:val="34"/>
              <w:spacing w:beforeLines="0" w:afterLines="0" w:line="240" w:lineRule="auto"/>
              <w:rPr>
                <w:rFonts w:hint="default" w:ascii="宋体"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2400m³/a</w:t>
            </w:r>
          </w:p>
        </w:tc>
        <w:tc>
          <w:tcPr>
            <w:tcW w:w="1081" w:type="dxa"/>
            <w:noWrap w:val="0"/>
            <w:vAlign w:val="center"/>
          </w:tcPr>
          <w:p w14:paraId="16F15245">
            <w:pPr>
              <w:pStyle w:val="34"/>
              <w:spacing w:beforeLines="0" w:afterLines="0" w:line="240" w:lineRule="auto"/>
              <w:rPr>
                <w:rFonts w:hint="default" w:ascii="宋体" w:hAnsi="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2400m³/a</w:t>
            </w:r>
          </w:p>
        </w:tc>
      </w:tr>
      <w:tr w14:paraId="0DFB6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46B25ACD">
            <w:pPr>
              <w:pStyle w:val="34"/>
              <w:spacing w:beforeLines="0" w:afterLines="0" w:line="240" w:lineRule="auto"/>
              <w:rPr>
                <w:rFonts w:hAnsi="宋体" w:cs="宋体"/>
                <w:snapToGrid w:val="0"/>
                <w:color w:val="000000"/>
                <w:kern w:val="21"/>
                <w:szCs w:val="21"/>
              </w:rPr>
            </w:pPr>
            <w:r>
              <w:rPr>
                <w:rFonts w:hint="eastAsia" w:hAnsi="宋体" w:cs="宋体"/>
                <w:snapToGrid w:val="0"/>
                <w:color w:val="000000"/>
                <w:kern w:val="21"/>
                <w:szCs w:val="21"/>
              </w:rPr>
              <w:t>一般工业</w:t>
            </w:r>
          </w:p>
          <w:p w14:paraId="10C91520">
            <w:pPr>
              <w:pStyle w:val="34"/>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固体废物</w:t>
            </w:r>
          </w:p>
        </w:tc>
        <w:tc>
          <w:tcPr>
            <w:tcW w:w="1417" w:type="dxa"/>
            <w:noWrap w:val="0"/>
            <w:vAlign w:val="center"/>
          </w:tcPr>
          <w:p w14:paraId="2B325F10">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不合格</w:t>
            </w:r>
            <w:r>
              <w:rPr>
                <w:rFonts w:hint="eastAsia" w:hAnsi="宋体" w:eastAsia="宋体" w:cs="宋体"/>
                <w:snapToGrid w:val="0"/>
                <w:color w:val="000000"/>
                <w:kern w:val="21"/>
                <w:szCs w:val="21"/>
                <w:lang w:val="en-US" w:eastAsia="zh-CN"/>
              </w:rPr>
              <w:t>聚酯类聚合物</w:t>
            </w:r>
            <w:r>
              <w:rPr>
                <w:rFonts w:hint="eastAsia" w:hAnsi="宋体" w:cs="宋体"/>
                <w:snapToGrid w:val="0"/>
                <w:color w:val="000000"/>
                <w:kern w:val="21"/>
                <w:szCs w:val="21"/>
                <w:lang w:val="en-US" w:eastAsia="zh-CN"/>
              </w:rPr>
              <w:t>、</w:t>
            </w:r>
            <w:r>
              <w:rPr>
                <w:rFonts w:hint="eastAsia" w:hAnsi="宋体" w:eastAsia="宋体" w:cs="宋体"/>
                <w:snapToGrid w:val="0"/>
                <w:color w:val="000000"/>
                <w:kern w:val="21"/>
                <w:szCs w:val="21"/>
                <w:lang w:val="en-US" w:eastAsia="zh-CN"/>
              </w:rPr>
              <w:t>边角料，试验收尘</w:t>
            </w:r>
          </w:p>
        </w:tc>
        <w:tc>
          <w:tcPr>
            <w:tcW w:w="1701" w:type="dxa"/>
            <w:noWrap w:val="0"/>
            <w:vAlign w:val="center"/>
          </w:tcPr>
          <w:p w14:paraId="53B90FD3">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276" w:type="dxa"/>
            <w:noWrap w:val="0"/>
            <w:vAlign w:val="center"/>
          </w:tcPr>
          <w:p w14:paraId="3A15C2B3">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1" w:type="dxa"/>
            <w:noWrap w:val="0"/>
            <w:vAlign w:val="center"/>
          </w:tcPr>
          <w:p w14:paraId="1324748F">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559" w:type="dxa"/>
            <w:noWrap w:val="0"/>
            <w:vAlign w:val="center"/>
          </w:tcPr>
          <w:p w14:paraId="4581D44E">
            <w:pPr>
              <w:pStyle w:val="34"/>
              <w:spacing w:beforeLines="0" w:afterLines="0" w:line="240" w:lineRule="auto"/>
              <w:rPr>
                <w:rFonts w:hint="default"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3</w:t>
            </w:r>
            <w:r>
              <w:rPr>
                <w:rFonts w:hint="eastAsia" w:hAnsi="宋体" w:eastAsia="宋体" w:cs="宋体"/>
                <w:snapToGrid w:val="0"/>
                <w:color w:val="000000"/>
                <w:kern w:val="21"/>
                <w:szCs w:val="21"/>
                <w:lang w:val="en-US" w:eastAsia="zh-CN"/>
              </w:rPr>
              <w:t>00t/a</w:t>
            </w:r>
          </w:p>
        </w:tc>
        <w:tc>
          <w:tcPr>
            <w:tcW w:w="1761" w:type="dxa"/>
            <w:noWrap w:val="0"/>
            <w:vAlign w:val="center"/>
          </w:tcPr>
          <w:p w14:paraId="708C2589">
            <w:pPr>
              <w:pStyle w:val="34"/>
              <w:spacing w:beforeLines="0" w:afterLines="0" w:line="240" w:lineRule="auto"/>
              <w:rPr>
                <w:rFonts w:hint="eastAsia" w:hAnsi="宋体" w:eastAsia="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4" w:type="dxa"/>
            <w:noWrap w:val="0"/>
            <w:vAlign w:val="center"/>
          </w:tcPr>
          <w:p w14:paraId="1EECE1F7">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3</w:t>
            </w:r>
            <w:r>
              <w:rPr>
                <w:rFonts w:hint="eastAsia" w:hAnsi="宋体" w:eastAsia="宋体" w:cs="宋体"/>
                <w:snapToGrid w:val="0"/>
                <w:color w:val="000000"/>
                <w:kern w:val="21"/>
                <w:sz w:val="21"/>
                <w:szCs w:val="21"/>
                <w:lang w:val="en-US" w:eastAsia="zh-CN" w:bidi="ar-SA"/>
              </w:rPr>
              <w:t>00t/a</w:t>
            </w:r>
          </w:p>
        </w:tc>
        <w:tc>
          <w:tcPr>
            <w:tcW w:w="1081" w:type="dxa"/>
            <w:noWrap w:val="0"/>
            <w:vAlign w:val="center"/>
          </w:tcPr>
          <w:p w14:paraId="51D51B0F">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bidi="ar-SA"/>
              </w:rPr>
              <w:t>3</w:t>
            </w:r>
            <w:r>
              <w:rPr>
                <w:rFonts w:hint="eastAsia" w:hAnsi="宋体" w:eastAsia="宋体" w:cs="宋体"/>
                <w:snapToGrid w:val="0"/>
                <w:color w:val="000000"/>
                <w:kern w:val="21"/>
                <w:sz w:val="21"/>
                <w:szCs w:val="21"/>
                <w:lang w:val="en-US" w:eastAsia="zh-CN" w:bidi="ar-SA"/>
              </w:rPr>
              <w:t>00t/a</w:t>
            </w:r>
          </w:p>
        </w:tc>
      </w:tr>
      <w:tr w14:paraId="7D12E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411C83B0">
            <w:pPr>
              <w:pStyle w:val="34"/>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危险废物</w:t>
            </w:r>
          </w:p>
        </w:tc>
        <w:tc>
          <w:tcPr>
            <w:tcW w:w="1417" w:type="dxa"/>
            <w:noWrap w:val="0"/>
            <w:vAlign w:val="center"/>
          </w:tcPr>
          <w:p w14:paraId="62D3B341">
            <w:pPr>
              <w:pStyle w:val="34"/>
              <w:spacing w:beforeLines="0" w:afterLines="0" w:line="240" w:lineRule="auto"/>
              <w:rPr>
                <w:rFonts w:hint="eastAsia"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eastAsia="zh-CN"/>
              </w:rPr>
              <w:t>废机油</w:t>
            </w:r>
          </w:p>
        </w:tc>
        <w:tc>
          <w:tcPr>
            <w:tcW w:w="1701" w:type="dxa"/>
            <w:noWrap w:val="0"/>
            <w:vAlign w:val="center"/>
          </w:tcPr>
          <w:p w14:paraId="5A6FF956">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w:t>
            </w:r>
          </w:p>
        </w:tc>
        <w:tc>
          <w:tcPr>
            <w:tcW w:w="1276" w:type="dxa"/>
            <w:noWrap w:val="0"/>
            <w:vAlign w:val="center"/>
          </w:tcPr>
          <w:p w14:paraId="7B77050E">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w:t>
            </w:r>
          </w:p>
        </w:tc>
        <w:tc>
          <w:tcPr>
            <w:tcW w:w="1701" w:type="dxa"/>
            <w:noWrap w:val="0"/>
            <w:vAlign w:val="center"/>
          </w:tcPr>
          <w:p w14:paraId="6404D53F">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w:t>
            </w:r>
          </w:p>
        </w:tc>
        <w:tc>
          <w:tcPr>
            <w:tcW w:w="1559" w:type="dxa"/>
            <w:noWrap w:val="0"/>
            <w:vAlign w:val="center"/>
          </w:tcPr>
          <w:p w14:paraId="0C73FE7D">
            <w:pPr>
              <w:pStyle w:val="34"/>
              <w:spacing w:beforeLines="0" w:afterLines="0" w:line="240" w:lineRule="auto"/>
              <w:rPr>
                <w:rFonts w:hint="eastAsia"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0.04t/a</w:t>
            </w:r>
          </w:p>
        </w:tc>
        <w:tc>
          <w:tcPr>
            <w:tcW w:w="1761" w:type="dxa"/>
            <w:noWrap w:val="0"/>
            <w:vAlign w:val="center"/>
          </w:tcPr>
          <w:p w14:paraId="558A82A5">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w:t>
            </w:r>
          </w:p>
        </w:tc>
        <w:tc>
          <w:tcPr>
            <w:tcW w:w="1704" w:type="dxa"/>
            <w:noWrap w:val="0"/>
            <w:vAlign w:val="center"/>
          </w:tcPr>
          <w:p w14:paraId="1789EDA3">
            <w:pPr>
              <w:pStyle w:val="34"/>
              <w:spacing w:beforeLines="0" w:afterLines="0" w:line="240" w:lineRule="auto"/>
              <w:rPr>
                <w:rFonts w:hint="eastAsia"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0.04t/a</w:t>
            </w:r>
          </w:p>
        </w:tc>
        <w:tc>
          <w:tcPr>
            <w:tcW w:w="1081" w:type="dxa"/>
            <w:noWrap w:val="0"/>
            <w:vAlign w:val="center"/>
          </w:tcPr>
          <w:p w14:paraId="67043FB7">
            <w:pPr>
              <w:pStyle w:val="34"/>
              <w:spacing w:beforeLines="0" w:afterLines="0" w:line="240" w:lineRule="auto"/>
              <w:rPr>
                <w:rFonts w:hint="eastAsia"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0.04t/a</w:t>
            </w:r>
          </w:p>
        </w:tc>
      </w:tr>
      <w:tr w14:paraId="3C9F1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1C7E9FFB">
            <w:pPr>
              <w:pStyle w:val="34"/>
              <w:spacing w:beforeLines="0" w:afterLines="0" w:line="240" w:lineRule="auto"/>
              <w:rPr>
                <w:rFonts w:hint="eastAsia" w:hAnsi="宋体" w:cs="宋体"/>
                <w:snapToGrid w:val="0"/>
                <w:color w:val="000000"/>
                <w:kern w:val="21"/>
                <w:szCs w:val="21"/>
              </w:rPr>
            </w:pPr>
          </w:p>
        </w:tc>
        <w:tc>
          <w:tcPr>
            <w:tcW w:w="1417" w:type="dxa"/>
            <w:noWrap w:val="0"/>
            <w:vAlign w:val="center"/>
          </w:tcPr>
          <w:p w14:paraId="6A67F081">
            <w:pPr>
              <w:pStyle w:val="34"/>
              <w:spacing w:beforeLines="0" w:afterLines="0" w:line="240" w:lineRule="auto"/>
              <w:rPr>
                <w:rFonts w:hint="eastAsia" w:hAnsi="宋体" w:cs="宋体"/>
                <w:snapToGrid w:val="0"/>
                <w:color w:val="000000"/>
                <w:kern w:val="21"/>
                <w:szCs w:val="21"/>
                <w:lang w:eastAsia="zh-CN"/>
              </w:rPr>
            </w:pPr>
            <w:r>
              <w:rPr>
                <w:rFonts w:hint="eastAsia" w:hAnsi="宋体" w:cs="宋体"/>
                <w:snapToGrid w:val="0"/>
                <w:color w:val="000000"/>
                <w:kern w:val="21"/>
                <w:szCs w:val="21"/>
                <w:lang w:eastAsia="zh-CN"/>
              </w:rPr>
              <w:t>废活性炭</w:t>
            </w:r>
          </w:p>
        </w:tc>
        <w:tc>
          <w:tcPr>
            <w:tcW w:w="1701" w:type="dxa"/>
            <w:noWrap w:val="0"/>
            <w:vAlign w:val="center"/>
          </w:tcPr>
          <w:p w14:paraId="68FB5DC5">
            <w:pPr>
              <w:pStyle w:val="34"/>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276" w:type="dxa"/>
            <w:noWrap w:val="0"/>
            <w:vAlign w:val="center"/>
          </w:tcPr>
          <w:p w14:paraId="7810F059">
            <w:pPr>
              <w:pStyle w:val="34"/>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1" w:type="dxa"/>
            <w:noWrap w:val="0"/>
            <w:vAlign w:val="center"/>
          </w:tcPr>
          <w:p w14:paraId="44634261">
            <w:pPr>
              <w:pStyle w:val="34"/>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559" w:type="dxa"/>
            <w:noWrap w:val="0"/>
            <w:vAlign w:val="center"/>
          </w:tcPr>
          <w:p w14:paraId="101CD5E2">
            <w:pPr>
              <w:pStyle w:val="34"/>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0.05t/a</w:t>
            </w:r>
          </w:p>
        </w:tc>
        <w:tc>
          <w:tcPr>
            <w:tcW w:w="1761" w:type="dxa"/>
            <w:noWrap w:val="0"/>
            <w:vAlign w:val="center"/>
          </w:tcPr>
          <w:p w14:paraId="531AF236">
            <w:pPr>
              <w:pStyle w:val="34"/>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w:t>
            </w:r>
          </w:p>
        </w:tc>
        <w:tc>
          <w:tcPr>
            <w:tcW w:w="1704" w:type="dxa"/>
            <w:noWrap w:val="0"/>
            <w:vAlign w:val="center"/>
          </w:tcPr>
          <w:p w14:paraId="43114B44">
            <w:pPr>
              <w:pStyle w:val="34"/>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0.05t/a</w:t>
            </w:r>
          </w:p>
        </w:tc>
        <w:tc>
          <w:tcPr>
            <w:tcW w:w="1081" w:type="dxa"/>
            <w:noWrap w:val="0"/>
            <w:vAlign w:val="center"/>
          </w:tcPr>
          <w:p w14:paraId="358C84A2">
            <w:pPr>
              <w:pStyle w:val="34"/>
              <w:spacing w:beforeLines="0" w:afterLines="0" w:line="240" w:lineRule="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0.05t/a</w:t>
            </w:r>
          </w:p>
        </w:tc>
      </w:tr>
      <w:tr w14:paraId="58170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4F5F5A5F">
            <w:pPr>
              <w:pStyle w:val="34"/>
              <w:spacing w:beforeLines="0" w:afterLines="0" w:line="240" w:lineRule="auto"/>
              <w:rPr>
                <w:rFonts w:hint="eastAsia" w:hAnsi="宋体" w:cs="宋体"/>
                <w:snapToGrid w:val="0"/>
                <w:color w:val="000000"/>
                <w:kern w:val="21"/>
                <w:szCs w:val="21"/>
              </w:rPr>
            </w:pPr>
          </w:p>
        </w:tc>
        <w:tc>
          <w:tcPr>
            <w:tcW w:w="1417" w:type="dxa"/>
            <w:noWrap w:val="0"/>
            <w:vAlign w:val="center"/>
          </w:tcPr>
          <w:p w14:paraId="317AD861">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实验室废液</w:t>
            </w:r>
          </w:p>
        </w:tc>
        <w:tc>
          <w:tcPr>
            <w:tcW w:w="1701" w:type="dxa"/>
            <w:noWrap w:val="0"/>
            <w:vAlign w:val="center"/>
          </w:tcPr>
          <w:p w14:paraId="06730CA8">
            <w:pPr>
              <w:pStyle w:val="34"/>
              <w:spacing w:beforeLines="0" w:afterLines="0" w:line="240" w:lineRule="auto"/>
              <w:rPr>
                <w:rFonts w:hint="eastAsia"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w:t>
            </w:r>
          </w:p>
        </w:tc>
        <w:tc>
          <w:tcPr>
            <w:tcW w:w="1276" w:type="dxa"/>
            <w:noWrap w:val="0"/>
            <w:vAlign w:val="center"/>
          </w:tcPr>
          <w:p w14:paraId="5B31D5BF">
            <w:pPr>
              <w:pStyle w:val="34"/>
              <w:spacing w:beforeLines="0" w:afterLines="0" w:line="240" w:lineRule="auto"/>
              <w:rPr>
                <w:rFonts w:hint="eastAsia"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w:t>
            </w:r>
          </w:p>
        </w:tc>
        <w:tc>
          <w:tcPr>
            <w:tcW w:w="1701" w:type="dxa"/>
            <w:noWrap w:val="0"/>
            <w:vAlign w:val="center"/>
          </w:tcPr>
          <w:p w14:paraId="7E583DCA">
            <w:pPr>
              <w:pStyle w:val="34"/>
              <w:spacing w:beforeLines="0" w:afterLines="0" w:line="240" w:lineRule="auto"/>
              <w:rPr>
                <w:rFonts w:hint="eastAsia"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w:t>
            </w:r>
          </w:p>
        </w:tc>
        <w:tc>
          <w:tcPr>
            <w:tcW w:w="1559" w:type="dxa"/>
            <w:noWrap w:val="0"/>
            <w:vAlign w:val="center"/>
          </w:tcPr>
          <w:p w14:paraId="7B8F745C">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1t/a</w:t>
            </w:r>
          </w:p>
        </w:tc>
        <w:tc>
          <w:tcPr>
            <w:tcW w:w="1761" w:type="dxa"/>
            <w:noWrap w:val="0"/>
            <w:vAlign w:val="center"/>
          </w:tcPr>
          <w:p w14:paraId="52D28DF8">
            <w:pPr>
              <w:pStyle w:val="34"/>
              <w:spacing w:beforeLines="0" w:afterLines="0" w:line="240" w:lineRule="auto"/>
              <w:rPr>
                <w:rFonts w:hint="eastAsia"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w:t>
            </w:r>
          </w:p>
        </w:tc>
        <w:tc>
          <w:tcPr>
            <w:tcW w:w="1704" w:type="dxa"/>
            <w:noWrap w:val="0"/>
            <w:vAlign w:val="center"/>
          </w:tcPr>
          <w:p w14:paraId="5D62BFAA">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15t/a</w:t>
            </w:r>
          </w:p>
        </w:tc>
        <w:tc>
          <w:tcPr>
            <w:tcW w:w="1081" w:type="dxa"/>
            <w:noWrap w:val="0"/>
            <w:vAlign w:val="center"/>
          </w:tcPr>
          <w:p w14:paraId="6FC334E6">
            <w:pPr>
              <w:pStyle w:val="34"/>
              <w:spacing w:beforeLines="0" w:afterLines="0" w:line="240" w:lineRule="auto"/>
              <w:rPr>
                <w:rFonts w:hint="default" w:ascii="宋体" w:hAnsi="宋体" w:eastAsia="宋体" w:cs="宋体"/>
                <w:snapToGrid w:val="0"/>
                <w:color w:val="000000"/>
                <w:kern w:val="21"/>
                <w:sz w:val="21"/>
                <w:szCs w:val="21"/>
                <w:lang w:val="en-US" w:eastAsia="zh-CN" w:bidi="ar-SA"/>
              </w:rPr>
            </w:pPr>
            <w:r>
              <w:rPr>
                <w:rFonts w:hint="eastAsia" w:hAnsi="宋体" w:cs="宋体"/>
                <w:snapToGrid w:val="0"/>
                <w:color w:val="000000"/>
                <w:kern w:val="21"/>
                <w:szCs w:val="21"/>
                <w:lang w:val="en-US" w:eastAsia="zh-CN"/>
              </w:rPr>
              <w:t>15t/a</w:t>
            </w:r>
          </w:p>
        </w:tc>
      </w:tr>
    </w:tbl>
    <w:p w14:paraId="06B8242E">
      <w:pPr>
        <w:pStyle w:val="34"/>
        <w:spacing w:before="192" w:beforeLines="80" w:after="24"/>
        <w:jc w:val="left"/>
        <w:rPr>
          <w:rFonts w:hint="eastAsia"/>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6E0EB357">
      <w:pPr>
        <w:rPr>
          <w:rFonts w:ascii="宋体" w:hAnsi="宋体" w:eastAsia="黑体"/>
        </w:rPr>
      </w:pP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F060">
    <w:pPr>
      <w:pStyle w:val="11"/>
      <w:framePr w:wrap="around" w:vAnchor="text" w:hAnchor="margin" w:xAlign="outside" w:y="1"/>
      <w:rPr>
        <w:rStyle w:val="19"/>
        <w:rFonts w:ascii="宋体" w:hAnsi="宋体"/>
        <w:sz w:val="28"/>
        <w:szCs w:val="28"/>
      </w:rPr>
    </w:pPr>
    <w:r>
      <w:rPr>
        <w:rStyle w:val="19"/>
        <w:rFonts w:hint="eastAsia" w:ascii="宋体" w:hAnsi="宋体"/>
        <w:sz w:val="28"/>
        <w:szCs w:val="28"/>
      </w:rPr>
      <w:t>—</w:t>
    </w:r>
    <w:r>
      <w:rPr>
        <w:rStyle w:val="19"/>
        <w:rFonts w:hint="eastAsia" w:ascii="宋体" w:hAnsi="宋体"/>
        <w:sz w:val="20"/>
      </w:rPr>
      <w:t xml:space="preserve">  </w:t>
    </w:r>
    <w:r>
      <w:rPr>
        <w:rFonts w:ascii="宋体" w:hAnsi="宋体"/>
        <w:sz w:val="26"/>
        <w:szCs w:val="26"/>
      </w:rPr>
      <w:fldChar w:fldCharType="begin"/>
    </w:r>
    <w:r>
      <w:rPr>
        <w:rStyle w:val="19"/>
        <w:rFonts w:ascii="宋体" w:hAnsi="宋体"/>
        <w:sz w:val="26"/>
        <w:szCs w:val="26"/>
      </w:rPr>
      <w:instrText xml:space="preserve">PAGE  </w:instrText>
    </w:r>
    <w:r>
      <w:rPr>
        <w:rFonts w:ascii="宋体" w:hAnsi="宋体"/>
        <w:sz w:val="26"/>
        <w:szCs w:val="26"/>
      </w:rPr>
      <w:fldChar w:fldCharType="separate"/>
    </w:r>
    <w:r>
      <w:rPr>
        <w:rStyle w:val="19"/>
        <w:rFonts w:ascii="宋体" w:hAnsi="宋体"/>
        <w:sz w:val="26"/>
        <w:szCs w:val="26"/>
      </w:rPr>
      <w:t>3</w:t>
    </w:r>
    <w:r>
      <w:rPr>
        <w:rFonts w:ascii="宋体" w:hAnsi="宋体"/>
        <w:sz w:val="26"/>
        <w:szCs w:val="26"/>
      </w:rPr>
      <w:fldChar w:fldCharType="end"/>
    </w:r>
    <w:r>
      <w:rPr>
        <w:rStyle w:val="19"/>
        <w:rFonts w:hint="eastAsia" w:ascii="宋体" w:hAnsi="宋体"/>
        <w:sz w:val="20"/>
      </w:rPr>
      <w:t xml:space="preserve">  </w:t>
    </w:r>
    <w:r>
      <w:rPr>
        <w:rStyle w:val="19"/>
        <w:rFonts w:hint="eastAsia" w:ascii="宋体" w:hAnsi="宋体"/>
        <w:sz w:val="28"/>
        <w:szCs w:val="28"/>
      </w:rPr>
      <w:t>—</w:t>
    </w:r>
  </w:p>
  <w:p w14:paraId="3DBD9CFA">
    <w:pPr>
      <w:pStyle w:val="1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11702">
    <w:pPr>
      <w:pStyle w:val="11"/>
      <w:framePr w:wrap="around" w:vAnchor="text" w:hAnchor="margin" w:xAlign="center" w:y="1"/>
      <w:rPr>
        <w:rStyle w:val="19"/>
      </w:rPr>
    </w:pPr>
    <w:r>
      <w:fldChar w:fldCharType="begin"/>
    </w:r>
    <w:r>
      <w:rPr>
        <w:rStyle w:val="19"/>
      </w:rPr>
      <w:instrText xml:space="preserve">PAGE  </w:instrText>
    </w:r>
    <w:r>
      <w:fldChar w:fldCharType="end"/>
    </w:r>
  </w:p>
  <w:p w14:paraId="79036169">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50838">
    <w:pPr>
      <w:pStyle w:val="11"/>
      <w:framePr w:wrap="around" w:vAnchor="text" w:hAnchor="margin" w:xAlign="outside" w:y="1"/>
      <w:rPr>
        <w:rStyle w:val="19"/>
        <w:rFonts w:ascii="宋体" w:hAnsi="宋体"/>
        <w:sz w:val="28"/>
        <w:szCs w:val="28"/>
      </w:rPr>
    </w:pPr>
    <w:r>
      <w:rPr>
        <w:rStyle w:val="19"/>
        <w:rFonts w:hint="eastAsia" w:ascii="宋体" w:hAnsi="宋体"/>
        <w:sz w:val="28"/>
        <w:szCs w:val="28"/>
      </w:rPr>
      <w:t>—</w:t>
    </w:r>
    <w:r>
      <w:rPr>
        <w:rStyle w:val="19"/>
        <w:rFonts w:hint="eastAsia" w:ascii="宋体" w:hAnsi="宋体"/>
        <w:sz w:val="20"/>
      </w:rPr>
      <w:t xml:space="preserve">  </w:t>
    </w:r>
    <w:r>
      <w:rPr>
        <w:rFonts w:ascii="宋体" w:hAnsi="宋体"/>
        <w:sz w:val="26"/>
        <w:szCs w:val="26"/>
      </w:rPr>
      <w:fldChar w:fldCharType="begin"/>
    </w:r>
    <w:r>
      <w:rPr>
        <w:rStyle w:val="19"/>
        <w:rFonts w:ascii="宋体" w:hAnsi="宋体"/>
        <w:sz w:val="26"/>
        <w:szCs w:val="26"/>
      </w:rPr>
      <w:instrText xml:space="preserve">PAGE  </w:instrText>
    </w:r>
    <w:r>
      <w:rPr>
        <w:rFonts w:ascii="宋体" w:hAnsi="宋体"/>
        <w:sz w:val="26"/>
        <w:szCs w:val="26"/>
      </w:rPr>
      <w:fldChar w:fldCharType="separate"/>
    </w:r>
    <w:r>
      <w:rPr>
        <w:rStyle w:val="19"/>
        <w:rFonts w:ascii="宋体" w:hAnsi="宋体"/>
        <w:sz w:val="26"/>
        <w:szCs w:val="26"/>
      </w:rPr>
      <w:t>9</w:t>
    </w:r>
    <w:r>
      <w:rPr>
        <w:rFonts w:ascii="宋体" w:hAnsi="宋体"/>
        <w:sz w:val="26"/>
        <w:szCs w:val="26"/>
      </w:rPr>
      <w:fldChar w:fldCharType="end"/>
    </w:r>
    <w:r>
      <w:rPr>
        <w:rStyle w:val="19"/>
        <w:rFonts w:hint="eastAsia" w:ascii="宋体" w:hAnsi="宋体"/>
        <w:sz w:val="20"/>
      </w:rPr>
      <w:t xml:space="preserve">  </w:t>
    </w:r>
    <w:r>
      <w:rPr>
        <w:rStyle w:val="19"/>
        <w:rFonts w:hint="eastAsia" w:ascii="宋体" w:hAnsi="宋体"/>
        <w:sz w:val="28"/>
        <w:szCs w:val="28"/>
      </w:rPr>
      <w:t>—</w:t>
    </w:r>
  </w:p>
  <w:p w14:paraId="17965BB6">
    <w:pPr>
      <w:pStyle w:val="11"/>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849D">
    <w:pPr>
      <w:pStyle w:val="11"/>
      <w:framePr w:wrap="around" w:vAnchor="text" w:hAnchor="margin" w:xAlign="outside" w:y="1"/>
      <w:rPr>
        <w:rStyle w:val="19"/>
        <w:rFonts w:ascii="宋体" w:hAnsi="宋体"/>
        <w:sz w:val="28"/>
        <w:szCs w:val="28"/>
      </w:rPr>
    </w:pPr>
    <w:r>
      <w:rPr>
        <w:rStyle w:val="19"/>
        <w:rFonts w:hint="eastAsia" w:ascii="宋体" w:hAnsi="宋体"/>
        <w:sz w:val="28"/>
        <w:szCs w:val="28"/>
      </w:rPr>
      <w:t>—</w:t>
    </w:r>
    <w:r>
      <w:rPr>
        <w:rStyle w:val="19"/>
        <w:rFonts w:hint="eastAsia" w:ascii="宋体" w:hAnsi="宋体"/>
        <w:sz w:val="20"/>
      </w:rPr>
      <w:t xml:space="preserve">  </w:t>
    </w:r>
    <w:r>
      <w:rPr>
        <w:rFonts w:ascii="宋体" w:hAnsi="宋体"/>
        <w:sz w:val="26"/>
        <w:szCs w:val="26"/>
      </w:rPr>
      <w:fldChar w:fldCharType="begin"/>
    </w:r>
    <w:r>
      <w:rPr>
        <w:rStyle w:val="19"/>
        <w:rFonts w:ascii="宋体" w:hAnsi="宋体"/>
        <w:sz w:val="26"/>
        <w:szCs w:val="26"/>
      </w:rPr>
      <w:instrText xml:space="preserve">PAGE  </w:instrText>
    </w:r>
    <w:r>
      <w:rPr>
        <w:rFonts w:ascii="宋体" w:hAnsi="宋体"/>
        <w:sz w:val="26"/>
        <w:szCs w:val="26"/>
      </w:rPr>
      <w:fldChar w:fldCharType="separate"/>
    </w:r>
    <w:r>
      <w:rPr>
        <w:rStyle w:val="19"/>
        <w:rFonts w:ascii="宋体" w:hAnsi="宋体"/>
        <w:sz w:val="26"/>
        <w:szCs w:val="26"/>
      </w:rPr>
      <w:t>11</w:t>
    </w:r>
    <w:r>
      <w:rPr>
        <w:rFonts w:ascii="宋体" w:hAnsi="宋体"/>
        <w:sz w:val="26"/>
        <w:szCs w:val="26"/>
      </w:rPr>
      <w:fldChar w:fldCharType="end"/>
    </w:r>
    <w:r>
      <w:rPr>
        <w:rStyle w:val="19"/>
        <w:rFonts w:hint="eastAsia" w:ascii="宋体" w:hAnsi="宋体"/>
        <w:sz w:val="20"/>
      </w:rPr>
      <w:t xml:space="preserve">  </w:t>
    </w:r>
    <w:r>
      <w:rPr>
        <w:rStyle w:val="19"/>
        <w:rFonts w:hint="eastAsia" w:ascii="宋体" w:hAnsi="宋体"/>
        <w:sz w:val="28"/>
        <w:szCs w:val="28"/>
      </w:rPr>
      <w:t>—</w:t>
    </w:r>
  </w:p>
  <w:p w14:paraId="266ABFA9">
    <w:pPr>
      <w:pStyle w:val="11"/>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2997"/>
    <w:rsid w:val="001357F1"/>
    <w:rsid w:val="00136233"/>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97C"/>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35F1B"/>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77B7A"/>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247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4724C"/>
    <w:rsid w:val="015D1E09"/>
    <w:rsid w:val="01C1169A"/>
    <w:rsid w:val="02375B85"/>
    <w:rsid w:val="02697903"/>
    <w:rsid w:val="02F96569"/>
    <w:rsid w:val="030C4E36"/>
    <w:rsid w:val="03BE44DA"/>
    <w:rsid w:val="03EA7B21"/>
    <w:rsid w:val="042B791F"/>
    <w:rsid w:val="0489430A"/>
    <w:rsid w:val="057769A7"/>
    <w:rsid w:val="059A2974"/>
    <w:rsid w:val="05F83EAE"/>
    <w:rsid w:val="060075FC"/>
    <w:rsid w:val="063E7D85"/>
    <w:rsid w:val="06BF77D7"/>
    <w:rsid w:val="07293586"/>
    <w:rsid w:val="07295285"/>
    <w:rsid w:val="074A68A9"/>
    <w:rsid w:val="07636392"/>
    <w:rsid w:val="07770C56"/>
    <w:rsid w:val="07C208F0"/>
    <w:rsid w:val="092217DD"/>
    <w:rsid w:val="093A7294"/>
    <w:rsid w:val="099E6F4B"/>
    <w:rsid w:val="09BC4CFA"/>
    <w:rsid w:val="09CB3F9B"/>
    <w:rsid w:val="09D54E97"/>
    <w:rsid w:val="0A263993"/>
    <w:rsid w:val="0A2D3AC2"/>
    <w:rsid w:val="0A5C2798"/>
    <w:rsid w:val="0AA755DF"/>
    <w:rsid w:val="0B1178FB"/>
    <w:rsid w:val="0B120D44"/>
    <w:rsid w:val="0B9313AE"/>
    <w:rsid w:val="0BD27BF6"/>
    <w:rsid w:val="0C3B3C7D"/>
    <w:rsid w:val="0C3D0C92"/>
    <w:rsid w:val="0C491748"/>
    <w:rsid w:val="0C6300E0"/>
    <w:rsid w:val="0C635C75"/>
    <w:rsid w:val="0C811B3A"/>
    <w:rsid w:val="0CAB2EAE"/>
    <w:rsid w:val="0D5E7AA7"/>
    <w:rsid w:val="0D621C7D"/>
    <w:rsid w:val="0D780874"/>
    <w:rsid w:val="0E73034D"/>
    <w:rsid w:val="0E7A7C90"/>
    <w:rsid w:val="0F13775A"/>
    <w:rsid w:val="0F5F45FE"/>
    <w:rsid w:val="0F9A112B"/>
    <w:rsid w:val="0FA512D3"/>
    <w:rsid w:val="0FC76D01"/>
    <w:rsid w:val="106D2F64"/>
    <w:rsid w:val="10960EB4"/>
    <w:rsid w:val="10B04B83"/>
    <w:rsid w:val="10B63710"/>
    <w:rsid w:val="10E12117"/>
    <w:rsid w:val="10F10820"/>
    <w:rsid w:val="11154374"/>
    <w:rsid w:val="111C2F7A"/>
    <w:rsid w:val="11665CA1"/>
    <w:rsid w:val="11FF1784"/>
    <w:rsid w:val="12517D72"/>
    <w:rsid w:val="13431939"/>
    <w:rsid w:val="134C555F"/>
    <w:rsid w:val="13951726"/>
    <w:rsid w:val="139F6556"/>
    <w:rsid w:val="14396509"/>
    <w:rsid w:val="14747C6E"/>
    <w:rsid w:val="14DD2C3C"/>
    <w:rsid w:val="14DD72E1"/>
    <w:rsid w:val="15F72A8F"/>
    <w:rsid w:val="16087E1D"/>
    <w:rsid w:val="16246B98"/>
    <w:rsid w:val="16414E6B"/>
    <w:rsid w:val="1643046B"/>
    <w:rsid w:val="171A4D72"/>
    <w:rsid w:val="17701D14"/>
    <w:rsid w:val="17735226"/>
    <w:rsid w:val="17EA0DB2"/>
    <w:rsid w:val="189F624C"/>
    <w:rsid w:val="19452EB9"/>
    <w:rsid w:val="19BA3FBD"/>
    <w:rsid w:val="1A1C66C0"/>
    <w:rsid w:val="1A42393B"/>
    <w:rsid w:val="1A722BCA"/>
    <w:rsid w:val="1AAD45DE"/>
    <w:rsid w:val="1B046F80"/>
    <w:rsid w:val="1B3267B5"/>
    <w:rsid w:val="1B40161D"/>
    <w:rsid w:val="1B441859"/>
    <w:rsid w:val="1B6606B1"/>
    <w:rsid w:val="1C2E0CB7"/>
    <w:rsid w:val="1C5E7925"/>
    <w:rsid w:val="1CFD070F"/>
    <w:rsid w:val="1D5F6196"/>
    <w:rsid w:val="1D6132A5"/>
    <w:rsid w:val="1D8E56D5"/>
    <w:rsid w:val="1E2C616B"/>
    <w:rsid w:val="1E72005E"/>
    <w:rsid w:val="1E7A43DA"/>
    <w:rsid w:val="1E8B62D8"/>
    <w:rsid w:val="1EBF18BC"/>
    <w:rsid w:val="1F38546D"/>
    <w:rsid w:val="1F964419"/>
    <w:rsid w:val="1FCE1F4F"/>
    <w:rsid w:val="1FE7539E"/>
    <w:rsid w:val="1FFB3B5E"/>
    <w:rsid w:val="20076EF2"/>
    <w:rsid w:val="20671BE0"/>
    <w:rsid w:val="20963CB8"/>
    <w:rsid w:val="20A81A1B"/>
    <w:rsid w:val="20A83453"/>
    <w:rsid w:val="20B07FB6"/>
    <w:rsid w:val="20B646FB"/>
    <w:rsid w:val="20CC5914"/>
    <w:rsid w:val="213B74B1"/>
    <w:rsid w:val="215A2310"/>
    <w:rsid w:val="217F6BFC"/>
    <w:rsid w:val="21A22E90"/>
    <w:rsid w:val="21DE318A"/>
    <w:rsid w:val="21EF5B80"/>
    <w:rsid w:val="2243495F"/>
    <w:rsid w:val="22576990"/>
    <w:rsid w:val="227830A1"/>
    <w:rsid w:val="227E5B83"/>
    <w:rsid w:val="22A7788D"/>
    <w:rsid w:val="22DA396C"/>
    <w:rsid w:val="22F47480"/>
    <w:rsid w:val="22F72675"/>
    <w:rsid w:val="23AB6557"/>
    <w:rsid w:val="23C54518"/>
    <w:rsid w:val="23DE1C48"/>
    <w:rsid w:val="240210CD"/>
    <w:rsid w:val="24BF09F7"/>
    <w:rsid w:val="252D53FE"/>
    <w:rsid w:val="25C87265"/>
    <w:rsid w:val="25D13310"/>
    <w:rsid w:val="25EC2D81"/>
    <w:rsid w:val="26C770A7"/>
    <w:rsid w:val="277057A2"/>
    <w:rsid w:val="28220190"/>
    <w:rsid w:val="28807C4E"/>
    <w:rsid w:val="289A7E62"/>
    <w:rsid w:val="28DA1BF0"/>
    <w:rsid w:val="290D23B6"/>
    <w:rsid w:val="29206EB8"/>
    <w:rsid w:val="29595666"/>
    <w:rsid w:val="29874881"/>
    <w:rsid w:val="29C06F49"/>
    <w:rsid w:val="29E325E0"/>
    <w:rsid w:val="2A305925"/>
    <w:rsid w:val="2A452503"/>
    <w:rsid w:val="2AD40CE2"/>
    <w:rsid w:val="2B8452A4"/>
    <w:rsid w:val="2BA936A8"/>
    <w:rsid w:val="2BD0408A"/>
    <w:rsid w:val="2BE55592"/>
    <w:rsid w:val="2C1457D6"/>
    <w:rsid w:val="2C315A5A"/>
    <w:rsid w:val="2C4B1C25"/>
    <w:rsid w:val="2CCC7AF3"/>
    <w:rsid w:val="2D8755B6"/>
    <w:rsid w:val="2D9E56F5"/>
    <w:rsid w:val="2E667F96"/>
    <w:rsid w:val="2E8226AB"/>
    <w:rsid w:val="2EA25A66"/>
    <w:rsid w:val="2EEE3A67"/>
    <w:rsid w:val="2EFB04A7"/>
    <w:rsid w:val="2F8179A3"/>
    <w:rsid w:val="2FC16779"/>
    <w:rsid w:val="2FD065E6"/>
    <w:rsid w:val="2FD96870"/>
    <w:rsid w:val="301D1784"/>
    <w:rsid w:val="302D6AEA"/>
    <w:rsid w:val="30580BC9"/>
    <w:rsid w:val="30986709"/>
    <w:rsid w:val="30E21B89"/>
    <w:rsid w:val="311E2ED7"/>
    <w:rsid w:val="31245EF5"/>
    <w:rsid w:val="312C66CB"/>
    <w:rsid w:val="31411807"/>
    <w:rsid w:val="3151596D"/>
    <w:rsid w:val="315619EE"/>
    <w:rsid w:val="315C449C"/>
    <w:rsid w:val="31913FD8"/>
    <w:rsid w:val="31B82709"/>
    <w:rsid w:val="31D05482"/>
    <w:rsid w:val="32400B34"/>
    <w:rsid w:val="329E6876"/>
    <w:rsid w:val="333015F2"/>
    <w:rsid w:val="334B6320"/>
    <w:rsid w:val="33CB73E2"/>
    <w:rsid w:val="33D934D4"/>
    <w:rsid w:val="33FE2F6A"/>
    <w:rsid w:val="340E07E5"/>
    <w:rsid w:val="341353C4"/>
    <w:rsid w:val="34235BF7"/>
    <w:rsid w:val="351A345A"/>
    <w:rsid w:val="358C5FA8"/>
    <w:rsid w:val="35C15DF1"/>
    <w:rsid w:val="36074A7F"/>
    <w:rsid w:val="36104A2F"/>
    <w:rsid w:val="362F6498"/>
    <w:rsid w:val="36923549"/>
    <w:rsid w:val="36B75FBF"/>
    <w:rsid w:val="36BD0C45"/>
    <w:rsid w:val="36E449E1"/>
    <w:rsid w:val="36FA419F"/>
    <w:rsid w:val="370D1067"/>
    <w:rsid w:val="37E00298"/>
    <w:rsid w:val="38747006"/>
    <w:rsid w:val="389B777C"/>
    <w:rsid w:val="38B302F9"/>
    <w:rsid w:val="38F12CD3"/>
    <w:rsid w:val="38F94775"/>
    <w:rsid w:val="392971ED"/>
    <w:rsid w:val="39325651"/>
    <w:rsid w:val="39CA36A7"/>
    <w:rsid w:val="3A2378D1"/>
    <w:rsid w:val="3A42417A"/>
    <w:rsid w:val="3A872856"/>
    <w:rsid w:val="3ACA06A1"/>
    <w:rsid w:val="3AE551A0"/>
    <w:rsid w:val="3B3414AF"/>
    <w:rsid w:val="3B3763D1"/>
    <w:rsid w:val="3B80546B"/>
    <w:rsid w:val="3BEB6248"/>
    <w:rsid w:val="3C2F6E1E"/>
    <w:rsid w:val="3C4F64BA"/>
    <w:rsid w:val="3C5C49E5"/>
    <w:rsid w:val="3C80359C"/>
    <w:rsid w:val="3C8B7B3C"/>
    <w:rsid w:val="3CDA245A"/>
    <w:rsid w:val="3D1E06B7"/>
    <w:rsid w:val="3D5407A8"/>
    <w:rsid w:val="3D9866B5"/>
    <w:rsid w:val="3DF725EA"/>
    <w:rsid w:val="3E064835"/>
    <w:rsid w:val="3EDA0523"/>
    <w:rsid w:val="3EDA4ED4"/>
    <w:rsid w:val="3F634D6B"/>
    <w:rsid w:val="3F8F6507"/>
    <w:rsid w:val="3FB53D33"/>
    <w:rsid w:val="40184D84"/>
    <w:rsid w:val="40232097"/>
    <w:rsid w:val="405E5648"/>
    <w:rsid w:val="40603852"/>
    <w:rsid w:val="407A6407"/>
    <w:rsid w:val="409E0ACB"/>
    <w:rsid w:val="40B710C9"/>
    <w:rsid w:val="4200449D"/>
    <w:rsid w:val="423A3BCC"/>
    <w:rsid w:val="424E57D2"/>
    <w:rsid w:val="42584A33"/>
    <w:rsid w:val="42836267"/>
    <w:rsid w:val="42B26C49"/>
    <w:rsid w:val="42EE4C3A"/>
    <w:rsid w:val="433A6FE6"/>
    <w:rsid w:val="43480868"/>
    <w:rsid w:val="4350713C"/>
    <w:rsid w:val="436653E0"/>
    <w:rsid w:val="43C4431A"/>
    <w:rsid w:val="43E24298"/>
    <w:rsid w:val="44B951CC"/>
    <w:rsid w:val="44CD14E0"/>
    <w:rsid w:val="44F20B0B"/>
    <w:rsid w:val="452E5F4C"/>
    <w:rsid w:val="4555254D"/>
    <w:rsid w:val="455A46BC"/>
    <w:rsid w:val="45612018"/>
    <w:rsid w:val="457460EE"/>
    <w:rsid w:val="458946E9"/>
    <w:rsid w:val="45A47C0E"/>
    <w:rsid w:val="46070EBB"/>
    <w:rsid w:val="46501518"/>
    <w:rsid w:val="46577FD6"/>
    <w:rsid w:val="46D955A7"/>
    <w:rsid w:val="47133957"/>
    <w:rsid w:val="47814D2E"/>
    <w:rsid w:val="479355A8"/>
    <w:rsid w:val="47A07E0C"/>
    <w:rsid w:val="47A64111"/>
    <w:rsid w:val="48021A88"/>
    <w:rsid w:val="482B31C9"/>
    <w:rsid w:val="4870272E"/>
    <w:rsid w:val="48D32AED"/>
    <w:rsid w:val="48FE23C0"/>
    <w:rsid w:val="49177727"/>
    <w:rsid w:val="49340A1D"/>
    <w:rsid w:val="49657959"/>
    <w:rsid w:val="49964940"/>
    <w:rsid w:val="49D630AE"/>
    <w:rsid w:val="49DC7715"/>
    <w:rsid w:val="4A023139"/>
    <w:rsid w:val="4A273336"/>
    <w:rsid w:val="4A6B1306"/>
    <w:rsid w:val="4A7B576F"/>
    <w:rsid w:val="4AF158D7"/>
    <w:rsid w:val="4AF561A9"/>
    <w:rsid w:val="4AFB724E"/>
    <w:rsid w:val="4B3B7AA1"/>
    <w:rsid w:val="4B713EE5"/>
    <w:rsid w:val="4B8C11DB"/>
    <w:rsid w:val="4BAD3AF2"/>
    <w:rsid w:val="4BD766A0"/>
    <w:rsid w:val="4C1C53C8"/>
    <w:rsid w:val="4C4A0649"/>
    <w:rsid w:val="4C7E5ECA"/>
    <w:rsid w:val="4C876AA5"/>
    <w:rsid w:val="4C8E6779"/>
    <w:rsid w:val="4CF038EA"/>
    <w:rsid w:val="4CF50E61"/>
    <w:rsid w:val="4D0E00FB"/>
    <w:rsid w:val="4D176606"/>
    <w:rsid w:val="4DB77BB6"/>
    <w:rsid w:val="4DD03765"/>
    <w:rsid w:val="4DEC4FB0"/>
    <w:rsid w:val="4DF7686D"/>
    <w:rsid w:val="4DFE4C75"/>
    <w:rsid w:val="4E075D8A"/>
    <w:rsid w:val="4E87024A"/>
    <w:rsid w:val="4EC00FAD"/>
    <w:rsid w:val="4EE31152"/>
    <w:rsid w:val="4F414FFD"/>
    <w:rsid w:val="4F4D1660"/>
    <w:rsid w:val="4F883056"/>
    <w:rsid w:val="4F9843DC"/>
    <w:rsid w:val="4FC02FD1"/>
    <w:rsid w:val="4FC62A8C"/>
    <w:rsid w:val="4FE20F0D"/>
    <w:rsid w:val="4FE51552"/>
    <w:rsid w:val="4FE6185F"/>
    <w:rsid w:val="500245B2"/>
    <w:rsid w:val="50504C4B"/>
    <w:rsid w:val="505521C7"/>
    <w:rsid w:val="50624BCA"/>
    <w:rsid w:val="509C6E7C"/>
    <w:rsid w:val="51140B50"/>
    <w:rsid w:val="51486DB1"/>
    <w:rsid w:val="514A3E27"/>
    <w:rsid w:val="5162104E"/>
    <w:rsid w:val="52401BB2"/>
    <w:rsid w:val="53A039CC"/>
    <w:rsid w:val="53A1505A"/>
    <w:rsid w:val="53AC66A2"/>
    <w:rsid w:val="540023CB"/>
    <w:rsid w:val="54063E08"/>
    <w:rsid w:val="54070CAF"/>
    <w:rsid w:val="541F0108"/>
    <w:rsid w:val="543437E8"/>
    <w:rsid w:val="54355E07"/>
    <w:rsid w:val="54F73313"/>
    <w:rsid w:val="54F80955"/>
    <w:rsid w:val="555170A7"/>
    <w:rsid w:val="5587536D"/>
    <w:rsid w:val="559B174B"/>
    <w:rsid w:val="55B20302"/>
    <w:rsid w:val="55C0251B"/>
    <w:rsid w:val="55CE0CF4"/>
    <w:rsid w:val="5628104F"/>
    <w:rsid w:val="563F4259"/>
    <w:rsid w:val="56975989"/>
    <w:rsid w:val="56B22A9C"/>
    <w:rsid w:val="56BB173B"/>
    <w:rsid w:val="56F5733A"/>
    <w:rsid w:val="576A2325"/>
    <w:rsid w:val="57B72A76"/>
    <w:rsid w:val="57BE4034"/>
    <w:rsid w:val="57C3426C"/>
    <w:rsid w:val="57CE1F93"/>
    <w:rsid w:val="58204214"/>
    <w:rsid w:val="5836354D"/>
    <w:rsid w:val="588250F8"/>
    <w:rsid w:val="588743D1"/>
    <w:rsid w:val="5887701A"/>
    <w:rsid w:val="58A837E2"/>
    <w:rsid w:val="59C0439F"/>
    <w:rsid w:val="5A837C84"/>
    <w:rsid w:val="5ABE2233"/>
    <w:rsid w:val="5AD55DE1"/>
    <w:rsid w:val="5ADC52BB"/>
    <w:rsid w:val="5BDF5D95"/>
    <w:rsid w:val="5BFE7528"/>
    <w:rsid w:val="5C5D4DE5"/>
    <w:rsid w:val="5C94262E"/>
    <w:rsid w:val="5CD362C5"/>
    <w:rsid w:val="5D5368A4"/>
    <w:rsid w:val="5DA174CA"/>
    <w:rsid w:val="5E2467F1"/>
    <w:rsid w:val="5EF32434"/>
    <w:rsid w:val="5F1A2B43"/>
    <w:rsid w:val="5F4C5F78"/>
    <w:rsid w:val="5F8F175A"/>
    <w:rsid w:val="5FB837BB"/>
    <w:rsid w:val="60CC405A"/>
    <w:rsid w:val="60D121BD"/>
    <w:rsid w:val="610C12C1"/>
    <w:rsid w:val="61252266"/>
    <w:rsid w:val="61E215D8"/>
    <w:rsid w:val="621B3775"/>
    <w:rsid w:val="62364782"/>
    <w:rsid w:val="6238008A"/>
    <w:rsid w:val="62420926"/>
    <w:rsid w:val="624A432B"/>
    <w:rsid w:val="628A4529"/>
    <w:rsid w:val="6394356A"/>
    <w:rsid w:val="63C61B2C"/>
    <w:rsid w:val="63D40BE9"/>
    <w:rsid w:val="64102431"/>
    <w:rsid w:val="64215CED"/>
    <w:rsid w:val="64A5243A"/>
    <w:rsid w:val="64C10295"/>
    <w:rsid w:val="64F531DE"/>
    <w:rsid w:val="65373578"/>
    <w:rsid w:val="657C7A68"/>
    <w:rsid w:val="658530B2"/>
    <w:rsid w:val="659476FF"/>
    <w:rsid w:val="66FE0B82"/>
    <w:rsid w:val="671F124A"/>
    <w:rsid w:val="6748762C"/>
    <w:rsid w:val="67566B61"/>
    <w:rsid w:val="677A33C6"/>
    <w:rsid w:val="67B92F2F"/>
    <w:rsid w:val="67E06E3C"/>
    <w:rsid w:val="68070BF4"/>
    <w:rsid w:val="681F6961"/>
    <w:rsid w:val="68610A2F"/>
    <w:rsid w:val="68805514"/>
    <w:rsid w:val="689C7E79"/>
    <w:rsid w:val="69014E6B"/>
    <w:rsid w:val="69316E2F"/>
    <w:rsid w:val="694E2071"/>
    <w:rsid w:val="69766163"/>
    <w:rsid w:val="697A3B33"/>
    <w:rsid w:val="69D44760"/>
    <w:rsid w:val="6A3A4ED1"/>
    <w:rsid w:val="6A520EC7"/>
    <w:rsid w:val="6AF87E20"/>
    <w:rsid w:val="6B322639"/>
    <w:rsid w:val="6B485406"/>
    <w:rsid w:val="6B5D559C"/>
    <w:rsid w:val="6BBC27ED"/>
    <w:rsid w:val="6BDE4A01"/>
    <w:rsid w:val="6C124598"/>
    <w:rsid w:val="6C3974DB"/>
    <w:rsid w:val="6C636C38"/>
    <w:rsid w:val="6C685661"/>
    <w:rsid w:val="6CDA01D3"/>
    <w:rsid w:val="6CFA2EB1"/>
    <w:rsid w:val="6DB34098"/>
    <w:rsid w:val="6DB545B6"/>
    <w:rsid w:val="6DE02FB4"/>
    <w:rsid w:val="6E0140DA"/>
    <w:rsid w:val="6E514CED"/>
    <w:rsid w:val="6E5A6693"/>
    <w:rsid w:val="6EB563D5"/>
    <w:rsid w:val="6ED92677"/>
    <w:rsid w:val="6EE3330D"/>
    <w:rsid w:val="6F225983"/>
    <w:rsid w:val="6F7D2586"/>
    <w:rsid w:val="6F8D563E"/>
    <w:rsid w:val="6FC909A2"/>
    <w:rsid w:val="6FFC5590"/>
    <w:rsid w:val="700E3464"/>
    <w:rsid w:val="706D1DD0"/>
    <w:rsid w:val="70856B87"/>
    <w:rsid w:val="70D527EE"/>
    <w:rsid w:val="715B5300"/>
    <w:rsid w:val="71802C2C"/>
    <w:rsid w:val="71826BC2"/>
    <w:rsid w:val="71852E3A"/>
    <w:rsid w:val="71A835FC"/>
    <w:rsid w:val="71C423AA"/>
    <w:rsid w:val="71D27F8A"/>
    <w:rsid w:val="72172A80"/>
    <w:rsid w:val="72553024"/>
    <w:rsid w:val="728715CB"/>
    <w:rsid w:val="72F2277F"/>
    <w:rsid w:val="73122968"/>
    <w:rsid w:val="731F5D5E"/>
    <w:rsid w:val="73C51AD5"/>
    <w:rsid w:val="741E793C"/>
    <w:rsid w:val="745E3944"/>
    <w:rsid w:val="746C77C2"/>
    <w:rsid w:val="74E12C4E"/>
    <w:rsid w:val="75443931"/>
    <w:rsid w:val="758F4A41"/>
    <w:rsid w:val="75975E50"/>
    <w:rsid w:val="7635099D"/>
    <w:rsid w:val="76756CDC"/>
    <w:rsid w:val="76C56F88"/>
    <w:rsid w:val="76FF4EF8"/>
    <w:rsid w:val="774422E4"/>
    <w:rsid w:val="774E3774"/>
    <w:rsid w:val="77762421"/>
    <w:rsid w:val="77B56B1F"/>
    <w:rsid w:val="780F09F4"/>
    <w:rsid w:val="783F39A1"/>
    <w:rsid w:val="78506CEC"/>
    <w:rsid w:val="785F6411"/>
    <w:rsid w:val="78A213C7"/>
    <w:rsid w:val="78A90480"/>
    <w:rsid w:val="78D81942"/>
    <w:rsid w:val="790C2EC6"/>
    <w:rsid w:val="79366009"/>
    <w:rsid w:val="798868F3"/>
    <w:rsid w:val="798960C5"/>
    <w:rsid w:val="79B72DB5"/>
    <w:rsid w:val="7A31442E"/>
    <w:rsid w:val="7A364017"/>
    <w:rsid w:val="7A382132"/>
    <w:rsid w:val="7A7F5754"/>
    <w:rsid w:val="7A8265E1"/>
    <w:rsid w:val="7A9A2A2B"/>
    <w:rsid w:val="7B686D42"/>
    <w:rsid w:val="7B703AF1"/>
    <w:rsid w:val="7B841746"/>
    <w:rsid w:val="7B8E6CDF"/>
    <w:rsid w:val="7BBE6358"/>
    <w:rsid w:val="7BF2604E"/>
    <w:rsid w:val="7C2E2158"/>
    <w:rsid w:val="7C3B1091"/>
    <w:rsid w:val="7C5E4EF4"/>
    <w:rsid w:val="7C6C5AC7"/>
    <w:rsid w:val="7CC6544B"/>
    <w:rsid w:val="7CCF50BE"/>
    <w:rsid w:val="7D0239FF"/>
    <w:rsid w:val="7D4F457D"/>
    <w:rsid w:val="7D5E40CD"/>
    <w:rsid w:val="7D9742D9"/>
    <w:rsid w:val="7DCD56F2"/>
    <w:rsid w:val="7EA13C3A"/>
    <w:rsid w:val="7EDE4A36"/>
    <w:rsid w:val="7F001CE7"/>
    <w:rsid w:val="7F353502"/>
    <w:rsid w:val="7FE47E50"/>
    <w:rsid w:val="7FEA6E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1 表头"/>
    <w:basedOn w:val="1"/>
    <w:qFormat/>
    <w:uiPriority w:val="0"/>
    <w:pPr>
      <w:adjustRightInd w:val="0"/>
      <w:snapToGrid w:val="0"/>
      <w:jc w:val="center"/>
    </w:pPr>
    <w:rPr>
      <w:b/>
      <w:color w:val="000000"/>
      <w:szCs w:val="21"/>
    </w:rPr>
  </w:style>
  <w:style w:type="paragraph" w:styleId="5">
    <w:name w:val="caption"/>
    <w:basedOn w:val="1"/>
    <w:next w:val="1"/>
    <w:qFormat/>
    <w:locked/>
    <w:uiPriority w:val="0"/>
    <w:pPr>
      <w:spacing w:before="50" w:beforeLines="50" w:afterLines="0"/>
      <w:ind w:firstLine="0" w:firstLineChars="0"/>
      <w:jc w:val="center"/>
    </w:pPr>
    <w:rPr>
      <w:rFonts w:ascii="黑体" w:hAnsi="黑体" w:eastAsia="宋体"/>
      <w:b/>
      <w:kern w:val="0"/>
      <w:sz w:val="21"/>
      <w:szCs w:val="20"/>
    </w:rPr>
  </w:style>
  <w:style w:type="paragraph" w:styleId="6">
    <w:name w:val="annotation text"/>
    <w:basedOn w:val="1"/>
    <w:link w:val="22"/>
    <w:semiHidden/>
    <w:qFormat/>
    <w:uiPriority w:val="0"/>
    <w:pPr>
      <w:jc w:val="left"/>
    </w:pPr>
    <w:rPr>
      <w:kern w:val="0"/>
      <w:sz w:val="24"/>
      <w:szCs w:val="20"/>
    </w:rPr>
  </w:style>
  <w:style w:type="paragraph" w:styleId="7">
    <w:name w:val="Body Text"/>
    <w:basedOn w:val="1"/>
    <w:link w:val="23"/>
    <w:qFormat/>
    <w:uiPriority w:val="0"/>
    <w:pPr>
      <w:widowControl/>
      <w:snapToGrid w:val="0"/>
      <w:spacing w:before="60" w:after="160" w:line="259" w:lineRule="auto"/>
      <w:ind w:right="113"/>
    </w:pPr>
    <w:rPr>
      <w:kern w:val="0"/>
      <w:sz w:val="18"/>
      <w:szCs w:val="20"/>
    </w:rPr>
  </w:style>
  <w:style w:type="paragraph" w:styleId="8">
    <w:name w:val="Body Text Indent"/>
    <w:basedOn w:val="1"/>
    <w:link w:val="24"/>
    <w:qFormat/>
    <w:uiPriority w:val="0"/>
    <w:pPr>
      <w:spacing w:after="120"/>
      <w:ind w:left="420" w:leftChars="200"/>
    </w:pPr>
    <w:rPr>
      <w:kern w:val="0"/>
      <w:sz w:val="24"/>
      <w:szCs w:val="20"/>
    </w:rPr>
  </w:style>
  <w:style w:type="paragraph" w:styleId="9">
    <w:name w:val="Date"/>
    <w:basedOn w:val="1"/>
    <w:next w:val="1"/>
    <w:link w:val="25"/>
    <w:qFormat/>
    <w:uiPriority w:val="0"/>
    <w:pPr>
      <w:ind w:left="100" w:leftChars="2500"/>
    </w:pPr>
    <w:rPr>
      <w:kern w:val="0"/>
      <w:sz w:val="24"/>
      <w:szCs w:val="20"/>
    </w:rPr>
  </w:style>
  <w:style w:type="paragraph" w:styleId="10">
    <w:name w:val="Balloon Text"/>
    <w:basedOn w:val="1"/>
    <w:link w:val="26"/>
    <w:semiHidden/>
    <w:qFormat/>
    <w:uiPriority w:val="0"/>
    <w:rPr>
      <w:kern w:val="0"/>
      <w:sz w:val="18"/>
      <w:szCs w:val="20"/>
    </w:rPr>
  </w:style>
  <w:style w:type="paragraph" w:styleId="11">
    <w:name w:val="footer"/>
    <w:basedOn w:val="1"/>
    <w:link w:val="27"/>
    <w:qFormat/>
    <w:uiPriority w:val="99"/>
    <w:pPr>
      <w:tabs>
        <w:tab w:val="center" w:pos="4153"/>
        <w:tab w:val="right" w:pos="8306"/>
      </w:tabs>
      <w:snapToGrid w:val="0"/>
      <w:jc w:val="left"/>
    </w:pPr>
    <w:rPr>
      <w:kern w:val="0"/>
      <w:sz w:val="18"/>
      <w:szCs w:val="20"/>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0"/>
      <w:sz w:val="18"/>
      <w:szCs w:val="20"/>
    </w:rPr>
  </w:style>
  <w:style w:type="paragraph" w:styleId="13">
    <w:name w:val="List"/>
    <w:basedOn w:val="1"/>
    <w:next w:val="1"/>
    <w:qFormat/>
    <w:locked/>
    <w:uiPriority w:val="0"/>
    <w:pPr>
      <w:ind w:left="200" w:hanging="200" w:hangingChars="200"/>
    </w:pPr>
  </w:style>
  <w:style w:type="paragraph" w:styleId="14">
    <w:name w:val="Normal (Web)"/>
    <w:basedOn w:val="1"/>
    <w:link w:val="29"/>
    <w:qFormat/>
    <w:uiPriority w:val="0"/>
    <w:pPr>
      <w:widowControl/>
      <w:spacing w:before="100" w:beforeAutospacing="1" w:after="100" w:afterAutospacing="1"/>
      <w:jc w:val="left"/>
    </w:pPr>
    <w:rPr>
      <w:rFonts w:ascii="宋体" w:hAnsi="宋体"/>
      <w:kern w:val="0"/>
      <w:sz w:val="24"/>
      <w:szCs w:val="20"/>
    </w:rPr>
  </w:style>
  <w:style w:type="paragraph" w:styleId="15">
    <w:name w:val="annotation subject"/>
    <w:basedOn w:val="6"/>
    <w:next w:val="6"/>
    <w:link w:val="21"/>
    <w:semiHidden/>
    <w:qFormat/>
    <w:uiPriority w:val="0"/>
    <w:rPr>
      <w:b/>
      <w:sz w:val="24"/>
      <w:szCs w:val="20"/>
    </w:rPr>
  </w:style>
  <w:style w:type="table" w:styleId="17">
    <w:name w:val="Table Grid"/>
    <w:basedOn w:val="1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locked/>
    <w:uiPriority w:val="0"/>
  </w:style>
  <w:style w:type="character" w:styleId="20">
    <w:name w:val="annotation reference"/>
    <w:semiHidden/>
    <w:qFormat/>
    <w:uiPriority w:val="0"/>
    <w:rPr>
      <w:sz w:val="21"/>
    </w:rPr>
  </w:style>
  <w:style w:type="character" w:customStyle="1" w:styleId="21">
    <w:name w:val="批注主题 Char"/>
    <w:link w:val="15"/>
    <w:semiHidden/>
    <w:qFormat/>
    <w:locked/>
    <w:uiPriority w:val="0"/>
    <w:rPr>
      <w:rFonts w:ascii="Times New Roman" w:hAnsi="Times New Roman" w:eastAsia="宋体"/>
      <w:b/>
      <w:kern w:val="2"/>
      <w:sz w:val="24"/>
    </w:rPr>
  </w:style>
  <w:style w:type="character" w:customStyle="1" w:styleId="22">
    <w:name w:val="批注文字 Char"/>
    <w:link w:val="6"/>
    <w:qFormat/>
    <w:locked/>
    <w:uiPriority w:val="0"/>
    <w:rPr>
      <w:rFonts w:ascii="Times New Roman" w:hAnsi="Times New Roman" w:eastAsia="宋体"/>
      <w:sz w:val="24"/>
    </w:rPr>
  </w:style>
  <w:style w:type="character" w:customStyle="1" w:styleId="23">
    <w:name w:val="正文文本 Char"/>
    <w:link w:val="7"/>
    <w:qFormat/>
    <w:locked/>
    <w:uiPriority w:val="0"/>
    <w:rPr>
      <w:sz w:val="18"/>
    </w:rPr>
  </w:style>
  <w:style w:type="character" w:customStyle="1" w:styleId="24">
    <w:name w:val="正文文本缩进 Char"/>
    <w:link w:val="8"/>
    <w:semiHidden/>
    <w:qFormat/>
    <w:locked/>
    <w:uiPriority w:val="0"/>
    <w:rPr>
      <w:rFonts w:ascii="Times New Roman" w:hAnsi="Times New Roman" w:eastAsia="宋体"/>
      <w:sz w:val="24"/>
    </w:rPr>
  </w:style>
  <w:style w:type="character" w:customStyle="1" w:styleId="25">
    <w:name w:val="日期 Char"/>
    <w:link w:val="9"/>
    <w:qFormat/>
    <w:locked/>
    <w:uiPriority w:val="0"/>
    <w:rPr>
      <w:rFonts w:ascii="Times New Roman" w:hAnsi="Times New Roman" w:eastAsia="宋体"/>
      <w:sz w:val="24"/>
    </w:rPr>
  </w:style>
  <w:style w:type="character" w:customStyle="1" w:styleId="26">
    <w:name w:val="批注框文本 Char"/>
    <w:link w:val="10"/>
    <w:semiHidden/>
    <w:qFormat/>
    <w:locked/>
    <w:uiPriority w:val="0"/>
    <w:rPr>
      <w:rFonts w:ascii="Times New Roman" w:hAnsi="Times New Roman" w:eastAsia="宋体"/>
      <w:sz w:val="18"/>
    </w:rPr>
  </w:style>
  <w:style w:type="character" w:customStyle="1" w:styleId="27">
    <w:name w:val="页脚 Char"/>
    <w:link w:val="11"/>
    <w:qFormat/>
    <w:locked/>
    <w:uiPriority w:val="99"/>
    <w:rPr>
      <w:sz w:val="18"/>
    </w:rPr>
  </w:style>
  <w:style w:type="character" w:customStyle="1" w:styleId="28">
    <w:name w:val="页眉 Char"/>
    <w:link w:val="12"/>
    <w:qFormat/>
    <w:locked/>
    <w:uiPriority w:val="0"/>
    <w:rPr>
      <w:sz w:val="18"/>
    </w:rPr>
  </w:style>
  <w:style w:type="character" w:customStyle="1" w:styleId="29">
    <w:name w:val="普通(网站) Char"/>
    <w:link w:val="14"/>
    <w:qFormat/>
    <w:locked/>
    <w:uiPriority w:val="0"/>
    <w:rPr>
      <w:rFonts w:ascii="宋体" w:hAnsi="宋体" w:eastAsia="宋体"/>
      <w:sz w:val="24"/>
    </w:rPr>
  </w:style>
  <w:style w:type="character" w:customStyle="1" w:styleId="30">
    <w:name w:val="正文文本 字符1"/>
    <w:semiHidden/>
    <w:qFormat/>
    <w:uiPriority w:val="0"/>
    <w:rPr>
      <w:rFonts w:ascii="Times New Roman" w:hAnsi="Times New Roman" w:eastAsia="宋体"/>
      <w:sz w:val="24"/>
    </w:rPr>
  </w:style>
  <w:style w:type="character" w:customStyle="1" w:styleId="31">
    <w:name w:val="日期 字符"/>
    <w:semiHidden/>
    <w:qFormat/>
    <w:uiPriority w:val="0"/>
    <w:rPr>
      <w:rFonts w:ascii="Times New Roman" w:hAnsi="Times New Roman" w:eastAsia="宋体"/>
      <w:sz w:val="24"/>
    </w:rPr>
  </w:style>
  <w:style w:type="character" w:customStyle="1" w:styleId="32">
    <w:name w:val="批注文字 字符1"/>
    <w:semiHidden/>
    <w:qFormat/>
    <w:uiPriority w:val="0"/>
    <w:rPr>
      <w:rFonts w:ascii="Times New Roman" w:hAnsi="Times New Roman" w:eastAsia="宋体"/>
      <w:sz w:val="24"/>
    </w:rPr>
  </w:style>
  <w:style w:type="character" w:customStyle="1" w:styleId="33">
    <w:name w:val="表格 Char"/>
    <w:link w:val="34"/>
    <w:qFormat/>
    <w:locked/>
    <w:uiPriority w:val="0"/>
    <w:rPr>
      <w:rFonts w:ascii="宋体"/>
      <w:sz w:val="21"/>
    </w:rPr>
  </w:style>
  <w:style w:type="paragraph" w:customStyle="1" w:styleId="34">
    <w:name w:val="表格"/>
    <w:basedOn w:val="1"/>
    <w:next w:val="1"/>
    <w:link w:val="33"/>
    <w:qFormat/>
    <w:uiPriority w:val="0"/>
    <w:pPr>
      <w:adjustRightInd w:val="0"/>
      <w:snapToGrid w:val="0"/>
      <w:spacing w:beforeLines="10" w:afterLines="10" w:line="259" w:lineRule="auto"/>
      <w:jc w:val="center"/>
    </w:pPr>
    <w:rPr>
      <w:rFonts w:ascii="宋体"/>
      <w:kern w:val="0"/>
      <w:szCs w:val="20"/>
    </w:rPr>
  </w:style>
  <w:style w:type="character" w:customStyle="1" w:styleId="35">
    <w:name w:val="页脚 字符"/>
    <w:basedOn w:val="18"/>
    <w:qFormat/>
    <w:uiPriority w:val="99"/>
  </w:style>
  <w:style w:type="paragraph" w:customStyle="1" w:styleId="3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38">
    <w:name w:val="正文内容"/>
    <w:basedOn w:val="1"/>
    <w:qFormat/>
    <w:uiPriority w:val="0"/>
    <w:pPr>
      <w:widowControl w:val="0"/>
      <w:spacing w:line="360" w:lineRule="auto"/>
      <w:ind w:firstLine="200" w:firstLineChars="200"/>
      <w:jc w:val="both"/>
    </w:pPr>
    <w:rPr>
      <w:rFonts w:ascii="宋体"/>
      <w:sz w:val="24"/>
      <w:szCs w:val="20"/>
    </w:rPr>
  </w:style>
  <w:style w:type="paragraph" w:customStyle="1" w:styleId="39">
    <w:name w:val="A-z正文"/>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9.wmf"/><Relationship Id="rId16" Type="http://schemas.openxmlformats.org/officeDocument/2006/relationships/image" Target="media/image8.png"/><Relationship Id="rId15" Type="http://schemas.openxmlformats.org/officeDocument/2006/relationships/image" Target="media/image7.e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微软中国</Company>
  <Pages>31</Pages>
  <Words>137</Words>
  <Characters>163</Characters>
  <Lines>13</Lines>
  <Paragraphs>3</Paragraphs>
  <TotalTime>0</TotalTime>
  <ScaleCrop>false</ScaleCrop>
  <LinksUpToDate>false</LinksUpToDate>
  <CharactersWithSpaces>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小麦啾</cp:lastModifiedBy>
  <cp:lastPrinted>2020-12-29T02:43:00Z</cp:lastPrinted>
  <dcterms:modified xsi:type="dcterms:W3CDTF">2025-09-25T03:20:27Z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4CF69865F38F4816A113B5BF7FBB3AE7</vt:lpwstr>
  </property>
  <property fmtid="{D5CDD505-2E9C-101B-9397-08002B2CF9AE}" pid="4" name="KSOTemplateDocerSaveRecord">
    <vt:lpwstr>eyJoZGlkIjoiM2Q5NDlmNDc3N2ZkYzk3ZGJmOTUwNTM0Mzc5MTVlNDMiLCJ1c2VySWQiOiIzMjQ5NjUzODcifQ==</vt:lpwstr>
  </property>
</Properties>
</file>