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spacing w:line="360" w:lineRule="auto"/>
      </w:pPr>
      <w:r>
        <w:rPr>
          <w:rFonts w:hint="eastAsia"/>
        </w:rPr>
        <w:t>建设项目基本情况</w:t>
      </w:r>
      <w:bookmarkStart w:id="5" w:name="_GoBack"/>
      <w:bookmarkEnd w:id="5"/>
    </w:p>
    <w:tbl>
      <w:tblPr>
        <w:tblStyle w:val="25"/>
        <w:tblW w:w="852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94"/>
        <w:gridCol w:w="1668"/>
        <w:gridCol w:w="1677"/>
        <w:gridCol w:w="1773"/>
        <w:gridCol w:w="29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spacing w:line="360" w:lineRule="auto"/>
              <w:jc w:val="center"/>
            </w:pPr>
            <w:r>
              <w:t>建设项目名称</w:t>
            </w:r>
          </w:p>
        </w:tc>
        <w:tc>
          <w:tcPr>
            <w:tcW w:w="6360" w:type="dxa"/>
            <w:gridSpan w:val="3"/>
            <w:tcBorders>
              <w:tl2br w:val="nil"/>
              <w:tr2bl w:val="nil"/>
            </w:tcBorders>
            <w:shd w:val="clear" w:color="auto" w:fill="FFFFFF"/>
            <w:vAlign w:val="center"/>
          </w:tcPr>
          <w:p>
            <w:pPr>
              <w:spacing w:line="360" w:lineRule="auto"/>
              <w:jc w:val="center"/>
              <w:rPr>
                <w:b w:val="0"/>
                <w:bCs/>
              </w:rPr>
            </w:pPr>
            <w:r>
              <w:rPr>
                <w:rFonts w:hint="default"/>
                <w:b w:val="0"/>
                <w:bCs/>
              </w:rPr>
              <w:t>年产3万</w:t>
            </w:r>
            <w:r>
              <w:rPr>
                <w:rFonts w:hint="default"/>
                <w:b w:val="0"/>
                <w:bCs/>
                <w:lang w:val="en-US" w:eastAsia="zh-CN"/>
              </w:rPr>
              <w:t>m</w:t>
            </w:r>
            <w:r>
              <w:rPr>
                <w:rFonts w:hint="default"/>
                <w:b w:val="0"/>
                <w:bCs/>
                <w:vertAlign w:val="superscript"/>
                <w:lang w:val="en-US" w:eastAsia="zh-CN"/>
              </w:rPr>
              <w:t>2</w:t>
            </w:r>
            <w:r>
              <w:rPr>
                <w:rFonts w:hint="default"/>
                <w:b w:val="0"/>
                <w:bCs/>
              </w:rPr>
              <w:t>GRC</w:t>
            </w:r>
            <w:r>
              <w:rPr>
                <w:rFonts w:hint="default"/>
                <w:b w:val="0"/>
                <w:bCs/>
                <w:lang w:val="en-US" w:eastAsia="zh-CN"/>
              </w:rPr>
              <w:t>及</w:t>
            </w:r>
            <w:r>
              <w:rPr>
                <w:rFonts w:hint="default"/>
                <w:b w:val="0"/>
                <w:bCs/>
              </w:rPr>
              <w:t>EPS</w:t>
            </w:r>
            <w:r>
              <w:rPr>
                <w:rFonts w:hint="default"/>
                <w:b w:val="0"/>
                <w:bCs/>
                <w:lang w:val="en-US" w:eastAsia="zh-CN"/>
              </w:rPr>
              <w:t>水泥</w:t>
            </w:r>
            <w:r>
              <w:rPr>
                <w:rFonts w:hint="default"/>
                <w:b w:val="0"/>
                <w:bCs/>
              </w:rPr>
              <w:t>装饰</w:t>
            </w:r>
            <w:r>
              <w:rPr>
                <w:rFonts w:hint="default"/>
                <w:b w:val="0"/>
                <w:bCs/>
                <w:lang w:val="en-US" w:eastAsia="zh-CN"/>
              </w:rPr>
              <w:t>制品</w:t>
            </w:r>
            <w:r>
              <w:rPr>
                <w:rFonts w:hint="default"/>
                <w:b w:val="0"/>
                <w:bCs/>
              </w:rPr>
              <w:t>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spacing w:line="360" w:lineRule="auto"/>
              <w:jc w:val="center"/>
            </w:pPr>
            <w:r>
              <w:t>项目代码</w:t>
            </w:r>
          </w:p>
        </w:tc>
        <w:tc>
          <w:tcPr>
            <w:tcW w:w="6360" w:type="dxa"/>
            <w:gridSpan w:val="3"/>
            <w:tcBorders>
              <w:tl2br w:val="nil"/>
              <w:tr2bl w:val="nil"/>
            </w:tcBorders>
            <w:shd w:val="clear" w:color="auto" w:fill="FFFFFF"/>
            <w:vAlign w:val="center"/>
          </w:tcPr>
          <w:p>
            <w:pPr>
              <w:spacing w:line="360" w:lineRule="auto"/>
              <w:jc w:val="center"/>
              <w:rPr>
                <w:rFonts w:hint="default" w:eastAsia="宋体"/>
                <w:b w:val="0"/>
                <w:bCs/>
                <w:lang w:val="en-US" w:eastAsia="zh-CN"/>
              </w:rPr>
            </w:pPr>
            <w:r>
              <w:rPr>
                <w:rFonts w:hint="eastAsia"/>
                <w:b w:val="0"/>
                <w:bCs/>
                <w:lang w:val="en-US" w:eastAsia="zh-CN"/>
              </w:rPr>
              <w:t>2109-652312-04-01-700833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spacing w:line="360" w:lineRule="auto"/>
              <w:jc w:val="center"/>
            </w:pPr>
            <w:r>
              <w:t>建设单位联系人</w:t>
            </w:r>
          </w:p>
        </w:tc>
        <w:tc>
          <w:tcPr>
            <w:tcW w:w="1677" w:type="dxa"/>
            <w:tcBorders>
              <w:tl2br w:val="nil"/>
              <w:tr2bl w:val="nil"/>
            </w:tcBorders>
            <w:shd w:val="clear" w:color="auto" w:fill="FFFFFF"/>
            <w:vAlign w:val="center"/>
          </w:tcPr>
          <w:p>
            <w:pPr>
              <w:spacing w:line="360" w:lineRule="auto"/>
              <w:jc w:val="center"/>
              <w:rPr>
                <w:b w:val="0"/>
                <w:bCs/>
              </w:rPr>
            </w:pPr>
            <w:r>
              <w:rPr>
                <w:b w:val="0"/>
                <w:bCs/>
              </w:rPr>
              <w:t>吕金棋</w:t>
            </w:r>
          </w:p>
        </w:tc>
        <w:tc>
          <w:tcPr>
            <w:tcW w:w="1773" w:type="dxa"/>
            <w:tcBorders>
              <w:tl2br w:val="nil"/>
              <w:tr2bl w:val="nil"/>
            </w:tcBorders>
            <w:shd w:val="clear" w:color="auto" w:fill="FFFFFF"/>
            <w:vAlign w:val="center"/>
          </w:tcPr>
          <w:p>
            <w:pPr>
              <w:spacing w:line="360" w:lineRule="auto"/>
              <w:jc w:val="center"/>
              <w:rPr>
                <w:b w:val="0"/>
                <w:bCs/>
              </w:rPr>
            </w:pPr>
            <w:r>
              <w:t>联系方式</w:t>
            </w:r>
          </w:p>
        </w:tc>
        <w:tc>
          <w:tcPr>
            <w:tcW w:w="2910" w:type="dxa"/>
            <w:tcBorders>
              <w:tl2br w:val="nil"/>
              <w:tr2bl w:val="nil"/>
            </w:tcBorders>
            <w:shd w:val="clear" w:color="auto" w:fill="FFFFFF"/>
            <w:vAlign w:val="center"/>
          </w:tcPr>
          <w:p>
            <w:pPr>
              <w:spacing w:line="360" w:lineRule="auto"/>
              <w:jc w:val="center"/>
              <w:rPr>
                <w:b w:val="0"/>
                <w:bCs/>
              </w:rPr>
            </w:pPr>
            <w:r>
              <w:rPr>
                <w:b w:val="0"/>
                <w:bCs/>
              </w:rPr>
              <w:t>132 3988 4588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spacing w:line="360" w:lineRule="auto"/>
              <w:jc w:val="center"/>
            </w:pPr>
            <w:r>
              <w:t>建设地点</w:t>
            </w:r>
          </w:p>
        </w:tc>
        <w:tc>
          <w:tcPr>
            <w:tcW w:w="6360" w:type="dxa"/>
            <w:gridSpan w:val="3"/>
            <w:tcBorders>
              <w:tl2br w:val="nil"/>
              <w:tr2bl w:val="nil"/>
            </w:tcBorders>
            <w:shd w:val="clear" w:color="auto" w:fill="FFFFFF"/>
            <w:vAlign w:val="center"/>
          </w:tcPr>
          <w:p>
            <w:pPr>
              <w:jc w:val="center"/>
              <w:rPr>
                <w:b w:val="0"/>
                <w:bCs/>
              </w:rPr>
            </w:pPr>
            <w:r>
              <w:rPr>
                <w:b w:val="0"/>
                <w:bCs/>
              </w:rPr>
              <w:t>昌吉回族自治州昌吉市高新区建材园区N-10号昌吉市先导工程材料有限责任公司</w:t>
            </w:r>
            <w:r>
              <w:rPr>
                <w:rFonts w:hint="eastAsia"/>
                <w:b w:val="0"/>
                <w:bCs/>
              </w:rPr>
              <w:t>厂内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spacing w:line="360" w:lineRule="auto"/>
              <w:jc w:val="center"/>
            </w:pPr>
            <w:r>
              <w:t>地理坐标</w:t>
            </w:r>
          </w:p>
        </w:tc>
        <w:tc>
          <w:tcPr>
            <w:tcW w:w="6360" w:type="dxa"/>
            <w:gridSpan w:val="3"/>
            <w:tcBorders>
              <w:tl2br w:val="nil"/>
              <w:tr2bl w:val="nil"/>
            </w:tcBorders>
            <w:shd w:val="clear" w:color="auto" w:fill="FFFFFF"/>
            <w:vAlign w:val="center"/>
          </w:tcPr>
          <w:p>
            <w:pPr>
              <w:spacing w:line="360" w:lineRule="auto"/>
              <w:jc w:val="center"/>
              <w:rPr>
                <w:b w:val="0"/>
                <w:bCs/>
              </w:rPr>
            </w:pPr>
            <w:r>
              <w:rPr>
                <w:b w:val="0"/>
                <w:bCs/>
              </w:rPr>
              <w:t>（87度</w:t>
            </w:r>
            <w:r>
              <w:rPr>
                <w:rFonts w:hint="eastAsia"/>
                <w:b w:val="0"/>
                <w:bCs/>
              </w:rPr>
              <w:t>8</w:t>
            </w:r>
            <w:r>
              <w:rPr>
                <w:b w:val="0"/>
                <w:bCs/>
              </w:rPr>
              <w:t>分</w:t>
            </w:r>
            <w:r>
              <w:rPr>
                <w:rFonts w:hint="eastAsia"/>
                <w:b w:val="0"/>
                <w:bCs/>
              </w:rPr>
              <w:t>9.513</w:t>
            </w:r>
            <w:r>
              <w:rPr>
                <w:b w:val="0"/>
                <w:bCs/>
              </w:rPr>
              <w:t>秒，44度</w:t>
            </w:r>
            <w:r>
              <w:rPr>
                <w:rFonts w:hint="eastAsia"/>
                <w:b w:val="0"/>
                <w:bCs/>
              </w:rPr>
              <w:t>5</w:t>
            </w:r>
            <w:r>
              <w:rPr>
                <w:b w:val="0"/>
                <w:bCs/>
              </w:rPr>
              <w:t>分</w:t>
            </w:r>
            <w:r>
              <w:rPr>
                <w:rFonts w:hint="eastAsia"/>
                <w:b w:val="0"/>
                <w:bCs/>
              </w:rPr>
              <w:t>19.342</w:t>
            </w:r>
            <w:r>
              <w:rPr>
                <w:b w:val="0"/>
                <w:bCs/>
              </w:rPr>
              <w:t>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jc w:val="center"/>
            </w:pPr>
            <w:r>
              <w:t>国民经济</w:t>
            </w:r>
          </w:p>
          <w:p>
            <w:pPr>
              <w:jc w:val="center"/>
            </w:pPr>
            <w:r>
              <w:t>行业类别</w:t>
            </w:r>
          </w:p>
        </w:tc>
        <w:tc>
          <w:tcPr>
            <w:tcW w:w="1677" w:type="dxa"/>
            <w:tcBorders>
              <w:tl2br w:val="nil"/>
              <w:tr2bl w:val="nil"/>
            </w:tcBorders>
            <w:shd w:val="clear" w:color="auto" w:fill="FFFFFF"/>
            <w:vAlign w:val="center"/>
          </w:tcPr>
          <w:p>
            <w:pPr>
              <w:jc w:val="center"/>
              <w:rPr>
                <w:b w:val="0"/>
                <w:bCs/>
              </w:rPr>
            </w:pPr>
            <w:r>
              <w:rPr>
                <w:rFonts w:hint="eastAsia"/>
                <w:b w:val="0"/>
                <w:bCs/>
              </w:rPr>
              <w:t>C3029</w:t>
            </w:r>
            <w:r>
              <w:rPr>
                <w:b w:val="0"/>
                <w:bCs/>
              </w:rPr>
              <w:t>其他水泥类似制品制造</w:t>
            </w:r>
          </w:p>
        </w:tc>
        <w:tc>
          <w:tcPr>
            <w:tcW w:w="1773" w:type="dxa"/>
            <w:tcBorders>
              <w:tl2br w:val="nil"/>
              <w:tr2bl w:val="nil"/>
            </w:tcBorders>
            <w:shd w:val="clear" w:color="auto" w:fill="FFFFFF"/>
            <w:vAlign w:val="center"/>
          </w:tcPr>
          <w:p>
            <w:pPr>
              <w:jc w:val="center"/>
            </w:pPr>
            <w:bookmarkStart w:id="0" w:name="_Hlk49843745"/>
            <w:r>
              <w:t>建设项目</w:t>
            </w:r>
          </w:p>
          <w:p>
            <w:pPr>
              <w:jc w:val="center"/>
            </w:pPr>
            <w:r>
              <w:t>行业类别</w:t>
            </w:r>
            <w:bookmarkEnd w:id="0"/>
          </w:p>
        </w:tc>
        <w:tc>
          <w:tcPr>
            <w:tcW w:w="2910" w:type="dxa"/>
            <w:tcBorders>
              <w:tl2br w:val="nil"/>
              <w:tr2bl w:val="nil"/>
            </w:tcBorders>
            <w:shd w:val="clear" w:color="auto" w:fill="FFFFFF"/>
            <w:vAlign w:val="center"/>
          </w:tcPr>
          <w:p>
            <w:pPr>
              <w:jc w:val="center"/>
              <w:rPr>
                <w:b w:val="0"/>
                <w:bCs/>
              </w:rPr>
            </w:pPr>
            <w:r>
              <w:rPr>
                <w:b w:val="0"/>
                <w:bCs/>
              </w:rPr>
              <w:t>石膏、水泥制品及类似制品制造302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jc w:val="center"/>
            </w:pPr>
            <w:r>
              <w:t>建设性质</w:t>
            </w:r>
          </w:p>
        </w:tc>
        <w:tc>
          <w:tcPr>
            <w:tcW w:w="1677" w:type="dxa"/>
            <w:tcBorders>
              <w:tl2br w:val="nil"/>
              <w:tr2bl w:val="nil"/>
            </w:tcBorders>
            <w:shd w:val="clear" w:color="auto" w:fill="FFFFFF"/>
            <w:vAlign w:val="center"/>
          </w:tcPr>
          <w:p>
            <w:pPr>
              <w:jc w:val="both"/>
              <w:rPr>
                <w:b w:val="0"/>
                <w:bCs/>
              </w:rPr>
            </w:pPr>
            <w:r>
              <w:rPr>
                <w:b w:val="0"/>
                <w:bCs/>
              </w:rPr>
              <w:sym w:font="Wingdings 2" w:char="0052"/>
            </w:r>
            <w:r>
              <w:rPr>
                <w:b w:val="0"/>
                <w:bCs/>
              </w:rPr>
              <w:t>新建（迁建）</w:t>
            </w:r>
          </w:p>
          <w:p>
            <w:pPr>
              <w:jc w:val="both"/>
              <w:rPr>
                <w:b w:val="0"/>
                <w:bCs/>
              </w:rPr>
            </w:pPr>
            <w:r>
              <w:rPr>
                <w:b w:val="0"/>
                <w:bCs/>
              </w:rPr>
              <w:t>□改建</w:t>
            </w:r>
          </w:p>
          <w:p>
            <w:pPr>
              <w:jc w:val="both"/>
              <w:rPr>
                <w:b w:val="0"/>
                <w:bCs/>
              </w:rPr>
            </w:pPr>
            <w:r>
              <w:rPr>
                <w:b w:val="0"/>
                <w:bCs/>
              </w:rPr>
              <w:t>□扩建</w:t>
            </w:r>
          </w:p>
          <w:p>
            <w:pPr>
              <w:jc w:val="both"/>
              <w:rPr>
                <w:b w:val="0"/>
                <w:bCs/>
              </w:rPr>
            </w:pPr>
            <w:r>
              <w:rPr>
                <w:b w:val="0"/>
                <w:bCs/>
              </w:rPr>
              <w:t>□技术改造</w:t>
            </w:r>
          </w:p>
        </w:tc>
        <w:tc>
          <w:tcPr>
            <w:tcW w:w="1773" w:type="dxa"/>
            <w:tcBorders>
              <w:tl2br w:val="nil"/>
              <w:tr2bl w:val="nil"/>
            </w:tcBorders>
            <w:shd w:val="clear" w:color="auto" w:fill="FFFFFF"/>
            <w:vAlign w:val="center"/>
          </w:tcPr>
          <w:p>
            <w:pPr>
              <w:jc w:val="center"/>
            </w:pPr>
            <w:r>
              <w:t>建设项目</w:t>
            </w:r>
          </w:p>
          <w:p>
            <w:pPr>
              <w:jc w:val="center"/>
            </w:pPr>
            <w:r>
              <w:t>申报情形</w:t>
            </w:r>
          </w:p>
        </w:tc>
        <w:tc>
          <w:tcPr>
            <w:tcW w:w="2910" w:type="dxa"/>
            <w:tcBorders>
              <w:tl2br w:val="nil"/>
              <w:tr2bl w:val="nil"/>
            </w:tcBorders>
            <w:shd w:val="clear" w:color="auto" w:fill="FFFFFF"/>
            <w:tcMar>
              <w:top w:w="0" w:type="dxa"/>
              <w:left w:w="108" w:type="dxa"/>
              <w:bottom w:w="0" w:type="dxa"/>
              <w:right w:w="0" w:type="dxa"/>
            </w:tcMar>
            <w:vAlign w:val="center"/>
          </w:tcPr>
          <w:p>
            <w:pPr>
              <w:jc w:val="both"/>
              <w:rPr>
                <w:b w:val="0"/>
                <w:bCs/>
              </w:rPr>
            </w:pPr>
            <w:r>
              <w:rPr>
                <w:b w:val="0"/>
                <w:bCs/>
              </w:rPr>
              <w:sym w:font="Wingdings 2" w:char="0052"/>
            </w:r>
            <w:r>
              <w:rPr>
                <w:b w:val="0"/>
                <w:bCs/>
              </w:rPr>
              <w:t>首次申报项目</w:t>
            </w:r>
          </w:p>
          <w:p>
            <w:pPr>
              <w:jc w:val="both"/>
              <w:rPr>
                <w:b w:val="0"/>
                <w:bCs/>
              </w:rPr>
            </w:pPr>
            <w:r>
              <w:rPr>
                <w:b w:val="0"/>
                <w:bCs/>
              </w:rPr>
              <w:t>□不予批准后再次申报项目</w:t>
            </w:r>
          </w:p>
          <w:p>
            <w:pPr>
              <w:jc w:val="both"/>
              <w:rPr>
                <w:b w:val="0"/>
                <w:bCs/>
              </w:rPr>
            </w:pPr>
            <w:r>
              <w:rPr>
                <w:b w:val="0"/>
                <w:bCs/>
              </w:rPr>
              <w:t>□超五年重新审核项目</w:t>
            </w:r>
          </w:p>
          <w:p>
            <w:pPr>
              <w:jc w:val="both"/>
              <w:rPr>
                <w:b w:val="0"/>
                <w:bCs/>
              </w:rPr>
            </w:pPr>
            <w:r>
              <w:rPr>
                <w:b w:val="0"/>
                <w:bCs/>
              </w:rPr>
              <w:t>□重大变动重新报批项目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jc w:val="center"/>
            </w:pPr>
            <w:r>
              <w:t>项目审批（核准/</w:t>
            </w:r>
          </w:p>
          <w:p>
            <w:pPr>
              <w:jc w:val="center"/>
            </w:pPr>
            <w:r>
              <w:t>备案）部门（选填）</w:t>
            </w:r>
          </w:p>
        </w:tc>
        <w:tc>
          <w:tcPr>
            <w:tcW w:w="1677" w:type="dxa"/>
            <w:tcBorders>
              <w:tl2br w:val="nil"/>
              <w:tr2bl w:val="nil"/>
            </w:tcBorders>
            <w:shd w:val="clear" w:color="auto" w:fill="FFFFFF"/>
            <w:vAlign w:val="center"/>
          </w:tcPr>
          <w:p>
            <w:pPr>
              <w:jc w:val="both"/>
              <w:rPr>
                <w:b w:val="0"/>
                <w:bCs/>
                <w:color w:val="auto"/>
              </w:rPr>
            </w:pPr>
            <w:r>
              <w:rPr>
                <w:b w:val="0"/>
                <w:bCs/>
                <w:color w:val="auto"/>
              </w:rPr>
              <w:t>昌吉</w:t>
            </w:r>
            <w:r>
              <w:rPr>
                <w:rFonts w:hint="eastAsia"/>
                <w:b w:val="0"/>
                <w:bCs/>
                <w:color w:val="auto"/>
              </w:rPr>
              <w:t>高新技术产业开发区产业发展科技局</w:t>
            </w:r>
          </w:p>
        </w:tc>
        <w:tc>
          <w:tcPr>
            <w:tcW w:w="1773" w:type="dxa"/>
            <w:tcBorders>
              <w:tl2br w:val="nil"/>
              <w:tr2bl w:val="nil"/>
            </w:tcBorders>
            <w:shd w:val="clear" w:color="auto" w:fill="FFFFFF"/>
            <w:vAlign w:val="center"/>
          </w:tcPr>
          <w:p>
            <w:pPr>
              <w:jc w:val="center"/>
              <w:rPr>
                <w:color w:val="auto"/>
              </w:rPr>
            </w:pPr>
            <w:r>
              <w:rPr>
                <w:color w:val="auto"/>
              </w:rPr>
              <w:t>项目审批（核准/备案）文号（选填）</w:t>
            </w:r>
          </w:p>
        </w:tc>
        <w:tc>
          <w:tcPr>
            <w:tcW w:w="2910" w:type="dxa"/>
            <w:tcBorders>
              <w:tl2br w:val="nil"/>
              <w:tr2bl w:val="nil"/>
            </w:tcBorders>
            <w:shd w:val="clear" w:color="auto" w:fill="FFFFFF"/>
            <w:vAlign w:val="center"/>
          </w:tcPr>
          <w:p>
            <w:pPr>
              <w:adjustRightInd w:val="0"/>
              <w:snapToGrid w:val="0"/>
              <w:jc w:val="both"/>
              <w:rPr>
                <w:b w:val="0"/>
                <w:bCs/>
                <w:color w:val="auto"/>
              </w:rPr>
            </w:pPr>
            <w:r>
              <w:rPr>
                <w:b w:val="0"/>
                <w:bCs/>
                <w:color w:val="auto"/>
              </w:rPr>
              <w:t>昌</w:t>
            </w:r>
            <w:r>
              <w:rPr>
                <w:rFonts w:hint="eastAsia"/>
                <w:b w:val="0"/>
                <w:bCs/>
                <w:color w:val="auto"/>
              </w:rPr>
              <w:t>高产发</w:t>
            </w:r>
            <w:r>
              <w:rPr>
                <w:rFonts w:hint="eastAsia" w:ascii="微软雅黑" w:hAnsi="微软雅黑" w:eastAsia="微软雅黑" w:cs="微软雅黑"/>
                <w:b w:val="0"/>
                <w:bCs/>
                <w:color w:val="auto"/>
              </w:rPr>
              <w:t>〔</w:t>
            </w:r>
            <w:r>
              <w:rPr>
                <w:b w:val="0"/>
                <w:bCs/>
                <w:color w:val="auto"/>
              </w:rPr>
              <w:t>2021</w:t>
            </w:r>
            <w:r>
              <w:rPr>
                <w:rFonts w:hint="eastAsia" w:ascii="微软雅黑" w:hAnsi="微软雅黑" w:eastAsia="微软雅黑" w:cs="微软雅黑"/>
                <w:b w:val="0"/>
                <w:bCs/>
                <w:color w:val="auto"/>
              </w:rPr>
              <w:t>〕</w:t>
            </w:r>
            <w:r>
              <w:rPr>
                <w:rFonts w:hint="eastAsia" w:eastAsia="微软雅黑"/>
                <w:b w:val="0"/>
                <w:bCs/>
                <w:color w:val="auto"/>
                <w:lang w:val="en-US" w:eastAsia="zh-CN"/>
              </w:rPr>
              <w:t>69</w:t>
            </w:r>
            <w:r>
              <w:rPr>
                <w:b w:val="0"/>
                <w:bCs/>
                <w:color w:val="auto"/>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jc w:val="center"/>
            </w:pPr>
            <w:r>
              <w:t>总投资（万元）</w:t>
            </w:r>
          </w:p>
        </w:tc>
        <w:tc>
          <w:tcPr>
            <w:tcW w:w="1677" w:type="dxa"/>
            <w:tcBorders>
              <w:tl2br w:val="nil"/>
              <w:tr2bl w:val="nil"/>
            </w:tcBorders>
            <w:shd w:val="clear" w:color="auto" w:fill="FFFFFF"/>
            <w:vAlign w:val="center"/>
          </w:tcPr>
          <w:p>
            <w:pPr>
              <w:jc w:val="center"/>
              <w:rPr>
                <w:b w:val="0"/>
                <w:bCs/>
              </w:rPr>
            </w:pPr>
            <w:r>
              <w:rPr>
                <w:rFonts w:hint="eastAsia"/>
                <w:b w:val="0"/>
                <w:bCs/>
              </w:rPr>
              <w:t>200</w:t>
            </w:r>
          </w:p>
        </w:tc>
        <w:tc>
          <w:tcPr>
            <w:tcW w:w="1773" w:type="dxa"/>
            <w:tcBorders>
              <w:tl2br w:val="nil"/>
              <w:tr2bl w:val="nil"/>
            </w:tcBorders>
            <w:shd w:val="clear" w:color="auto" w:fill="FFFFFF"/>
            <w:vAlign w:val="center"/>
          </w:tcPr>
          <w:p>
            <w:pPr>
              <w:jc w:val="center"/>
            </w:pPr>
            <w:r>
              <w:t>环保投资</w:t>
            </w:r>
          </w:p>
          <w:p>
            <w:pPr>
              <w:jc w:val="center"/>
            </w:pPr>
            <w:r>
              <w:t>（万元）</w:t>
            </w:r>
          </w:p>
        </w:tc>
        <w:tc>
          <w:tcPr>
            <w:tcW w:w="2910" w:type="dxa"/>
            <w:tcBorders>
              <w:tl2br w:val="nil"/>
              <w:tr2bl w:val="nil"/>
            </w:tcBorders>
            <w:shd w:val="clear" w:color="auto" w:fill="FFFFFF"/>
            <w:vAlign w:val="center"/>
          </w:tcPr>
          <w:p>
            <w:pPr>
              <w:jc w:val="center"/>
              <w:rPr>
                <w:rFonts w:hint="default" w:eastAsia="宋体"/>
                <w:b w:val="0"/>
                <w:bCs/>
                <w:lang w:val="en-US" w:eastAsia="zh-CN"/>
              </w:rPr>
            </w:pPr>
            <w:r>
              <w:rPr>
                <w:rFonts w:hint="eastAsia"/>
                <w:b w:val="0"/>
                <w:bCs/>
                <w:lang w:val="en-US" w:eastAsia="zh-CN"/>
              </w:rPr>
              <w:t>15.80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jc w:val="center"/>
            </w:pPr>
            <w:r>
              <w:t>环保投资占比（%）</w:t>
            </w:r>
          </w:p>
        </w:tc>
        <w:tc>
          <w:tcPr>
            <w:tcW w:w="1677" w:type="dxa"/>
            <w:tcBorders>
              <w:tl2br w:val="nil"/>
              <w:tr2bl w:val="nil"/>
            </w:tcBorders>
            <w:shd w:val="clear" w:color="auto" w:fill="FFFFFF"/>
            <w:vAlign w:val="center"/>
          </w:tcPr>
          <w:p>
            <w:pPr>
              <w:jc w:val="center"/>
              <w:rPr>
                <w:rFonts w:hint="default" w:eastAsia="宋体"/>
                <w:b w:val="0"/>
                <w:bCs/>
                <w:lang w:val="en-US" w:eastAsia="zh-CN"/>
              </w:rPr>
            </w:pPr>
            <w:r>
              <w:rPr>
                <w:rFonts w:hint="eastAsia"/>
                <w:b w:val="0"/>
                <w:bCs/>
                <w:lang w:val="en-US" w:eastAsia="zh-CN"/>
              </w:rPr>
              <w:t>7.90</w:t>
            </w:r>
          </w:p>
        </w:tc>
        <w:tc>
          <w:tcPr>
            <w:tcW w:w="1773" w:type="dxa"/>
            <w:tcBorders>
              <w:tl2br w:val="nil"/>
              <w:tr2bl w:val="nil"/>
            </w:tcBorders>
            <w:shd w:val="clear" w:color="auto" w:fill="FFFFFF"/>
            <w:vAlign w:val="center"/>
          </w:tcPr>
          <w:p>
            <w:pPr>
              <w:jc w:val="center"/>
            </w:pPr>
            <w:r>
              <w:t>施工工期</w:t>
            </w:r>
          </w:p>
        </w:tc>
        <w:tc>
          <w:tcPr>
            <w:tcW w:w="2910" w:type="dxa"/>
            <w:tcBorders>
              <w:tl2br w:val="nil"/>
              <w:tr2bl w:val="nil"/>
            </w:tcBorders>
            <w:shd w:val="clear" w:color="auto" w:fill="FFFFFF"/>
            <w:vAlign w:val="center"/>
          </w:tcPr>
          <w:p>
            <w:pPr>
              <w:jc w:val="center"/>
              <w:rPr>
                <w:b w:val="0"/>
                <w:bCs/>
              </w:rPr>
            </w:pPr>
            <w:r>
              <w:rPr>
                <w:b w:val="0"/>
                <w:bCs/>
              </w:rPr>
              <w:t>1</w:t>
            </w:r>
            <w:r>
              <w:rPr>
                <w:rFonts w:hint="eastAsia"/>
                <w:b w:val="0"/>
                <w:bCs/>
              </w:rPr>
              <w:t>个月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jc w:val="center"/>
            </w:pPr>
            <w:r>
              <w:t>是否开工建设</w:t>
            </w:r>
          </w:p>
        </w:tc>
        <w:tc>
          <w:tcPr>
            <w:tcW w:w="1677" w:type="dxa"/>
            <w:tcBorders>
              <w:tl2br w:val="nil"/>
              <w:tr2bl w:val="nil"/>
            </w:tcBorders>
            <w:shd w:val="clear" w:color="auto" w:fill="FFFFFF"/>
            <w:vAlign w:val="center"/>
          </w:tcPr>
          <w:p>
            <w:pPr>
              <w:jc w:val="both"/>
              <w:rPr>
                <w:b w:val="0"/>
                <w:bCs/>
              </w:rPr>
            </w:pPr>
            <w:r>
              <w:rPr>
                <w:b w:val="0"/>
                <w:bCs/>
              </w:rPr>
              <w:sym w:font="Wingdings 2" w:char="0052"/>
            </w:r>
            <w:r>
              <w:rPr>
                <w:b w:val="0"/>
                <w:bCs/>
              </w:rPr>
              <w:t>否</w:t>
            </w:r>
          </w:p>
          <w:p>
            <w:pPr>
              <w:jc w:val="both"/>
              <w:rPr>
                <w:b w:val="0"/>
                <w:bCs/>
              </w:rPr>
            </w:pPr>
            <w:r>
              <w:rPr>
                <w:b w:val="0"/>
                <w:bCs/>
              </w:rPr>
              <w:t xml:space="preserve">□是        </w:t>
            </w:r>
          </w:p>
        </w:tc>
        <w:tc>
          <w:tcPr>
            <w:tcW w:w="1773" w:type="dxa"/>
            <w:tcBorders>
              <w:tl2br w:val="nil"/>
              <w:tr2bl w:val="nil"/>
            </w:tcBorders>
            <w:shd w:val="clear" w:color="auto" w:fill="FFFFFF"/>
            <w:vAlign w:val="center"/>
          </w:tcPr>
          <w:p>
            <w:pPr>
              <w:jc w:val="center"/>
            </w:pPr>
            <w:r>
              <w:t>用地（用海）</w:t>
            </w:r>
          </w:p>
          <w:p>
            <w:pPr>
              <w:jc w:val="center"/>
            </w:pPr>
            <w:r>
              <w:t>面积（m</w:t>
            </w:r>
            <w:r>
              <w:rPr>
                <w:vertAlign w:val="superscript"/>
              </w:rPr>
              <w:t>2</w:t>
            </w:r>
            <w:r>
              <w:t>）</w:t>
            </w:r>
          </w:p>
        </w:tc>
        <w:tc>
          <w:tcPr>
            <w:tcW w:w="2910" w:type="dxa"/>
            <w:tcBorders>
              <w:tl2br w:val="nil"/>
              <w:tr2bl w:val="nil"/>
            </w:tcBorders>
            <w:shd w:val="clear" w:color="auto" w:fill="FFFFFF"/>
            <w:vAlign w:val="center"/>
          </w:tcPr>
          <w:p>
            <w:pPr>
              <w:jc w:val="center"/>
              <w:rPr>
                <w:rFonts w:hint="default" w:eastAsia="宋体"/>
                <w:b w:val="0"/>
                <w:bCs/>
                <w:lang w:val="en-US" w:eastAsia="zh-CN"/>
              </w:rPr>
            </w:pPr>
            <w:r>
              <w:rPr>
                <w:rFonts w:hint="eastAsia"/>
                <w:b w:val="0"/>
                <w:bCs/>
                <w:lang w:val="en-US" w:eastAsia="zh-CN"/>
              </w:rPr>
              <w:t>960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162" w:type="dxa"/>
            <w:gridSpan w:val="2"/>
            <w:tcBorders>
              <w:tl2br w:val="nil"/>
              <w:tr2bl w:val="nil"/>
            </w:tcBorders>
            <w:shd w:val="clear" w:color="auto" w:fill="FFFFFF"/>
            <w:vAlign w:val="center"/>
          </w:tcPr>
          <w:p>
            <w:pPr>
              <w:jc w:val="center"/>
            </w:pPr>
            <w:r>
              <w:t>专项评价设置情况</w:t>
            </w:r>
          </w:p>
        </w:tc>
        <w:tc>
          <w:tcPr>
            <w:tcW w:w="6360" w:type="dxa"/>
            <w:gridSpan w:val="3"/>
            <w:tcBorders>
              <w:tl2br w:val="nil"/>
              <w:tr2bl w:val="nil"/>
            </w:tcBorders>
            <w:shd w:val="clear" w:color="auto" w:fill="FFFFFF"/>
            <w:vAlign w:val="center"/>
          </w:tcPr>
          <w:p>
            <w:pPr>
              <w:jc w:val="center"/>
              <w:rPr>
                <w:b w:val="0"/>
                <w:bCs/>
              </w:rPr>
            </w:pPr>
            <w:r>
              <w:rPr>
                <w:b w:val="0"/>
                <w:bCs/>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9" w:hRule="atLeast"/>
        </w:trPr>
        <w:tc>
          <w:tcPr>
            <w:tcW w:w="494" w:type="dxa"/>
            <w:tcBorders>
              <w:tl2br w:val="nil"/>
              <w:tr2bl w:val="nil"/>
            </w:tcBorders>
            <w:shd w:val="clear" w:color="auto" w:fill="FFFFFF"/>
            <w:vAlign w:val="center"/>
          </w:tcPr>
          <w:p>
            <w:pPr>
              <w:jc w:val="center"/>
              <w:rPr>
                <w:b w:val="0"/>
              </w:rPr>
            </w:pPr>
            <w:r>
              <w:rPr>
                <w:rFonts w:hint="eastAsia"/>
              </w:rPr>
              <w:t>规划情况</w:t>
            </w:r>
          </w:p>
        </w:tc>
        <w:tc>
          <w:tcPr>
            <w:tcW w:w="8028" w:type="dxa"/>
            <w:gridSpan w:val="4"/>
            <w:tcBorders>
              <w:tl2br w:val="nil"/>
              <w:tr2bl w:val="nil"/>
            </w:tcBorders>
            <w:shd w:val="clear" w:color="auto" w:fill="FFFFFF"/>
            <w:vAlign w:val="center"/>
          </w:tcPr>
          <w:p>
            <w:pPr>
              <w:spacing w:line="360" w:lineRule="auto"/>
              <w:jc w:val="center"/>
              <w:rPr>
                <w:b w:val="0"/>
                <w:color w:val="0000FF"/>
              </w:rPr>
            </w:pPr>
            <w:r>
              <w:rPr>
                <w:rFonts w:hint="eastAsia"/>
                <w:b w:val="0"/>
              </w:rPr>
              <w:t>《昌吉高新技术产业开发区总体规划》（2014-2030年）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27" w:hRule="atLeast"/>
        </w:trPr>
        <w:tc>
          <w:tcPr>
            <w:tcW w:w="494" w:type="dxa"/>
            <w:tcBorders>
              <w:tl2br w:val="nil"/>
              <w:tr2bl w:val="nil"/>
            </w:tcBorders>
            <w:shd w:val="clear" w:color="auto" w:fill="FFFFFF"/>
            <w:vAlign w:val="center"/>
          </w:tcPr>
          <w:p>
            <w:pPr>
              <w:jc w:val="center"/>
            </w:pPr>
            <w:r>
              <w:rPr>
                <w:rFonts w:hint="eastAsia"/>
              </w:rPr>
              <w:t>规划环境影响</w:t>
            </w:r>
          </w:p>
          <w:p>
            <w:pPr>
              <w:jc w:val="center"/>
            </w:pPr>
            <w:r>
              <w:rPr>
                <w:rFonts w:hint="eastAsia"/>
              </w:rPr>
              <w:t>评价情况</w:t>
            </w:r>
          </w:p>
        </w:tc>
        <w:tc>
          <w:tcPr>
            <w:tcW w:w="8028" w:type="dxa"/>
            <w:gridSpan w:val="4"/>
            <w:tcBorders>
              <w:tl2br w:val="nil"/>
              <w:tr2bl w:val="nil"/>
            </w:tcBorders>
            <w:shd w:val="clear" w:color="auto" w:fill="FFFFFF"/>
            <w:vAlign w:val="center"/>
          </w:tcPr>
          <w:p>
            <w:pPr>
              <w:autoSpaceDE w:val="0"/>
              <w:autoSpaceDN w:val="0"/>
              <w:adjustRightInd w:val="0"/>
              <w:snapToGrid w:val="0"/>
              <w:spacing w:line="360" w:lineRule="auto"/>
              <w:jc w:val="both"/>
              <w:rPr>
                <w:b w:val="0"/>
                <w:bCs/>
                <w:kern w:val="0"/>
              </w:rPr>
            </w:pPr>
            <w:r>
              <w:rPr>
                <w:bCs/>
                <w:kern w:val="0"/>
              </w:rPr>
              <w:t>规划环境影响评价文件：</w:t>
            </w:r>
            <w:r>
              <w:rPr>
                <w:b w:val="0"/>
                <w:bCs/>
                <w:kern w:val="0"/>
              </w:rPr>
              <w:t>《</w:t>
            </w:r>
            <w:r>
              <w:rPr>
                <w:rFonts w:hint="eastAsia"/>
                <w:b w:val="0"/>
                <w:bCs/>
                <w:kern w:val="0"/>
              </w:rPr>
              <w:t>昌吉高新技术产业开发区</w:t>
            </w:r>
            <w:r>
              <w:rPr>
                <w:b w:val="0"/>
                <w:bCs/>
                <w:kern w:val="0"/>
              </w:rPr>
              <w:t>总体规划</w:t>
            </w:r>
            <w:r>
              <w:rPr>
                <w:rFonts w:hint="eastAsia"/>
                <w:b w:val="0"/>
              </w:rPr>
              <w:t>（2014-2030年）</w:t>
            </w:r>
            <w:r>
              <w:rPr>
                <w:b w:val="0"/>
                <w:bCs/>
                <w:kern w:val="0"/>
              </w:rPr>
              <w:t>环境影响报告书》</w:t>
            </w:r>
          </w:p>
          <w:p>
            <w:pPr>
              <w:autoSpaceDE w:val="0"/>
              <w:autoSpaceDN w:val="0"/>
              <w:adjustRightInd w:val="0"/>
              <w:snapToGrid w:val="0"/>
              <w:spacing w:line="360" w:lineRule="auto"/>
              <w:jc w:val="both"/>
              <w:rPr>
                <w:kern w:val="0"/>
              </w:rPr>
            </w:pPr>
            <w:r>
              <w:rPr>
                <w:bCs/>
                <w:kern w:val="0"/>
              </w:rPr>
              <w:t>召集审查机关：</w:t>
            </w:r>
            <w:r>
              <w:rPr>
                <w:b w:val="0"/>
                <w:bCs/>
                <w:kern w:val="0"/>
              </w:rPr>
              <w:t>原新疆维吾尔自治区环境保护厅</w:t>
            </w:r>
          </w:p>
          <w:p>
            <w:pPr>
              <w:spacing w:line="360" w:lineRule="auto"/>
              <w:jc w:val="both"/>
              <w:rPr>
                <w:color w:val="0000FF"/>
              </w:rPr>
            </w:pPr>
            <w:r>
              <w:rPr>
                <w:bCs/>
                <w:kern w:val="0"/>
              </w:rPr>
              <w:t>审查文件名称及文号：</w:t>
            </w:r>
            <w:r>
              <w:rPr>
                <w:rStyle w:val="35"/>
                <w:b w:val="0"/>
              </w:rPr>
              <w:t>《关于昌吉高新技术产业开发区总体规划</w:t>
            </w:r>
            <w:r>
              <w:rPr>
                <w:rStyle w:val="35"/>
                <w:rFonts w:hint="eastAsia"/>
                <w:b w:val="0"/>
              </w:rPr>
              <w:t>（2014-2030年）</w:t>
            </w:r>
            <w:r>
              <w:rPr>
                <w:rStyle w:val="35"/>
                <w:b w:val="0"/>
              </w:rPr>
              <w:t>环境影响报告书的审查意见》（新环函[20</w:t>
            </w:r>
            <w:r>
              <w:rPr>
                <w:rStyle w:val="35"/>
                <w:rFonts w:hint="eastAsia"/>
                <w:b w:val="0"/>
              </w:rPr>
              <w:t>15</w:t>
            </w:r>
            <w:r>
              <w:rPr>
                <w:rStyle w:val="35"/>
                <w:b w:val="0"/>
              </w:rPr>
              <w:t>]</w:t>
            </w:r>
            <w:r>
              <w:rPr>
                <w:rStyle w:val="35"/>
                <w:rFonts w:hint="eastAsia"/>
                <w:b w:val="0"/>
              </w:rPr>
              <w:t>3</w:t>
            </w:r>
            <w:r>
              <w:rPr>
                <w:rStyle w:val="35"/>
                <w:b w:val="0"/>
              </w:rPr>
              <w:t>06号）</w:t>
            </w:r>
          </w:p>
          <w:p>
            <w:pPr>
              <w:pStyle w:val="20"/>
              <w:ind w:firstLine="0" w:firstLineChars="0"/>
              <w:jc w:val="both"/>
              <w:rPr>
                <w:color w:val="0000FF"/>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04" w:hRule="atLeast"/>
        </w:trPr>
        <w:tc>
          <w:tcPr>
            <w:tcW w:w="494" w:type="dxa"/>
            <w:tcBorders>
              <w:tl2br w:val="nil"/>
              <w:tr2bl w:val="nil"/>
            </w:tcBorders>
            <w:shd w:val="clear" w:color="auto" w:fill="FFFFFF"/>
            <w:vAlign w:val="center"/>
          </w:tcPr>
          <w:p>
            <w:pPr>
              <w:jc w:val="both"/>
            </w:pPr>
            <w:r>
              <w:rPr>
                <w:rFonts w:hint="eastAsia" w:ascii="宋体" w:hAnsi="宋体" w:cs="宋体"/>
                <w:snapToGrid w:val="0"/>
                <w:kern w:val="0"/>
                <w:szCs w:val="21"/>
              </w:rPr>
              <w:t>规划及规划环境影响评价符合性分析</w:t>
            </w:r>
          </w:p>
        </w:tc>
        <w:tc>
          <w:tcPr>
            <w:tcW w:w="8028" w:type="dxa"/>
            <w:gridSpan w:val="4"/>
            <w:tcBorders>
              <w:tl2br w:val="nil"/>
              <w:tr2bl w:val="nil"/>
            </w:tcBorders>
            <w:shd w:val="clear" w:color="auto" w:fill="FFFFFF"/>
            <w:vAlign w:val="center"/>
          </w:tcPr>
          <w:p>
            <w:pPr>
              <w:pStyle w:val="5"/>
              <w:numPr>
                <w:ilvl w:val="0"/>
                <w:numId w:val="2"/>
              </w:numPr>
              <w:jc w:val="both"/>
              <w:outlineLvl w:val="1"/>
            </w:pPr>
            <w:r>
              <w:rPr>
                <w:rFonts w:hint="eastAsia"/>
              </w:rPr>
              <w:t>规划及规划环境影响评价符合性分析</w:t>
            </w:r>
          </w:p>
          <w:p>
            <w:pPr>
              <w:pStyle w:val="20"/>
              <w:ind w:firstLine="480"/>
              <w:jc w:val="both"/>
            </w:pPr>
            <w:r>
              <w:rPr>
                <w:rFonts w:hint="eastAsia"/>
              </w:rPr>
              <w:t>《昌吉高新技术产业开发区总体规划环境影响报告书》指出：</w:t>
            </w:r>
            <w:r>
              <w:t>昌吉高新技术产业开发区规划建设用地总面积51.00平方公里。东到榆树沟镇行政边界，西到呼图壁边界</w:t>
            </w:r>
            <w:r>
              <w:rPr>
                <w:rFonts w:hint="eastAsia"/>
              </w:rPr>
              <w:t>，</w:t>
            </w:r>
            <w:r>
              <w:t>南到创新大道和乌奎高速路，北到S201省道和科兴路；生活服务配套区位于榆树沟集镇区</w:t>
            </w:r>
            <w:r>
              <w:rPr>
                <w:rFonts w:hint="eastAsia"/>
              </w:rPr>
              <w:t>：</w:t>
            </w:r>
            <w:r>
              <w:t>规划建设用地总面积20.87平方公里，东到榆树沟镇行政边界，西到高新区昌盛路，南到乌奎高速路，北到乌昌大道和创新大道。</w:t>
            </w:r>
          </w:p>
          <w:p>
            <w:pPr>
              <w:pStyle w:val="20"/>
              <w:ind w:firstLine="480"/>
              <w:jc w:val="both"/>
            </w:pPr>
            <w:r>
              <w:t>园区发展定位</w:t>
            </w:r>
            <w:r>
              <w:rPr>
                <w:rFonts w:hint="eastAsia"/>
              </w:rPr>
              <w:t>：</w:t>
            </w:r>
            <w:r>
              <w:t>以装备制造业、新材料产业、生物科技和食晶产业为主，配套现代服务业，将园区打造成为全区重要先进制造业基地，昌吉州生产性服务业创新中心。</w:t>
            </w:r>
          </w:p>
          <w:p>
            <w:pPr>
              <w:pStyle w:val="20"/>
              <w:ind w:firstLine="480"/>
              <w:jc w:val="both"/>
            </w:pPr>
            <w:r>
              <w:rPr>
                <w:rFonts w:hint="eastAsia"/>
              </w:rPr>
              <w:t>规划期限:昌吉高新区总体规划分为近期、中期和远期三个阶段，近期</w:t>
            </w:r>
            <w:r>
              <w:rPr>
                <w:rFonts w:hint="eastAsia"/>
                <w:lang w:eastAsia="zh-CN"/>
              </w:rPr>
              <w:t>（</w:t>
            </w:r>
            <w:r>
              <w:rPr>
                <w:rFonts w:hint="eastAsia"/>
              </w:rPr>
              <w:t>2014-2020年</w:t>
            </w:r>
            <w:r>
              <w:rPr>
                <w:rFonts w:hint="eastAsia"/>
                <w:lang w:eastAsia="zh-CN"/>
              </w:rPr>
              <w:t>）</w:t>
            </w:r>
            <w:r>
              <w:rPr>
                <w:rFonts w:hint="eastAsia"/>
              </w:rPr>
              <w:t>，中期</w:t>
            </w:r>
            <w:r>
              <w:rPr>
                <w:rFonts w:hint="eastAsia"/>
                <w:lang w:eastAsia="zh-CN"/>
              </w:rPr>
              <w:t>（</w:t>
            </w:r>
            <w:r>
              <w:rPr>
                <w:rFonts w:hint="eastAsia"/>
              </w:rPr>
              <w:t>2021-2025 年</w:t>
            </w:r>
            <w:r>
              <w:rPr>
                <w:rFonts w:hint="eastAsia"/>
                <w:lang w:eastAsia="zh-CN"/>
              </w:rPr>
              <w:t>）</w:t>
            </w:r>
            <w:r>
              <w:rPr>
                <w:rFonts w:hint="eastAsia"/>
              </w:rPr>
              <w:t>和远期</w:t>
            </w:r>
            <w:r>
              <w:rPr>
                <w:rFonts w:hint="eastAsia"/>
                <w:lang w:eastAsia="zh-CN"/>
              </w:rPr>
              <w:t>（</w:t>
            </w:r>
            <w:r>
              <w:rPr>
                <w:rFonts w:hint="eastAsia"/>
              </w:rPr>
              <w:t>2026-2030年</w:t>
            </w:r>
            <w:r>
              <w:rPr>
                <w:rFonts w:hint="eastAsia"/>
                <w:lang w:eastAsia="zh-CN"/>
              </w:rPr>
              <w:t>）</w:t>
            </w:r>
            <w:r>
              <w:rPr>
                <w:rFonts w:hint="eastAsia"/>
              </w:rPr>
              <w:t>。近期规划规模为42. 49平方公里，远期规划规模为71.87平方公里。</w:t>
            </w:r>
          </w:p>
          <w:p>
            <w:pPr>
              <w:pStyle w:val="20"/>
              <w:ind w:firstLine="480"/>
              <w:jc w:val="both"/>
            </w:pPr>
            <w:r>
              <w:rPr>
                <w:rFonts w:hint="eastAsia"/>
              </w:rPr>
              <w:t>《关于昌吉高新技术产业开发区总体规划环境影响报告书的审查意见》指出：</w:t>
            </w:r>
          </w:p>
          <w:p>
            <w:pPr>
              <w:pStyle w:val="20"/>
              <w:numPr>
                <w:ilvl w:val="0"/>
                <w:numId w:val="3"/>
              </w:numPr>
              <w:ind w:firstLine="480"/>
              <w:jc w:val="both"/>
            </w:pPr>
            <w:r>
              <w:rPr>
                <w:rFonts w:hint="eastAsia"/>
              </w:rPr>
              <w:t>调整园区产业类型，禁止发展高耗水、环境影响较大的行业；调整园区内用地方案，在一类工业用地布设的三类企业应限期搬迁；合理规划集中供热规模和选址。</w:t>
            </w:r>
          </w:p>
          <w:p>
            <w:pPr>
              <w:pStyle w:val="20"/>
              <w:numPr>
                <w:ilvl w:val="0"/>
                <w:numId w:val="3"/>
              </w:numPr>
              <w:ind w:firstLine="480"/>
              <w:jc w:val="both"/>
            </w:pPr>
            <w:r>
              <w:rPr>
                <w:rFonts w:hint="eastAsia"/>
              </w:rPr>
              <w:t>依据水资源论证报告的结论，结合水资源承载力、环境生态承载力，提出“以水定产”的建议，优化园区的产业结构和规模。</w:t>
            </w:r>
          </w:p>
          <w:p>
            <w:pPr>
              <w:pStyle w:val="20"/>
              <w:numPr>
                <w:ilvl w:val="0"/>
                <w:numId w:val="3"/>
              </w:numPr>
              <w:ind w:firstLine="480"/>
              <w:jc w:val="both"/>
            </w:pPr>
            <w:r>
              <w:rPr>
                <w:rFonts w:hint="eastAsia"/>
              </w:rPr>
              <w:t>统一规划园区的排水系统、污水处理系统，按照“清污分流"。“污污分治”的原则建设完整的给排水和水资源综合利用体系。</w:t>
            </w:r>
          </w:p>
          <w:p>
            <w:pPr>
              <w:pStyle w:val="20"/>
              <w:numPr>
                <w:ilvl w:val="0"/>
                <w:numId w:val="3"/>
              </w:numPr>
              <w:ind w:firstLine="480"/>
              <w:jc w:val="both"/>
            </w:pPr>
            <w:r>
              <w:rPr>
                <w:rFonts w:hint="eastAsia"/>
              </w:rPr>
              <w:t>严格设置园区企业的环境准入条件，入园企业的清洁生产水平必须达到国内先进水平。</w:t>
            </w:r>
          </w:p>
          <w:p>
            <w:pPr>
              <w:pStyle w:val="20"/>
              <w:numPr>
                <w:ilvl w:val="0"/>
                <w:numId w:val="3"/>
              </w:numPr>
              <w:ind w:firstLine="480"/>
              <w:jc w:val="both"/>
            </w:pPr>
            <w:r>
              <w:rPr>
                <w:rFonts w:hint="eastAsia"/>
              </w:rPr>
              <w:t>建立环境影响跟踪评价制度，定期对存在的潜在危害进行调查分析、跟踪评价，向环保部门及时反馈信息，以便调整总体发展布局和相关的环保对策措施，对园区实行动态管理，实现可持续发展。</w:t>
            </w:r>
          </w:p>
          <w:p>
            <w:pPr>
              <w:pStyle w:val="20"/>
              <w:ind w:firstLine="480"/>
              <w:jc w:val="both"/>
            </w:pPr>
            <w:r>
              <w:rPr>
                <w:rFonts w:hint="eastAsia"/>
              </w:rPr>
              <w:t>本项目与园区规划及规划环评符合性分析一览表见表1-1：</w:t>
            </w:r>
          </w:p>
          <w:p>
            <w:pPr>
              <w:pStyle w:val="32"/>
            </w:pPr>
          </w:p>
          <w:p>
            <w:pPr>
              <w:pStyle w:val="32"/>
            </w:pPr>
            <w:r>
              <w:rPr>
                <w:rFonts w:hint="eastAsia"/>
              </w:rPr>
              <w:t>表1-1    与规划及规划环评符合性分析一览表</w:t>
            </w:r>
          </w:p>
          <w:tbl>
            <w:tblPr>
              <w:tblStyle w:val="24"/>
              <w:tblW w:w="4998" w:type="pct"/>
              <w:jc w:val="center"/>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42"/>
              <w:gridCol w:w="650"/>
              <w:gridCol w:w="3267"/>
              <w:gridCol w:w="2708"/>
              <w:gridCol w:w="642"/>
            </w:tblGrid>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47" w:type="pct"/>
                  <w:tcBorders>
                    <w:top w:val="single" w:color="auto" w:sz="12" w:space="0"/>
                    <w:left w:val="nil"/>
                    <w:bottom w:val="single" w:color="auto" w:sz="12" w:space="0"/>
                    <w:right w:val="single" w:color="auto" w:sz="6" w:space="0"/>
                  </w:tcBorders>
                  <w:vAlign w:val="center"/>
                </w:tcPr>
                <w:p>
                  <w:pPr>
                    <w:pStyle w:val="33"/>
                    <w:rPr>
                      <w:b/>
                      <w:bCs/>
                    </w:rPr>
                  </w:pPr>
                  <w:r>
                    <w:rPr>
                      <w:b/>
                      <w:bCs/>
                      <w:lang w:val="en-US" w:eastAsia="zh-CN"/>
                    </w:rPr>
                    <w:t>序号</w:t>
                  </w:r>
                </w:p>
              </w:tc>
              <w:tc>
                <w:tcPr>
                  <w:tcW w:w="416" w:type="pct"/>
                  <w:tcBorders>
                    <w:top w:val="single" w:color="auto" w:sz="12" w:space="0"/>
                    <w:left w:val="single" w:color="auto" w:sz="6" w:space="0"/>
                    <w:bottom w:val="single" w:color="auto" w:sz="12" w:space="0"/>
                    <w:right w:val="single" w:color="auto" w:sz="6" w:space="0"/>
                  </w:tcBorders>
                  <w:vAlign w:val="center"/>
                </w:tcPr>
                <w:p>
                  <w:pPr>
                    <w:pStyle w:val="33"/>
                    <w:rPr>
                      <w:b/>
                      <w:bCs/>
                    </w:rPr>
                  </w:pPr>
                  <w:r>
                    <w:rPr>
                      <w:b/>
                      <w:bCs/>
                      <w:lang w:val="en-US" w:eastAsia="zh-CN"/>
                    </w:rPr>
                    <w:t>类别</w:t>
                  </w:r>
                </w:p>
              </w:tc>
              <w:tc>
                <w:tcPr>
                  <w:tcW w:w="2091" w:type="pct"/>
                  <w:tcBorders>
                    <w:top w:val="single" w:color="auto" w:sz="12" w:space="0"/>
                    <w:left w:val="single" w:color="auto" w:sz="6" w:space="0"/>
                    <w:bottom w:val="single" w:color="auto" w:sz="12" w:space="0"/>
                    <w:right w:val="single" w:color="auto" w:sz="6" w:space="0"/>
                  </w:tcBorders>
                  <w:vAlign w:val="center"/>
                </w:tcPr>
                <w:p>
                  <w:pPr>
                    <w:pStyle w:val="33"/>
                    <w:rPr>
                      <w:b/>
                      <w:bCs/>
                      <w:lang w:val="en-US" w:eastAsia="zh-CN"/>
                    </w:rPr>
                  </w:pPr>
                  <w:r>
                    <w:rPr>
                      <w:b/>
                      <w:bCs/>
                      <w:lang w:val="en-US" w:eastAsia="zh-CN"/>
                    </w:rPr>
                    <w:t>项目与规划及规划环境</w:t>
                  </w:r>
                </w:p>
                <w:p>
                  <w:pPr>
                    <w:pStyle w:val="33"/>
                    <w:rPr>
                      <w:b/>
                      <w:bCs/>
                    </w:rPr>
                  </w:pPr>
                  <w:r>
                    <w:rPr>
                      <w:b/>
                      <w:bCs/>
                      <w:lang w:val="en-US" w:eastAsia="zh-CN"/>
                    </w:rPr>
                    <w:t>影响评价符合性分析</w:t>
                  </w:r>
                </w:p>
              </w:tc>
              <w:tc>
                <w:tcPr>
                  <w:tcW w:w="1733" w:type="pct"/>
                  <w:tcBorders>
                    <w:top w:val="single" w:color="auto" w:sz="12" w:space="0"/>
                    <w:left w:val="single" w:color="auto" w:sz="6" w:space="0"/>
                    <w:bottom w:val="single" w:color="auto" w:sz="12" w:space="0"/>
                    <w:right w:val="nil"/>
                  </w:tcBorders>
                  <w:vAlign w:val="center"/>
                </w:tcPr>
                <w:p>
                  <w:pPr>
                    <w:pStyle w:val="33"/>
                    <w:rPr>
                      <w:b/>
                      <w:bCs/>
                    </w:rPr>
                  </w:pPr>
                  <w:r>
                    <w:rPr>
                      <w:b/>
                      <w:bCs/>
                      <w:lang w:val="en-US" w:eastAsia="zh-CN"/>
                    </w:rPr>
                    <w:t>本项目情况</w:t>
                  </w:r>
                </w:p>
              </w:tc>
              <w:tc>
                <w:tcPr>
                  <w:tcW w:w="411" w:type="pct"/>
                  <w:tcBorders>
                    <w:top w:val="single" w:color="auto" w:sz="12" w:space="0"/>
                    <w:left w:val="single" w:color="auto" w:sz="6" w:space="0"/>
                    <w:bottom w:val="single" w:color="auto" w:sz="12" w:space="0"/>
                    <w:right w:val="nil"/>
                  </w:tcBorders>
                  <w:vAlign w:val="center"/>
                </w:tcPr>
                <w:p>
                  <w:pPr>
                    <w:pStyle w:val="33"/>
                    <w:rPr>
                      <w:b/>
                      <w:bCs/>
                      <w:lang w:val="en-US" w:eastAsia="zh-CN"/>
                    </w:rPr>
                  </w:pPr>
                  <w:r>
                    <w:rPr>
                      <w:b/>
                      <w:bCs/>
                    </w:rPr>
                    <w:t>符合性</w:t>
                  </w:r>
                </w:p>
              </w:tc>
            </w:tr>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47" w:type="pct"/>
                  <w:tcBorders>
                    <w:top w:val="single" w:color="auto" w:sz="12" w:space="0"/>
                    <w:left w:val="nil"/>
                    <w:bottom w:val="single" w:color="auto" w:sz="6" w:space="0"/>
                    <w:right w:val="single" w:color="auto" w:sz="6" w:space="0"/>
                  </w:tcBorders>
                  <w:vAlign w:val="center"/>
                </w:tcPr>
                <w:p>
                  <w:pPr>
                    <w:pStyle w:val="33"/>
                  </w:pPr>
                  <w:r>
                    <w:rPr>
                      <w:lang w:val="en-US" w:eastAsia="zh-CN"/>
                    </w:rPr>
                    <w:t>1</w:t>
                  </w:r>
                </w:p>
              </w:tc>
              <w:tc>
                <w:tcPr>
                  <w:tcW w:w="416" w:type="pct"/>
                  <w:tcBorders>
                    <w:top w:val="single" w:color="auto" w:sz="12" w:space="0"/>
                    <w:left w:val="single" w:color="auto" w:sz="6" w:space="0"/>
                    <w:right w:val="single" w:color="auto" w:sz="6" w:space="0"/>
                  </w:tcBorders>
                  <w:vAlign w:val="center"/>
                </w:tcPr>
                <w:p>
                  <w:pPr>
                    <w:pStyle w:val="33"/>
                    <w:rPr>
                      <w:lang w:val="en-US" w:eastAsia="zh-CN"/>
                    </w:rPr>
                  </w:pPr>
                  <w:r>
                    <w:rPr>
                      <w:lang w:val="en-US" w:eastAsia="zh-CN"/>
                    </w:rPr>
                    <w:t>昌吉高新技术产业开发区总体规划</w:t>
                  </w:r>
                </w:p>
                <w:p>
                  <w:pPr>
                    <w:pStyle w:val="33"/>
                  </w:pPr>
                </w:p>
              </w:tc>
              <w:tc>
                <w:tcPr>
                  <w:tcW w:w="2091" w:type="pct"/>
                  <w:tcBorders>
                    <w:top w:val="single" w:color="auto" w:sz="12" w:space="0"/>
                    <w:left w:val="single" w:color="auto" w:sz="6" w:space="0"/>
                    <w:bottom w:val="single" w:color="auto" w:sz="6" w:space="0"/>
                    <w:right w:val="single" w:color="auto" w:sz="6" w:space="0"/>
                  </w:tcBorders>
                  <w:vAlign w:val="center"/>
                </w:tcPr>
                <w:p>
                  <w:pPr>
                    <w:pStyle w:val="33"/>
                    <w:jc w:val="left"/>
                  </w:pPr>
                  <w:r>
                    <w:rPr>
                      <w:lang w:val="en-US" w:eastAsia="zh-CN"/>
                    </w:rPr>
                    <w:t>规划建设用地总面积20.87平方公里，东到榆树沟镇行政边界，西到高新区昌盛路，南到乌奎高速路，北到乌昌大道和创新大道。园区发展定位：以装备制造业、新材料产业、生物科技和食晶产业为主，配套现代服务业，将园区打造成为全区重要先进制造业基地，昌吉州生产性服务业创新中心。</w:t>
                  </w:r>
                </w:p>
              </w:tc>
              <w:tc>
                <w:tcPr>
                  <w:tcW w:w="1733" w:type="pct"/>
                  <w:tcBorders>
                    <w:top w:val="single" w:color="auto" w:sz="12" w:space="0"/>
                    <w:left w:val="single" w:color="auto" w:sz="6" w:space="0"/>
                    <w:bottom w:val="single" w:color="auto" w:sz="6" w:space="0"/>
                    <w:right w:val="nil"/>
                  </w:tcBorders>
                  <w:vAlign w:val="center"/>
                </w:tcPr>
                <w:p>
                  <w:pPr>
                    <w:pStyle w:val="33"/>
                    <w:jc w:val="left"/>
                  </w:pPr>
                  <w:r>
                    <w:rPr>
                      <w:lang w:val="en-US" w:eastAsia="zh-CN"/>
                    </w:rPr>
                    <w:t>本项目为</w:t>
                  </w:r>
                  <w:r>
                    <w:rPr>
                      <w:bCs/>
                      <w:lang w:val="en-US" w:eastAsia="zh-CN"/>
                    </w:rPr>
                    <w:t>石膏、水泥制品及类似制品制造</w:t>
                  </w:r>
                  <w:r>
                    <w:rPr>
                      <w:rFonts w:hint="eastAsia"/>
                      <w:bCs/>
                      <w:lang w:val="en-US" w:eastAsia="zh-CN"/>
                    </w:rPr>
                    <w:t>项目</w:t>
                  </w:r>
                  <w:r>
                    <w:rPr>
                      <w:lang w:val="en-US" w:eastAsia="zh-CN"/>
                    </w:rPr>
                    <w:t>，位于昌吉高新技术产业开发区</w:t>
                  </w:r>
                  <w:r>
                    <w:rPr>
                      <w:rFonts w:hint="eastAsia"/>
                      <w:lang w:val="en-US" w:eastAsia="zh-CN"/>
                    </w:rPr>
                    <w:t>新材料产业园</w:t>
                  </w:r>
                  <w:r>
                    <w:rPr>
                      <w:lang w:val="en-US" w:eastAsia="zh-CN"/>
                    </w:rPr>
                    <w:t>，用地类型为工业用地，项目属于</w:t>
                  </w:r>
                  <w:r>
                    <w:rPr>
                      <w:rFonts w:hint="eastAsia"/>
                      <w:lang w:val="en-US" w:eastAsia="zh-CN"/>
                    </w:rPr>
                    <w:t>新型建材</w:t>
                  </w:r>
                  <w:r>
                    <w:rPr>
                      <w:rFonts w:hint="eastAsia"/>
                    </w:rPr>
                    <w:t>产业</w:t>
                  </w:r>
                  <w:r>
                    <w:rPr>
                      <w:lang w:val="en-US" w:eastAsia="zh-CN"/>
                    </w:rPr>
                    <w:t>，符合该园区产业定位要求</w:t>
                  </w:r>
                  <w:r>
                    <w:rPr>
                      <w:rFonts w:hint="eastAsia"/>
                      <w:lang w:val="en-US" w:eastAsia="zh-CN"/>
                    </w:rPr>
                    <w:t>。</w:t>
                  </w:r>
                </w:p>
              </w:tc>
              <w:tc>
                <w:tcPr>
                  <w:tcW w:w="411" w:type="pct"/>
                  <w:tcBorders>
                    <w:top w:val="single" w:color="auto" w:sz="12" w:space="0"/>
                    <w:left w:val="single" w:color="auto" w:sz="6" w:space="0"/>
                    <w:bottom w:val="single" w:color="auto" w:sz="6" w:space="0"/>
                    <w:right w:val="nil"/>
                  </w:tcBorders>
                  <w:vAlign w:val="center"/>
                </w:tcPr>
                <w:p>
                  <w:pPr>
                    <w:pStyle w:val="33"/>
                    <w:rPr>
                      <w:lang w:val="en-US" w:eastAsia="zh-CN"/>
                    </w:rPr>
                  </w:pPr>
                  <w:r>
                    <w:rPr>
                      <w:rFonts w:hint="eastAsia"/>
                      <w:lang w:val="en-US" w:eastAsia="zh-CN"/>
                    </w:rPr>
                    <w:t>符合</w:t>
                  </w:r>
                </w:p>
              </w:tc>
            </w:tr>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CellMar>
                  <w:top w:w="0" w:type="dxa"/>
                  <w:left w:w="108" w:type="dxa"/>
                  <w:bottom w:w="0" w:type="dxa"/>
                  <w:right w:w="108" w:type="dxa"/>
                </w:tblCellMar>
              </w:tblPrEx>
              <w:trPr>
                <w:trHeight w:val="1441" w:hRule="atLeast"/>
                <w:jc w:val="center"/>
              </w:trPr>
              <w:tc>
                <w:tcPr>
                  <w:tcW w:w="347" w:type="pct"/>
                  <w:vMerge w:val="restart"/>
                  <w:tcBorders>
                    <w:top w:val="single" w:color="auto" w:sz="6" w:space="0"/>
                    <w:left w:val="nil"/>
                    <w:right w:val="single" w:color="auto" w:sz="6" w:space="0"/>
                  </w:tcBorders>
                  <w:vAlign w:val="center"/>
                </w:tcPr>
                <w:p>
                  <w:pPr>
                    <w:pStyle w:val="33"/>
                  </w:pPr>
                  <w:r>
                    <w:rPr>
                      <w:rFonts w:hint="eastAsia"/>
                      <w:lang w:val="en-US" w:eastAsia="zh-CN"/>
                    </w:rPr>
                    <w:t>2</w:t>
                  </w:r>
                </w:p>
              </w:tc>
              <w:tc>
                <w:tcPr>
                  <w:tcW w:w="416" w:type="pct"/>
                  <w:vMerge w:val="restart"/>
                  <w:tcBorders>
                    <w:top w:val="single" w:color="auto" w:sz="6" w:space="0"/>
                    <w:left w:val="single" w:color="auto" w:sz="6" w:space="0"/>
                    <w:right w:val="single" w:color="auto" w:sz="6" w:space="0"/>
                  </w:tcBorders>
                  <w:vAlign w:val="center"/>
                </w:tcPr>
                <w:p>
                  <w:pPr>
                    <w:pStyle w:val="33"/>
                  </w:pPr>
                  <w:r>
                    <w:rPr>
                      <w:lang w:val="en-US" w:eastAsia="zh-CN"/>
                    </w:rPr>
                    <w:t>《关于昌吉高新技术产业开发区总体规划环境影响报告书的审查意见》</w:t>
                  </w:r>
                </w:p>
              </w:tc>
              <w:tc>
                <w:tcPr>
                  <w:tcW w:w="2091" w:type="pct"/>
                  <w:tcBorders>
                    <w:top w:val="single" w:color="auto" w:sz="6" w:space="0"/>
                    <w:left w:val="single" w:color="auto" w:sz="6" w:space="0"/>
                    <w:bottom w:val="single" w:color="auto" w:sz="6" w:space="0"/>
                    <w:right w:val="single" w:color="auto" w:sz="6" w:space="0"/>
                  </w:tcBorders>
                  <w:vAlign w:val="center"/>
                </w:tcPr>
                <w:p>
                  <w:pPr>
                    <w:pStyle w:val="33"/>
                    <w:jc w:val="left"/>
                  </w:pPr>
                  <w:r>
                    <w:rPr>
                      <w:lang w:val="en-US" w:eastAsia="zh-CN"/>
                    </w:rPr>
                    <w:t>调整园区产业类型，禁止发展高耗水、环境影响较大的行业；调整园区内用地方案，在一类工业用地布设的三类企业应限期搬迁</w:t>
                  </w:r>
                  <w:r>
                    <w:rPr>
                      <w:rFonts w:hint="eastAsia"/>
                      <w:lang w:val="en-US" w:eastAsia="zh-CN"/>
                    </w:rPr>
                    <w:t>；</w:t>
                  </w:r>
                  <w:r>
                    <w:rPr>
                      <w:lang w:val="en-US" w:eastAsia="zh-CN"/>
                    </w:rPr>
                    <w:t>合理规划集中供热规模和选址。</w:t>
                  </w:r>
                </w:p>
              </w:tc>
              <w:tc>
                <w:tcPr>
                  <w:tcW w:w="1733" w:type="pct"/>
                  <w:tcBorders>
                    <w:top w:val="single" w:color="auto" w:sz="6" w:space="0"/>
                    <w:left w:val="single" w:color="auto" w:sz="6" w:space="0"/>
                    <w:bottom w:val="single" w:color="auto" w:sz="6" w:space="0"/>
                    <w:right w:val="nil"/>
                  </w:tcBorders>
                  <w:vAlign w:val="center"/>
                </w:tcPr>
                <w:p>
                  <w:pPr>
                    <w:pStyle w:val="33"/>
                    <w:jc w:val="left"/>
                    <w:rPr>
                      <w:lang w:val="en-US"/>
                    </w:rPr>
                  </w:pPr>
                  <w:r>
                    <w:rPr>
                      <w:lang w:val="en-US" w:eastAsia="zh-CN"/>
                    </w:rPr>
                    <w:t>本项目运营期间</w:t>
                  </w:r>
                  <w:r>
                    <w:rPr>
                      <w:rFonts w:hint="eastAsia"/>
                      <w:lang w:val="en-US" w:eastAsia="zh-CN"/>
                    </w:rPr>
                    <w:t>生产用水由园区管网供给，非高耗水企业，项目运营期间各项污染物均能达标排放，不会对环境产生较大影响。本项目用地类型为三类工业用地，项目生产不用热，值班人员采用电采暖。</w:t>
                  </w:r>
                </w:p>
              </w:tc>
              <w:tc>
                <w:tcPr>
                  <w:tcW w:w="411" w:type="pct"/>
                  <w:tcBorders>
                    <w:top w:val="single" w:color="auto" w:sz="6" w:space="0"/>
                    <w:left w:val="single" w:color="auto" w:sz="6" w:space="0"/>
                    <w:bottom w:val="single" w:color="auto" w:sz="6" w:space="0"/>
                    <w:right w:val="nil"/>
                  </w:tcBorders>
                  <w:vAlign w:val="center"/>
                </w:tcPr>
                <w:p>
                  <w:pPr>
                    <w:pStyle w:val="33"/>
                    <w:rPr>
                      <w:lang w:val="en-US" w:eastAsia="zh-CN"/>
                    </w:rPr>
                  </w:pPr>
                  <w:r>
                    <w:rPr>
                      <w:rFonts w:hint="eastAsia"/>
                      <w:lang w:val="en-US" w:eastAsia="zh-CN"/>
                    </w:rPr>
                    <w:t>符合</w:t>
                  </w:r>
                </w:p>
              </w:tc>
            </w:tr>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47" w:type="pct"/>
                  <w:vMerge w:val="continue"/>
                  <w:tcBorders>
                    <w:left w:val="nil"/>
                    <w:right w:val="single" w:color="auto" w:sz="6" w:space="0"/>
                  </w:tcBorders>
                  <w:vAlign w:val="center"/>
                </w:tcPr>
                <w:p>
                  <w:pPr>
                    <w:pStyle w:val="33"/>
                    <w:rPr>
                      <w:lang w:val="en-US" w:eastAsia="zh-CN"/>
                    </w:rPr>
                  </w:pPr>
                </w:p>
              </w:tc>
              <w:tc>
                <w:tcPr>
                  <w:tcW w:w="416" w:type="pct"/>
                  <w:vMerge w:val="continue"/>
                  <w:tcBorders>
                    <w:left w:val="single" w:color="auto" w:sz="6" w:space="0"/>
                    <w:right w:val="single" w:color="auto" w:sz="6" w:space="0"/>
                  </w:tcBorders>
                  <w:vAlign w:val="center"/>
                </w:tcPr>
                <w:p>
                  <w:pPr>
                    <w:pStyle w:val="33"/>
                    <w:rPr>
                      <w:lang w:val="en-US" w:eastAsia="zh-CN"/>
                    </w:rPr>
                  </w:pPr>
                </w:p>
              </w:tc>
              <w:tc>
                <w:tcPr>
                  <w:tcW w:w="2091" w:type="pct"/>
                  <w:tcBorders>
                    <w:top w:val="single" w:color="auto" w:sz="6" w:space="0"/>
                    <w:left w:val="single" w:color="auto" w:sz="6" w:space="0"/>
                    <w:bottom w:val="single" w:color="auto" w:sz="6" w:space="0"/>
                    <w:right w:val="single" w:color="auto" w:sz="6" w:space="0"/>
                  </w:tcBorders>
                  <w:vAlign w:val="center"/>
                </w:tcPr>
                <w:p>
                  <w:pPr>
                    <w:pStyle w:val="33"/>
                    <w:jc w:val="left"/>
                    <w:rPr>
                      <w:lang w:val="en-US" w:eastAsia="zh-CN"/>
                    </w:rPr>
                  </w:pPr>
                  <w:r>
                    <w:rPr>
                      <w:lang w:val="en-US" w:eastAsia="zh-CN"/>
                    </w:rPr>
                    <w:t>依据水资源论证报告的结论，结合水资源承载力、环境生态承载力，提出“以水定产”的建议，优化园区的产业结构和规模。</w:t>
                  </w:r>
                </w:p>
              </w:tc>
              <w:tc>
                <w:tcPr>
                  <w:tcW w:w="1733" w:type="pct"/>
                  <w:tcBorders>
                    <w:top w:val="single" w:color="auto" w:sz="6" w:space="0"/>
                    <w:left w:val="single" w:color="auto" w:sz="6" w:space="0"/>
                    <w:bottom w:val="single" w:color="auto" w:sz="6" w:space="0"/>
                    <w:right w:val="nil"/>
                  </w:tcBorders>
                  <w:vAlign w:val="center"/>
                </w:tcPr>
                <w:p>
                  <w:pPr>
                    <w:pStyle w:val="33"/>
                    <w:jc w:val="left"/>
                    <w:rPr>
                      <w:lang w:val="en-US" w:eastAsia="zh-CN"/>
                    </w:rPr>
                  </w:pPr>
                  <w:r>
                    <w:rPr>
                      <w:rFonts w:hint="eastAsia"/>
                      <w:lang w:val="en-US" w:eastAsia="zh-CN"/>
                    </w:rPr>
                    <w:t>本项目运营期间生产用水循环使用，不外排。不会突破昌吉高新技术产业开发区水资源承载力、环境生态承载力</w:t>
                  </w:r>
                </w:p>
              </w:tc>
              <w:tc>
                <w:tcPr>
                  <w:tcW w:w="411" w:type="pct"/>
                  <w:tcBorders>
                    <w:top w:val="single" w:color="auto" w:sz="6" w:space="0"/>
                    <w:left w:val="single" w:color="auto" w:sz="6" w:space="0"/>
                    <w:bottom w:val="single" w:color="auto" w:sz="6" w:space="0"/>
                    <w:right w:val="nil"/>
                  </w:tcBorders>
                  <w:vAlign w:val="center"/>
                </w:tcPr>
                <w:p>
                  <w:pPr>
                    <w:pStyle w:val="33"/>
                    <w:rPr>
                      <w:lang w:val="en-US" w:eastAsia="zh-CN"/>
                    </w:rPr>
                  </w:pPr>
                  <w:r>
                    <w:rPr>
                      <w:rFonts w:hint="eastAsia"/>
                      <w:lang w:val="en-US" w:eastAsia="zh-CN"/>
                    </w:rPr>
                    <w:t>符合</w:t>
                  </w:r>
                </w:p>
              </w:tc>
            </w:tr>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47" w:type="pct"/>
                  <w:vMerge w:val="continue"/>
                  <w:tcBorders>
                    <w:left w:val="nil"/>
                    <w:right w:val="single" w:color="auto" w:sz="6" w:space="0"/>
                  </w:tcBorders>
                  <w:vAlign w:val="center"/>
                </w:tcPr>
                <w:p>
                  <w:pPr>
                    <w:pStyle w:val="33"/>
                    <w:rPr>
                      <w:lang w:val="en-US" w:eastAsia="zh-CN"/>
                    </w:rPr>
                  </w:pPr>
                </w:p>
              </w:tc>
              <w:tc>
                <w:tcPr>
                  <w:tcW w:w="416" w:type="pct"/>
                  <w:vMerge w:val="continue"/>
                  <w:tcBorders>
                    <w:left w:val="single" w:color="auto" w:sz="6" w:space="0"/>
                    <w:right w:val="single" w:color="auto" w:sz="6" w:space="0"/>
                  </w:tcBorders>
                  <w:vAlign w:val="center"/>
                </w:tcPr>
                <w:p>
                  <w:pPr>
                    <w:pStyle w:val="33"/>
                    <w:rPr>
                      <w:lang w:val="en-US" w:eastAsia="zh-CN"/>
                    </w:rPr>
                  </w:pPr>
                </w:p>
              </w:tc>
              <w:tc>
                <w:tcPr>
                  <w:tcW w:w="2091" w:type="pct"/>
                  <w:tcBorders>
                    <w:top w:val="single" w:color="auto" w:sz="6" w:space="0"/>
                    <w:left w:val="single" w:color="auto" w:sz="6" w:space="0"/>
                    <w:bottom w:val="single" w:color="auto" w:sz="6" w:space="0"/>
                    <w:right w:val="single" w:color="auto" w:sz="6" w:space="0"/>
                  </w:tcBorders>
                  <w:vAlign w:val="center"/>
                </w:tcPr>
                <w:p>
                  <w:pPr>
                    <w:pStyle w:val="33"/>
                    <w:jc w:val="left"/>
                    <w:rPr>
                      <w:lang w:val="en-US" w:eastAsia="zh-CN"/>
                    </w:rPr>
                  </w:pPr>
                  <w:r>
                    <w:rPr>
                      <w:lang w:val="en-US" w:eastAsia="zh-CN"/>
                    </w:rPr>
                    <w:t>统一规划园区的排水系统、污水处理系统，按照</w:t>
                  </w:r>
                  <w:r>
                    <w:rPr>
                      <w:rFonts w:hint="eastAsia"/>
                      <w:lang w:val="en-US" w:eastAsia="zh-CN"/>
                    </w:rPr>
                    <w:t>“清污分流”</w:t>
                  </w:r>
                  <w:r>
                    <w:rPr>
                      <w:lang w:val="en-US" w:eastAsia="zh-CN"/>
                    </w:rPr>
                    <w:t>。</w:t>
                  </w:r>
                  <w:r>
                    <w:rPr>
                      <w:rFonts w:hint="eastAsia"/>
                      <w:lang w:val="en-US" w:eastAsia="zh-CN"/>
                    </w:rPr>
                    <w:t>“污污分治”</w:t>
                  </w:r>
                  <w:r>
                    <w:rPr>
                      <w:lang w:val="en-US" w:eastAsia="zh-CN"/>
                    </w:rPr>
                    <w:t>的原则建设完整的给排水和水资源综合利用体系</w:t>
                  </w:r>
                </w:p>
              </w:tc>
              <w:tc>
                <w:tcPr>
                  <w:tcW w:w="1733" w:type="pct"/>
                  <w:tcBorders>
                    <w:top w:val="single" w:color="auto" w:sz="6" w:space="0"/>
                    <w:left w:val="single" w:color="auto" w:sz="6" w:space="0"/>
                    <w:bottom w:val="single" w:color="auto" w:sz="6" w:space="0"/>
                    <w:right w:val="nil"/>
                  </w:tcBorders>
                  <w:vAlign w:val="center"/>
                </w:tcPr>
                <w:p>
                  <w:pPr>
                    <w:pStyle w:val="33"/>
                    <w:jc w:val="left"/>
                    <w:rPr>
                      <w:lang w:val="en-US" w:eastAsia="zh-CN"/>
                    </w:rPr>
                  </w:pPr>
                  <w:r>
                    <w:rPr>
                      <w:rFonts w:hint="eastAsia"/>
                      <w:lang w:val="en-US" w:eastAsia="zh-CN"/>
                    </w:rPr>
                    <w:t>本项目运营期仅有生活污水产生，生产废水循环使用不外排，生活污水通过园区污水管网排入污水处理厂处理。</w:t>
                  </w:r>
                </w:p>
              </w:tc>
              <w:tc>
                <w:tcPr>
                  <w:tcW w:w="411" w:type="pct"/>
                  <w:tcBorders>
                    <w:top w:val="single" w:color="auto" w:sz="6" w:space="0"/>
                    <w:left w:val="single" w:color="auto" w:sz="6" w:space="0"/>
                    <w:bottom w:val="single" w:color="auto" w:sz="6" w:space="0"/>
                    <w:right w:val="nil"/>
                  </w:tcBorders>
                  <w:vAlign w:val="center"/>
                </w:tcPr>
                <w:p>
                  <w:pPr>
                    <w:pStyle w:val="33"/>
                    <w:rPr>
                      <w:lang w:val="en-US" w:eastAsia="zh-CN"/>
                    </w:rPr>
                  </w:pPr>
                  <w:r>
                    <w:rPr>
                      <w:rFonts w:hint="eastAsia"/>
                      <w:lang w:val="en-US" w:eastAsia="zh-CN"/>
                    </w:rPr>
                    <w:t>符合</w:t>
                  </w:r>
                </w:p>
              </w:tc>
            </w:tr>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47" w:type="pct"/>
                  <w:vMerge w:val="continue"/>
                  <w:tcBorders>
                    <w:left w:val="nil"/>
                    <w:bottom w:val="single" w:color="000000" w:sz="12" w:space="0"/>
                    <w:right w:val="single" w:color="auto" w:sz="6" w:space="0"/>
                  </w:tcBorders>
                  <w:vAlign w:val="center"/>
                </w:tcPr>
                <w:p>
                  <w:pPr>
                    <w:pStyle w:val="33"/>
                    <w:rPr>
                      <w:lang w:val="en-US" w:eastAsia="zh-CN"/>
                    </w:rPr>
                  </w:pPr>
                </w:p>
              </w:tc>
              <w:tc>
                <w:tcPr>
                  <w:tcW w:w="416" w:type="pct"/>
                  <w:vMerge w:val="continue"/>
                  <w:tcBorders>
                    <w:left w:val="single" w:color="auto" w:sz="6" w:space="0"/>
                    <w:bottom w:val="single" w:color="000000" w:sz="12" w:space="0"/>
                    <w:right w:val="single" w:color="auto" w:sz="6" w:space="0"/>
                  </w:tcBorders>
                  <w:vAlign w:val="center"/>
                </w:tcPr>
                <w:p>
                  <w:pPr>
                    <w:pStyle w:val="33"/>
                    <w:rPr>
                      <w:lang w:val="en-US" w:eastAsia="zh-CN"/>
                    </w:rPr>
                  </w:pPr>
                </w:p>
              </w:tc>
              <w:tc>
                <w:tcPr>
                  <w:tcW w:w="2091" w:type="pct"/>
                  <w:tcBorders>
                    <w:top w:val="single" w:color="auto" w:sz="6" w:space="0"/>
                    <w:left w:val="single" w:color="auto" w:sz="6" w:space="0"/>
                    <w:bottom w:val="single" w:color="000000" w:sz="12" w:space="0"/>
                    <w:right w:val="single" w:color="auto" w:sz="6" w:space="0"/>
                  </w:tcBorders>
                  <w:vAlign w:val="center"/>
                </w:tcPr>
                <w:p>
                  <w:pPr>
                    <w:pStyle w:val="33"/>
                    <w:jc w:val="left"/>
                    <w:rPr>
                      <w:lang w:val="en-US" w:eastAsia="zh-CN"/>
                    </w:rPr>
                  </w:pPr>
                  <w:r>
                    <w:rPr>
                      <w:lang w:val="en-US" w:eastAsia="zh-CN"/>
                    </w:rPr>
                    <w:t>严格设置园区企业的环境准入条件，入园企业的清洁生产水平必须达到国内先进水平。</w:t>
                  </w:r>
                </w:p>
              </w:tc>
              <w:tc>
                <w:tcPr>
                  <w:tcW w:w="1733" w:type="pct"/>
                  <w:tcBorders>
                    <w:top w:val="single" w:color="auto" w:sz="6" w:space="0"/>
                    <w:left w:val="single" w:color="auto" w:sz="6" w:space="0"/>
                    <w:bottom w:val="single" w:color="000000" w:sz="12" w:space="0"/>
                    <w:right w:val="nil"/>
                  </w:tcBorders>
                  <w:vAlign w:val="center"/>
                </w:tcPr>
                <w:p>
                  <w:pPr>
                    <w:pStyle w:val="33"/>
                    <w:jc w:val="left"/>
                    <w:rPr>
                      <w:lang w:val="en-US" w:eastAsia="zh-CN"/>
                    </w:rPr>
                  </w:pPr>
                  <w:r>
                    <w:rPr>
                      <w:lang w:val="en-US" w:eastAsia="zh-CN"/>
                    </w:rPr>
                    <w:t>本项目</w:t>
                  </w:r>
                  <w:r>
                    <w:rPr>
                      <w:rFonts w:hint="eastAsia"/>
                      <w:lang w:val="en-US" w:eastAsia="zh-CN"/>
                    </w:rPr>
                    <w:t>运营期使用能源均为水、电等清洁能源。</w:t>
                  </w:r>
                </w:p>
              </w:tc>
              <w:tc>
                <w:tcPr>
                  <w:tcW w:w="411" w:type="pct"/>
                  <w:tcBorders>
                    <w:top w:val="single" w:color="auto" w:sz="6" w:space="0"/>
                    <w:left w:val="single" w:color="auto" w:sz="6" w:space="0"/>
                    <w:bottom w:val="single" w:color="000000" w:sz="12" w:space="0"/>
                    <w:right w:val="nil"/>
                  </w:tcBorders>
                  <w:vAlign w:val="center"/>
                </w:tcPr>
                <w:p>
                  <w:pPr>
                    <w:pStyle w:val="33"/>
                    <w:rPr>
                      <w:lang w:val="en-US" w:eastAsia="zh-CN"/>
                    </w:rPr>
                  </w:pPr>
                  <w:r>
                    <w:rPr>
                      <w:rFonts w:hint="eastAsia"/>
                      <w:lang w:val="en-US" w:eastAsia="zh-CN"/>
                    </w:rPr>
                    <w:t>符合</w:t>
                  </w:r>
                </w:p>
              </w:tc>
            </w:tr>
          </w:tbl>
          <w:p>
            <w:pPr>
              <w:pStyle w:val="20"/>
              <w:ind w:firstLine="480"/>
              <w:jc w:val="both"/>
            </w:pPr>
            <w:r>
              <w:rPr>
                <w:rFonts w:hint="eastAsia"/>
              </w:rPr>
              <w:t>综上，本项目为</w:t>
            </w:r>
            <w:r>
              <w:rPr>
                <w:bCs/>
              </w:rPr>
              <w:t>石膏、水泥制品及类似制品制造</w:t>
            </w:r>
            <w:r>
              <w:rPr>
                <w:rFonts w:hint="eastAsia"/>
              </w:rPr>
              <w:t>项目，位于昌吉高新技术产业开发区新材料产业园，用地类型为工业用地，项目属于新型建材产业，符合该园区产业定位及规划要求；非《关于昌吉高新技术产业开发区总体规划环境影响报告书的审查意见》中高耗水，环境影响较大企业。因此本项目符合该园区规划及规划环境影响评价文件要求。园区产业分区图见附图3。</w:t>
            </w:r>
          </w:p>
          <w:p>
            <w:pPr>
              <w:pStyle w:val="20"/>
              <w:ind w:firstLine="0" w:firstLineChars="0"/>
              <w:jc w:val="both"/>
              <w:rPr>
                <w:b/>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615" w:hRule="atLeast"/>
        </w:trPr>
        <w:tc>
          <w:tcPr>
            <w:tcW w:w="494" w:type="dxa"/>
            <w:tcBorders>
              <w:tl2br w:val="nil"/>
              <w:tr2bl w:val="nil"/>
            </w:tcBorders>
            <w:shd w:val="clear" w:color="auto" w:fill="FFFFFF"/>
            <w:vAlign w:val="center"/>
          </w:tcPr>
          <w:p>
            <w:pPr>
              <w:autoSpaceDE w:val="0"/>
              <w:autoSpaceDN w:val="0"/>
              <w:adjustRightInd w:val="0"/>
              <w:snapToGrid w:val="0"/>
              <w:jc w:val="center"/>
              <w:rPr>
                <w:rFonts w:ascii="宋体" w:hAnsi="宋体" w:cs="宋体"/>
                <w:kern w:val="0"/>
                <w:sz w:val="21"/>
                <w:szCs w:val="21"/>
              </w:rPr>
            </w:pPr>
            <w:r>
              <w:rPr>
                <w:rFonts w:hint="eastAsia" w:ascii="宋体" w:hAnsi="宋体" w:cs="宋体"/>
                <w:kern w:val="0"/>
                <w:szCs w:val="21"/>
              </w:rPr>
              <w:t>其他符合性分析</w:t>
            </w:r>
          </w:p>
        </w:tc>
        <w:tc>
          <w:tcPr>
            <w:tcW w:w="8028" w:type="dxa"/>
            <w:gridSpan w:val="4"/>
            <w:tcBorders>
              <w:tl2br w:val="nil"/>
              <w:tr2bl w:val="nil"/>
            </w:tcBorders>
            <w:shd w:val="clear" w:color="auto" w:fill="FFFFFF"/>
            <w:vAlign w:val="center"/>
          </w:tcPr>
          <w:p>
            <w:pPr>
              <w:pStyle w:val="5"/>
              <w:numPr>
                <w:ilvl w:val="0"/>
                <w:numId w:val="4"/>
              </w:numPr>
              <w:jc w:val="both"/>
              <w:outlineLvl w:val="1"/>
            </w:pPr>
            <w:r>
              <w:t>产业政策符合性分析</w:t>
            </w:r>
          </w:p>
          <w:p>
            <w:pPr>
              <w:pStyle w:val="20"/>
              <w:ind w:firstLine="480"/>
              <w:jc w:val="both"/>
              <w:rPr>
                <w:color w:val="auto"/>
              </w:rPr>
            </w:pPr>
            <w:r>
              <w:rPr>
                <w:rFonts w:hint="eastAsia"/>
                <w:color w:val="auto"/>
              </w:rPr>
              <w:t>拟建设项目为</w:t>
            </w:r>
            <w:r>
              <w:rPr>
                <w:color w:val="auto"/>
              </w:rPr>
              <w:t>石膏、水泥制品及类似制品制造</w:t>
            </w:r>
            <w:r>
              <w:rPr>
                <w:rFonts w:hint="eastAsia"/>
                <w:color w:val="auto"/>
              </w:rPr>
              <w:t>，本项目</w:t>
            </w:r>
            <w:r>
              <w:rPr>
                <w:color w:val="auto"/>
              </w:rPr>
              <w:t>使用耐碱玻纤</w:t>
            </w:r>
            <w:r>
              <w:rPr>
                <w:rFonts w:hint="eastAsia"/>
                <w:color w:val="auto"/>
              </w:rPr>
              <w:t>及</w:t>
            </w:r>
            <w:r>
              <w:rPr>
                <w:color w:val="auto"/>
              </w:rPr>
              <w:t>低碱水泥生产玻纤增强水泥（GRC）空心条板</w:t>
            </w:r>
            <w:r>
              <w:rPr>
                <w:rFonts w:hint="eastAsia"/>
                <w:color w:val="auto"/>
              </w:rPr>
              <w:t>及EPS，</w:t>
            </w:r>
            <w:r>
              <w:rPr>
                <w:color w:val="auto"/>
              </w:rPr>
              <w:t>根据国家发展和改革委员会令第29号令《产业结构调整指导目录（2019年本）》（2020年1月1日实施）条款可知，本项目不属于限制类和淘汰类，可视为允许类，因此本项目符合国家产业政策和政策法规。</w:t>
            </w:r>
          </w:p>
          <w:p>
            <w:pPr>
              <w:pStyle w:val="20"/>
              <w:numPr>
                <w:ilvl w:val="0"/>
                <w:numId w:val="4"/>
              </w:numPr>
              <w:ind w:firstLine="0" w:firstLineChars="0"/>
              <w:jc w:val="both"/>
              <w:rPr>
                <w:b/>
                <w:sz w:val="28"/>
              </w:rPr>
            </w:pPr>
            <w:r>
              <w:rPr>
                <w:b/>
                <w:sz w:val="28"/>
              </w:rPr>
              <w:t>“三线一单”符合性分析</w:t>
            </w:r>
          </w:p>
          <w:p>
            <w:pPr>
              <w:pStyle w:val="20"/>
              <w:ind w:firstLine="480"/>
              <w:jc w:val="both"/>
            </w:pPr>
            <w:r>
              <w:t>根据《关于以改善环境质量为核心加强环境影响评价管理的通知》（环环评 [2016]150号）和《新疆维吾尔自治区“三线一单”生态环境分区管控方案》（新政发 [2021]18号）要求，落实</w:t>
            </w:r>
            <w:r>
              <w:rPr>
                <w:lang w:val="zh-CN"/>
              </w:rPr>
              <w:t>“生</w:t>
            </w:r>
            <w:r>
              <w:t>态保护红线、环境质量底线、资源利用上线和生态环境准入清单</w:t>
            </w:r>
            <w:r>
              <w:rPr>
                <w:lang w:val="zh-CN"/>
              </w:rPr>
              <w:t>”（简</w:t>
            </w:r>
            <w:r>
              <w:t>称“三线一单”）约束，更好地发挥环评制度从源头防范环境污染和生态破坏的作用，加快推进改善环境质量。本项目建设与“三线一单”的符合性分析见表</w:t>
            </w:r>
            <w:r>
              <w:rPr>
                <w:rFonts w:hint="eastAsia"/>
              </w:rPr>
              <w:t>1-2</w:t>
            </w:r>
            <w:r>
              <w:t>。</w:t>
            </w:r>
          </w:p>
          <w:p>
            <w:pPr>
              <w:pStyle w:val="32"/>
            </w:pPr>
            <w:r>
              <w:t>表</w:t>
            </w:r>
            <w:r>
              <w:rPr>
                <w:rFonts w:hint="eastAsia"/>
              </w:rPr>
              <w:t>1-2</w:t>
            </w:r>
            <w:r>
              <w:t xml:space="preserve">    “三线一单”符合性分析一览表</w:t>
            </w:r>
          </w:p>
          <w:tbl>
            <w:tblPr>
              <w:tblStyle w:val="24"/>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5968"/>
              <w:gridCol w:w="9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bottom w:val="single" w:color="auto" w:sz="12" w:space="0"/>
                  </w:tcBorders>
                  <w:vAlign w:val="center"/>
                </w:tcPr>
                <w:p>
                  <w:pPr>
                    <w:pStyle w:val="33"/>
                    <w:rPr>
                      <w:b/>
                      <w:bCs/>
                    </w:rPr>
                  </w:pPr>
                  <w:r>
                    <w:rPr>
                      <w:b/>
                      <w:bCs/>
                    </w:rPr>
                    <w:t>内容</w:t>
                  </w:r>
                </w:p>
              </w:tc>
              <w:tc>
                <w:tcPr>
                  <w:tcW w:w="3820" w:type="pct"/>
                  <w:tcBorders>
                    <w:bottom w:val="single" w:color="auto" w:sz="12" w:space="0"/>
                  </w:tcBorders>
                  <w:vAlign w:val="center"/>
                </w:tcPr>
                <w:p>
                  <w:pPr>
                    <w:pStyle w:val="33"/>
                    <w:rPr>
                      <w:b/>
                      <w:bCs/>
                    </w:rPr>
                  </w:pPr>
                  <w:r>
                    <w:rPr>
                      <w:b/>
                      <w:bCs/>
                    </w:rPr>
                    <w:t>本项目工程概况</w:t>
                  </w:r>
                </w:p>
              </w:tc>
              <w:tc>
                <w:tcPr>
                  <w:tcW w:w="616" w:type="pct"/>
                  <w:tcBorders>
                    <w:bottom w:val="single" w:color="auto" w:sz="12" w:space="0"/>
                  </w:tcBorders>
                  <w:vAlign w:val="center"/>
                </w:tcPr>
                <w:p>
                  <w:pPr>
                    <w:pStyle w:val="33"/>
                    <w:rPr>
                      <w:b/>
                      <w:bCs/>
                    </w:rPr>
                  </w:pPr>
                  <w:r>
                    <w:rPr>
                      <w:b/>
                      <w:bCs/>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op w:val="single" w:color="auto" w:sz="12" w:space="0"/>
                    <w:tl2br w:val="nil"/>
                    <w:tr2bl w:val="nil"/>
                  </w:tcBorders>
                  <w:vAlign w:val="center"/>
                </w:tcPr>
                <w:p>
                  <w:pPr>
                    <w:pStyle w:val="33"/>
                  </w:pPr>
                  <w:r>
                    <w:t>生态保护红线</w:t>
                  </w:r>
                </w:p>
              </w:tc>
              <w:tc>
                <w:tcPr>
                  <w:tcW w:w="3820" w:type="pct"/>
                  <w:tcBorders>
                    <w:top w:val="single" w:color="auto" w:sz="12" w:space="0"/>
                    <w:tl2br w:val="nil"/>
                    <w:tr2bl w:val="nil"/>
                  </w:tcBorders>
                  <w:vAlign w:val="center"/>
                </w:tcPr>
                <w:p>
                  <w:pPr>
                    <w:pStyle w:val="33"/>
                    <w:jc w:val="both"/>
                  </w:pPr>
                  <w:r>
                    <w:t>项目占地不涉及自然保护区、森林公园、风景名胜区、世界文化自然遗产、地质公园等禁止开发的区域。</w:t>
                  </w:r>
                  <w:r>
                    <w:rPr>
                      <w:lang w:val="en-US" w:eastAsia="zh-CN"/>
                    </w:rPr>
                    <w:t>也不在《新疆维吾尔自治区“三线一单”生态环境分区管控方案》中的优先保护单元和重点管控单元内。</w:t>
                  </w:r>
                  <w:r>
                    <w:t>本项目占地面积小，项目建成后绿化面积有所增加，不会恶化区域生态环境现状，满足生态保护红线</w:t>
                  </w:r>
                  <w:r>
                    <w:rPr>
                      <w:lang w:val="en-US" w:eastAsia="zh-CN"/>
                    </w:rPr>
                    <w:t>及《新疆维吾尔自治区“三线一单”生态环境分区管控方案》</w:t>
                  </w:r>
                  <w:r>
                    <w:t>要求。</w:t>
                  </w:r>
                </w:p>
              </w:tc>
              <w:tc>
                <w:tcPr>
                  <w:tcW w:w="616" w:type="pct"/>
                  <w:tcBorders>
                    <w:top w:val="single" w:color="auto" w:sz="12" w:space="0"/>
                    <w:tl2br w:val="nil"/>
                    <w:tr2bl w:val="nil"/>
                  </w:tcBorders>
                  <w:vAlign w:val="center"/>
                </w:tcPr>
                <w:p>
                  <w:pPr>
                    <w:pStyle w:val="33"/>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33"/>
                  </w:pPr>
                  <w:r>
                    <w:t>资源利用上线</w:t>
                  </w:r>
                </w:p>
              </w:tc>
              <w:tc>
                <w:tcPr>
                  <w:tcW w:w="3820" w:type="pct"/>
                  <w:tcBorders>
                    <w:tl2br w:val="nil"/>
                    <w:tr2bl w:val="nil"/>
                  </w:tcBorders>
                  <w:vAlign w:val="center"/>
                </w:tcPr>
                <w:p>
                  <w:pPr>
                    <w:pStyle w:val="33"/>
                    <w:jc w:val="both"/>
                  </w:pPr>
                  <w:r>
                    <w:t>本项目用电由园区电网供应，生活、生产用水为园区供水管网接入，项目对区域资源消耗量相对于区域资源利用总量较少，符合资源利用上线要求。</w:t>
                  </w:r>
                </w:p>
              </w:tc>
              <w:tc>
                <w:tcPr>
                  <w:tcW w:w="616" w:type="pct"/>
                  <w:tcBorders>
                    <w:tl2br w:val="nil"/>
                    <w:tr2bl w:val="nil"/>
                  </w:tcBorders>
                  <w:vAlign w:val="center"/>
                </w:tcPr>
                <w:p>
                  <w:pPr>
                    <w:pStyle w:val="33"/>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33"/>
                  </w:pPr>
                  <w:r>
                    <w:t>环境质量底线</w:t>
                  </w:r>
                </w:p>
              </w:tc>
              <w:tc>
                <w:tcPr>
                  <w:tcW w:w="3820" w:type="pct"/>
                  <w:tcBorders>
                    <w:tl2br w:val="nil"/>
                    <w:tr2bl w:val="nil"/>
                  </w:tcBorders>
                  <w:vAlign w:val="center"/>
                </w:tcPr>
                <w:p>
                  <w:pPr>
                    <w:pStyle w:val="33"/>
                    <w:jc w:val="both"/>
                  </w:pPr>
                  <w:r>
                    <w:t>大气环境：本项目生产过程中大气污染物达标排放，排放总量少，对周围环境影响小。水环境：本项目</w:t>
                  </w:r>
                  <w:r>
                    <w:rPr>
                      <w:rFonts w:hint="eastAsia"/>
                      <w:lang w:val="en-US" w:eastAsia="zh-CN"/>
                    </w:rPr>
                    <w:t>生产废水循环使用不外排，生活污水</w:t>
                  </w:r>
                  <w:r>
                    <w:rPr>
                      <w:lang w:val="en-US" w:eastAsia="zh-CN"/>
                    </w:rPr>
                    <w:t>排入</w:t>
                  </w:r>
                  <w:r>
                    <w:rPr>
                      <w:rFonts w:hint="eastAsia"/>
                      <w:lang w:val="en-US" w:eastAsia="zh-CN"/>
                    </w:rPr>
                    <w:t>园区</w:t>
                  </w:r>
                  <w:r>
                    <w:rPr>
                      <w:lang w:val="en-US" w:eastAsia="zh-CN"/>
                    </w:rPr>
                    <w:t>管网</w:t>
                  </w:r>
                  <w:r>
                    <w:t>。声环境：项目无较大的噪声源，声环境质量良好。</w:t>
                  </w:r>
                  <w:r>
                    <w:rPr>
                      <w:rFonts w:hint="eastAsia"/>
                      <w:lang w:val="en-US" w:eastAsia="zh-CN"/>
                    </w:rPr>
                    <w:t>固废：项目固体废物均妥善处置。</w:t>
                  </w:r>
                  <w:r>
                    <w:t>综上，项目对周围环境的影响有限，不会降低当地的大气环境质量，符合环境质量底线要求。</w:t>
                  </w:r>
                </w:p>
              </w:tc>
              <w:tc>
                <w:tcPr>
                  <w:tcW w:w="616" w:type="pct"/>
                  <w:tcBorders>
                    <w:tl2br w:val="nil"/>
                    <w:tr2bl w:val="nil"/>
                  </w:tcBorders>
                  <w:vAlign w:val="center"/>
                </w:tcPr>
                <w:p>
                  <w:pPr>
                    <w:pStyle w:val="33"/>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33"/>
                  </w:pPr>
                  <w:r>
                    <w:rPr>
                      <w:rFonts w:hint="eastAsia"/>
                      <w:lang w:eastAsia="zh-CN"/>
                    </w:rPr>
                    <w:t>生态环境准入</w:t>
                  </w:r>
                  <w:r>
                    <w:t>清单</w:t>
                  </w:r>
                </w:p>
              </w:tc>
              <w:tc>
                <w:tcPr>
                  <w:tcW w:w="3820" w:type="pct"/>
                  <w:tcBorders>
                    <w:tl2br w:val="nil"/>
                    <w:tr2bl w:val="nil"/>
                  </w:tcBorders>
                  <w:vAlign w:val="center"/>
                </w:tcPr>
                <w:p>
                  <w:pPr>
                    <w:pStyle w:val="33"/>
                    <w:jc w:val="both"/>
                  </w:pPr>
                  <w:r>
                    <w:t>本项目未列入《新疆重点生态功能区产业准入负面清单》中限制类和禁止类。</w:t>
                  </w:r>
                </w:p>
              </w:tc>
              <w:tc>
                <w:tcPr>
                  <w:tcW w:w="616" w:type="pct"/>
                  <w:tcBorders>
                    <w:tl2br w:val="nil"/>
                    <w:tr2bl w:val="nil"/>
                  </w:tcBorders>
                  <w:vAlign w:val="center"/>
                </w:tcPr>
                <w:p>
                  <w:pPr>
                    <w:pStyle w:val="33"/>
                  </w:pPr>
                  <w:r>
                    <w:t>符合</w:t>
                  </w:r>
                </w:p>
              </w:tc>
            </w:tr>
          </w:tbl>
          <w:p>
            <w:pPr>
              <w:pStyle w:val="5"/>
              <w:numPr>
                <w:ilvl w:val="0"/>
                <w:numId w:val="0"/>
              </w:numPr>
              <w:jc w:val="both"/>
              <w:outlineLvl w:val="1"/>
            </w:pPr>
          </w:p>
          <w:p>
            <w:pPr>
              <w:pStyle w:val="5"/>
              <w:numPr>
                <w:ilvl w:val="0"/>
                <w:numId w:val="4"/>
              </w:numPr>
              <w:jc w:val="both"/>
              <w:outlineLvl w:val="1"/>
            </w:pPr>
            <w:r>
              <w:rPr>
                <w:rFonts w:hint="eastAsia"/>
              </w:rPr>
              <w:t>与《昌吉回族自治州“三线一单”生态环境分区管控方案及生态环境准入清单》符合性分析</w:t>
            </w:r>
          </w:p>
          <w:p>
            <w:pPr>
              <w:pStyle w:val="20"/>
              <w:ind w:firstLine="480"/>
              <w:jc w:val="both"/>
            </w:pPr>
            <w:r>
              <w:rPr>
                <w:rFonts w:hint="eastAsia"/>
              </w:rPr>
              <w:t>本项目位于昌吉市高新技术产业开发区，根据《昌吉回族自治州“三线一单”生态环境分区管控方案及生态环境准入清单》本项目所属为文件中“昌吉高新技术产业开发区环境管控单元”中的重点管控单元。本项目与其符合情况见下表。</w:t>
            </w:r>
          </w:p>
          <w:p>
            <w:pPr>
              <w:pStyle w:val="32"/>
            </w:pPr>
            <w:r>
              <w:rPr>
                <w:rFonts w:hint="eastAsia"/>
              </w:rPr>
              <w:t>表1</w:t>
            </w:r>
            <w:r>
              <w:t>-</w:t>
            </w:r>
            <w:r>
              <w:rPr>
                <w:rFonts w:hint="eastAsia"/>
              </w:rPr>
              <w:t>3</w:t>
            </w:r>
            <w:r>
              <w:t xml:space="preserve">  </w:t>
            </w:r>
            <w:r>
              <w:rPr>
                <w:rFonts w:hint="eastAsia"/>
              </w:rPr>
              <w:t>与《昌吉回族自治州“三线一单”生态环境分区管控方案及生态环境准入清单》符合性分析</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3709"/>
              <w:gridCol w:w="2585"/>
              <w:gridCol w:w="7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tcBorders>
                    <w:bottom w:val="single" w:color="000000" w:sz="12" w:space="0"/>
                    <w:tl2br w:val="nil"/>
                    <w:tr2bl w:val="nil"/>
                  </w:tcBorders>
                  <w:vAlign w:val="center"/>
                </w:tcPr>
                <w:p>
                  <w:pPr>
                    <w:pStyle w:val="33"/>
                    <w:widowControl w:val="0"/>
                    <w:rPr>
                      <w:b/>
                      <w:bCs/>
                    </w:rPr>
                  </w:pPr>
                  <w:r>
                    <w:rPr>
                      <w:rFonts w:hint="eastAsia"/>
                      <w:b/>
                      <w:bCs/>
                    </w:rPr>
                    <w:t>管控名称</w:t>
                  </w:r>
                </w:p>
              </w:tc>
              <w:tc>
                <w:tcPr>
                  <w:tcW w:w="2374" w:type="pct"/>
                  <w:tcBorders>
                    <w:bottom w:val="single" w:color="000000" w:sz="12" w:space="0"/>
                    <w:tl2br w:val="nil"/>
                    <w:tr2bl w:val="nil"/>
                  </w:tcBorders>
                  <w:vAlign w:val="center"/>
                </w:tcPr>
                <w:p>
                  <w:pPr>
                    <w:pStyle w:val="33"/>
                    <w:widowControl w:val="0"/>
                    <w:rPr>
                      <w:b/>
                      <w:bCs/>
                    </w:rPr>
                  </w:pPr>
                  <w:r>
                    <w:rPr>
                      <w:rFonts w:hint="eastAsia"/>
                      <w:b/>
                      <w:bCs/>
                    </w:rPr>
                    <w:t>管控要求</w:t>
                  </w:r>
                </w:p>
              </w:tc>
              <w:tc>
                <w:tcPr>
                  <w:tcW w:w="1655" w:type="pct"/>
                  <w:tcBorders>
                    <w:bottom w:val="single" w:color="000000" w:sz="12" w:space="0"/>
                    <w:tl2br w:val="nil"/>
                    <w:tr2bl w:val="nil"/>
                  </w:tcBorders>
                  <w:vAlign w:val="center"/>
                </w:tcPr>
                <w:p>
                  <w:pPr>
                    <w:pStyle w:val="33"/>
                    <w:widowControl w:val="0"/>
                    <w:rPr>
                      <w:b/>
                      <w:bCs/>
                    </w:rPr>
                  </w:pPr>
                  <w:r>
                    <w:rPr>
                      <w:rFonts w:hint="eastAsia"/>
                      <w:b/>
                      <w:bCs/>
                    </w:rPr>
                    <w:t>项目概况</w:t>
                  </w:r>
                </w:p>
              </w:tc>
              <w:tc>
                <w:tcPr>
                  <w:tcW w:w="477" w:type="pct"/>
                  <w:tcBorders>
                    <w:bottom w:val="single" w:color="000000" w:sz="12" w:space="0"/>
                    <w:tl2br w:val="nil"/>
                    <w:tr2bl w:val="nil"/>
                  </w:tcBorders>
                  <w:vAlign w:val="center"/>
                </w:tcPr>
                <w:p>
                  <w:pPr>
                    <w:pStyle w:val="33"/>
                    <w:widowControl w:val="0"/>
                    <w:rPr>
                      <w:b/>
                      <w:bCs/>
                    </w:rPr>
                  </w:pPr>
                  <w:r>
                    <w:rPr>
                      <w:rFonts w:hint="eastAsia"/>
                      <w:b/>
                      <w:bCs/>
                    </w:rPr>
                    <w:t>符合情况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tcBorders>
                    <w:top w:val="single" w:color="000000" w:sz="12" w:space="0"/>
                    <w:bottom w:val="single" w:color="000000" w:sz="4" w:space="0"/>
                  </w:tcBorders>
                  <w:vAlign w:val="center"/>
                </w:tcPr>
                <w:p>
                  <w:pPr>
                    <w:pStyle w:val="33"/>
                    <w:widowControl w:val="0"/>
                  </w:pPr>
                  <w:r>
                    <w:t>空间布局约束</w:t>
                  </w:r>
                </w:p>
              </w:tc>
              <w:tc>
                <w:tcPr>
                  <w:tcW w:w="2374" w:type="pct"/>
                  <w:tcBorders>
                    <w:top w:val="single" w:color="000000" w:sz="12" w:space="0"/>
                    <w:bottom w:val="single" w:color="000000" w:sz="4" w:space="0"/>
                  </w:tcBorders>
                  <w:vAlign w:val="center"/>
                </w:tcPr>
                <w:p>
                  <w:pPr>
                    <w:pStyle w:val="33"/>
                    <w:widowControl w:val="0"/>
                    <w:jc w:val="left"/>
                  </w:pPr>
                  <w:r>
                    <w:t>1、执行自治区总体准入要求中关于重点管控单元空间布局约束的准入要求（表2-3 A6.1）。</w:t>
                  </w:r>
                </w:p>
                <w:p>
                  <w:pPr>
                    <w:pStyle w:val="33"/>
                    <w:widowControl w:val="0"/>
                    <w:jc w:val="left"/>
                  </w:pPr>
                  <w:r>
                    <w:t>2、入园企业需符合园区</w:t>
                  </w:r>
                  <w:r>
                    <w:rPr>
                      <w:rFonts w:hint="eastAsia"/>
                    </w:rPr>
                    <w:t>装备制造、新材料产业、生物科技、食品产业、现代服务业的</w:t>
                  </w:r>
                  <w:r>
                    <w:t>产业定位。</w:t>
                  </w:r>
                </w:p>
                <w:p>
                  <w:pPr>
                    <w:pStyle w:val="33"/>
                    <w:widowControl w:val="0"/>
                    <w:jc w:val="left"/>
                  </w:pPr>
                  <w:r>
                    <w:t>3、以水定产，严格限制发展高耗水、环境影响较大的行业</w:t>
                  </w:r>
                </w:p>
              </w:tc>
              <w:tc>
                <w:tcPr>
                  <w:tcW w:w="1655" w:type="pct"/>
                  <w:tcBorders>
                    <w:top w:val="single" w:color="000000" w:sz="12" w:space="0"/>
                    <w:bottom w:val="single" w:color="000000" w:sz="4" w:space="0"/>
                  </w:tcBorders>
                  <w:vAlign w:val="center"/>
                </w:tcPr>
                <w:p>
                  <w:pPr>
                    <w:pStyle w:val="33"/>
                    <w:widowControl w:val="0"/>
                    <w:jc w:val="left"/>
                    <w:rPr>
                      <w:lang w:val="en-US" w:eastAsia="zh-CN"/>
                    </w:rPr>
                  </w:pPr>
                  <w:r>
                    <w:rPr>
                      <w:rFonts w:hint="eastAsia"/>
                      <w:lang w:val="en-US" w:eastAsia="zh-CN"/>
                    </w:rPr>
                    <w:t>1. 本项目不属于表2-3 A6.1、表3.4-2 B1中重点管控单元空间布局约束的内容之列；</w:t>
                  </w:r>
                </w:p>
                <w:p>
                  <w:pPr>
                    <w:pStyle w:val="33"/>
                    <w:widowControl w:val="0"/>
                    <w:jc w:val="left"/>
                    <w:rPr>
                      <w:lang w:val="en-US" w:eastAsia="zh-CN"/>
                    </w:rPr>
                  </w:pPr>
                  <w:r>
                    <w:rPr>
                      <w:rFonts w:hint="eastAsia"/>
                      <w:lang w:val="en-US" w:eastAsia="zh-CN"/>
                    </w:rPr>
                    <w:t>2. 项目区位于新材料产业园，符合产业定位；</w:t>
                  </w:r>
                </w:p>
                <w:p>
                  <w:pPr>
                    <w:pStyle w:val="33"/>
                    <w:widowControl w:val="0"/>
                    <w:jc w:val="left"/>
                    <w:rPr>
                      <w:lang w:val="en-US" w:eastAsia="zh-CN"/>
                    </w:rPr>
                  </w:pPr>
                  <w:r>
                    <w:rPr>
                      <w:rFonts w:hint="eastAsia"/>
                      <w:lang w:val="en-US" w:eastAsia="zh-CN"/>
                    </w:rPr>
                    <w:t>3. 本项目年用水量735t/a，生产废水循环使用，不外排，不属于高耗水行业，项目污染物达标排放</w:t>
                  </w:r>
                </w:p>
              </w:tc>
              <w:tc>
                <w:tcPr>
                  <w:tcW w:w="477" w:type="pct"/>
                  <w:tcBorders>
                    <w:top w:val="single" w:color="000000" w:sz="12" w:space="0"/>
                    <w:bottom w:val="single" w:color="000000" w:sz="4" w:space="0"/>
                  </w:tcBorders>
                  <w:vAlign w:val="center"/>
                </w:tcPr>
                <w:p>
                  <w:pPr>
                    <w:pStyle w:val="33"/>
                    <w:widowControl w:val="0"/>
                  </w:pPr>
                  <w:r>
                    <w:rPr>
                      <w:rFonts w:hint="eastAsi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tcBorders>
                    <w:top w:val="single" w:color="000000" w:sz="4" w:space="0"/>
                    <w:bottom w:val="single" w:color="000000" w:sz="4" w:space="0"/>
                  </w:tcBorders>
                  <w:vAlign w:val="center"/>
                </w:tcPr>
                <w:p>
                  <w:pPr>
                    <w:pStyle w:val="33"/>
                    <w:widowControl w:val="0"/>
                  </w:pPr>
                  <w:r>
                    <w:t>污染物排放管控</w:t>
                  </w:r>
                </w:p>
              </w:tc>
              <w:tc>
                <w:tcPr>
                  <w:tcW w:w="2374" w:type="pct"/>
                  <w:tcBorders>
                    <w:top w:val="single" w:color="000000" w:sz="4" w:space="0"/>
                    <w:bottom w:val="single" w:color="000000" w:sz="4" w:space="0"/>
                  </w:tcBorders>
                  <w:vAlign w:val="center"/>
                </w:tcPr>
                <w:p>
                  <w:pPr>
                    <w:pStyle w:val="33"/>
                    <w:widowControl w:val="0"/>
                    <w:jc w:val="left"/>
                  </w:pPr>
                  <w:r>
                    <w:t>1、执行自治区总体准入要求中关于重点管控单元污染物排放管控的准入要求（表2-3 A6.2）。</w:t>
                  </w:r>
                </w:p>
                <w:p>
                  <w:pPr>
                    <w:pStyle w:val="33"/>
                    <w:widowControl w:val="0"/>
                    <w:jc w:val="left"/>
                  </w:pPr>
                  <w:r>
                    <w:t>2、禁止新(改、扩)建未落实S0</w:t>
                  </w:r>
                  <w:r>
                    <w:rPr>
                      <w:vertAlign w:val="subscript"/>
                    </w:rPr>
                    <w:t>2</w:t>
                  </w:r>
                  <w:r>
                    <w:t>、NOx、烟粉尘、挥发性有机物(VOCs)等四项大气污染物总量指标市域内倍量替代的项目。所有新（改、扩）建项目应执行</w:t>
                  </w:r>
                  <w:r>
                    <w:rPr>
                      <w:rFonts w:hint="eastAsia"/>
                    </w:rPr>
                    <w:t>最严格的</w:t>
                  </w:r>
                  <w:r>
                    <w:t>大气污染物排放标准。</w:t>
                  </w:r>
                </w:p>
                <w:p>
                  <w:pPr>
                    <w:pStyle w:val="33"/>
                    <w:widowControl w:val="0"/>
                    <w:jc w:val="left"/>
                  </w:pPr>
                  <w:r>
                    <w:rPr>
                      <w:rFonts w:hint="eastAsia"/>
                      <w:lang w:val="en-US" w:eastAsia="zh-CN"/>
                    </w:rPr>
                    <w:t>3</w:t>
                  </w:r>
                  <w:r>
                    <w:t>、</w:t>
                  </w:r>
                  <w:r>
                    <w:rPr>
                      <w:rFonts w:hint="eastAsia"/>
                    </w:rPr>
                    <w:t>严格限制石化、化工、包装印刷、工业涂装等高VOCs排放建设项目，</w:t>
                  </w:r>
                  <w:r>
                    <w:t>严格涉VOCs建设项目环境影响评价，实行区域内VOCs排放倍量削减替代，并将替代方案落实到企业排污许可证中，纳入环境执法管理。新、改、扩建涉VOCs排放项目，应从源头加强控制，使用低（无）VOCs含量的原辅材料，加强废气收集，安装高效治理设施。</w:t>
                  </w:r>
                </w:p>
              </w:tc>
              <w:tc>
                <w:tcPr>
                  <w:tcW w:w="1655" w:type="pct"/>
                  <w:tcBorders>
                    <w:top w:val="single" w:color="000000" w:sz="4" w:space="0"/>
                    <w:bottom w:val="single" w:color="000000" w:sz="4" w:space="0"/>
                  </w:tcBorders>
                  <w:vAlign w:val="center"/>
                </w:tcPr>
                <w:p>
                  <w:pPr>
                    <w:pStyle w:val="33"/>
                    <w:widowControl w:val="0"/>
                    <w:jc w:val="left"/>
                    <w:rPr>
                      <w:lang w:val="en-US" w:eastAsia="zh-CN"/>
                    </w:rPr>
                  </w:pPr>
                  <w:r>
                    <w:rPr>
                      <w:rFonts w:hint="eastAsia"/>
                      <w:lang w:val="en-US" w:eastAsia="zh-CN"/>
                    </w:rPr>
                    <w:t>1. 本项目严格执行表2-3 A6.2中重点管控单元污染物排放管控要求。</w:t>
                  </w:r>
                </w:p>
                <w:p>
                  <w:pPr>
                    <w:pStyle w:val="33"/>
                    <w:widowControl w:val="0"/>
                    <w:jc w:val="left"/>
                    <w:rPr>
                      <w:lang w:val="en-US" w:eastAsia="zh-CN"/>
                    </w:rPr>
                  </w:pPr>
                  <w:r>
                    <w:rPr>
                      <w:rFonts w:hint="eastAsia"/>
                      <w:lang w:val="en-US" w:eastAsia="zh-CN"/>
                    </w:rPr>
                    <w:t>2. 本项目为新建项目，执行大气污染物特别排放限值要求。</w:t>
                  </w:r>
                </w:p>
                <w:p>
                  <w:pPr>
                    <w:pStyle w:val="33"/>
                    <w:widowControl w:val="0"/>
                    <w:jc w:val="both"/>
                    <w:rPr>
                      <w:lang w:val="en-US" w:eastAsia="zh-CN"/>
                    </w:rPr>
                  </w:pPr>
                  <w:r>
                    <w:rPr>
                      <w:rFonts w:hint="eastAsia"/>
                      <w:lang w:val="en-US" w:eastAsia="zh-CN"/>
                    </w:rPr>
                    <w:t>3. 本项目</w:t>
                  </w:r>
                  <w:r>
                    <w:t>实行区域内VOCs排放倍量削减替代</w:t>
                  </w:r>
                  <w:r>
                    <w:rPr>
                      <w:rFonts w:hint="eastAsia"/>
                      <w:lang w:eastAsia="zh-CN"/>
                    </w:rPr>
                    <w:t>，</w:t>
                  </w:r>
                  <w:r>
                    <w:t>并将替代方案落实到排污许可证中</w:t>
                  </w:r>
                  <w:r>
                    <w:rPr>
                      <w:rFonts w:hint="eastAsia"/>
                      <w:lang w:eastAsia="zh-CN"/>
                    </w:rPr>
                    <w:t>；</w:t>
                  </w:r>
                  <w:r>
                    <w:rPr>
                      <w:rFonts w:hint="eastAsia"/>
                      <w:lang w:val="en-US" w:eastAsia="zh-CN"/>
                    </w:rPr>
                    <w:t>有机废气集气罩收集后经UV光氧活性炭吸附处理+15m排气筒排放。</w:t>
                  </w:r>
                </w:p>
              </w:tc>
              <w:tc>
                <w:tcPr>
                  <w:tcW w:w="477" w:type="pct"/>
                  <w:tcBorders>
                    <w:top w:val="single" w:color="000000" w:sz="4" w:space="0"/>
                    <w:bottom w:val="single" w:color="000000" w:sz="4" w:space="0"/>
                  </w:tcBorders>
                  <w:vAlign w:val="center"/>
                </w:tcPr>
                <w:p>
                  <w:pPr>
                    <w:pStyle w:val="33"/>
                    <w:widowControl w:val="0"/>
                  </w:pPr>
                  <w:r>
                    <w:rPr>
                      <w:rFonts w:hint="eastAsi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tcBorders>
                    <w:top w:val="single" w:color="000000" w:sz="4" w:space="0"/>
                    <w:bottom w:val="single" w:color="000000" w:sz="4" w:space="0"/>
                  </w:tcBorders>
                  <w:vAlign w:val="center"/>
                </w:tcPr>
                <w:p>
                  <w:pPr>
                    <w:pStyle w:val="33"/>
                    <w:widowControl w:val="0"/>
                  </w:pPr>
                  <w:r>
                    <w:t>环境风险防控</w:t>
                  </w:r>
                </w:p>
              </w:tc>
              <w:tc>
                <w:tcPr>
                  <w:tcW w:w="2374" w:type="pct"/>
                  <w:tcBorders>
                    <w:top w:val="single" w:color="000000" w:sz="4" w:space="0"/>
                    <w:bottom w:val="single" w:color="000000" w:sz="4" w:space="0"/>
                  </w:tcBorders>
                  <w:vAlign w:val="center"/>
                </w:tcPr>
                <w:p>
                  <w:pPr>
                    <w:pStyle w:val="33"/>
                    <w:widowControl w:val="0"/>
                    <w:jc w:val="left"/>
                  </w:pPr>
                  <w:r>
                    <w:t>1、执行自治区总体准入要求中关于重点管控单元环境风险防控的准入要求（表2-3 A6.3）。</w:t>
                  </w:r>
                </w:p>
                <w:p>
                  <w:pPr>
                    <w:pStyle w:val="33"/>
                    <w:widowControl w:val="0"/>
                    <w:jc w:val="left"/>
                  </w:pPr>
                  <w:r>
                    <w:t>2、</w:t>
                  </w:r>
                  <w:r>
                    <w:rPr>
                      <w:rFonts w:hint="eastAsia"/>
                    </w:rPr>
                    <w:t>严格落实错峰生产方案和重污染天气应急响应措施</w:t>
                  </w:r>
                  <w:r>
                    <w:t>。</w:t>
                  </w:r>
                </w:p>
                <w:p>
                  <w:pPr>
                    <w:pStyle w:val="33"/>
                    <w:widowControl w:val="0"/>
                    <w:jc w:val="left"/>
                  </w:pPr>
                  <w:r>
                    <w:rPr>
                      <w:rFonts w:hint="eastAsia"/>
                    </w:rPr>
                    <w:t>3、生产、使用、贮存、运输、回收、处置、排放有毒有害物质的单位和个人，应当采取措施，防止有毒有害物质渗漏、流失、扬散，避免土壤受到污染。</w:t>
                  </w:r>
                </w:p>
              </w:tc>
              <w:tc>
                <w:tcPr>
                  <w:tcW w:w="1655" w:type="pct"/>
                  <w:tcBorders>
                    <w:top w:val="single" w:color="000000" w:sz="4" w:space="0"/>
                    <w:bottom w:val="single" w:color="000000" w:sz="4" w:space="0"/>
                  </w:tcBorders>
                  <w:vAlign w:val="center"/>
                </w:tcPr>
                <w:p>
                  <w:pPr>
                    <w:pStyle w:val="33"/>
                    <w:widowControl w:val="0"/>
                    <w:jc w:val="left"/>
                    <w:rPr>
                      <w:lang w:eastAsia="zh-CN"/>
                    </w:rPr>
                  </w:pPr>
                  <w:r>
                    <w:rPr>
                      <w:rFonts w:hint="eastAsia"/>
                      <w:lang w:val="en-US" w:eastAsia="zh-CN"/>
                    </w:rPr>
                    <w:t>1. 本项目严格执行</w:t>
                  </w:r>
                  <w:r>
                    <w:t>表2-3 A6.3重点管控单元环境风险防控的准入要求</w:t>
                  </w:r>
                  <w:r>
                    <w:rPr>
                      <w:rFonts w:hint="eastAsia"/>
                      <w:lang w:eastAsia="zh-CN"/>
                    </w:rPr>
                    <w:t>；</w:t>
                  </w:r>
                </w:p>
                <w:p>
                  <w:pPr>
                    <w:pStyle w:val="33"/>
                    <w:widowControl w:val="0"/>
                    <w:jc w:val="left"/>
                    <w:rPr>
                      <w:lang w:val="en-US" w:eastAsia="zh-CN"/>
                    </w:rPr>
                  </w:pPr>
                  <w:r>
                    <w:rPr>
                      <w:rFonts w:hint="eastAsia"/>
                      <w:lang w:val="en-US" w:eastAsia="zh-CN"/>
                    </w:rPr>
                    <w:t>2. 本项目生产周期较短，冬季不生产；</w:t>
                  </w:r>
                </w:p>
                <w:p>
                  <w:pPr>
                    <w:pStyle w:val="33"/>
                    <w:widowControl w:val="0"/>
                    <w:jc w:val="left"/>
                    <w:rPr>
                      <w:lang w:val="en-US" w:eastAsia="zh-CN"/>
                    </w:rPr>
                  </w:pPr>
                  <w:r>
                    <w:rPr>
                      <w:rFonts w:hint="eastAsia"/>
                      <w:lang w:val="en-US" w:eastAsia="zh-CN"/>
                    </w:rPr>
                    <w:t>3. 本项目严格落实本环评要求的措施，对项目区土壤影响较小。</w:t>
                  </w:r>
                </w:p>
              </w:tc>
              <w:tc>
                <w:tcPr>
                  <w:tcW w:w="477" w:type="pct"/>
                  <w:tcBorders>
                    <w:top w:val="single" w:color="000000" w:sz="4" w:space="0"/>
                    <w:bottom w:val="single" w:color="000000" w:sz="4" w:space="0"/>
                  </w:tcBorders>
                  <w:vAlign w:val="center"/>
                </w:tcPr>
                <w:p>
                  <w:pPr>
                    <w:pStyle w:val="33"/>
                    <w:widowControl w:val="0"/>
                  </w:pPr>
                  <w:r>
                    <w:rPr>
                      <w:rFonts w:hint="eastAsi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tcBorders>
                    <w:top w:val="single" w:color="000000" w:sz="4" w:space="0"/>
                  </w:tcBorders>
                  <w:vAlign w:val="center"/>
                </w:tcPr>
                <w:p>
                  <w:pPr>
                    <w:pStyle w:val="33"/>
                    <w:widowControl w:val="0"/>
                  </w:pPr>
                  <w:r>
                    <w:t>资源利用效率</w:t>
                  </w:r>
                </w:p>
              </w:tc>
              <w:tc>
                <w:tcPr>
                  <w:tcW w:w="2374" w:type="pct"/>
                  <w:tcBorders>
                    <w:top w:val="single" w:color="000000" w:sz="4" w:space="0"/>
                  </w:tcBorders>
                  <w:vAlign w:val="center"/>
                </w:tcPr>
                <w:p>
                  <w:pPr>
                    <w:pStyle w:val="33"/>
                    <w:widowControl w:val="0"/>
                    <w:jc w:val="left"/>
                  </w:pPr>
                  <w:r>
                    <w:rPr>
                      <w:rFonts w:hint="eastAsia"/>
                    </w:rPr>
                    <w:t>1、执行自治区总体准入要求中关于重点管控单元资源利用要求的准入要求（表2-3 A6.4）。</w:t>
                  </w:r>
                </w:p>
                <w:p>
                  <w:pPr>
                    <w:pStyle w:val="33"/>
                    <w:widowControl w:val="0"/>
                    <w:jc w:val="left"/>
                  </w:pPr>
                  <w:r>
                    <w:rPr>
                      <w:rFonts w:hint="eastAsia"/>
                    </w:rPr>
                    <w:t>2、污水处理率达到90%以上，中水回用率达到95%以上。</w:t>
                  </w:r>
                </w:p>
                <w:p>
                  <w:pPr>
                    <w:pStyle w:val="33"/>
                    <w:widowControl w:val="0"/>
                    <w:jc w:val="left"/>
                  </w:pPr>
                  <w:r>
                    <w:rPr>
                      <w:rFonts w:hint="eastAsia"/>
                    </w:rPr>
                    <w:t>3、逐步停止开采地下水，优先使用地表水，地下水水源逐步转为备用水源。</w:t>
                  </w:r>
                </w:p>
                <w:p>
                  <w:pPr>
                    <w:pStyle w:val="33"/>
                    <w:widowControl w:val="0"/>
                    <w:jc w:val="left"/>
                  </w:pPr>
                  <w:r>
                    <w:rPr>
                      <w:rFonts w:hint="eastAsia"/>
                    </w:rPr>
                    <w:t>4、工业固体废物综合利用率达到90%以上。</w:t>
                  </w:r>
                </w:p>
              </w:tc>
              <w:tc>
                <w:tcPr>
                  <w:tcW w:w="1655" w:type="pct"/>
                  <w:tcBorders>
                    <w:top w:val="single" w:color="000000" w:sz="4" w:space="0"/>
                  </w:tcBorders>
                  <w:vAlign w:val="center"/>
                </w:tcPr>
                <w:p>
                  <w:pPr>
                    <w:pStyle w:val="33"/>
                    <w:widowControl w:val="0"/>
                    <w:jc w:val="left"/>
                    <w:rPr>
                      <w:lang w:val="en-US" w:eastAsia="zh-CN"/>
                    </w:rPr>
                  </w:pPr>
                  <w:r>
                    <w:rPr>
                      <w:rFonts w:hint="eastAsia"/>
                      <w:lang w:val="en-US" w:eastAsia="zh-CN"/>
                    </w:rPr>
                    <w:t>2. 本项目生产废水循环使用不外排，生活污水排入园区管网；</w:t>
                  </w:r>
                </w:p>
                <w:p>
                  <w:pPr>
                    <w:pStyle w:val="33"/>
                    <w:widowControl w:val="0"/>
                    <w:jc w:val="left"/>
                    <w:rPr>
                      <w:lang w:val="en-US" w:eastAsia="zh-CN"/>
                    </w:rPr>
                  </w:pPr>
                  <w:r>
                    <w:rPr>
                      <w:rFonts w:hint="eastAsia"/>
                      <w:lang w:val="en-US" w:eastAsia="zh-CN"/>
                    </w:rPr>
                    <w:t>3. 项目用水由园区管网供给；</w:t>
                  </w:r>
                </w:p>
                <w:p>
                  <w:pPr>
                    <w:pStyle w:val="33"/>
                    <w:widowControl w:val="0"/>
                    <w:jc w:val="left"/>
                    <w:rPr>
                      <w:lang w:val="en-US" w:eastAsia="zh-CN"/>
                    </w:rPr>
                  </w:pPr>
                  <w:r>
                    <w:rPr>
                      <w:rFonts w:hint="eastAsia"/>
                      <w:lang w:val="en-US" w:eastAsia="zh-CN"/>
                    </w:rPr>
                    <w:t>4. 项目废边角料、废包装物，集中收集定期外售；除尘器收集尘回用于生产；不合格品同生活垃圾一同拉运至垃圾填埋场处理；废乳液桶由厂家回收；废活性炭、UV灯管委托有资质的单位清运处置；</w:t>
                  </w:r>
                </w:p>
              </w:tc>
              <w:tc>
                <w:tcPr>
                  <w:tcW w:w="477" w:type="pct"/>
                  <w:tcBorders>
                    <w:top w:val="single" w:color="000000" w:sz="4" w:space="0"/>
                  </w:tcBorders>
                  <w:vAlign w:val="center"/>
                </w:tcPr>
                <w:p>
                  <w:pPr>
                    <w:pStyle w:val="33"/>
                    <w:widowControl w:val="0"/>
                  </w:pPr>
                  <w:r>
                    <w:rPr>
                      <w:rFonts w:hint="eastAsia"/>
                    </w:rPr>
                    <w:t>符合</w:t>
                  </w:r>
                </w:p>
              </w:tc>
            </w:tr>
          </w:tbl>
          <w:p>
            <w:pPr>
              <w:pStyle w:val="5"/>
              <w:numPr>
                <w:ilvl w:val="0"/>
                <w:numId w:val="4"/>
              </w:numPr>
              <w:jc w:val="both"/>
              <w:outlineLvl w:val="1"/>
            </w:pPr>
            <w:r>
              <w:rPr>
                <w:rFonts w:hint="eastAsia"/>
              </w:rPr>
              <w:t>《</w:t>
            </w:r>
            <w:r>
              <w:fldChar w:fldCharType="begin"/>
            </w:r>
            <w:r>
              <w:instrText xml:space="preserve"> HYPERLINK "https://www.eiacloud.com/hpyzs/lawsRegulations/searchDetail?id=4f0356a99cf547fb96bf1647846e5ea0&amp;modelName=%E9%A6%96%E9%A1%B5" \t "https://www.eiacloud.com/hpyzs/lawsRegulations/_blank" </w:instrText>
            </w:r>
            <w:r>
              <w:fldChar w:fldCharType="separate"/>
            </w:r>
            <w:r>
              <w:rPr>
                <w:rFonts w:hint="eastAsia"/>
              </w:rPr>
              <w:t>新疆维吾尔自治区大气污染防治条例</w:t>
            </w:r>
            <w:r>
              <w:rPr>
                <w:rFonts w:hint="eastAsia"/>
              </w:rPr>
              <w:fldChar w:fldCharType="end"/>
            </w:r>
            <w:r>
              <w:rPr>
                <w:rFonts w:hint="eastAsia"/>
              </w:rPr>
              <w:t>》</w:t>
            </w:r>
            <w:r>
              <w:t>的符合性分析</w:t>
            </w:r>
          </w:p>
          <w:p>
            <w:pPr>
              <w:pStyle w:val="20"/>
              <w:ind w:firstLine="480"/>
              <w:jc w:val="both"/>
            </w:pPr>
            <w:r>
              <w:t>《新疆维吾尔自治区大气污染防治条例》中与本项目有关内容进行相符性对照，本项目符合性分析见表1-</w:t>
            </w:r>
            <w:r>
              <w:rPr>
                <w:rFonts w:hint="eastAsia"/>
              </w:rPr>
              <w:t>4</w:t>
            </w:r>
            <w:r>
              <w:t>。</w:t>
            </w:r>
          </w:p>
          <w:p>
            <w:pPr>
              <w:pStyle w:val="32"/>
            </w:pPr>
            <w:r>
              <w:t>表1-</w:t>
            </w:r>
            <w:r>
              <w:rPr>
                <w:rFonts w:hint="eastAsia"/>
              </w:rPr>
              <w:t>4</w:t>
            </w:r>
            <w:r>
              <w:t xml:space="preserve"> 与新疆维吾尔自治区大气污染防治条例符合性分析</w:t>
            </w:r>
          </w:p>
          <w:tbl>
            <w:tblPr>
              <w:tblStyle w:val="25"/>
              <w:tblW w:w="4998" w:type="pct"/>
              <w:tblInd w:w="0" w:type="dxa"/>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150"/>
              <w:gridCol w:w="3070"/>
              <w:gridCol w:w="900"/>
            </w:tblGrid>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1" w:type="pct"/>
                  <w:tcBorders>
                    <w:bottom w:val="single" w:color="000000" w:sz="12" w:space="0"/>
                    <w:tl2br w:val="nil"/>
                    <w:tr2bl w:val="nil"/>
                  </w:tcBorders>
                  <w:vAlign w:val="center"/>
                </w:tcPr>
                <w:p>
                  <w:pPr>
                    <w:pStyle w:val="33"/>
                    <w:widowControl w:val="0"/>
                    <w:rPr>
                      <w:b/>
                      <w:bCs/>
                      <w:lang w:val="en-US" w:eastAsia="zh-CN"/>
                    </w:rPr>
                  </w:pPr>
                  <w:r>
                    <w:rPr>
                      <w:rFonts w:hint="eastAsia"/>
                      <w:b/>
                      <w:bCs/>
                      <w:lang w:val="en-US" w:eastAsia="zh-CN"/>
                    </w:rPr>
                    <w:t>序号</w:t>
                  </w:r>
                </w:p>
              </w:tc>
              <w:tc>
                <w:tcPr>
                  <w:tcW w:w="2016" w:type="pct"/>
                  <w:tcBorders>
                    <w:bottom w:val="single" w:color="000000" w:sz="12" w:space="0"/>
                    <w:tl2br w:val="nil"/>
                    <w:tr2bl w:val="nil"/>
                  </w:tcBorders>
                  <w:vAlign w:val="center"/>
                </w:tcPr>
                <w:p>
                  <w:pPr>
                    <w:pStyle w:val="33"/>
                    <w:widowControl w:val="0"/>
                    <w:rPr>
                      <w:b/>
                      <w:bCs/>
                      <w:lang w:val="en-US" w:eastAsia="zh-CN"/>
                    </w:rPr>
                  </w:pPr>
                  <w:r>
                    <w:rPr>
                      <w:rFonts w:hint="eastAsia"/>
                      <w:b/>
                      <w:bCs/>
                      <w:lang w:val="en-US" w:eastAsia="zh-CN"/>
                    </w:rPr>
                    <w:t>文件要求</w:t>
                  </w:r>
                </w:p>
              </w:tc>
              <w:tc>
                <w:tcPr>
                  <w:tcW w:w="1965" w:type="pct"/>
                  <w:tcBorders>
                    <w:bottom w:val="single" w:color="000000" w:sz="12" w:space="0"/>
                    <w:tl2br w:val="nil"/>
                    <w:tr2bl w:val="nil"/>
                  </w:tcBorders>
                  <w:vAlign w:val="center"/>
                </w:tcPr>
                <w:p>
                  <w:pPr>
                    <w:pStyle w:val="33"/>
                    <w:widowControl w:val="0"/>
                    <w:rPr>
                      <w:b/>
                      <w:bCs/>
                      <w:lang w:val="en-US" w:eastAsia="zh-CN"/>
                    </w:rPr>
                  </w:pPr>
                  <w:r>
                    <w:rPr>
                      <w:rFonts w:hint="eastAsia"/>
                      <w:b/>
                      <w:bCs/>
                      <w:lang w:val="en-US" w:eastAsia="zh-CN"/>
                    </w:rPr>
                    <w:t>本项目建设情况</w:t>
                  </w:r>
                </w:p>
              </w:tc>
              <w:tc>
                <w:tcPr>
                  <w:tcW w:w="576" w:type="pct"/>
                  <w:tcBorders>
                    <w:bottom w:val="single" w:color="000000" w:sz="12" w:space="0"/>
                    <w:tl2br w:val="nil"/>
                    <w:tr2bl w:val="nil"/>
                  </w:tcBorders>
                  <w:vAlign w:val="center"/>
                </w:tcPr>
                <w:p>
                  <w:pPr>
                    <w:pStyle w:val="33"/>
                    <w:widowControl w:val="0"/>
                    <w:rPr>
                      <w:b/>
                      <w:bCs/>
                      <w:lang w:val="en-US" w:eastAsia="zh-CN"/>
                    </w:rPr>
                  </w:pPr>
                  <w:r>
                    <w:rPr>
                      <w:rFonts w:hint="eastAsia"/>
                      <w:b/>
                      <w:bCs/>
                      <w:lang w:val="en-US" w:eastAsia="zh-CN"/>
                    </w:rPr>
                    <w:t>符合性</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000000" w:sz="12" w:space="0"/>
                    <w:tl2br w:val="nil"/>
                    <w:tr2bl w:val="nil"/>
                  </w:tcBorders>
                  <w:vAlign w:val="center"/>
                </w:tcPr>
                <w:p>
                  <w:pPr>
                    <w:pStyle w:val="33"/>
                    <w:widowControl w:val="0"/>
                    <w:rPr>
                      <w:lang w:val="en-US" w:eastAsia="zh-CN"/>
                    </w:rPr>
                  </w:pPr>
                  <w:r>
                    <w:rPr>
                      <w:rFonts w:hint="eastAsia"/>
                      <w:lang w:val="en-US" w:eastAsia="zh-CN"/>
                    </w:rPr>
                    <w:t>1</w:t>
                  </w:r>
                </w:p>
              </w:tc>
              <w:tc>
                <w:tcPr>
                  <w:tcW w:w="2016" w:type="pct"/>
                  <w:tcBorders>
                    <w:top w:val="single" w:color="000000" w:sz="12" w:space="0"/>
                    <w:tl2br w:val="nil"/>
                    <w:tr2bl w:val="nil"/>
                  </w:tcBorders>
                  <w:vAlign w:val="center"/>
                </w:tcPr>
                <w:p>
                  <w:pPr>
                    <w:pStyle w:val="33"/>
                    <w:widowControl w:val="0"/>
                    <w:jc w:val="both"/>
                    <w:rPr>
                      <w:lang w:val="en-US" w:eastAsia="zh-CN"/>
                    </w:rPr>
                  </w:pPr>
                  <w:r>
                    <w:t>禁止在自治区行政区域内引进能（水）耗不符合相关国家标准中准入值要求且污染物排放和环境风险防控不符合国家（地方）标准及有关产业准入条件的高污染（排放）、高能（水）耗、高环境风险的工业项目</w:t>
                  </w:r>
                </w:p>
              </w:tc>
              <w:tc>
                <w:tcPr>
                  <w:tcW w:w="1965" w:type="pct"/>
                  <w:tcBorders>
                    <w:top w:val="single" w:color="000000" w:sz="12" w:space="0"/>
                    <w:tl2br w:val="nil"/>
                    <w:tr2bl w:val="nil"/>
                  </w:tcBorders>
                  <w:vAlign w:val="center"/>
                </w:tcPr>
                <w:p>
                  <w:pPr>
                    <w:pStyle w:val="33"/>
                    <w:widowControl w:val="0"/>
                    <w:jc w:val="both"/>
                    <w:rPr>
                      <w:lang w:val="en-US" w:eastAsia="zh-CN"/>
                    </w:rPr>
                  </w:pPr>
                  <w:r>
                    <w:t>项目用电由园区电网供应，</w:t>
                  </w:r>
                  <w:r>
                    <w:rPr>
                      <w:rFonts w:hint="eastAsia"/>
                      <w:lang w:val="en-US" w:eastAsia="zh-CN"/>
                    </w:rPr>
                    <w:t>生产用水循环使用；主要污染物为粉尘经布袋除尘器+15m排气筒、非甲烷总烃经UV光氧活性炭吸附+15m排气筒，厂区定期洒水降尘、道路硬化等，污染物排放量较小，不属于高污染、高耗能、高合金风险项目</w:t>
                  </w:r>
                </w:p>
              </w:tc>
              <w:tc>
                <w:tcPr>
                  <w:tcW w:w="576" w:type="pct"/>
                  <w:tcBorders>
                    <w:top w:val="single" w:color="000000" w:sz="12" w:space="0"/>
                    <w:tl2br w:val="nil"/>
                    <w:tr2bl w:val="nil"/>
                  </w:tcBorders>
                  <w:vAlign w:val="center"/>
                </w:tcPr>
                <w:p>
                  <w:pPr>
                    <w:pStyle w:val="33"/>
                    <w:widowControl w:val="0"/>
                    <w:rPr>
                      <w:lang w:val="en-US" w:eastAsia="zh-CN"/>
                    </w:rPr>
                  </w:pPr>
                  <w:r>
                    <w:rPr>
                      <w:rFonts w:hint="eastAsia"/>
                      <w:lang w:val="en-US" w:eastAsia="zh-CN"/>
                    </w:rPr>
                    <w:t>符合</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1" w:type="pct"/>
                  <w:tcBorders>
                    <w:tl2br w:val="nil"/>
                    <w:tr2bl w:val="nil"/>
                  </w:tcBorders>
                  <w:vAlign w:val="center"/>
                </w:tcPr>
                <w:p>
                  <w:pPr>
                    <w:pStyle w:val="33"/>
                    <w:widowControl w:val="0"/>
                    <w:rPr>
                      <w:lang w:val="en-US" w:eastAsia="zh-CN"/>
                    </w:rPr>
                  </w:pPr>
                  <w:r>
                    <w:rPr>
                      <w:rFonts w:hint="eastAsia"/>
                      <w:lang w:val="en-US" w:eastAsia="zh-CN"/>
                    </w:rPr>
                    <w:t>2</w:t>
                  </w:r>
                </w:p>
              </w:tc>
              <w:tc>
                <w:tcPr>
                  <w:tcW w:w="2016" w:type="pct"/>
                  <w:tcBorders>
                    <w:tl2br w:val="nil"/>
                    <w:tr2bl w:val="nil"/>
                  </w:tcBorders>
                  <w:vAlign w:val="center"/>
                </w:tcPr>
                <w:p>
                  <w:pPr>
                    <w:pStyle w:val="33"/>
                    <w:widowControl w:val="0"/>
                    <w:jc w:val="both"/>
                    <w:rPr>
                      <w:lang w:val="en-US" w:eastAsia="zh-CN"/>
                    </w:rPr>
                  </w:pPr>
                  <w:r>
                    <w:t>禁止新建、改建、扩建列入淘汰类目录的高污染工业项目。禁止使用列入淘汰类目录的工艺、设备、产品</w:t>
                  </w:r>
                </w:p>
              </w:tc>
              <w:tc>
                <w:tcPr>
                  <w:tcW w:w="1965" w:type="pct"/>
                  <w:tcBorders>
                    <w:tl2br w:val="nil"/>
                    <w:tr2bl w:val="nil"/>
                  </w:tcBorders>
                  <w:vAlign w:val="center"/>
                </w:tcPr>
                <w:p>
                  <w:pPr>
                    <w:pStyle w:val="33"/>
                    <w:widowControl w:val="0"/>
                    <w:jc w:val="both"/>
                    <w:rPr>
                      <w:lang w:val="en-US" w:eastAsia="zh-CN"/>
                    </w:rPr>
                  </w:pPr>
                  <w:r>
                    <w:t>本项目</w:t>
                  </w:r>
                  <w:r>
                    <w:rPr>
                      <w:lang w:val="en-US" w:eastAsia="zh-CN"/>
                    </w:rPr>
                    <w:t>生产工艺、设备、产品不属于鼓励类，也不属于限制类和淘汰类，为允许类产业</w:t>
                  </w:r>
                </w:p>
              </w:tc>
              <w:tc>
                <w:tcPr>
                  <w:tcW w:w="576" w:type="pct"/>
                  <w:tcBorders>
                    <w:tl2br w:val="nil"/>
                    <w:tr2bl w:val="nil"/>
                  </w:tcBorders>
                  <w:vAlign w:val="center"/>
                </w:tcPr>
                <w:p>
                  <w:pPr>
                    <w:pStyle w:val="33"/>
                    <w:widowControl w:val="0"/>
                    <w:rPr>
                      <w:lang w:val="en-US" w:eastAsia="zh-CN"/>
                    </w:rPr>
                  </w:pPr>
                  <w:r>
                    <w:rPr>
                      <w:rFonts w:hint="eastAsia"/>
                      <w:lang w:val="en-US" w:eastAsia="zh-CN"/>
                    </w:rPr>
                    <w:t>符合</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1" w:type="pct"/>
                  <w:tcBorders>
                    <w:tl2br w:val="nil"/>
                    <w:tr2bl w:val="nil"/>
                  </w:tcBorders>
                  <w:vAlign w:val="center"/>
                </w:tcPr>
                <w:p>
                  <w:pPr>
                    <w:pStyle w:val="33"/>
                    <w:widowControl w:val="0"/>
                    <w:rPr>
                      <w:lang w:val="en-US" w:eastAsia="zh-CN"/>
                    </w:rPr>
                  </w:pPr>
                  <w:r>
                    <w:rPr>
                      <w:rFonts w:hint="eastAsia"/>
                      <w:lang w:val="en-US" w:eastAsia="zh-CN"/>
                    </w:rPr>
                    <w:t>3</w:t>
                  </w:r>
                </w:p>
              </w:tc>
              <w:tc>
                <w:tcPr>
                  <w:tcW w:w="2016" w:type="pct"/>
                  <w:tcBorders>
                    <w:tl2br w:val="nil"/>
                    <w:tr2bl w:val="nil"/>
                  </w:tcBorders>
                  <w:vAlign w:val="center"/>
                </w:tcPr>
                <w:p>
                  <w:pPr>
                    <w:pStyle w:val="33"/>
                    <w:widowControl w:val="0"/>
                    <w:jc w:val="both"/>
                    <w:rPr>
                      <w:lang w:val="en-US" w:eastAsia="zh-CN"/>
                    </w:rPr>
                  </w:pPr>
                  <w:r>
                    <w:t>县级以上人民政府应当鼓励产业集聚发展，按照主体功能区划合理规划工业园区的布局，引导工业企业入驻工业园区</w:t>
                  </w:r>
                </w:p>
              </w:tc>
              <w:tc>
                <w:tcPr>
                  <w:tcW w:w="1965" w:type="pct"/>
                  <w:tcBorders>
                    <w:tl2br w:val="nil"/>
                    <w:tr2bl w:val="nil"/>
                  </w:tcBorders>
                  <w:vAlign w:val="center"/>
                </w:tcPr>
                <w:p>
                  <w:pPr>
                    <w:pStyle w:val="33"/>
                    <w:widowControl w:val="0"/>
                    <w:jc w:val="both"/>
                    <w:rPr>
                      <w:lang w:val="en-US" w:eastAsia="zh-CN"/>
                    </w:rPr>
                  </w:pPr>
                  <w:r>
                    <w:t>项目</w:t>
                  </w:r>
                  <w:r>
                    <w:rPr>
                      <w:lang w:val="en-US" w:eastAsia="zh-CN"/>
                    </w:rPr>
                    <w:t>位于昌吉高新技术产业开发区</w:t>
                  </w:r>
                  <w:r>
                    <w:rPr>
                      <w:rFonts w:hint="eastAsia"/>
                      <w:lang w:val="en-US" w:eastAsia="zh-CN"/>
                    </w:rPr>
                    <w:t>新材料产业园</w:t>
                  </w:r>
                  <w:r>
                    <w:t>，符合园区产业布局，用地类型属于</w:t>
                  </w:r>
                  <w:r>
                    <w:rPr>
                      <w:rFonts w:hint="eastAsia"/>
                      <w:lang w:val="en-US" w:eastAsia="zh-CN"/>
                    </w:rPr>
                    <w:t>三</w:t>
                  </w:r>
                  <w:r>
                    <w:t>类工业用地范围</w:t>
                  </w:r>
                </w:p>
              </w:tc>
              <w:tc>
                <w:tcPr>
                  <w:tcW w:w="576" w:type="pct"/>
                  <w:tcBorders>
                    <w:tl2br w:val="nil"/>
                    <w:tr2bl w:val="nil"/>
                  </w:tcBorders>
                  <w:vAlign w:val="center"/>
                </w:tcPr>
                <w:p>
                  <w:pPr>
                    <w:pStyle w:val="33"/>
                    <w:widowControl w:val="0"/>
                    <w:rPr>
                      <w:lang w:val="en-US" w:eastAsia="zh-CN"/>
                    </w:rPr>
                  </w:pPr>
                  <w:r>
                    <w:rPr>
                      <w:rFonts w:hint="eastAsia"/>
                      <w:lang w:val="en-US" w:eastAsia="zh-CN"/>
                    </w:rPr>
                    <w:t>符合</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1" w:type="pct"/>
                  <w:tcBorders>
                    <w:tl2br w:val="nil"/>
                    <w:tr2bl w:val="nil"/>
                  </w:tcBorders>
                  <w:vAlign w:val="center"/>
                </w:tcPr>
                <w:p>
                  <w:pPr>
                    <w:pStyle w:val="33"/>
                    <w:widowControl w:val="0"/>
                    <w:rPr>
                      <w:lang w:val="en-US" w:eastAsia="zh-CN"/>
                    </w:rPr>
                  </w:pPr>
                  <w:r>
                    <w:rPr>
                      <w:rFonts w:hint="eastAsia"/>
                      <w:lang w:val="en-US" w:eastAsia="zh-CN"/>
                    </w:rPr>
                    <w:t>4</w:t>
                  </w:r>
                </w:p>
              </w:tc>
              <w:tc>
                <w:tcPr>
                  <w:tcW w:w="2016" w:type="pct"/>
                  <w:tcBorders>
                    <w:tl2br w:val="nil"/>
                    <w:tr2bl w:val="nil"/>
                  </w:tcBorders>
                  <w:vAlign w:val="center"/>
                </w:tcPr>
                <w:p>
                  <w:pPr>
                    <w:pStyle w:val="33"/>
                    <w:widowControl w:val="0"/>
                    <w:jc w:val="both"/>
                    <w:rPr>
                      <w:lang w:val="en-US" w:eastAsia="zh-CN"/>
                    </w:rPr>
                  </w:pPr>
                  <w:r>
                    <w:rPr>
                      <w:lang w:val="en-US" w:eastAsia="zh-CN"/>
                    </w:rPr>
                    <w:t>贮存易产生扬尘的煤炭、煤矸石、煤渣、煤灰、水泥、石灰、石膏、砂土等物料的堆场应当密闭</w:t>
                  </w:r>
                  <w:r>
                    <w:rPr>
                      <w:rFonts w:hint="eastAsia"/>
                      <w:lang w:val="en-US" w:eastAsia="zh-CN"/>
                    </w:rPr>
                    <w:t>；</w:t>
                  </w:r>
                  <w:r>
                    <w:rPr>
                      <w:lang w:val="en-US" w:eastAsia="zh-CN"/>
                    </w:rPr>
                    <w:t>不能密闭的，贮存单位或者个人应当采取下列防尘措施</w:t>
                  </w:r>
                </w:p>
              </w:tc>
              <w:tc>
                <w:tcPr>
                  <w:tcW w:w="1965" w:type="pct"/>
                  <w:tcBorders>
                    <w:tl2br w:val="nil"/>
                    <w:tr2bl w:val="nil"/>
                  </w:tcBorders>
                  <w:vAlign w:val="center"/>
                </w:tcPr>
                <w:p>
                  <w:pPr>
                    <w:pStyle w:val="33"/>
                    <w:widowControl w:val="0"/>
                    <w:jc w:val="both"/>
                    <w:rPr>
                      <w:lang w:val="en-US" w:eastAsia="zh-CN"/>
                    </w:rPr>
                  </w:pPr>
                  <w:r>
                    <w:rPr>
                      <w:rFonts w:hint="eastAsia"/>
                      <w:lang w:eastAsia="zh-CN"/>
                    </w:rPr>
                    <w:t>厂区内洒水抑尘；严格限制车辆行驶速度；场内运输道路设置水泥硬化；</w:t>
                  </w:r>
                  <w:r>
                    <w:rPr>
                      <w:rFonts w:hint="eastAsia"/>
                      <w:lang w:val="en-US" w:eastAsia="zh-CN"/>
                    </w:rPr>
                    <w:t>原料储存于密闭厂房内</w:t>
                  </w:r>
                  <w:r>
                    <w:rPr>
                      <w:rFonts w:hint="eastAsia"/>
                      <w:lang w:eastAsia="zh-CN"/>
                    </w:rPr>
                    <w:t>；</w:t>
                  </w:r>
                  <w:r>
                    <w:rPr>
                      <w:rFonts w:hint="eastAsia"/>
                      <w:lang w:val="en-US" w:eastAsia="zh-CN"/>
                    </w:rPr>
                    <w:t>粉尘经布袋除尘器+15m排气筒</w:t>
                  </w:r>
                  <w:r>
                    <w:rPr>
                      <w:rFonts w:hint="eastAsia"/>
                      <w:lang w:eastAsia="zh-CN"/>
                    </w:rPr>
                    <w:t>；</w:t>
                  </w:r>
                </w:p>
              </w:tc>
              <w:tc>
                <w:tcPr>
                  <w:tcW w:w="576" w:type="pct"/>
                  <w:tcBorders>
                    <w:tl2br w:val="nil"/>
                    <w:tr2bl w:val="nil"/>
                  </w:tcBorders>
                  <w:vAlign w:val="center"/>
                </w:tcPr>
                <w:p>
                  <w:pPr>
                    <w:pStyle w:val="33"/>
                    <w:widowControl w:val="0"/>
                    <w:rPr>
                      <w:lang w:val="en-US" w:eastAsia="zh-CN"/>
                    </w:rPr>
                  </w:pPr>
                  <w:r>
                    <w:rPr>
                      <w:rFonts w:hint="eastAsia"/>
                      <w:lang w:val="en-US" w:eastAsia="zh-CN"/>
                    </w:rPr>
                    <w:t>符合</w:t>
                  </w:r>
                </w:p>
              </w:tc>
            </w:tr>
          </w:tbl>
          <w:p>
            <w:pPr>
              <w:pStyle w:val="5"/>
              <w:numPr>
                <w:ilvl w:val="0"/>
                <w:numId w:val="4"/>
              </w:numPr>
              <w:jc w:val="both"/>
              <w:outlineLvl w:val="1"/>
            </w:pPr>
            <w:r>
              <w:rPr>
                <w:rFonts w:hint="eastAsia"/>
              </w:rPr>
              <w:t>与《自治区打赢蓝天保卫战三年行动计划（2018-2020年）》相符性分析</w:t>
            </w:r>
          </w:p>
          <w:p>
            <w:pPr>
              <w:pStyle w:val="20"/>
              <w:ind w:firstLine="480"/>
              <w:jc w:val="both"/>
              <w:rPr>
                <w:b/>
                <w:sz w:val="28"/>
              </w:rPr>
            </w:pPr>
            <w:r>
              <w:rPr>
                <w:rFonts w:hint="eastAsia"/>
              </w:rPr>
              <w:t>《自治区打赢蓝天保卫战三年行动计划（2018-2020年）》要求推进重点行业污染治理升级改造。“乌-昌-石”区域二氧化硫、氮氧化物、颗粒物、挥发性有机物全面执行大气污染物特别排放标准限值。本项目为水泥制品及类似制品制造项目，项目产生的粉尘，经布袋除尘器+15m高排气筒处理后排放，切割及投料工序产生的有机废气，采用集气罩收集经UV光氧催化、活性炭吸附+15m高排气筒处理后排放，粉尘排放满足《水泥工业大气污染物排放标准》（GB4915－2013）中表</w:t>
            </w:r>
            <w:r>
              <w:t>2</w:t>
            </w:r>
            <w:r>
              <w:rPr>
                <w:rFonts w:hint="eastAsia"/>
              </w:rPr>
              <w:t>、3中特别排放限值；有机废气VOCs（非甲烷总烃）和切割粉尘执行《大气污染物综合排放标准》（GB16297-1996）表2中非甲烷总烃和颗粒物最高允许排放浓度及《挥发性有机物无组织排放控制标准》（GB37822-2019）附录A中表A.1的厂区内VOCs无组织特别排放限值，符合该要求。</w:t>
            </w:r>
          </w:p>
          <w:p>
            <w:pPr>
              <w:pStyle w:val="5"/>
              <w:numPr>
                <w:ilvl w:val="0"/>
                <w:numId w:val="4"/>
              </w:numPr>
              <w:jc w:val="both"/>
              <w:outlineLvl w:val="1"/>
            </w:pPr>
            <w:r>
              <w:rPr>
                <w:rFonts w:hint="eastAsia"/>
              </w:rPr>
              <w:t>与《关于加强乌鲁木齐、昌吉、石河子、五家渠区域环境同防同治的意见》（新政发[2016]140号）相符性分析</w:t>
            </w:r>
          </w:p>
          <w:p>
            <w:pPr>
              <w:pStyle w:val="20"/>
              <w:ind w:firstLine="480"/>
              <w:jc w:val="both"/>
              <w:rPr>
                <w:rFonts w:hint="eastAsia"/>
              </w:rPr>
            </w:pPr>
            <w:r>
              <w:rPr>
                <w:rFonts w:hint="eastAsia"/>
              </w:rPr>
              <w:t>根据《关于加强乌鲁木齐、昌吉、石河子、五家渠区域环境同防同治的意见》中相关内容，重点区域不再布局建设煤化工、电解铝、燃煤存发电机组、金属硅、碳化硅、聚氯乙烯（电石法）、焦炭（含半焦）等行业的新增产能项目。本项目不属于上述行业。本项目符合《关于加强乌鲁木齐、昌吉、石河子、五家渠区域环境同防同治的意见》中的相关要求。</w:t>
            </w:r>
          </w:p>
          <w:p>
            <w:pPr>
              <w:pStyle w:val="20"/>
              <w:ind w:firstLine="480"/>
              <w:jc w:val="both"/>
              <w:rPr>
                <w:rFonts w:hint="eastAsia"/>
              </w:rPr>
            </w:pPr>
          </w:p>
          <w:p>
            <w:pPr>
              <w:pStyle w:val="20"/>
              <w:ind w:firstLine="480"/>
              <w:jc w:val="both"/>
              <w:rPr>
                <w:rFonts w:hint="eastAsia"/>
              </w:rPr>
            </w:pPr>
          </w:p>
          <w:p>
            <w:pPr>
              <w:pStyle w:val="20"/>
              <w:ind w:firstLine="480"/>
              <w:jc w:val="both"/>
              <w:rPr>
                <w:rFonts w:hint="eastAsia"/>
              </w:rPr>
            </w:pPr>
          </w:p>
          <w:p>
            <w:pPr>
              <w:pStyle w:val="5"/>
              <w:numPr>
                <w:ilvl w:val="0"/>
                <w:numId w:val="4"/>
              </w:numPr>
              <w:jc w:val="both"/>
              <w:outlineLvl w:val="1"/>
            </w:pPr>
            <w:r>
              <w:rPr>
                <w:rFonts w:hint="eastAsia"/>
              </w:rPr>
              <w:t>与《关于印发新疆维吾尔自治区“十三五”挥发性有机物污染防治实施方案的通知》（新环发[2018]74号）的符合性分析</w:t>
            </w:r>
          </w:p>
          <w:p>
            <w:pPr>
              <w:pStyle w:val="32"/>
            </w:pPr>
            <w:r>
              <w:rPr>
                <w:rFonts w:hint="eastAsia"/>
              </w:rPr>
              <w:t>表1-5    本项目与《关于印发新疆维吾尔自治区“十三五”挥发性有机物污染防治实施方案的通知》的符合性分析</w:t>
            </w:r>
          </w:p>
          <w:tbl>
            <w:tblPr>
              <w:tblStyle w:val="24"/>
              <w:tblpPr w:leftFromText="180" w:rightFromText="180" w:vertAnchor="text" w:horzAnchor="margin" w:tblpYSpec="bottom"/>
              <w:tblOverlap w:val="never"/>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035"/>
              <w:gridCol w:w="2382"/>
              <w:gridCol w:w="6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1" w:type="pct"/>
                  <w:tcBorders>
                    <w:bottom w:val="single" w:color="000000" w:sz="12" w:space="0"/>
                    <w:tl2br w:val="nil"/>
                    <w:tr2bl w:val="nil"/>
                  </w:tcBorders>
                  <w:vAlign w:val="center"/>
                </w:tcPr>
                <w:p>
                  <w:pPr>
                    <w:pStyle w:val="33"/>
                    <w:rPr>
                      <w:b/>
                      <w:bCs/>
                    </w:rPr>
                  </w:pPr>
                  <w:r>
                    <w:rPr>
                      <w:rFonts w:hint="eastAsia"/>
                      <w:b/>
                      <w:bCs/>
                    </w:rPr>
                    <w:t>项目</w:t>
                  </w:r>
                </w:p>
              </w:tc>
              <w:tc>
                <w:tcPr>
                  <w:tcW w:w="2604" w:type="pct"/>
                  <w:tcBorders>
                    <w:bottom w:val="single" w:color="000000" w:sz="12" w:space="0"/>
                    <w:tl2br w:val="nil"/>
                    <w:tr2bl w:val="nil"/>
                  </w:tcBorders>
                  <w:vAlign w:val="center"/>
                </w:tcPr>
                <w:p>
                  <w:pPr>
                    <w:pStyle w:val="33"/>
                    <w:rPr>
                      <w:b/>
                      <w:bCs/>
                    </w:rPr>
                  </w:pPr>
                  <w:r>
                    <w:rPr>
                      <w:rFonts w:hint="eastAsia"/>
                      <w:b/>
                      <w:bCs/>
                    </w:rPr>
                    <w:t>《关于印发新疆维吾尔自治区“十三五”挥发性有机物污染防治实施方案的通知》（新环发[2018]74号）中的要求</w:t>
                  </w:r>
                </w:p>
              </w:tc>
              <w:tc>
                <w:tcPr>
                  <w:tcW w:w="1546" w:type="pct"/>
                  <w:tcBorders>
                    <w:bottom w:val="single" w:color="000000" w:sz="12" w:space="0"/>
                    <w:tl2br w:val="nil"/>
                    <w:tr2bl w:val="nil"/>
                  </w:tcBorders>
                  <w:vAlign w:val="center"/>
                </w:tcPr>
                <w:p>
                  <w:pPr>
                    <w:pStyle w:val="33"/>
                    <w:rPr>
                      <w:b/>
                      <w:bCs/>
                    </w:rPr>
                  </w:pPr>
                  <w:r>
                    <w:rPr>
                      <w:rFonts w:hint="eastAsia"/>
                      <w:b/>
                      <w:bCs/>
                    </w:rPr>
                    <w:t>本项目情况</w:t>
                  </w:r>
                </w:p>
              </w:tc>
              <w:tc>
                <w:tcPr>
                  <w:tcW w:w="437" w:type="pct"/>
                  <w:tcBorders>
                    <w:bottom w:val="single" w:color="000000" w:sz="12" w:space="0"/>
                    <w:tl2br w:val="nil"/>
                    <w:tr2bl w:val="nil"/>
                  </w:tcBorders>
                  <w:vAlign w:val="center"/>
                </w:tcPr>
                <w:p>
                  <w:pPr>
                    <w:pStyle w:val="33"/>
                    <w:rPr>
                      <w:b/>
                      <w:bCs/>
                    </w:rPr>
                  </w:pPr>
                  <w:r>
                    <w:rPr>
                      <w:rFonts w:hint="eastAsia"/>
                      <w:b/>
                      <w:bCs/>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tcBorders>
                    <w:top w:val="single" w:color="000000" w:sz="12" w:space="0"/>
                    <w:tl2br w:val="nil"/>
                    <w:tr2bl w:val="nil"/>
                  </w:tcBorders>
                  <w:vAlign w:val="center"/>
                </w:tcPr>
                <w:p>
                  <w:pPr>
                    <w:pStyle w:val="33"/>
                  </w:pPr>
                  <w:r>
                    <w:rPr>
                      <w:rFonts w:hint="eastAsia"/>
                    </w:rPr>
                    <w:t>治理重点</w:t>
                  </w:r>
                </w:p>
              </w:tc>
              <w:tc>
                <w:tcPr>
                  <w:tcW w:w="2604" w:type="pct"/>
                  <w:tcBorders>
                    <w:top w:val="single" w:color="000000" w:sz="12" w:space="0"/>
                    <w:tl2br w:val="nil"/>
                    <w:tr2bl w:val="nil"/>
                  </w:tcBorders>
                  <w:vAlign w:val="center"/>
                </w:tcPr>
                <w:p>
                  <w:pPr>
                    <w:pStyle w:val="33"/>
                    <w:jc w:val="left"/>
                  </w:pPr>
                  <w:r>
                    <w:rPr>
                      <w:rFonts w:hint="eastAsia"/>
                    </w:rPr>
                    <w:t>（一）重点地区。“乌—昌—石”“奎—独—乌”区域，O</w:t>
                  </w:r>
                  <w:r>
                    <w:rPr>
                      <w:rFonts w:hint="eastAsia"/>
                      <w:vertAlign w:val="subscript"/>
                    </w:rPr>
                    <w:t>3</w:t>
                  </w:r>
                  <w:r>
                    <w:rPr>
                      <w:rFonts w:hint="eastAsia"/>
                    </w:rPr>
                    <w:t>浓度超标地区。</w:t>
                  </w:r>
                </w:p>
                <w:p>
                  <w:pPr>
                    <w:pStyle w:val="33"/>
                    <w:jc w:val="left"/>
                  </w:pPr>
                  <w:r>
                    <w:rPr>
                      <w:rFonts w:hint="eastAsia"/>
                    </w:rPr>
                    <w:t>（二）重点行业。重点推进石化、化工、包装印刷、工业涂装等重点行业以及机动车、油品储运销等交通源VOCs污染防治。</w:t>
                  </w:r>
                </w:p>
              </w:tc>
              <w:tc>
                <w:tcPr>
                  <w:tcW w:w="1546" w:type="pct"/>
                  <w:tcBorders>
                    <w:top w:val="single" w:color="000000" w:sz="12" w:space="0"/>
                    <w:tl2br w:val="nil"/>
                    <w:tr2bl w:val="nil"/>
                  </w:tcBorders>
                  <w:vAlign w:val="center"/>
                </w:tcPr>
                <w:p>
                  <w:pPr>
                    <w:pStyle w:val="33"/>
                    <w:jc w:val="left"/>
                  </w:pPr>
                  <w:r>
                    <w:rPr>
                      <w:rFonts w:hint="eastAsia"/>
                    </w:rPr>
                    <w:t>本项目位于昌吉高新技术产业开发区，项目在采取污染防治措施后，有组织及无组织排放均能达标排放，对项目区域环境影响较小。</w:t>
                  </w:r>
                </w:p>
              </w:tc>
              <w:tc>
                <w:tcPr>
                  <w:tcW w:w="437" w:type="pct"/>
                  <w:tcBorders>
                    <w:top w:val="single" w:color="000000" w:sz="12" w:space="0"/>
                    <w:tl2br w:val="nil"/>
                    <w:tr2bl w:val="nil"/>
                  </w:tcBorders>
                  <w:vAlign w:val="center"/>
                </w:tcPr>
                <w:p>
                  <w:pPr>
                    <w:pStyle w:val="33"/>
                  </w:pPr>
                  <w:r>
                    <w:rPr>
                      <w:rFonts w:hint="eastAsi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vMerge w:val="restart"/>
                  <w:tcBorders>
                    <w:tl2br w:val="nil"/>
                    <w:tr2bl w:val="nil"/>
                  </w:tcBorders>
                  <w:vAlign w:val="center"/>
                </w:tcPr>
                <w:p>
                  <w:pPr>
                    <w:pStyle w:val="33"/>
                  </w:pPr>
                  <w:r>
                    <w:rPr>
                      <w:rFonts w:hint="eastAsia"/>
                    </w:rPr>
                    <w:t>主要任务</w:t>
                  </w:r>
                </w:p>
              </w:tc>
              <w:tc>
                <w:tcPr>
                  <w:tcW w:w="2604" w:type="pct"/>
                  <w:tcBorders>
                    <w:tl2br w:val="nil"/>
                    <w:tr2bl w:val="nil"/>
                  </w:tcBorders>
                  <w:vAlign w:val="center"/>
                </w:tcPr>
                <w:p>
                  <w:pPr>
                    <w:pStyle w:val="33"/>
                    <w:jc w:val="left"/>
                  </w:pPr>
                  <w:r>
                    <w:rPr>
                      <w:rFonts w:hint="eastAsia"/>
                    </w:rPr>
                    <w:t>（一）加大产业结构调整力度</w:t>
                  </w:r>
                </w:p>
                <w:p>
                  <w:pPr>
                    <w:pStyle w:val="33"/>
                    <w:jc w:val="left"/>
                  </w:pPr>
                  <w:r>
                    <w:rPr>
                      <w:rFonts w:hint="eastAsia"/>
                    </w:rPr>
                    <w:t>1、加快推进“散乱污”企业综合整治。结合第二次全国污染源普查，继续推进“散乱污”企业排查、整治工作，建立涉VOCs排放的企业管理台账，实施分类处置。</w:t>
                  </w:r>
                </w:p>
                <w:p>
                  <w:pPr>
                    <w:pStyle w:val="33"/>
                    <w:jc w:val="left"/>
                  </w:pPr>
                  <w:r>
                    <w:rPr>
                      <w:rFonts w:hint="eastAsia"/>
                    </w:rPr>
                    <w:t>2、严格建设项目环境准入。提高VOCs排放重点行业环保准入门槛，严格控制新增污染物排放量。“乌—昌—石”“奎—独—乌”区域及O</w:t>
                  </w:r>
                  <w:r>
                    <w:rPr>
                      <w:rFonts w:hint="eastAsia"/>
                      <w:vertAlign w:val="subscript"/>
                    </w:rPr>
                    <w:t>3</w:t>
                  </w:r>
                  <w:r>
                    <w:rPr>
                      <w:rFonts w:hint="eastAsia"/>
                    </w:rPr>
                    <w:t>浓度超标地区严格限制石化、化工等高VOCs排放建设项目。新建涉VOCs排放的工业企业要入园区。未纳入《石化产业规划布局方案》的新建炼化项目一律不得建设。严格涉VOCs建设项目环境影响评价，实行区域内VOCs排放等量或倍量削减替代，并将替代方案落实到企业排污许可证中，纳入环境执法管理。新、改、扩建涉VOCs排放项目，应从源头加强控制，使用低（无）VOCs含量的原辅材料，加强废气收集，安装高效治理设施。</w:t>
                  </w:r>
                </w:p>
              </w:tc>
              <w:tc>
                <w:tcPr>
                  <w:tcW w:w="1546" w:type="pct"/>
                  <w:tcBorders>
                    <w:tl2br w:val="nil"/>
                    <w:tr2bl w:val="nil"/>
                  </w:tcBorders>
                  <w:vAlign w:val="center"/>
                </w:tcPr>
                <w:p>
                  <w:pPr>
                    <w:pStyle w:val="33"/>
                    <w:jc w:val="left"/>
                  </w:pPr>
                  <w:r>
                    <w:rPr>
                      <w:rFonts w:hint="eastAsia"/>
                    </w:rPr>
                    <w:t>本项目位于昌吉高新技术产业开发区，符合“严格建设项目环境准入”的要求；本项目为水泥制品及类似制品制造项目，对生产过程中产生的VOCs采用UV光氧催化+活性炭吸附处理，经处理后的废气能够达标排放。</w:t>
                  </w:r>
                </w:p>
                <w:p>
                  <w:pPr>
                    <w:pStyle w:val="33"/>
                    <w:jc w:val="left"/>
                  </w:pPr>
                  <w:r>
                    <w:rPr>
                      <w:rFonts w:hint="eastAsia"/>
                    </w:rPr>
                    <w:t>本项目位于昌吉高新技术产业开发区，项目所在的昌吉高新技术产业开发区已于2015年通过规划环境影响评价（新环函[2015]306号）。</w:t>
                  </w:r>
                </w:p>
              </w:tc>
              <w:tc>
                <w:tcPr>
                  <w:tcW w:w="437" w:type="pct"/>
                  <w:tcBorders>
                    <w:tl2br w:val="nil"/>
                    <w:tr2bl w:val="nil"/>
                  </w:tcBorders>
                  <w:vAlign w:val="center"/>
                </w:tcPr>
                <w:p>
                  <w:pPr>
                    <w:pStyle w:val="33"/>
                  </w:pPr>
                  <w:r>
                    <w:rPr>
                      <w:rFonts w:hint="eastAsi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vMerge w:val="continue"/>
                  <w:tcBorders>
                    <w:tl2br w:val="nil"/>
                    <w:tr2bl w:val="nil"/>
                  </w:tcBorders>
                  <w:vAlign w:val="center"/>
                </w:tcPr>
                <w:p>
                  <w:pPr>
                    <w:pStyle w:val="33"/>
                  </w:pPr>
                </w:p>
              </w:tc>
              <w:tc>
                <w:tcPr>
                  <w:tcW w:w="2604" w:type="pct"/>
                  <w:tcBorders>
                    <w:tl2br w:val="nil"/>
                    <w:tr2bl w:val="nil"/>
                  </w:tcBorders>
                  <w:vAlign w:val="center"/>
                </w:tcPr>
                <w:p>
                  <w:pPr>
                    <w:pStyle w:val="33"/>
                    <w:jc w:val="left"/>
                  </w:pPr>
                  <w:r>
                    <w:rPr>
                      <w:rFonts w:hint="eastAsia"/>
                    </w:rPr>
                    <w:t>（二）加快实施工业源VOCs污染防治</w:t>
                  </w:r>
                </w:p>
                <w:p>
                  <w:pPr>
                    <w:pStyle w:val="33"/>
                    <w:jc w:val="left"/>
                  </w:pPr>
                  <w:r>
                    <w:rPr>
                      <w:rFonts w:hint="eastAsia"/>
                    </w:rPr>
                    <w:t>加快推进化工行业VOCs综合治理……推广使用低（无）VOCs含量、低反应活性的原辅材料和产品……参照石化行业VOCs治理任务要求，全面推进化工企业设备动静密封点、储存、装卸、废水系统、有组织工艺废气和非正常工况等源项整治……加强无组织废气排放控制，含VOCs物料的储存、输送、投料、卸料，涉及VOCs物料的生产及含VOCs产品分装等过程应密闭操作。反应尾气、蒸馏装置不凝尾气等工艺排气，工艺容器的置换气、吹扫气、抽真空排气等应进行收集治理。</w:t>
                  </w:r>
                </w:p>
              </w:tc>
              <w:tc>
                <w:tcPr>
                  <w:tcW w:w="1546" w:type="pct"/>
                  <w:tcBorders>
                    <w:tl2br w:val="nil"/>
                    <w:tr2bl w:val="nil"/>
                  </w:tcBorders>
                  <w:vAlign w:val="center"/>
                </w:tcPr>
                <w:p>
                  <w:pPr>
                    <w:pStyle w:val="33"/>
                    <w:jc w:val="left"/>
                  </w:pPr>
                  <w:r>
                    <w:rPr>
                      <w:rFonts w:hint="eastAsia"/>
                    </w:rPr>
                    <w:t>本项目原辅材料为聚苯乙烯苯板</w:t>
                  </w:r>
                  <w:r>
                    <w:rPr>
                      <w:rFonts w:hint="eastAsia"/>
                      <w:lang w:eastAsia="zh-CN"/>
                    </w:rPr>
                    <w:t>、</w:t>
                  </w:r>
                  <w:r>
                    <w:rPr>
                      <w:rFonts w:hint="eastAsia"/>
                      <w:lang w:val="en-US" w:eastAsia="zh-CN"/>
                    </w:rPr>
                    <w:t>乳液</w:t>
                  </w:r>
                  <w:r>
                    <w:rPr>
                      <w:rFonts w:hint="eastAsia"/>
                    </w:rPr>
                    <w:t>。</w:t>
                  </w:r>
                </w:p>
                <w:p>
                  <w:pPr>
                    <w:pStyle w:val="33"/>
                    <w:jc w:val="left"/>
                  </w:pPr>
                  <w:r>
                    <w:rPr>
                      <w:rFonts w:hint="eastAsia"/>
                    </w:rPr>
                    <w:t>本项目仅生产过程涉及VOCs排放，且涉及VOCs物料的生产过程处于密闭操作状态，产生的废气经集气罩收集后采用UV光氧催化+活性炭吸附处理，最后经15米排气筒达标排放。</w:t>
                  </w:r>
                </w:p>
              </w:tc>
              <w:tc>
                <w:tcPr>
                  <w:tcW w:w="437" w:type="pct"/>
                  <w:tcBorders>
                    <w:tl2br w:val="nil"/>
                    <w:tr2bl w:val="nil"/>
                  </w:tcBorders>
                  <w:vAlign w:val="center"/>
                </w:tcPr>
                <w:p>
                  <w:pPr>
                    <w:pStyle w:val="33"/>
                  </w:pPr>
                  <w:r>
                    <w:rPr>
                      <w:rFonts w:hint="eastAsi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vMerge w:val="restart"/>
                  <w:tcBorders>
                    <w:tl2br w:val="nil"/>
                    <w:tr2bl w:val="nil"/>
                  </w:tcBorders>
                  <w:vAlign w:val="center"/>
                </w:tcPr>
                <w:p>
                  <w:pPr>
                    <w:pStyle w:val="33"/>
                  </w:pPr>
                  <w:r>
                    <w:rPr>
                      <w:rFonts w:hint="eastAsia"/>
                    </w:rPr>
                    <w:t>建立健全VOCs管理</w:t>
                  </w:r>
                </w:p>
                <w:p>
                  <w:pPr>
                    <w:pStyle w:val="33"/>
                  </w:pPr>
                  <w:r>
                    <w:rPr>
                      <w:rFonts w:hint="eastAsia"/>
                    </w:rPr>
                    <w:t>体系</w:t>
                  </w:r>
                </w:p>
              </w:tc>
              <w:tc>
                <w:tcPr>
                  <w:tcW w:w="2604" w:type="pct"/>
                  <w:tcBorders>
                    <w:tl2br w:val="nil"/>
                    <w:tr2bl w:val="nil"/>
                  </w:tcBorders>
                  <w:vAlign w:val="center"/>
                </w:tcPr>
                <w:p>
                  <w:pPr>
                    <w:pStyle w:val="33"/>
                    <w:jc w:val="left"/>
                  </w:pPr>
                  <w:r>
                    <w:rPr>
                      <w:rFonts w:hint="eastAsia"/>
                    </w:rPr>
                    <w:t>1、建立健全监测监控体系。加强环境质量和污染源排放VOCs自动监测工作，强化VOCs执法能力建设，全面提升VOCs环保监管能力。O</w:t>
                  </w:r>
                  <w:r>
                    <w:rPr>
                      <w:rFonts w:hint="eastAsia"/>
                      <w:vertAlign w:val="subscript"/>
                    </w:rPr>
                    <w:t>3</w:t>
                  </w:r>
                  <w:r>
                    <w:rPr>
                      <w:rFonts w:hint="eastAsia"/>
                    </w:rPr>
                    <w:t>超标地区建设一套V</w:t>
                  </w:r>
                  <w:r>
                    <w:t>O</w:t>
                  </w:r>
                  <w:r>
                    <w:rPr>
                      <w:rFonts w:hint="eastAsia"/>
                    </w:rPr>
                    <w:t>Cs组分自动监测系统。将石化、化工、包装印刷、工业涂装等VOCs排放重点源纳入重点排污单位名录，石化、煤化工（含现代煤化工、炼焦、合成氨）主要排污口要安装VOCs污染物排放自动监测设备，并与环保部门联网，开展厂界VOCs监测；其他企业配备便携式VOCs检测仪。工业集中区应结合园区排放特征，配置VOCs连续自动采样体系或符合园区排放特征的VOCs监测监控体系。</w:t>
                  </w:r>
                </w:p>
              </w:tc>
              <w:tc>
                <w:tcPr>
                  <w:tcW w:w="1546" w:type="pct"/>
                  <w:tcBorders>
                    <w:tl2br w:val="nil"/>
                    <w:tr2bl w:val="nil"/>
                  </w:tcBorders>
                  <w:vAlign w:val="center"/>
                </w:tcPr>
                <w:p>
                  <w:pPr>
                    <w:pStyle w:val="33"/>
                    <w:jc w:val="left"/>
                    <w:rPr>
                      <w:lang w:val="en-US" w:eastAsia="zh-CN"/>
                    </w:rPr>
                  </w:pPr>
                  <w:r>
                    <w:rPr>
                      <w:rFonts w:hint="eastAsia"/>
                    </w:rPr>
                    <w:t>本项目属于水泥制品及类似制品制造，不属于重点行业</w:t>
                  </w:r>
                  <w:r>
                    <w:rPr>
                      <w:rFonts w:hint="eastAsia"/>
                      <w:lang w:eastAsia="zh-CN"/>
                    </w:rPr>
                    <w:t>，</w:t>
                  </w:r>
                  <w:r>
                    <w:rPr>
                      <w:rFonts w:hint="eastAsia"/>
                      <w:lang w:val="en-US" w:eastAsia="zh-CN"/>
                    </w:rPr>
                    <w:t>项目非甲烷总烃经UV光氧活性炭一体化净化器处理后+15m排气筒排放，满足大气污染物综合排放标准限值。</w:t>
                  </w:r>
                </w:p>
              </w:tc>
              <w:tc>
                <w:tcPr>
                  <w:tcW w:w="437" w:type="pct"/>
                  <w:tcBorders>
                    <w:tl2br w:val="nil"/>
                    <w:tr2bl w:val="nil"/>
                  </w:tcBorders>
                  <w:vAlign w:val="center"/>
                </w:tcPr>
                <w:p>
                  <w:pPr>
                    <w:pStyle w:val="33"/>
                  </w:pPr>
                  <w:r>
                    <w:rPr>
                      <w:rFonts w:hint="eastAsi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vMerge w:val="continue"/>
                  <w:tcBorders>
                    <w:tl2br w:val="nil"/>
                    <w:tr2bl w:val="nil"/>
                  </w:tcBorders>
                  <w:vAlign w:val="center"/>
                </w:tcPr>
                <w:p>
                  <w:pPr>
                    <w:pStyle w:val="33"/>
                  </w:pPr>
                </w:p>
              </w:tc>
              <w:tc>
                <w:tcPr>
                  <w:tcW w:w="2604" w:type="pct"/>
                  <w:tcBorders>
                    <w:tl2br w:val="nil"/>
                    <w:tr2bl w:val="nil"/>
                  </w:tcBorders>
                  <w:vAlign w:val="center"/>
                </w:tcPr>
                <w:p>
                  <w:pPr>
                    <w:pStyle w:val="33"/>
                    <w:jc w:val="left"/>
                  </w:pPr>
                  <w:r>
                    <w:rPr>
                      <w:rFonts w:hint="eastAsia"/>
                    </w:rPr>
                    <w:t>2、实施排污许可制度。加快石化、制药行业VOCs排污许可工作，到</w:t>
                  </w:r>
                  <w:r>
                    <w:t>2</w:t>
                  </w:r>
                  <w:r>
                    <w:rPr>
                      <w:rFonts w:hint="eastAsia"/>
                    </w:rPr>
                    <w:t>018年底前，完成排污许可证核发。到2020年底前，在包装印刷、汽车制造等VOCs排放重点行业全面推行排污许可制度。通过排污许可管理，落实企业VOCs源头削减、过程控制和末端治理措施要求，逐步规范涉VOCs工业企业自行监测、台账记录和定期报告的具体规定，推进企业持证、按证排污，严厉处罚无证和不按证排污行为。</w:t>
                  </w:r>
                </w:p>
              </w:tc>
              <w:tc>
                <w:tcPr>
                  <w:tcW w:w="1546" w:type="pct"/>
                  <w:tcBorders>
                    <w:tl2br w:val="nil"/>
                    <w:tr2bl w:val="nil"/>
                  </w:tcBorders>
                  <w:vAlign w:val="center"/>
                </w:tcPr>
                <w:p>
                  <w:pPr>
                    <w:pStyle w:val="33"/>
                    <w:jc w:val="left"/>
                  </w:pPr>
                  <w:r>
                    <w:rPr>
                      <w:rFonts w:hint="eastAsia"/>
                    </w:rPr>
                    <w:t>本项目属于水泥制品及类似制品制造，不属于重点行业</w:t>
                  </w:r>
                </w:p>
              </w:tc>
              <w:tc>
                <w:tcPr>
                  <w:tcW w:w="437" w:type="pct"/>
                  <w:tcBorders>
                    <w:tl2br w:val="nil"/>
                    <w:tr2bl w:val="nil"/>
                  </w:tcBorders>
                  <w:vAlign w:val="center"/>
                </w:tcPr>
                <w:p>
                  <w:pPr>
                    <w:pStyle w:val="33"/>
                  </w:pPr>
                  <w:r>
                    <w:rPr>
                      <w:rFonts w:hint="eastAsia"/>
                    </w:rPr>
                    <w:t>符合</w:t>
                  </w:r>
                </w:p>
              </w:tc>
            </w:tr>
          </w:tbl>
          <w:p>
            <w:pPr>
              <w:pStyle w:val="5"/>
              <w:numPr>
                <w:ilvl w:val="0"/>
                <w:numId w:val="4"/>
              </w:numPr>
              <w:jc w:val="both"/>
              <w:outlineLvl w:val="1"/>
            </w:pPr>
            <w:r>
              <w:rPr>
                <w:rFonts w:hint="eastAsia"/>
              </w:rPr>
              <w:t>与《昌吉市大气环境质量限期达标规划（</w:t>
            </w:r>
            <w:r>
              <w:t>201</w:t>
            </w:r>
            <w:r>
              <w:rPr>
                <w:rFonts w:hint="eastAsia"/>
              </w:rPr>
              <w:t>8</w:t>
            </w:r>
            <w:r>
              <w:t>-2030年</w:t>
            </w:r>
            <w:r>
              <w:rPr>
                <w:rFonts w:hint="eastAsia"/>
              </w:rPr>
              <w:t>）》符合性分析</w:t>
            </w:r>
          </w:p>
          <w:p>
            <w:pPr>
              <w:pStyle w:val="32"/>
            </w:pPr>
            <w:r>
              <w:t>表1-</w:t>
            </w:r>
            <w:r>
              <w:rPr>
                <w:rFonts w:hint="eastAsia"/>
              </w:rPr>
              <w:t>6</w:t>
            </w:r>
            <w:r>
              <w:t xml:space="preserve"> </w:t>
            </w:r>
            <w:r>
              <w:rPr>
                <w:rFonts w:hint="eastAsia"/>
              </w:rPr>
              <w:t>与昌吉市大气环境质量限期达标规划符合性分析</w:t>
            </w:r>
          </w:p>
          <w:tbl>
            <w:tblPr>
              <w:tblStyle w:val="24"/>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 w:type="dxa"/>
                <w:bottom w:w="0" w:type="dxa"/>
                <w:right w:w="10" w:type="dxa"/>
              </w:tblCellMar>
            </w:tblPr>
            <w:tblGrid>
              <w:gridCol w:w="590"/>
              <w:gridCol w:w="2281"/>
              <w:gridCol w:w="4083"/>
              <w:gridCol w:w="8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378" w:type="pct"/>
                  <w:tcBorders>
                    <w:bottom w:val="single" w:color="auto" w:sz="12" w:space="0"/>
                  </w:tcBorders>
                  <w:shd w:val="clear" w:color="auto" w:fill="FFFFFF"/>
                  <w:vAlign w:val="center"/>
                </w:tcPr>
                <w:p>
                  <w:pPr>
                    <w:pStyle w:val="33"/>
                    <w:rPr>
                      <w:b/>
                      <w:bCs/>
                    </w:rPr>
                  </w:pPr>
                  <w:r>
                    <w:rPr>
                      <w:b/>
                      <w:bCs/>
                    </w:rPr>
                    <w:t>序号</w:t>
                  </w:r>
                </w:p>
              </w:tc>
              <w:tc>
                <w:tcPr>
                  <w:tcW w:w="1460" w:type="pct"/>
                  <w:tcBorders>
                    <w:bottom w:val="single" w:color="auto" w:sz="12" w:space="0"/>
                  </w:tcBorders>
                  <w:shd w:val="clear" w:color="auto" w:fill="FFFFFF"/>
                  <w:vAlign w:val="center"/>
                </w:tcPr>
                <w:p>
                  <w:pPr>
                    <w:pStyle w:val="33"/>
                    <w:rPr>
                      <w:b/>
                      <w:bCs/>
                    </w:rPr>
                  </w:pPr>
                  <w:r>
                    <w:rPr>
                      <w:b/>
                      <w:bCs/>
                      <w:lang w:val="en-US" w:eastAsia="zh-CN"/>
                    </w:rPr>
                    <w:t>有关要求</w:t>
                  </w:r>
                </w:p>
              </w:tc>
              <w:tc>
                <w:tcPr>
                  <w:tcW w:w="2613" w:type="pct"/>
                  <w:tcBorders>
                    <w:bottom w:val="single" w:color="auto" w:sz="12" w:space="0"/>
                  </w:tcBorders>
                  <w:shd w:val="clear" w:color="auto" w:fill="FFFFFF"/>
                  <w:vAlign w:val="center"/>
                </w:tcPr>
                <w:p>
                  <w:pPr>
                    <w:pStyle w:val="33"/>
                    <w:rPr>
                      <w:b/>
                      <w:bCs/>
                    </w:rPr>
                  </w:pPr>
                  <w:r>
                    <w:rPr>
                      <w:b/>
                      <w:bCs/>
                    </w:rPr>
                    <w:t>项目情况</w:t>
                  </w:r>
                </w:p>
              </w:tc>
              <w:tc>
                <w:tcPr>
                  <w:tcW w:w="547" w:type="pct"/>
                  <w:tcBorders>
                    <w:bottom w:val="single" w:color="auto" w:sz="12" w:space="0"/>
                  </w:tcBorders>
                  <w:shd w:val="clear" w:color="auto" w:fill="FFFFFF"/>
                  <w:vAlign w:val="center"/>
                </w:tcPr>
                <w:p>
                  <w:pPr>
                    <w:pStyle w:val="33"/>
                    <w:rPr>
                      <w:b/>
                      <w:bCs/>
                    </w:rPr>
                  </w:pPr>
                  <w:r>
                    <w:rPr>
                      <w:b/>
                      <w:bCs/>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378" w:type="pct"/>
                  <w:tcBorders>
                    <w:top w:val="single" w:color="auto" w:sz="12" w:space="0"/>
                    <w:tl2br w:val="nil"/>
                    <w:tr2bl w:val="nil"/>
                  </w:tcBorders>
                  <w:shd w:val="clear" w:color="auto" w:fill="FFFFFF"/>
                  <w:vAlign w:val="center"/>
                </w:tcPr>
                <w:p>
                  <w:pPr>
                    <w:pStyle w:val="33"/>
                  </w:pPr>
                  <w:r>
                    <w:t>1</w:t>
                  </w:r>
                </w:p>
              </w:tc>
              <w:tc>
                <w:tcPr>
                  <w:tcW w:w="1460" w:type="pct"/>
                  <w:tcBorders>
                    <w:top w:val="single" w:color="auto" w:sz="12" w:space="0"/>
                    <w:tl2br w:val="nil"/>
                    <w:tr2bl w:val="nil"/>
                  </w:tcBorders>
                  <w:shd w:val="clear" w:color="auto" w:fill="FFFFFF"/>
                  <w:vAlign w:val="center"/>
                </w:tcPr>
                <w:p>
                  <w:pPr>
                    <w:pStyle w:val="33"/>
                    <w:jc w:val="both"/>
                  </w:pPr>
                  <w:r>
                    <w:rPr>
                      <w:lang w:val="en-US" w:eastAsia="zh-CN"/>
                    </w:rPr>
                    <w:t>强化生态保护红线、环境质量底线、资源利用上线和环境准入负面清单的“三线一单”硬约束。</w:t>
                  </w:r>
                </w:p>
              </w:tc>
              <w:tc>
                <w:tcPr>
                  <w:tcW w:w="2613" w:type="pct"/>
                  <w:tcBorders>
                    <w:top w:val="single" w:color="auto" w:sz="12" w:space="0"/>
                    <w:tl2br w:val="nil"/>
                    <w:tr2bl w:val="nil"/>
                  </w:tcBorders>
                  <w:shd w:val="clear" w:color="auto" w:fill="FFFFFF"/>
                  <w:vAlign w:val="center"/>
                </w:tcPr>
                <w:p>
                  <w:pPr>
                    <w:pStyle w:val="33"/>
                    <w:jc w:val="both"/>
                    <w:rPr>
                      <w:lang w:val="en-US" w:eastAsia="zh-CN"/>
                    </w:rPr>
                  </w:pPr>
                  <w:r>
                    <w:rPr>
                      <w:rFonts w:hint="eastAsia"/>
                      <w:lang w:val="en-US" w:eastAsia="zh-CN"/>
                    </w:rPr>
                    <w:t>项目选址位于</w:t>
                  </w:r>
                  <w:r>
                    <w:rPr>
                      <w:rFonts w:hint="eastAsia"/>
                    </w:rPr>
                    <w:t>昌吉高新技术产业开发区</w:t>
                  </w:r>
                  <w:r>
                    <w:rPr>
                      <w:rFonts w:hint="eastAsia"/>
                      <w:lang w:val="en-US" w:eastAsia="zh-CN"/>
                    </w:rPr>
                    <w:t>，项目资源消耗量相对区域资源总量较小，项目各污染物达标排放符合当地环境质量底线要求且本项目不在限制类和禁止类范围内</w:t>
                  </w:r>
                </w:p>
              </w:tc>
              <w:tc>
                <w:tcPr>
                  <w:tcW w:w="547" w:type="pct"/>
                  <w:tcBorders>
                    <w:top w:val="single" w:color="auto" w:sz="12" w:space="0"/>
                    <w:tl2br w:val="nil"/>
                    <w:tr2bl w:val="nil"/>
                  </w:tcBorders>
                  <w:shd w:val="clear" w:color="auto" w:fill="FFFFFF"/>
                  <w:vAlign w:val="center"/>
                </w:tcPr>
                <w:p>
                  <w:pPr>
                    <w:pStyle w:val="33"/>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378" w:type="pct"/>
                  <w:tcBorders>
                    <w:tl2br w:val="nil"/>
                    <w:tr2bl w:val="nil"/>
                  </w:tcBorders>
                  <w:shd w:val="clear" w:color="auto" w:fill="FFFFFF"/>
                  <w:vAlign w:val="center"/>
                </w:tcPr>
                <w:p>
                  <w:pPr>
                    <w:pStyle w:val="33"/>
                  </w:pPr>
                  <w:r>
                    <w:t>2</w:t>
                  </w:r>
                </w:p>
              </w:tc>
              <w:tc>
                <w:tcPr>
                  <w:tcW w:w="1460" w:type="pct"/>
                  <w:tcBorders>
                    <w:tl2br w:val="nil"/>
                    <w:tr2bl w:val="nil"/>
                  </w:tcBorders>
                  <w:shd w:val="clear" w:color="auto" w:fill="FFFFFF"/>
                  <w:vAlign w:val="center"/>
                </w:tcPr>
                <w:p>
                  <w:pPr>
                    <w:pStyle w:val="33"/>
                    <w:jc w:val="both"/>
                  </w:pPr>
                  <w:r>
                    <w:rPr>
                      <w:rFonts w:hint="eastAsia"/>
                    </w:rPr>
                    <w:t>强化建设项目“三同时”及竣工验收管理</w:t>
                  </w:r>
                </w:p>
              </w:tc>
              <w:tc>
                <w:tcPr>
                  <w:tcW w:w="2613" w:type="pct"/>
                  <w:tcBorders>
                    <w:tl2br w:val="nil"/>
                    <w:tr2bl w:val="nil"/>
                  </w:tcBorders>
                  <w:shd w:val="clear" w:color="auto" w:fill="FFFFFF"/>
                  <w:vAlign w:val="center"/>
                </w:tcPr>
                <w:p>
                  <w:pPr>
                    <w:pStyle w:val="33"/>
                    <w:jc w:val="both"/>
                    <w:rPr>
                      <w:lang w:val="en-US" w:eastAsia="zh-CN"/>
                    </w:rPr>
                  </w:pPr>
                  <w:r>
                    <w:rPr>
                      <w:lang w:val="en-US" w:eastAsia="zh-CN"/>
                    </w:rPr>
                    <w:t>项目在建设和运营期严格执行“三同时”制度及竣工验收要求，污染物在采取经济可行的污染防治措施后，均达标排放</w:t>
                  </w:r>
                </w:p>
              </w:tc>
              <w:tc>
                <w:tcPr>
                  <w:tcW w:w="547" w:type="pct"/>
                  <w:tcBorders>
                    <w:tl2br w:val="nil"/>
                    <w:tr2bl w:val="nil"/>
                  </w:tcBorders>
                  <w:shd w:val="clear" w:color="auto" w:fill="FFFFFF"/>
                  <w:vAlign w:val="center"/>
                </w:tcPr>
                <w:p>
                  <w:pPr>
                    <w:pStyle w:val="33"/>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378" w:type="pct"/>
                  <w:tcBorders>
                    <w:tl2br w:val="nil"/>
                    <w:tr2bl w:val="nil"/>
                  </w:tcBorders>
                  <w:shd w:val="clear" w:color="auto" w:fill="FFFFFF"/>
                  <w:vAlign w:val="center"/>
                </w:tcPr>
                <w:p>
                  <w:pPr>
                    <w:pStyle w:val="33"/>
                  </w:pPr>
                  <w:r>
                    <w:t>3</w:t>
                  </w:r>
                </w:p>
              </w:tc>
              <w:tc>
                <w:tcPr>
                  <w:tcW w:w="1460" w:type="pct"/>
                  <w:tcBorders>
                    <w:tl2br w:val="nil"/>
                    <w:tr2bl w:val="nil"/>
                  </w:tcBorders>
                  <w:shd w:val="clear" w:color="auto" w:fill="FFFFFF"/>
                  <w:vAlign w:val="center"/>
                </w:tcPr>
                <w:p>
                  <w:pPr>
                    <w:pStyle w:val="33"/>
                    <w:jc w:val="both"/>
                  </w:pPr>
                  <w:r>
                    <w:rPr>
                      <w:lang w:val="en-US" w:eastAsia="zh-CN"/>
                    </w:rPr>
                    <w:t>实施煤炭消费总量控制</w:t>
                  </w:r>
                </w:p>
              </w:tc>
              <w:tc>
                <w:tcPr>
                  <w:tcW w:w="2613" w:type="pct"/>
                  <w:tcBorders>
                    <w:tl2br w:val="nil"/>
                    <w:tr2bl w:val="nil"/>
                  </w:tcBorders>
                  <w:shd w:val="clear" w:color="auto" w:fill="FFFFFF"/>
                  <w:vAlign w:val="center"/>
                </w:tcPr>
                <w:p>
                  <w:pPr>
                    <w:pStyle w:val="33"/>
                    <w:jc w:val="both"/>
                    <w:rPr>
                      <w:lang w:val="en-US" w:eastAsia="zh-CN"/>
                    </w:rPr>
                  </w:pPr>
                  <w:r>
                    <w:rPr>
                      <w:rFonts w:hint="eastAsia"/>
                      <w:lang w:val="en-US" w:eastAsia="zh-CN"/>
                    </w:rPr>
                    <w:t>本项目主要用电作为生产能源</w:t>
                  </w:r>
                </w:p>
              </w:tc>
              <w:tc>
                <w:tcPr>
                  <w:tcW w:w="547" w:type="pct"/>
                  <w:tcBorders>
                    <w:tl2br w:val="nil"/>
                    <w:tr2bl w:val="nil"/>
                  </w:tcBorders>
                  <w:shd w:val="clear" w:color="auto" w:fill="FFFFFF"/>
                  <w:vAlign w:val="center"/>
                </w:tcPr>
                <w:p>
                  <w:pPr>
                    <w:pStyle w:val="33"/>
                  </w:pPr>
                  <w: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811" w:hRule="atLeast"/>
              </w:trPr>
              <w:tc>
                <w:tcPr>
                  <w:tcW w:w="378" w:type="pct"/>
                  <w:tcBorders>
                    <w:tl2br w:val="nil"/>
                    <w:tr2bl w:val="nil"/>
                  </w:tcBorders>
                  <w:shd w:val="clear" w:color="auto" w:fill="FFFFFF"/>
                  <w:vAlign w:val="center"/>
                </w:tcPr>
                <w:p>
                  <w:pPr>
                    <w:pStyle w:val="33"/>
                  </w:pPr>
                  <w:r>
                    <w:t>4</w:t>
                  </w:r>
                </w:p>
              </w:tc>
              <w:tc>
                <w:tcPr>
                  <w:tcW w:w="1460" w:type="pct"/>
                  <w:tcBorders>
                    <w:tl2br w:val="nil"/>
                    <w:tr2bl w:val="nil"/>
                  </w:tcBorders>
                  <w:shd w:val="clear" w:color="auto" w:fill="FFFFFF"/>
                  <w:vAlign w:val="center"/>
                </w:tcPr>
                <w:p>
                  <w:pPr>
                    <w:pStyle w:val="33"/>
                    <w:jc w:val="both"/>
                    <w:rPr>
                      <w:lang w:eastAsia="zh-CN"/>
                    </w:rPr>
                  </w:pPr>
                  <w:r>
                    <w:rPr>
                      <w:lang w:val="en-US" w:eastAsia="zh-CN"/>
                    </w:rPr>
                    <w:t xml:space="preserve">提高城市扬尘防治水平 </w:t>
                  </w:r>
                </w:p>
              </w:tc>
              <w:tc>
                <w:tcPr>
                  <w:tcW w:w="2613" w:type="pct"/>
                  <w:tcBorders>
                    <w:tl2br w:val="nil"/>
                    <w:tr2bl w:val="nil"/>
                  </w:tcBorders>
                  <w:shd w:val="clear" w:color="auto" w:fill="FFFFFF"/>
                  <w:vAlign w:val="center"/>
                </w:tcPr>
                <w:p>
                  <w:pPr>
                    <w:pStyle w:val="33"/>
                    <w:jc w:val="both"/>
                    <w:rPr>
                      <w:lang w:val="en-US"/>
                    </w:rPr>
                  </w:pPr>
                  <w:r>
                    <w:rPr>
                      <w:rFonts w:hint="eastAsia"/>
                      <w:lang w:val="en-US" w:eastAsia="zh-CN"/>
                    </w:rPr>
                    <w:t>项目选址位于昌吉高新技术产业开发区</w:t>
                  </w:r>
                  <w:r>
                    <w:rPr>
                      <w:rFonts w:hint="eastAsia"/>
                      <w:color w:val="0000FF"/>
                      <w:lang w:val="en-US" w:eastAsia="zh-CN"/>
                    </w:rPr>
                    <w:t>，</w:t>
                  </w:r>
                  <w:r>
                    <w:rPr>
                      <w:rFonts w:hint="eastAsia"/>
                      <w:lang w:val="en-US" w:eastAsia="zh-CN"/>
                    </w:rPr>
                    <w:t>不在城市且项目采取洒水抑尘、道路硬化、布袋、原料储存于密闭车间，篷布遮盖，砂子采用湿式降尘，各污染物均达标排放</w:t>
                  </w:r>
                </w:p>
              </w:tc>
              <w:tc>
                <w:tcPr>
                  <w:tcW w:w="547" w:type="pct"/>
                  <w:tcBorders>
                    <w:tl2br w:val="nil"/>
                    <w:tr2bl w:val="nil"/>
                  </w:tcBorders>
                  <w:shd w:val="clear" w:color="auto" w:fill="FFFFFF"/>
                  <w:vAlign w:val="center"/>
                </w:tcPr>
                <w:p>
                  <w:pPr>
                    <w:pStyle w:val="33"/>
                  </w:pPr>
                  <w:r>
                    <w:t>符合</w:t>
                  </w:r>
                </w:p>
              </w:tc>
            </w:tr>
          </w:tbl>
          <w:p>
            <w:pPr>
              <w:pStyle w:val="5"/>
              <w:numPr>
                <w:ilvl w:val="0"/>
                <w:numId w:val="4"/>
              </w:numPr>
              <w:jc w:val="both"/>
              <w:outlineLvl w:val="1"/>
            </w:pPr>
            <w:r>
              <w:rPr>
                <w:rFonts w:hint="eastAsia"/>
              </w:rPr>
              <w:t>选址合理性</w:t>
            </w:r>
          </w:p>
          <w:p>
            <w:pPr>
              <w:pStyle w:val="20"/>
              <w:ind w:firstLine="480"/>
              <w:jc w:val="both"/>
            </w:pPr>
            <w:r>
              <w:t>本项目位于</w:t>
            </w:r>
            <w:r>
              <w:rPr>
                <w:bCs/>
              </w:rPr>
              <w:t>昌吉市高新区建材园区N-10号昌吉市先导工程材料有限责任公司</w:t>
            </w:r>
            <w:r>
              <w:rPr>
                <w:rFonts w:hint="eastAsia"/>
                <w:bCs/>
              </w:rPr>
              <w:t>厂内</w:t>
            </w:r>
            <w:r>
              <w:t>（项目区地理位置坐标：E87°8′</w:t>
            </w:r>
            <w:r>
              <w:rPr>
                <w:rFonts w:hint="eastAsia"/>
              </w:rPr>
              <w:t>9.513</w:t>
            </w:r>
            <w:r>
              <w:t>″，N44°5′</w:t>
            </w:r>
            <w:r>
              <w:rPr>
                <w:rFonts w:hint="eastAsia"/>
              </w:rPr>
              <w:t>19.342</w:t>
            </w:r>
            <w:r>
              <w:t>″）。项目区东侧为</w:t>
            </w:r>
            <w:r>
              <w:rPr>
                <w:rFonts w:hint="eastAsia"/>
              </w:rPr>
              <w:t>锦绣路</w:t>
            </w:r>
            <w:r>
              <w:t>，南侧为新疆朝阳电缆有限公司，西侧</w:t>
            </w:r>
            <w:r>
              <w:rPr>
                <w:rFonts w:hint="eastAsia"/>
              </w:rPr>
              <w:t>均</w:t>
            </w:r>
            <w:r>
              <w:t>为新疆恒泰新型建材有限公司</w:t>
            </w:r>
            <w:r>
              <w:rPr>
                <w:rFonts w:hint="eastAsia"/>
              </w:rPr>
              <w:t>，北侧为新疆鑫润达建材有限公司</w:t>
            </w:r>
            <w:r>
              <w:t>。项目选址合理性分析见表</w:t>
            </w:r>
            <w:r>
              <w:rPr>
                <w:rFonts w:hint="eastAsia"/>
              </w:rPr>
              <w:t>1-7</w:t>
            </w:r>
            <w:r>
              <w:t>。</w:t>
            </w:r>
          </w:p>
          <w:p>
            <w:pPr>
              <w:pStyle w:val="32"/>
            </w:pPr>
            <w:r>
              <w:t>表</w:t>
            </w:r>
            <w:r>
              <w:rPr>
                <w:rFonts w:hint="eastAsia"/>
              </w:rPr>
              <w:t>1-7</w:t>
            </w:r>
            <w:r>
              <w:t xml:space="preserve">   厂址选择合理性分析一览表</w:t>
            </w:r>
          </w:p>
          <w:tbl>
            <w:tblPr>
              <w:tblStyle w:val="24"/>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58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8" w:type="pct"/>
                  <w:tcBorders>
                    <w:bottom w:val="single" w:color="000000" w:sz="12" w:space="0"/>
                    <w:tl2br w:val="nil"/>
                    <w:tr2bl w:val="nil"/>
                  </w:tcBorders>
                  <w:vAlign w:val="center"/>
                </w:tcPr>
                <w:p>
                  <w:pPr>
                    <w:pStyle w:val="33"/>
                    <w:rPr>
                      <w:b/>
                      <w:bCs/>
                    </w:rPr>
                  </w:pPr>
                  <w:r>
                    <w:rPr>
                      <w:b/>
                      <w:bCs/>
                    </w:rPr>
                    <w:t>项目分析</w:t>
                  </w:r>
                </w:p>
              </w:tc>
              <w:tc>
                <w:tcPr>
                  <w:tcW w:w="3771" w:type="pct"/>
                  <w:tcBorders>
                    <w:bottom w:val="single" w:color="000000" w:sz="12" w:space="0"/>
                    <w:tl2br w:val="nil"/>
                    <w:tr2bl w:val="nil"/>
                  </w:tcBorders>
                  <w:vAlign w:val="center"/>
                </w:tcPr>
                <w:p>
                  <w:pPr>
                    <w:pStyle w:val="33"/>
                    <w:rPr>
                      <w:b/>
                      <w:bCs/>
                    </w:rPr>
                  </w:pPr>
                  <w:r>
                    <w:rPr>
                      <w:b/>
                      <w:bCs/>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8" w:type="pct"/>
                  <w:tcBorders>
                    <w:top w:val="single" w:color="000000" w:sz="12" w:space="0"/>
                    <w:tl2br w:val="nil"/>
                    <w:tr2bl w:val="nil"/>
                  </w:tcBorders>
                  <w:vAlign w:val="center"/>
                </w:tcPr>
                <w:p>
                  <w:pPr>
                    <w:pStyle w:val="33"/>
                  </w:pPr>
                  <w:r>
                    <w:t>土地利用符合性</w:t>
                  </w:r>
                </w:p>
              </w:tc>
              <w:tc>
                <w:tcPr>
                  <w:tcW w:w="3771" w:type="pct"/>
                  <w:tcBorders>
                    <w:top w:val="single" w:color="000000" w:sz="12" w:space="0"/>
                    <w:tl2br w:val="nil"/>
                    <w:tr2bl w:val="nil"/>
                  </w:tcBorders>
                  <w:vAlign w:val="center"/>
                </w:tcPr>
                <w:p>
                  <w:pPr>
                    <w:pStyle w:val="33"/>
                  </w:pPr>
                  <w:r>
                    <w:t>本项目位于</w:t>
                  </w:r>
                  <w:r>
                    <w:rPr>
                      <w:bCs/>
                      <w:lang w:val="en-US" w:eastAsia="zh-CN"/>
                    </w:rPr>
                    <w:t>昌吉市高新区建材园区</w:t>
                  </w:r>
                  <w:r>
                    <w:t>，土地利用性质为工业用地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8" w:type="pct"/>
                  <w:tcBorders>
                    <w:tl2br w:val="nil"/>
                    <w:tr2bl w:val="nil"/>
                  </w:tcBorders>
                  <w:vAlign w:val="center"/>
                </w:tcPr>
                <w:p>
                  <w:pPr>
                    <w:pStyle w:val="33"/>
                  </w:pPr>
                  <w:r>
                    <w:t>供水、供电</w:t>
                  </w:r>
                </w:p>
              </w:tc>
              <w:tc>
                <w:tcPr>
                  <w:tcW w:w="3771" w:type="pct"/>
                  <w:tcBorders>
                    <w:tl2br w:val="nil"/>
                    <w:tr2bl w:val="nil"/>
                  </w:tcBorders>
                  <w:vAlign w:val="center"/>
                </w:tcPr>
                <w:p>
                  <w:pPr>
                    <w:pStyle w:val="33"/>
                    <w:jc w:val="left"/>
                    <w:rPr>
                      <w:lang w:eastAsia="zh-CN"/>
                    </w:rPr>
                  </w:pPr>
                  <w:r>
                    <w:t>项目</w:t>
                  </w:r>
                  <w:r>
                    <w:rPr>
                      <w:rFonts w:hint="eastAsia"/>
                      <w:lang w:val="en-US" w:eastAsia="zh-CN"/>
                    </w:rPr>
                    <w:t>供水依托园区供水管网；</w:t>
                  </w:r>
                  <w:r>
                    <w:t>供电</w:t>
                  </w:r>
                  <w:r>
                    <w:rPr>
                      <w:rFonts w:hint="eastAsia"/>
                      <w:lang w:val="en-US" w:eastAsia="zh-CN"/>
                    </w:rPr>
                    <w:t>园区</w:t>
                  </w:r>
                  <w:r>
                    <w:t>电网供给，能够满足</w:t>
                  </w:r>
                  <w:r>
                    <w:rPr>
                      <w:rFonts w:hint="eastAsia"/>
                      <w:lang w:val="en-US" w:eastAsia="zh-CN"/>
                    </w:rPr>
                    <w:t>项目</w:t>
                  </w:r>
                  <w:r>
                    <w:t>生产、生活</w:t>
                  </w:r>
                  <w:r>
                    <w:rPr>
                      <w:rFonts w:hint="eastAsia"/>
                      <w:lang w:val="en-US" w:eastAsia="zh-CN"/>
                    </w:rPr>
                    <w:t>需求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8" w:type="pct"/>
                  <w:tcBorders>
                    <w:tl2br w:val="nil"/>
                    <w:tr2bl w:val="nil"/>
                  </w:tcBorders>
                  <w:vAlign w:val="center"/>
                </w:tcPr>
                <w:p>
                  <w:pPr>
                    <w:pStyle w:val="33"/>
                  </w:pPr>
                  <w:r>
                    <w:t>交通运输</w:t>
                  </w:r>
                </w:p>
              </w:tc>
              <w:tc>
                <w:tcPr>
                  <w:tcW w:w="3771" w:type="pct"/>
                  <w:tcBorders>
                    <w:tl2br w:val="nil"/>
                    <w:tr2bl w:val="nil"/>
                  </w:tcBorders>
                  <w:vAlign w:val="center"/>
                </w:tcPr>
                <w:p>
                  <w:pPr>
                    <w:pStyle w:val="33"/>
                    <w:rPr>
                      <w:lang w:val="en-US" w:eastAsia="zh-CN"/>
                    </w:rPr>
                  </w:pPr>
                  <w:r>
                    <w:rPr>
                      <w:rFonts w:hint="eastAsia"/>
                      <w:lang w:val="en-US" w:eastAsia="zh-CN"/>
                    </w:rPr>
                    <w:t>项目区交通便利，原材料运距短，</w:t>
                  </w:r>
                </w:p>
                <w:p>
                  <w:pPr>
                    <w:pStyle w:val="33"/>
                    <w:rPr>
                      <w:lang w:val="en-US" w:eastAsia="zh-CN"/>
                    </w:rPr>
                  </w:pPr>
                  <w:r>
                    <w:rPr>
                      <w:rFonts w:hint="eastAsia"/>
                      <w:lang w:val="en-US" w:eastAsia="zh-CN"/>
                    </w:rPr>
                    <w:t>且周边同类型企业众多。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8" w:type="pct"/>
                  <w:tcBorders>
                    <w:tl2br w:val="nil"/>
                    <w:tr2bl w:val="nil"/>
                  </w:tcBorders>
                  <w:vAlign w:val="center"/>
                </w:tcPr>
                <w:p>
                  <w:pPr>
                    <w:pStyle w:val="33"/>
                  </w:pPr>
                  <w:r>
                    <w:t>敏感目标</w:t>
                  </w:r>
                </w:p>
              </w:tc>
              <w:tc>
                <w:tcPr>
                  <w:tcW w:w="3771" w:type="pct"/>
                  <w:tcBorders>
                    <w:tl2br w:val="nil"/>
                    <w:tr2bl w:val="nil"/>
                  </w:tcBorders>
                  <w:vAlign w:val="center"/>
                </w:tcPr>
                <w:p>
                  <w:pPr>
                    <w:pStyle w:val="33"/>
                  </w:pPr>
                  <w:r>
                    <w:rPr>
                      <w:lang w:val="en-US" w:eastAsia="zh-CN"/>
                    </w:rPr>
                    <w:t>项目所在地无生态敏感区、风景名胜区、自然保护区、文化和自然遗产地、文物古迹、军事基地等环境敏感保护目标</w:t>
                  </w:r>
                </w:p>
              </w:tc>
            </w:tr>
          </w:tbl>
          <w:p>
            <w:pPr>
              <w:pStyle w:val="20"/>
              <w:ind w:firstLine="480"/>
              <w:jc w:val="both"/>
            </w:pPr>
            <w:r>
              <w:rPr>
                <w:rFonts w:hint="eastAsia"/>
                <w:szCs w:val="21"/>
              </w:rPr>
              <w:t>综上所述，项目选址较为合理，具备项目建设条件</w:t>
            </w:r>
            <w:r>
              <w:rPr>
                <w:rFonts w:hint="eastAsia"/>
                <w:w w:val="96"/>
              </w:rPr>
              <w:t>。</w:t>
            </w:r>
          </w:p>
          <w:p>
            <w:pPr>
              <w:pStyle w:val="20"/>
              <w:adjustRightInd w:val="0"/>
              <w:snapToGrid w:val="0"/>
              <w:ind w:firstLine="0" w:firstLineChars="0"/>
              <w:jc w:val="both"/>
            </w:pPr>
          </w:p>
          <w:p>
            <w:pPr>
              <w:pStyle w:val="20"/>
              <w:adjustRightInd w:val="0"/>
              <w:snapToGrid w:val="0"/>
              <w:ind w:firstLine="0" w:firstLineChars="0"/>
              <w:jc w:val="both"/>
            </w:pPr>
          </w:p>
          <w:p>
            <w:pPr>
              <w:pStyle w:val="20"/>
              <w:adjustRightInd w:val="0"/>
              <w:snapToGrid w:val="0"/>
              <w:ind w:firstLine="0" w:firstLineChars="0"/>
              <w:jc w:val="both"/>
            </w:pPr>
          </w:p>
          <w:p>
            <w:pPr>
              <w:pStyle w:val="20"/>
              <w:adjustRightInd w:val="0"/>
              <w:snapToGrid w:val="0"/>
              <w:ind w:firstLine="0" w:firstLineChars="0"/>
              <w:jc w:val="both"/>
            </w:pPr>
          </w:p>
        </w:tc>
      </w:tr>
    </w:tbl>
    <w:p>
      <w:pPr>
        <w:sectPr>
          <w:footerReference r:id="rId3" w:type="default"/>
          <w:pgSz w:w="11906" w:h="16838"/>
          <w:pgMar w:top="1440" w:right="1800" w:bottom="1440" w:left="1800" w:header="851" w:footer="992" w:gutter="0"/>
          <w:cols w:space="425" w:num="1"/>
          <w:docGrid w:type="lines" w:linePitch="312" w:charSpace="0"/>
        </w:sectPr>
      </w:pPr>
    </w:p>
    <w:p>
      <w:pPr>
        <w:pStyle w:val="4"/>
        <w:numPr>
          <w:ilvl w:val="0"/>
          <w:numId w:val="1"/>
        </w:numPr>
      </w:pPr>
      <w:r>
        <w:rPr>
          <w:rFonts w:hint="eastAsia"/>
        </w:rPr>
        <w:t>建设项目工程分析</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0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4" w:hRule="atLeast"/>
          <w:jc w:val="center"/>
        </w:trPr>
        <w:tc>
          <w:tcPr>
            <w:tcW w:w="455" w:type="dxa"/>
            <w:tcBorders>
              <w:tl2br w:val="nil"/>
              <w:tr2bl w:val="nil"/>
            </w:tcBorders>
            <w:vAlign w:val="center"/>
          </w:tcPr>
          <w:p>
            <w:pPr>
              <w:jc w:val="center"/>
            </w:pPr>
            <w:r>
              <w:rPr>
                <w:rFonts w:hint="eastAsia" w:cs="宋体"/>
              </w:rPr>
              <w:t>建设内容</w:t>
            </w:r>
          </w:p>
        </w:tc>
        <w:tc>
          <w:tcPr>
            <w:tcW w:w="8067" w:type="dxa"/>
            <w:tcBorders>
              <w:tl2br w:val="nil"/>
              <w:tr2bl w:val="nil"/>
            </w:tcBorders>
          </w:tcPr>
          <w:p>
            <w:pPr>
              <w:pStyle w:val="5"/>
              <w:numPr>
                <w:ilvl w:val="0"/>
                <w:numId w:val="5"/>
              </w:numPr>
              <w:jc w:val="both"/>
              <w:outlineLvl w:val="1"/>
            </w:pPr>
            <w:r>
              <w:rPr>
                <w:rFonts w:hint="eastAsia"/>
              </w:rPr>
              <w:t>工程内容</w:t>
            </w:r>
          </w:p>
          <w:p>
            <w:pPr>
              <w:pStyle w:val="20"/>
              <w:ind w:firstLine="480"/>
              <w:jc w:val="both"/>
            </w:pPr>
            <w:r>
              <w:rPr>
                <w:rFonts w:hint="eastAsia"/>
              </w:rPr>
              <w:t>昌吉市建晟昊装饰材料有限公司年产3万</w:t>
            </w:r>
            <w:r>
              <w:rPr>
                <w:rFonts w:hint="eastAsia"/>
                <w:lang w:val="en-US" w:eastAsia="zh-CN"/>
              </w:rPr>
              <w:t>m</w:t>
            </w:r>
            <w:r>
              <w:rPr>
                <w:rFonts w:hint="eastAsia"/>
                <w:vertAlign w:val="superscript"/>
                <w:lang w:val="en-US" w:eastAsia="zh-CN"/>
              </w:rPr>
              <w:t>2</w:t>
            </w:r>
            <w:r>
              <w:rPr>
                <w:rFonts w:hint="eastAsia"/>
              </w:rPr>
              <w:t>GRC</w:t>
            </w:r>
            <w:r>
              <w:rPr>
                <w:rFonts w:hint="eastAsia"/>
                <w:lang w:val="en-US" w:eastAsia="zh-CN"/>
              </w:rPr>
              <w:t>及</w:t>
            </w:r>
            <w:r>
              <w:rPr>
                <w:rFonts w:hint="eastAsia"/>
              </w:rPr>
              <w:t>EPS</w:t>
            </w:r>
            <w:r>
              <w:rPr>
                <w:rFonts w:hint="eastAsia"/>
                <w:lang w:val="en-US" w:eastAsia="zh-CN"/>
              </w:rPr>
              <w:t>水泥</w:t>
            </w:r>
            <w:r>
              <w:rPr>
                <w:rFonts w:hint="eastAsia"/>
              </w:rPr>
              <w:t>装饰</w:t>
            </w:r>
            <w:r>
              <w:rPr>
                <w:rFonts w:hint="eastAsia"/>
                <w:lang w:val="en-US" w:eastAsia="zh-CN"/>
              </w:rPr>
              <w:t>制品</w:t>
            </w:r>
            <w:r>
              <w:rPr>
                <w:rFonts w:hint="eastAsia"/>
              </w:rPr>
              <w:t>项目建设地点位于昌吉市高新区建材园区N-10号，</w:t>
            </w:r>
            <w:r>
              <w:rPr>
                <w:color w:val="0000FF"/>
              </w:rPr>
              <w:t>项目区东侧为</w:t>
            </w:r>
            <w:r>
              <w:rPr>
                <w:rFonts w:hint="eastAsia"/>
                <w:color w:val="0000FF"/>
              </w:rPr>
              <w:t>锦绣路</w:t>
            </w:r>
            <w:r>
              <w:rPr>
                <w:color w:val="0000FF"/>
              </w:rPr>
              <w:t>，南侧为新疆朝阳电缆有限公司，西侧</w:t>
            </w:r>
            <w:r>
              <w:rPr>
                <w:rFonts w:hint="eastAsia"/>
                <w:color w:val="0000FF"/>
              </w:rPr>
              <w:t>均</w:t>
            </w:r>
            <w:r>
              <w:rPr>
                <w:color w:val="0000FF"/>
              </w:rPr>
              <w:t>为新疆恒泰新型建材有限公司</w:t>
            </w:r>
            <w:r>
              <w:rPr>
                <w:rFonts w:hint="eastAsia"/>
                <w:color w:val="0000FF"/>
              </w:rPr>
              <w:t>，北侧为新疆鑫润达建材有限公司</w:t>
            </w:r>
            <w:r>
              <w:rPr>
                <w:rFonts w:hint="eastAsia"/>
                <w:color w:val="0000FF"/>
                <w:lang w:eastAsia="zh-CN"/>
              </w:rPr>
              <w:t>；</w:t>
            </w:r>
            <w:r>
              <w:rPr>
                <w:rFonts w:hint="eastAsia"/>
              </w:rPr>
              <w:t>总占地面积1360m</w:t>
            </w:r>
            <w:r>
              <w:rPr>
                <w:rFonts w:hint="eastAsia"/>
                <w:vertAlign w:val="superscript"/>
              </w:rPr>
              <w:t>2</w:t>
            </w:r>
            <w:r>
              <w:rPr>
                <w:rFonts w:hint="eastAsia"/>
              </w:rPr>
              <w:t>，建筑面积960m</w:t>
            </w:r>
            <w:r>
              <w:rPr>
                <w:rFonts w:hint="eastAsia"/>
                <w:vertAlign w:val="superscript"/>
              </w:rPr>
              <w:t>2</w:t>
            </w:r>
            <w:r>
              <w:rPr>
                <w:rFonts w:hint="eastAsia"/>
              </w:rPr>
              <w:t>，本项目拟新建1条GRC及EPS水泥装饰制品生产线及其他相关配套设施。</w:t>
            </w:r>
          </w:p>
          <w:p>
            <w:pPr>
              <w:pStyle w:val="32"/>
            </w:pPr>
            <w:r>
              <w:rPr>
                <w:rFonts w:hint="eastAsia"/>
              </w:rPr>
              <w:t>表2-1    项目建设内容一览表</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253"/>
              <w:gridCol w:w="4779"/>
              <w:gridCol w:w="6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5" w:type="pct"/>
                  <w:tcBorders>
                    <w:bottom w:val="single" w:color="auto" w:sz="12" w:space="0"/>
                  </w:tcBorders>
                  <w:vAlign w:val="center"/>
                </w:tcPr>
                <w:p>
                  <w:pPr>
                    <w:pStyle w:val="33"/>
                    <w:widowControl w:val="0"/>
                    <w:rPr>
                      <w:b/>
                      <w:bCs/>
                      <w:lang w:val="en-US" w:eastAsia="zh-CN"/>
                    </w:rPr>
                  </w:pPr>
                  <w:r>
                    <w:rPr>
                      <w:rFonts w:hint="eastAsia"/>
                      <w:b/>
                      <w:bCs/>
                      <w:lang w:val="en-US" w:eastAsia="zh-CN"/>
                    </w:rPr>
                    <w:t>工程类型</w:t>
                  </w:r>
                </w:p>
              </w:tc>
              <w:tc>
                <w:tcPr>
                  <w:tcW w:w="798" w:type="pct"/>
                  <w:tcBorders>
                    <w:bottom w:val="single" w:color="auto" w:sz="12" w:space="0"/>
                  </w:tcBorders>
                  <w:vAlign w:val="center"/>
                </w:tcPr>
                <w:p>
                  <w:pPr>
                    <w:pStyle w:val="33"/>
                    <w:widowControl w:val="0"/>
                    <w:rPr>
                      <w:b/>
                      <w:bCs/>
                      <w:lang w:val="en-US" w:eastAsia="zh-CN"/>
                    </w:rPr>
                  </w:pPr>
                  <w:r>
                    <w:rPr>
                      <w:rFonts w:hint="eastAsia"/>
                      <w:b/>
                      <w:bCs/>
                      <w:lang w:val="en-US" w:eastAsia="zh-CN"/>
                    </w:rPr>
                    <w:t>工程名称</w:t>
                  </w:r>
                </w:p>
              </w:tc>
              <w:tc>
                <w:tcPr>
                  <w:tcW w:w="3044" w:type="pct"/>
                  <w:tcBorders>
                    <w:bottom w:val="single" w:color="auto" w:sz="12" w:space="0"/>
                  </w:tcBorders>
                  <w:vAlign w:val="center"/>
                </w:tcPr>
                <w:p>
                  <w:pPr>
                    <w:pStyle w:val="33"/>
                    <w:widowControl w:val="0"/>
                    <w:rPr>
                      <w:b/>
                      <w:bCs/>
                      <w:lang w:val="en-US" w:eastAsia="zh-CN"/>
                    </w:rPr>
                  </w:pPr>
                  <w:r>
                    <w:rPr>
                      <w:rFonts w:hint="eastAsia"/>
                      <w:b/>
                      <w:bCs/>
                      <w:lang w:val="en-US" w:eastAsia="zh-CN"/>
                    </w:rPr>
                    <w:t>建设内容</w:t>
                  </w:r>
                </w:p>
              </w:tc>
              <w:tc>
                <w:tcPr>
                  <w:tcW w:w="442" w:type="pct"/>
                  <w:tcBorders>
                    <w:bottom w:val="single" w:color="auto" w:sz="12" w:space="0"/>
                  </w:tcBorders>
                  <w:vAlign w:val="center"/>
                </w:tcPr>
                <w:p>
                  <w:pPr>
                    <w:pStyle w:val="33"/>
                    <w:widowControl w:val="0"/>
                    <w:rPr>
                      <w:b/>
                      <w:bCs/>
                      <w:lang w:val="en-US" w:eastAsia="zh-CN"/>
                    </w:rPr>
                  </w:pPr>
                  <w:r>
                    <w:rPr>
                      <w:rFonts w:hint="eastAsia"/>
                      <w:b/>
                      <w:bCs/>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5" w:type="pct"/>
                  <w:tcBorders>
                    <w:top w:val="single" w:color="auto" w:sz="12" w:space="0"/>
                    <w:tl2br w:val="nil"/>
                    <w:tr2bl w:val="nil"/>
                  </w:tcBorders>
                  <w:vAlign w:val="center"/>
                </w:tcPr>
                <w:p>
                  <w:pPr>
                    <w:pStyle w:val="33"/>
                    <w:widowControl w:val="0"/>
                    <w:rPr>
                      <w:lang w:val="en-US" w:eastAsia="zh-CN"/>
                    </w:rPr>
                  </w:pPr>
                  <w:r>
                    <w:rPr>
                      <w:rFonts w:hint="eastAsia"/>
                      <w:lang w:val="en-US" w:eastAsia="zh-CN"/>
                    </w:rPr>
                    <w:t>主体工程</w:t>
                  </w:r>
                </w:p>
              </w:tc>
              <w:tc>
                <w:tcPr>
                  <w:tcW w:w="798" w:type="pct"/>
                  <w:tcBorders>
                    <w:top w:val="single" w:color="auto" w:sz="12" w:space="0"/>
                    <w:tl2br w:val="nil"/>
                    <w:tr2bl w:val="nil"/>
                  </w:tcBorders>
                  <w:vAlign w:val="center"/>
                </w:tcPr>
                <w:p>
                  <w:pPr>
                    <w:pStyle w:val="33"/>
                    <w:widowControl w:val="0"/>
                    <w:rPr>
                      <w:lang w:val="en-US" w:eastAsia="zh-CN"/>
                    </w:rPr>
                  </w:pPr>
                  <w:r>
                    <w:rPr>
                      <w:rFonts w:hint="eastAsia"/>
                      <w:lang w:val="en-US" w:eastAsia="zh-CN"/>
                    </w:rPr>
                    <w:t>生产车间</w:t>
                  </w:r>
                </w:p>
              </w:tc>
              <w:tc>
                <w:tcPr>
                  <w:tcW w:w="3044" w:type="pct"/>
                  <w:tcBorders>
                    <w:top w:val="single" w:color="auto" w:sz="12" w:space="0"/>
                    <w:tl2br w:val="nil"/>
                    <w:tr2bl w:val="nil"/>
                  </w:tcBorders>
                  <w:vAlign w:val="center"/>
                </w:tcPr>
                <w:p>
                  <w:pPr>
                    <w:pStyle w:val="33"/>
                    <w:widowControl w:val="0"/>
                    <w:rPr>
                      <w:lang w:val="en-US" w:eastAsia="zh-CN"/>
                    </w:rPr>
                  </w:pPr>
                  <w:r>
                    <w:rPr>
                      <w:rFonts w:hint="eastAsia"/>
                      <w:lang w:val="en-US" w:eastAsia="zh-CN"/>
                    </w:rPr>
                    <w:t>厂房1座，（框架结构，建筑面积960m</w:t>
                  </w:r>
                  <w:r>
                    <w:rPr>
                      <w:rFonts w:hint="eastAsia"/>
                      <w:vertAlign w:val="superscript"/>
                      <w:lang w:val="en-US" w:eastAsia="zh-CN"/>
                    </w:rPr>
                    <w:t>2</w:t>
                  </w:r>
                  <w:r>
                    <w:rPr>
                      <w:rFonts w:hint="eastAsia"/>
                      <w:lang w:val="en-US" w:eastAsia="zh-CN"/>
                    </w:rPr>
                    <w:t>）</w:t>
                  </w:r>
                </w:p>
              </w:tc>
              <w:tc>
                <w:tcPr>
                  <w:tcW w:w="442" w:type="pct"/>
                  <w:tcBorders>
                    <w:top w:val="single" w:color="auto" w:sz="12" w:space="0"/>
                    <w:tl2br w:val="nil"/>
                    <w:tr2bl w:val="nil"/>
                  </w:tcBorders>
                  <w:vAlign w:val="center"/>
                </w:tcPr>
                <w:p>
                  <w:pPr>
                    <w:pStyle w:val="33"/>
                    <w:widowControl w:val="0"/>
                    <w:rPr>
                      <w:lang w:val="en-US" w:eastAsia="zh-CN"/>
                    </w:rPr>
                  </w:pPr>
                  <w:r>
                    <w:rPr>
                      <w:rFonts w:hint="eastAsia"/>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5" w:type="pct"/>
                  <w:vMerge w:val="restart"/>
                  <w:tcBorders>
                    <w:tl2br w:val="nil"/>
                    <w:tr2bl w:val="nil"/>
                  </w:tcBorders>
                  <w:vAlign w:val="center"/>
                </w:tcPr>
                <w:p>
                  <w:pPr>
                    <w:pStyle w:val="33"/>
                    <w:widowControl w:val="0"/>
                    <w:rPr>
                      <w:lang w:val="en-US" w:eastAsia="zh-CN"/>
                    </w:rPr>
                  </w:pPr>
                  <w:r>
                    <w:rPr>
                      <w:rFonts w:hint="eastAsia"/>
                      <w:lang w:val="en-US" w:eastAsia="zh-CN"/>
                    </w:rPr>
                    <w:t>公用工程</w:t>
                  </w:r>
                </w:p>
              </w:tc>
              <w:tc>
                <w:tcPr>
                  <w:tcW w:w="798" w:type="pct"/>
                  <w:tcBorders>
                    <w:tl2br w:val="nil"/>
                    <w:tr2bl w:val="nil"/>
                  </w:tcBorders>
                  <w:vAlign w:val="center"/>
                </w:tcPr>
                <w:p>
                  <w:pPr>
                    <w:pStyle w:val="33"/>
                    <w:widowControl w:val="0"/>
                    <w:rPr>
                      <w:lang w:val="en-US" w:eastAsia="zh-CN"/>
                    </w:rPr>
                  </w:pPr>
                  <w:r>
                    <w:rPr>
                      <w:rFonts w:hint="eastAsia"/>
                      <w:lang w:val="en-US" w:eastAsia="zh-CN"/>
                    </w:rPr>
                    <w:t>供水工程</w:t>
                  </w:r>
                </w:p>
              </w:tc>
              <w:tc>
                <w:tcPr>
                  <w:tcW w:w="3044" w:type="pct"/>
                  <w:tcBorders>
                    <w:tl2br w:val="nil"/>
                    <w:tr2bl w:val="nil"/>
                  </w:tcBorders>
                  <w:vAlign w:val="center"/>
                </w:tcPr>
                <w:p>
                  <w:pPr>
                    <w:pStyle w:val="33"/>
                    <w:widowControl w:val="0"/>
                    <w:rPr>
                      <w:lang w:val="en-US" w:eastAsia="zh-CN"/>
                    </w:rPr>
                  </w:pPr>
                  <w:r>
                    <w:rPr>
                      <w:rFonts w:hint="eastAsia"/>
                      <w:lang w:val="en-US" w:eastAsia="zh-CN"/>
                    </w:rPr>
                    <w:t>园区供水管网</w:t>
                  </w:r>
                </w:p>
              </w:tc>
              <w:tc>
                <w:tcPr>
                  <w:tcW w:w="442" w:type="pct"/>
                  <w:tcBorders>
                    <w:tl2br w:val="nil"/>
                    <w:tr2bl w:val="nil"/>
                  </w:tcBorders>
                  <w:vAlign w:val="center"/>
                </w:tcPr>
                <w:p>
                  <w:pPr>
                    <w:pStyle w:val="33"/>
                    <w:widowControl w:val="0"/>
                    <w:rPr>
                      <w:lang w:val="en-US" w:eastAsia="zh-CN"/>
                    </w:rPr>
                  </w:pPr>
                  <w:r>
                    <w:rPr>
                      <w:rFonts w:hint="eastAsia"/>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5" w:type="pct"/>
                  <w:vMerge w:val="continue"/>
                  <w:tcBorders>
                    <w:tl2br w:val="nil"/>
                    <w:tr2bl w:val="nil"/>
                  </w:tcBorders>
                  <w:vAlign w:val="center"/>
                </w:tcPr>
                <w:p>
                  <w:pPr>
                    <w:pStyle w:val="33"/>
                    <w:widowControl w:val="0"/>
                    <w:rPr>
                      <w:lang w:val="en-US" w:eastAsia="zh-CN"/>
                    </w:rPr>
                  </w:pPr>
                </w:p>
              </w:tc>
              <w:tc>
                <w:tcPr>
                  <w:tcW w:w="798" w:type="pct"/>
                  <w:tcBorders>
                    <w:tl2br w:val="nil"/>
                    <w:tr2bl w:val="nil"/>
                  </w:tcBorders>
                  <w:vAlign w:val="center"/>
                </w:tcPr>
                <w:p>
                  <w:pPr>
                    <w:pStyle w:val="33"/>
                    <w:widowControl w:val="0"/>
                    <w:rPr>
                      <w:lang w:val="en-US" w:eastAsia="zh-CN"/>
                    </w:rPr>
                  </w:pPr>
                  <w:r>
                    <w:rPr>
                      <w:rFonts w:hint="eastAsia"/>
                      <w:lang w:val="en-US" w:eastAsia="zh-CN"/>
                    </w:rPr>
                    <w:t>供电工程</w:t>
                  </w:r>
                </w:p>
              </w:tc>
              <w:tc>
                <w:tcPr>
                  <w:tcW w:w="3044" w:type="pct"/>
                  <w:tcBorders>
                    <w:tl2br w:val="nil"/>
                    <w:tr2bl w:val="nil"/>
                  </w:tcBorders>
                  <w:vAlign w:val="center"/>
                </w:tcPr>
                <w:p>
                  <w:pPr>
                    <w:pStyle w:val="33"/>
                    <w:widowControl w:val="0"/>
                    <w:rPr>
                      <w:lang w:val="en-US" w:eastAsia="zh-CN"/>
                    </w:rPr>
                  </w:pPr>
                  <w:r>
                    <w:rPr>
                      <w:rFonts w:hint="eastAsia"/>
                      <w:lang w:val="en-US" w:eastAsia="zh-CN"/>
                    </w:rPr>
                    <w:t>园区电网</w:t>
                  </w:r>
                </w:p>
              </w:tc>
              <w:tc>
                <w:tcPr>
                  <w:tcW w:w="442" w:type="pct"/>
                  <w:tcBorders>
                    <w:tl2br w:val="nil"/>
                    <w:tr2bl w:val="nil"/>
                  </w:tcBorders>
                  <w:vAlign w:val="center"/>
                </w:tcPr>
                <w:p>
                  <w:pPr>
                    <w:pStyle w:val="33"/>
                    <w:widowControl w:val="0"/>
                    <w:rPr>
                      <w:lang w:val="en-US" w:eastAsia="zh-CN"/>
                    </w:rPr>
                  </w:pPr>
                  <w:r>
                    <w:rPr>
                      <w:rFonts w:hint="eastAsia"/>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5" w:type="pct"/>
                  <w:vMerge w:val="continue"/>
                  <w:tcBorders>
                    <w:tl2br w:val="nil"/>
                    <w:tr2bl w:val="nil"/>
                  </w:tcBorders>
                  <w:vAlign w:val="center"/>
                </w:tcPr>
                <w:p>
                  <w:pPr>
                    <w:pStyle w:val="33"/>
                    <w:widowControl w:val="0"/>
                    <w:rPr>
                      <w:lang w:val="en-US" w:eastAsia="zh-CN"/>
                    </w:rPr>
                  </w:pPr>
                </w:p>
              </w:tc>
              <w:tc>
                <w:tcPr>
                  <w:tcW w:w="798" w:type="pct"/>
                  <w:tcBorders>
                    <w:tl2br w:val="nil"/>
                    <w:tr2bl w:val="nil"/>
                  </w:tcBorders>
                  <w:vAlign w:val="center"/>
                </w:tcPr>
                <w:p>
                  <w:pPr>
                    <w:pStyle w:val="33"/>
                    <w:widowControl w:val="0"/>
                    <w:rPr>
                      <w:lang w:val="en-US" w:eastAsia="zh-CN"/>
                    </w:rPr>
                  </w:pPr>
                  <w:r>
                    <w:rPr>
                      <w:rFonts w:hint="eastAsia"/>
                      <w:lang w:val="en-US" w:eastAsia="zh-CN"/>
                    </w:rPr>
                    <w:t>供热工程</w:t>
                  </w:r>
                </w:p>
              </w:tc>
              <w:tc>
                <w:tcPr>
                  <w:tcW w:w="3044" w:type="pct"/>
                  <w:tcBorders>
                    <w:tl2br w:val="nil"/>
                    <w:tr2bl w:val="nil"/>
                  </w:tcBorders>
                  <w:vAlign w:val="center"/>
                </w:tcPr>
                <w:p>
                  <w:pPr>
                    <w:pStyle w:val="33"/>
                    <w:widowControl w:val="0"/>
                    <w:rPr>
                      <w:lang w:val="en-US" w:eastAsia="zh-CN"/>
                    </w:rPr>
                  </w:pPr>
                  <w:r>
                    <w:rPr>
                      <w:rFonts w:hint="eastAsia"/>
                      <w:lang w:val="en-US" w:eastAsia="zh-CN"/>
                    </w:rPr>
                    <w:t>项目区冬季不生产，值班人员采用电采暖</w:t>
                  </w:r>
                </w:p>
              </w:tc>
              <w:tc>
                <w:tcPr>
                  <w:tcW w:w="442" w:type="pct"/>
                  <w:tcBorders>
                    <w:tl2br w:val="nil"/>
                    <w:tr2bl w:val="nil"/>
                  </w:tcBorders>
                  <w:vAlign w:val="center"/>
                </w:tcPr>
                <w:p>
                  <w:pPr>
                    <w:pStyle w:val="33"/>
                    <w:widowControl w:val="0"/>
                    <w:rPr>
                      <w:lang w:val="en-US" w:eastAsia="zh-CN"/>
                    </w:rPr>
                  </w:pPr>
                  <w:r>
                    <w:rPr>
                      <w:rFonts w:hint="eastAsia"/>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15" w:type="pct"/>
                  <w:vMerge w:val="continue"/>
                  <w:tcBorders>
                    <w:tl2br w:val="nil"/>
                    <w:tr2bl w:val="nil"/>
                  </w:tcBorders>
                  <w:vAlign w:val="center"/>
                </w:tcPr>
                <w:p>
                  <w:pPr>
                    <w:pStyle w:val="33"/>
                    <w:widowControl w:val="0"/>
                    <w:rPr>
                      <w:lang w:val="en-US" w:eastAsia="zh-CN"/>
                    </w:rPr>
                  </w:pPr>
                </w:p>
              </w:tc>
              <w:tc>
                <w:tcPr>
                  <w:tcW w:w="798" w:type="pct"/>
                  <w:vMerge w:val="restart"/>
                  <w:tcBorders>
                    <w:tl2br w:val="nil"/>
                    <w:tr2bl w:val="nil"/>
                  </w:tcBorders>
                  <w:vAlign w:val="center"/>
                </w:tcPr>
                <w:p>
                  <w:pPr>
                    <w:pStyle w:val="33"/>
                    <w:widowControl w:val="0"/>
                    <w:rPr>
                      <w:lang w:val="en-US" w:eastAsia="zh-CN"/>
                    </w:rPr>
                  </w:pPr>
                  <w:r>
                    <w:rPr>
                      <w:rFonts w:hint="eastAsia"/>
                      <w:lang w:val="en-US" w:eastAsia="zh-CN"/>
                    </w:rPr>
                    <w:t>排水工程</w:t>
                  </w:r>
                </w:p>
              </w:tc>
              <w:tc>
                <w:tcPr>
                  <w:tcW w:w="3044" w:type="pct"/>
                  <w:tcBorders>
                    <w:tl2br w:val="nil"/>
                    <w:tr2bl w:val="nil"/>
                  </w:tcBorders>
                  <w:vAlign w:val="center"/>
                </w:tcPr>
                <w:p>
                  <w:pPr>
                    <w:pStyle w:val="33"/>
                    <w:widowControl w:val="0"/>
                    <w:rPr>
                      <w:lang w:val="en-US" w:eastAsia="zh-CN"/>
                    </w:rPr>
                  </w:pPr>
                  <w:r>
                    <w:rPr>
                      <w:rFonts w:hint="eastAsia"/>
                      <w:color w:val="0000FF"/>
                      <w:lang w:val="en-US" w:eastAsia="zh-CN"/>
                    </w:rPr>
                    <w:t>生活污水排入项目区现有污水管网；</w:t>
                  </w:r>
                </w:p>
              </w:tc>
              <w:tc>
                <w:tcPr>
                  <w:tcW w:w="442" w:type="pct"/>
                  <w:tcBorders>
                    <w:tl2br w:val="nil"/>
                    <w:tr2bl w:val="nil"/>
                  </w:tcBorders>
                  <w:vAlign w:val="center"/>
                </w:tcPr>
                <w:p>
                  <w:pPr>
                    <w:pStyle w:val="33"/>
                    <w:widowControl w:val="0"/>
                    <w:rPr>
                      <w:lang w:val="en-US" w:eastAsia="zh-CN"/>
                    </w:rPr>
                  </w:pPr>
                  <w:r>
                    <w:rPr>
                      <w:rFonts w:hint="eastAsia"/>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15" w:type="pct"/>
                  <w:vMerge w:val="continue"/>
                  <w:tcBorders>
                    <w:tl2br w:val="nil"/>
                    <w:tr2bl w:val="nil"/>
                  </w:tcBorders>
                  <w:vAlign w:val="center"/>
                </w:tcPr>
                <w:p>
                  <w:pPr>
                    <w:pStyle w:val="33"/>
                    <w:widowControl w:val="0"/>
                  </w:pPr>
                </w:p>
              </w:tc>
              <w:tc>
                <w:tcPr>
                  <w:tcW w:w="798" w:type="pct"/>
                  <w:vMerge w:val="continue"/>
                  <w:tcBorders>
                    <w:tl2br w:val="nil"/>
                    <w:tr2bl w:val="nil"/>
                  </w:tcBorders>
                  <w:vAlign w:val="center"/>
                </w:tcPr>
                <w:p>
                  <w:pPr>
                    <w:pStyle w:val="33"/>
                    <w:widowControl w:val="0"/>
                  </w:pPr>
                </w:p>
              </w:tc>
              <w:tc>
                <w:tcPr>
                  <w:tcW w:w="3044" w:type="pct"/>
                  <w:tcBorders>
                    <w:tl2br w:val="nil"/>
                    <w:tr2bl w:val="nil"/>
                  </w:tcBorders>
                  <w:vAlign w:val="center"/>
                </w:tcPr>
                <w:p>
                  <w:pPr>
                    <w:pStyle w:val="33"/>
                    <w:widowControl w:val="0"/>
                  </w:pPr>
                  <w:r>
                    <w:rPr>
                      <w:rFonts w:hint="eastAsia"/>
                      <w:color w:val="0000FF"/>
                      <w:lang w:val="en-US" w:eastAsia="zh-CN"/>
                    </w:rPr>
                    <w:t>生产废水循环使用不外排</w:t>
                  </w:r>
                </w:p>
              </w:tc>
              <w:tc>
                <w:tcPr>
                  <w:tcW w:w="442" w:type="pct"/>
                  <w:tcBorders>
                    <w:tl2br w:val="nil"/>
                    <w:tr2bl w:val="nil"/>
                  </w:tcBorders>
                  <w:vAlign w:val="center"/>
                </w:tcPr>
                <w:p>
                  <w:pPr>
                    <w:pStyle w:val="33"/>
                    <w:widowControl w:val="0"/>
                    <w:rPr>
                      <w:rFonts w:hint="eastAsia"/>
                      <w:lang w:val="en-US" w:eastAsia="zh-CN"/>
                    </w:rPr>
                  </w:pPr>
                  <w:r>
                    <w:rPr>
                      <w:rFonts w:hint="eastAsia"/>
                      <w:color w:val="0000FF"/>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5" w:type="pct"/>
                  <w:vMerge w:val="restart"/>
                  <w:tcBorders>
                    <w:tl2br w:val="nil"/>
                    <w:tr2bl w:val="nil"/>
                  </w:tcBorders>
                  <w:vAlign w:val="center"/>
                </w:tcPr>
                <w:p>
                  <w:pPr>
                    <w:pStyle w:val="33"/>
                    <w:widowControl w:val="0"/>
                    <w:rPr>
                      <w:lang w:val="en-US" w:eastAsia="zh-CN"/>
                    </w:rPr>
                  </w:pPr>
                  <w:r>
                    <w:rPr>
                      <w:rFonts w:hint="eastAsia"/>
                      <w:lang w:val="en-US" w:eastAsia="zh-CN"/>
                    </w:rPr>
                    <w:t>环保工程</w:t>
                  </w:r>
                </w:p>
              </w:tc>
              <w:tc>
                <w:tcPr>
                  <w:tcW w:w="798" w:type="pct"/>
                  <w:tcBorders>
                    <w:tl2br w:val="nil"/>
                    <w:tr2bl w:val="nil"/>
                  </w:tcBorders>
                  <w:vAlign w:val="center"/>
                </w:tcPr>
                <w:p>
                  <w:pPr>
                    <w:pStyle w:val="33"/>
                    <w:widowControl w:val="0"/>
                    <w:rPr>
                      <w:lang w:val="en-US" w:eastAsia="zh-CN"/>
                    </w:rPr>
                  </w:pPr>
                  <w:r>
                    <w:rPr>
                      <w:rFonts w:hint="eastAsia"/>
                      <w:lang w:val="en-US" w:eastAsia="zh-CN"/>
                    </w:rPr>
                    <w:t>废气治理</w:t>
                  </w:r>
                </w:p>
              </w:tc>
              <w:tc>
                <w:tcPr>
                  <w:tcW w:w="3044" w:type="pct"/>
                  <w:tcBorders>
                    <w:tl2br w:val="nil"/>
                    <w:tr2bl w:val="nil"/>
                  </w:tcBorders>
                  <w:vAlign w:val="center"/>
                </w:tcPr>
                <w:p>
                  <w:pPr>
                    <w:pStyle w:val="33"/>
                    <w:widowControl w:val="0"/>
                    <w:jc w:val="both"/>
                    <w:rPr>
                      <w:lang w:val="en-US" w:eastAsia="zh-CN"/>
                    </w:rPr>
                  </w:pPr>
                  <w:r>
                    <w:rPr>
                      <w:lang w:val="en-US" w:eastAsia="zh-CN"/>
                    </w:rPr>
                    <w:t>物料储存采用</w:t>
                  </w:r>
                  <w:r>
                    <w:rPr>
                      <w:rFonts w:hint="eastAsia"/>
                      <w:lang w:val="en-US" w:eastAsia="zh-CN"/>
                    </w:rPr>
                    <w:t>篷布覆盖，湿法降尘，密闭厂房；粉尘经</w:t>
                  </w:r>
                  <w:r>
                    <w:rPr>
                      <w:lang w:val="en-US" w:eastAsia="zh-CN"/>
                    </w:rPr>
                    <w:t>2个集尘罩+1台布袋除尘器+</w:t>
                  </w:r>
                  <w:r>
                    <w:rPr>
                      <w:rFonts w:hint="eastAsia"/>
                      <w:lang w:val="en-US" w:eastAsia="zh-CN"/>
                    </w:rPr>
                    <w:t>1根</w:t>
                  </w:r>
                  <w:r>
                    <w:rPr>
                      <w:lang w:val="en-US" w:eastAsia="zh-CN"/>
                    </w:rPr>
                    <w:t>15m排气筒；</w:t>
                  </w:r>
                  <w:r>
                    <w:rPr>
                      <w:rFonts w:hint="eastAsia"/>
                      <w:lang w:val="en-US" w:eastAsia="zh-CN"/>
                    </w:rPr>
                    <w:t>非甲烷总烃经集气罩+UV光氧活性炭一体化处理器+1根</w:t>
                  </w:r>
                  <w:r>
                    <w:rPr>
                      <w:lang w:val="en-US" w:eastAsia="zh-CN"/>
                    </w:rPr>
                    <w:t>15m排气筒</w:t>
                  </w:r>
                </w:p>
              </w:tc>
              <w:tc>
                <w:tcPr>
                  <w:tcW w:w="442" w:type="pct"/>
                  <w:tcBorders>
                    <w:tl2br w:val="nil"/>
                    <w:tr2bl w:val="nil"/>
                  </w:tcBorders>
                  <w:vAlign w:val="center"/>
                </w:tcPr>
                <w:p>
                  <w:pPr>
                    <w:pStyle w:val="33"/>
                    <w:widowControl w:val="0"/>
                    <w:jc w:val="both"/>
                    <w:rPr>
                      <w:lang w:val="en-US" w:eastAsia="zh-CN"/>
                    </w:rPr>
                  </w:pPr>
                  <w:r>
                    <w:rPr>
                      <w:rFonts w:hint="eastAsia"/>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5" w:type="pct"/>
                  <w:vMerge w:val="continue"/>
                  <w:tcBorders>
                    <w:tl2br w:val="nil"/>
                    <w:tr2bl w:val="nil"/>
                  </w:tcBorders>
                  <w:vAlign w:val="center"/>
                </w:tcPr>
                <w:p>
                  <w:pPr>
                    <w:pStyle w:val="33"/>
                    <w:widowControl w:val="0"/>
                    <w:rPr>
                      <w:lang w:val="en-US" w:eastAsia="zh-CN"/>
                    </w:rPr>
                  </w:pPr>
                </w:p>
              </w:tc>
              <w:tc>
                <w:tcPr>
                  <w:tcW w:w="798" w:type="pct"/>
                  <w:vMerge w:val="restart"/>
                  <w:tcBorders>
                    <w:tl2br w:val="nil"/>
                    <w:tr2bl w:val="nil"/>
                  </w:tcBorders>
                  <w:vAlign w:val="center"/>
                </w:tcPr>
                <w:p>
                  <w:pPr>
                    <w:pStyle w:val="33"/>
                    <w:widowControl w:val="0"/>
                    <w:rPr>
                      <w:lang w:val="en-US" w:eastAsia="zh-CN"/>
                    </w:rPr>
                  </w:pPr>
                  <w:r>
                    <w:rPr>
                      <w:rFonts w:hint="eastAsia"/>
                      <w:lang w:val="en-US" w:eastAsia="zh-CN"/>
                    </w:rPr>
                    <w:t>废水治理</w:t>
                  </w:r>
                </w:p>
              </w:tc>
              <w:tc>
                <w:tcPr>
                  <w:tcW w:w="3044" w:type="pct"/>
                  <w:tcBorders>
                    <w:tl2br w:val="nil"/>
                    <w:tr2bl w:val="nil"/>
                  </w:tcBorders>
                  <w:vAlign w:val="center"/>
                </w:tcPr>
                <w:p>
                  <w:pPr>
                    <w:pStyle w:val="33"/>
                    <w:widowControl w:val="0"/>
                    <w:jc w:val="both"/>
                    <w:rPr>
                      <w:lang w:val="en-US" w:eastAsia="zh-CN"/>
                    </w:rPr>
                  </w:pPr>
                  <w:r>
                    <w:rPr>
                      <w:rFonts w:hint="eastAsia"/>
                      <w:lang w:val="en-US" w:eastAsia="zh-CN"/>
                    </w:rPr>
                    <w:t>生产废水经沉淀池收集后循环使用不外排</w:t>
                  </w:r>
                </w:p>
              </w:tc>
              <w:tc>
                <w:tcPr>
                  <w:tcW w:w="442" w:type="pct"/>
                  <w:tcBorders>
                    <w:tl2br w:val="nil"/>
                    <w:tr2bl w:val="nil"/>
                  </w:tcBorders>
                  <w:vAlign w:val="center"/>
                </w:tcPr>
                <w:p>
                  <w:pPr>
                    <w:pStyle w:val="33"/>
                    <w:widowControl w:val="0"/>
                    <w:jc w:val="both"/>
                    <w:rPr>
                      <w:lang w:val="en-US" w:eastAsia="zh-CN"/>
                    </w:rPr>
                  </w:pPr>
                  <w:r>
                    <w:rPr>
                      <w:rFonts w:hint="eastAsia"/>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5" w:type="pct"/>
                  <w:vMerge w:val="continue"/>
                  <w:tcBorders>
                    <w:tl2br w:val="nil"/>
                    <w:tr2bl w:val="nil"/>
                  </w:tcBorders>
                  <w:vAlign w:val="center"/>
                </w:tcPr>
                <w:p>
                  <w:pPr>
                    <w:pStyle w:val="33"/>
                    <w:widowControl w:val="0"/>
                    <w:rPr>
                      <w:lang w:val="en-US" w:eastAsia="zh-CN"/>
                    </w:rPr>
                  </w:pPr>
                </w:p>
              </w:tc>
              <w:tc>
                <w:tcPr>
                  <w:tcW w:w="798" w:type="pct"/>
                  <w:vMerge w:val="continue"/>
                  <w:tcBorders>
                    <w:tl2br w:val="nil"/>
                    <w:tr2bl w:val="nil"/>
                  </w:tcBorders>
                  <w:vAlign w:val="center"/>
                </w:tcPr>
                <w:p>
                  <w:pPr>
                    <w:pStyle w:val="33"/>
                    <w:widowControl w:val="0"/>
                    <w:rPr>
                      <w:lang w:val="en-US" w:eastAsia="zh-CN"/>
                    </w:rPr>
                  </w:pPr>
                </w:p>
              </w:tc>
              <w:tc>
                <w:tcPr>
                  <w:tcW w:w="3044" w:type="pct"/>
                  <w:tcBorders>
                    <w:tl2br w:val="nil"/>
                    <w:tr2bl w:val="nil"/>
                  </w:tcBorders>
                  <w:vAlign w:val="center"/>
                </w:tcPr>
                <w:p>
                  <w:pPr>
                    <w:pStyle w:val="33"/>
                    <w:widowControl w:val="0"/>
                    <w:jc w:val="both"/>
                    <w:rPr>
                      <w:lang w:val="en-US" w:eastAsia="zh-CN"/>
                    </w:rPr>
                  </w:pPr>
                  <w:r>
                    <w:rPr>
                      <w:rFonts w:hint="eastAsia"/>
                      <w:lang w:val="en-US" w:eastAsia="zh-CN"/>
                    </w:rPr>
                    <w:t>生活污水排入园区管网</w:t>
                  </w:r>
                </w:p>
              </w:tc>
              <w:tc>
                <w:tcPr>
                  <w:tcW w:w="442" w:type="pct"/>
                  <w:tcBorders>
                    <w:tl2br w:val="nil"/>
                    <w:tr2bl w:val="nil"/>
                  </w:tcBorders>
                  <w:vAlign w:val="center"/>
                </w:tcPr>
                <w:p>
                  <w:pPr>
                    <w:pStyle w:val="33"/>
                    <w:widowControl w:val="0"/>
                    <w:jc w:val="both"/>
                    <w:rPr>
                      <w:lang w:val="en-US" w:eastAsia="zh-CN"/>
                    </w:rPr>
                  </w:pPr>
                  <w:r>
                    <w:rPr>
                      <w:rFonts w:hint="eastAsia"/>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5" w:type="pct"/>
                  <w:vMerge w:val="continue"/>
                  <w:tcBorders>
                    <w:tl2br w:val="nil"/>
                    <w:tr2bl w:val="nil"/>
                  </w:tcBorders>
                  <w:vAlign w:val="center"/>
                </w:tcPr>
                <w:p>
                  <w:pPr>
                    <w:pStyle w:val="33"/>
                    <w:widowControl w:val="0"/>
                    <w:rPr>
                      <w:lang w:val="en-US" w:eastAsia="zh-CN"/>
                    </w:rPr>
                  </w:pPr>
                </w:p>
              </w:tc>
              <w:tc>
                <w:tcPr>
                  <w:tcW w:w="798" w:type="pct"/>
                  <w:tcBorders>
                    <w:tl2br w:val="nil"/>
                    <w:tr2bl w:val="nil"/>
                  </w:tcBorders>
                  <w:vAlign w:val="center"/>
                </w:tcPr>
                <w:p>
                  <w:pPr>
                    <w:pStyle w:val="33"/>
                    <w:widowControl w:val="0"/>
                    <w:rPr>
                      <w:lang w:val="en-US" w:eastAsia="zh-CN"/>
                    </w:rPr>
                  </w:pPr>
                  <w:r>
                    <w:rPr>
                      <w:rFonts w:hint="eastAsia"/>
                      <w:lang w:val="en-US" w:eastAsia="zh-CN"/>
                    </w:rPr>
                    <w:t>噪声治理</w:t>
                  </w:r>
                </w:p>
              </w:tc>
              <w:tc>
                <w:tcPr>
                  <w:tcW w:w="3044" w:type="pct"/>
                  <w:tcBorders>
                    <w:tl2br w:val="nil"/>
                    <w:tr2bl w:val="nil"/>
                  </w:tcBorders>
                  <w:vAlign w:val="center"/>
                </w:tcPr>
                <w:p>
                  <w:pPr>
                    <w:pStyle w:val="33"/>
                    <w:widowControl w:val="0"/>
                    <w:jc w:val="both"/>
                    <w:rPr>
                      <w:lang w:val="en-US" w:eastAsia="zh-CN"/>
                    </w:rPr>
                  </w:pPr>
                  <w:r>
                    <w:rPr>
                      <w:rFonts w:hint="eastAsia"/>
                      <w:lang w:eastAsia="zh-CN"/>
                    </w:rPr>
                    <w:t>选用低噪</w:t>
                  </w:r>
                  <w:r>
                    <w:rPr>
                      <w:rFonts w:hint="eastAsia"/>
                      <w:lang w:val="en-US" w:eastAsia="zh-CN"/>
                    </w:rPr>
                    <w:t>声</w:t>
                  </w:r>
                  <w:r>
                    <w:rPr>
                      <w:rFonts w:hint="eastAsia"/>
                      <w:lang w:eastAsia="zh-CN"/>
                    </w:rPr>
                    <w:t>设备，采取基础减震、建筑隔音等措施；合理布局，生产车间封闭等措施；运输车辆进入厂区限速行驶，禁止鸣笛。</w:t>
                  </w:r>
                </w:p>
              </w:tc>
              <w:tc>
                <w:tcPr>
                  <w:tcW w:w="442" w:type="pct"/>
                  <w:tcBorders>
                    <w:tl2br w:val="nil"/>
                    <w:tr2bl w:val="nil"/>
                  </w:tcBorders>
                  <w:vAlign w:val="center"/>
                </w:tcPr>
                <w:p>
                  <w:pPr>
                    <w:pStyle w:val="33"/>
                    <w:widowControl w:val="0"/>
                    <w:jc w:val="both"/>
                    <w:rPr>
                      <w:lang w:val="en-US" w:eastAsia="zh-CN"/>
                    </w:rPr>
                  </w:pPr>
                  <w:r>
                    <w:rPr>
                      <w:rFonts w:hint="eastAsia"/>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5" w:type="pct"/>
                  <w:vMerge w:val="continue"/>
                  <w:tcBorders>
                    <w:tl2br w:val="nil"/>
                    <w:tr2bl w:val="nil"/>
                  </w:tcBorders>
                  <w:vAlign w:val="center"/>
                </w:tcPr>
                <w:p>
                  <w:pPr>
                    <w:pStyle w:val="33"/>
                    <w:widowControl w:val="0"/>
                    <w:rPr>
                      <w:lang w:val="en-US" w:eastAsia="zh-CN"/>
                    </w:rPr>
                  </w:pPr>
                </w:p>
              </w:tc>
              <w:tc>
                <w:tcPr>
                  <w:tcW w:w="798" w:type="pct"/>
                  <w:vMerge w:val="restart"/>
                  <w:tcBorders>
                    <w:tl2br w:val="nil"/>
                    <w:tr2bl w:val="nil"/>
                  </w:tcBorders>
                  <w:vAlign w:val="center"/>
                </w:tcPr>
                <w:p>
                  <w:pPr>
                    <w:pStyle w:val="33"/>
                    <w:widowControl w:val="0"/>
                    <w:rPr>
                      <w:lang w:val="en-US" w:eastAsia="zh-CN"/>
                    </w:rPr>
                  </w:pPr>
                  <w:r>
                    <w:rPr>
                      <w:rFonts w:hint="eastAsia"/>
                      <w:lang w:val="en-US" w:eastAsia="zh-CN"/>
                    </w:rPr>
                    <w:t>固废治理</w:t>
                  </w:r>
                </w:p>
              </w:tc>
              <w:tc>
                <w:tcPr>
                  <w:tcW w:w="3044" w:type="pct"/>
                  <w:tcBorders>
                    <w:tl2br w:val="nil"/>
                    <w:tr2bl w:val="nil"/>
                  </w:tcBorders>
                  <w:vAlign w:val="center"/>
                </w:tcPr>
                <w:p>
                  <w:pPr>
                    <w:pStyle w:val="33"/>
                    <w:widowControl w:val="0"/>
                    <w:jc w:val="both"/>
                    <w:rPr>
                      <w:lang w:val="en-US" w:eastAsia="zh-CN"/>
                    </w:rPr>
                  </w:pPr>
                  <w:r>
                    <w:rPr>
                      <w:rFonts w:hint="eastAsia"/>
                      <w:szCs w:val="21"/>
                      <w:lang w:val="en-US" w:eastAsia="zh-CN"/>
                    </w:rPr>
                    <w:t>边角料、废包装物集中收集后外售；不合格品、含油沾染物、生活垃圾委托</w:t>
                  </w:r>
                  <w:r>
                    <w:rPr>
                      <w:rFonts w:hint="eastAsia"/>
                      <w:color w:val="0000FF"/>
                      <w:szCs w:val="21"/>
                      <w:lang w:val="en-US" w:eastAsia="zh-CN"/>
                    </w:rPr>
                    <w:t>环卫</w:t>
                  </w:r>
                  <w:r>
                    <w:rPr>
                      <w:rFonts w:hint="eastAsia"/>
                      <w:szCs w:val="21"/>
                      <w:lang w:val="en-US" w:eastAsia="zh-CN"/>
                    </w:rPr>
                    <w:t>部门清运处置；收集尘、沉淀池渣回用于生产；废脱模剂桶厂家回用</w:t>
                  </w:r>
                </w:p>
              </w:tc>
              <w:tc>
                <w:tcPr>
                  <w:tcW w:w="442" w:type="pct"/>
                  <w:tcBorders>
                    <w:tl2br w:val="nil"/>
                    <w:tr2bl w:val="nil"/>
                  </w:tcBorders>
                  <w:vAlign w:val="center"/>
                </w:tcPr>
                <w:p>
                  <w:pPr>
                    <w:pStyle w:val="33"/>
                    <w:widowControl w:val="0"/>
                    <w:jc w:val="both"/>
                    <w:rPr>
                      <w:lang w:val="en-US" w:eastAsia="zh-CN"/>
                    </w:rPr>
                  </w:pPr>
                  <w:r>
                    <w:rPr>
                      <w:rFonts w:hint="eastAsia"/>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15" w:type="pct"/>
                  <w:vMerge w:val="continue"/>
                  <w:tcBorders>
                    <w:tl2br w:val="nil"/>
                    <w:tr2bl w:val="nil"/>
                  </w:tcBorders>
                  <w:vAlign w:val="center"/>
                </w:tcPr>
                <w:p>
                  <w:pPr>
                    <w:pStyle w:val="33"/>
                    <w:widowControl w:val="0"/>
                    <w:jc w:val="both"/>
                    <w:rPr>
                      <w:lang w:val="en-US" w:eastAsia="zh-CN"/>
                    </w:rPr>
                  </w:pPr>
                </w:p>
              </w:tc>
              <w:tc>
                <w:tcPr>
                  <w:tcW w:w="798" w:type="pct"/>
                  <w:vMerge w:val="continue"/>
                  <w:tcBorders>
                    <w:tl2br w:val="nil"/>
                    <w:tr2bl w:val="nil"/>
                  </w:tcBorders>
                  <w:vAlign w:val="center"/>
                </w:tcPr>
                <w:p>
                  <w:pPr>
                    <w:pStyle w:val="33"/>
                    <w:widowControl w:val="0"/>
                    <w:jc w:val="both"/>
                    <w:rPr>
                      <w:lang w:val="en-US" w:eastAsia="zh-CN"/>
                    </w:rPr>
                  </w:pPr>
                </w:p>
              </w:tc>
              <w:tc>
                <w:tcPr>
                  <w:tcW w:w="3044" w:type="pct"/>
                  <w:tcBorders>
                    <w:tl2br w:val="nil"/>
                    <w:tr2bl w:val="nil"/>
                  </w:tcBorders>
                  <w:vAlign w:val="center"/>
                </w:tcPr>
                <w:p>
                  <w:pPr>
                    <w:pStyle w:val="33"/>
                    <w:widowControl w:val="0"/>
                    <w:jc w:val="both"/>
                    <w:rPr>
                      <w:rFonts w:hint="default"/>
                      <w:lang w:val="en-US" w:eastAsia="zh-CN"/>
                    </w:rPr>
                  </w:pPr>
                  <w:r>
                    <w:rPr>
                      <w:rFonts w:hint="eastAsia"/>
                      <w:lang w:val="en-US" w:eastAsia="zh-CN"/>
                    </w:rPr>
                    <w:t>危险废物：UV灯管、活性炭、废机油、</w:t>
                  </w:r>
                  <w:r>
                    <w:rPr>
                      <w:rFonts w:hint="eastAsia"/>
                      <w:szCs w:val="21"/>
                      <w:lang w:val="en-US" w:eastAsia="zh-CN"/>
                    </w:rPr>
                    <w:t>废乳液桶暂存于危废暂存间（10m</w:t>
                  </w:r>
                  <w:r>
                    <w:rPr>
                      <w:rFonts w:hint="eastAsia"/>
                      <w:szCs w:val="21"/>
                      <w:vertAlign w:val="superscript"/>
                      <w:lang w:val="en-US" w:eastAsia="zh-CN"/>
                    </w:rPr>
                    <w:t>2</w:t>
                  </w:r>
                  <w:r>
                    <w:rPr>
                      <w:rFonts w:hint="eastAsia"/>
                      <w:szCs w:val="21"/>
                      <w:lang w:val="en-US" w:eastAsia="zh-CN"/>
                    </w:rPr>
                    <w:t>），由有资质的单位清运处置</w:t>
                  </w:r>
                </w:p>
              </w:tc>
              <w:tc>
                <w:tcPr>
                  <w:tcW w:w="442" w:type="pct"/>
                  <w:tcBorders>
                    <w:tl2br w:val="nil"/>
                    <w:tr2bl w:val="nil"/>
                  </w:tcBorders>
                  <w:vAlign w:val="center"/>
                </w:tcPr>
                <w:p>
                  <w:pPr>
                    <w:pStyle w:val="33"/>
                    <w:widowControl w:val="0"/>
                    <w:jc w:val="both"/>
                    <w:rPr>
                      <w:lang w:val="en-US" w:eastAsia="zh-CN"/>
                    </w:rPr>
                  </w:pPr>
                  <w:r>
                    <w:rPr>
                      <w:rFonts w:hint="eastAsia"/>
                      <w:lang w:val="en-US" w:eastAsia="zh-CN"/>
                    </w:rPr>
                    <w:t>新建</w:t>
                  </w:r>
                </w:p>
              </w:tc>
            </w:tr>
          </w:tbl>
          <w:p>
            <w:pPr>
              <w:pStyle w:val="5"/>
              <w:numPr>
                <w:ilvl w:val="0"/>
                <w:numId w:val="5"/>
              </w:numPr>
              <w:jc w:val="both"/>
              <w:outlineLvl w:val="1"/>
            </w:pPr>
            <w:r>
              <w:rPr>
                <w:rFonts w:hint="eastAsia"/>
              </w:rPr>
              <w:t>生产设备</w:t>
            </w:r>
          </w:p>
          <w:p>
            <w:pPr>
              <w:pStyle w:val="20"/>
              <w:ind w:firstLine="480"/>
              <w:jc w:val="both"/>
            </w:pPr>
            <w:r>
              <w:t>本项目主要</w:t>
            </w:r>
            <w:r>
              <w:rPr>
                <w:rFonts w:hint="eastAsia"/>
              </w:rPr>
              <w:t>生产设备</w:t>
            </w:r>
            <w:r>
              <w:t>见表</w:t>
            </w:r>
            <w:r>
              <w:rPr>
                <w:rFonts w:hint="eastAsia"/>
              </w:rPr>
              <w:t>2-</w:t>
            </w:r>
            <w:r>
              <w:t>2。</w:t>
            </w:r>
          </w:p>
          <w:p>
            <w:pPr>
              <w:pStyle w:val="32"/>
            </w:pPr>
            <w:r>
              <w:t>表</w:t>
            </w:r>
            <w:r>
              <w:rPr>
                <w:rFonts w:hint="eastAsia"/>
              </w:rPr>
              <w:t>2-</w:t>
            </w:r>
            <w:r>
              <w:t xml:space="preserve"> </w:t>
            </w:r>
            <w:r>
              <w:fldChar w:fldCharType="begin"/>
            </w:r>
            <w:r>
              <w:instrText xml:space="preserve"> SEQ 表格 \* ARABIC </w:instrText>
            </w:r>
            <w:r>
              <w:fldChar w:fldCharType="separate"/>
            </w:r>
            <w:r>
              <w:t>2</w:t>
            </w:r>
            <w:r>
              <w:fldChar w:fldCharType="end"/>
            </w:r>
            <w:r>
              <w:t xml:space="preserve"> </w:t>
            </w:r>
            <w:r>
              <w:rPr>
                <w:rFonts w:hint="eastAsia"/>
              </w:rPr>
              <w:t xml:space="preserve">     </w:t>
            </w:r>
            <w:r>
              <w:t>主要</w:t>
            </w:r>
            <w:r>
              <w:rPr>
                <w:rFonts w:hint="eastAsia"/>
              </w:rPr>
              <w:t>生产设备</w:t>
            </w:r>
            <w:r>
              <w:t>一览表</w:t>
            </w:r>
          </w:p>
          <w:tbl>
            <w:tblPr>
              <w:tblStyle w:val="2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591"/>
              <w:gridCol w:w="3123"/>
              <w:gridCol w:w="713"/>
              <w:gridCol w:w="7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51" w:type="pct"/>
                  <w:tcBorders>
                    <w:top w:val="single" w:color="auto" w:sz="12" w:space="0"/>
                    <w:left w:val="nil"/>
                    <w:bottom w:val="single" w:color="auto" w:sz="12" w:space="0"/>
                    <w:right w:val="single" w:color="auto" w:sz="4" w:space="0"/>
                  </w:tcBorders>
                  <w:vAlign w:val="center"/>
                </w:tcPr>
                <w:p>
                  <w:pPr>
                    <w:pStyle w:val="33"/>
                    <w:rPr>
                      <w:b/>
                      <w:bCs/>
                    </w:rPr>
                  </w:pPr>
                  <w:r>
                    <w:rPr>
                      <w:b/>
                      <w:bCs/>
                    </w:rPr>
                    <w:t>序号</w:t>
                  </w:r>
                </w:p>
              </w:tc>
              <w:tc>
                <w:tcPr>
                  <w:tcW w:w="1650" w:type="pct"/>
                  <w:tcBorders>
                    <w:top w:val="single" w:color="auto" w:sz="12" w:space="0"/>
                    <w:left w:val="single" w:color="auto" w:sz="4" w:space="0"/>
                    <w:bottom w:val="single" w:color="auto" w:sz="12" w:space="0"/>
                    <w:right w:val="single" w:color="auto" w:sz="4" w:space="0"/>
                  </w:tcBorders>
                  <w:vAlign w:val="center"/>
                </w:tcPr>
                <w:p>
                  <w:pPr>
                    <w:pStyle w:val="33"/>
                    <w:rPr>
                      <w:b/>
                      <w:bCs/>
                    </w:rPr>
                  </w:pPr>
                  <w:r>
                    <w:rPr>
                      <w:b/>
                      <w:bCs/>
                    </w:rPr>
                    <w:t>名称</w:t>
                  </w:r>
                </w:p>
              </w:tc>
              <w:tc>
                <w:tcPr>
                  <w:tcW w:w="1989" w:type="pct"/>
                  <w:tcBorders>
                    <w:top w:val="single" w:color="auto" w:sz="12" w:space="0"/>
                    <w:left w:val="single" w:color="auto" w:sz="4" w:space="0"/>
                    <w:bottom w:val="single" w:color="auto" w:sz="12" w:space="0"/>
                    <w:right w:val="single" w:color="auto" w:sz="4" w:space="0"/>
                  </w:tcBorders>
                  <w:vAlign w:val="center"/>
                </w:tcPr>
                <w:p>
                  <w:pPr>
                    <w:pStyle w:val="33"/>
                    <w:rPr>
                      <w:b/>
                      <w:bCs/>
                      <w:lang w:val="en-US" w:eastAsia="zh-CN"/>
                    </w:rPr>
                  </w:pPr>
                  <w:r>
                    <w:rPr>
                      <w:rFonts w:hint="eastAsia"/>
                      <w:b/>
                      <w:bCs/>
                      <w:lang w:val="en-US" w:eastAsia="zh-CN"/>
                    </w:rPr>
                    <w:t>规格型号</w:t>
                  </w:r>
                </w:p>
              </w:tc>
              <w:tc>
                <w:tcPr>
                  <w:tcW w:w="454" w:type="pct"/>
                  <w:tcBorders>
                    <w:top w:val="single" w:color="auto" w:sz="12" w:space="0"/>
                    <w:left w:val="single" w:color="auto" w:sz="4" w:space="0"/>
                    <w:bottom w:val="single" w:color="auto" w:sz="12" w:space="0"/>
                    <w:right w:val="nil"/>
                  </w:tcBorders>
                  <w:vAlign w:val="center"/>
                </w:tcPr>
                <w:p>
                  <w:pPr>
                    <w:pStyle w:val="33"/>
                    <w:rPr>
                      <w:b/>
                      <w:bCs/>
                      <w:lang w:val="en-US" w:eastAsia="zh-CN"/>
                    </w:rPr>
                  </w:pPr>
                  <w:r>
                    <w:rPr>
                      <w:b/>
                      <w:bCs/>
                    </w:rPr>
                    <w:t>数量</w:t>
                  </w:r>
                </w:p>
              </w:tc>
              <w:tc>
                <w:tcPr>
                  <w:tcW w:w="454" w:type="pct"/>
                  <w:tcBorders>
                    <w:top w:val="single" w:color="auto" w:sz="12" w:space="0"/>
                    <w:left w:val="single" w:color="auto" w:sz="4" w:space="0"/>
                    <w:bottom w:val="single" w:color="auto" w:sz="12" w:space="0"/>
                    <w:right w:val="nil"/>
                  </w:tcBorders>
                  <w:vAlign w:val="center"/>
                </w:tcPr>
                <w:p>
                  <w:pPr>
                    <w:pStyle w:val="33"/>
                    <w:rPr>
                      <w:b/>
                      <w:bCs/>
                      <w:lang w:val="en-US" w:eastAsia="zh-CN"/>
                    </w:rPr>
                  </w:pPr>
                  <w:r>
                    <w:rPr>
                      <w:rFonts w:hint="eastAsia"/>
                      <w:b/>
                      <w:bCs/>
                      <w:lang w:val="en-US" w:eastAsia="zh-CN"/>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trPr>
              <w:tc>
                <w:tcPr>
                  <w:tcW w:w="451" w:type="pct"/>
                  <w:tcBorders>
                    <w:top w:val="single" w:color="auto" w:sz="12" w:space="0"/>
                    <w:left w:val="nil"/>
                    <w:bottom w:val="single" w:color="auto" w:sz="4" w:space="0"/>
                    <w:right w:val="single" w:color="auto" w:sz="4" w:space="0"/>
                  </w:tcBorders>
                  <w:vAlign w:val="center"/>
                </w:tcPr>
                <w:p>
                  <w:pPr>
                    <w:pStyle w:val="33"/>
                    <w:rPr>
                      <w:lang w:val="en-US" w:eastAsia="zh-CN"/>
                    </w:rPr>
                  </w:pPr>
                  <w:r>
                    <w:rPr>
                      <w:rFonts w:hint="eastAsia"/>
                      <w:lang w:val="en-US" w:eastAsia="zh-CN"/>
                    </w:rPr>
                    <w:t>1</w:t>
                  </w:r>
                </w:p>
              </w:tc>
              <w:tc>
                <w:tcPr>
                  <w:tcW w:w="1650" w:type="pct"/>
                  <w:tcBorders>
                    <w:top w:val="single" w:color="auto" w:sz="12" w:space="0"/>
                    <w:left w:val="single" w:color="auto" w:sz="4" w:space="0"/>
                    <w:bottom w:val="single" w:color="auto" w:sz="4" w:space="0"/>
                    <w:right w:val="single" w:color="auto" w:sz="4" w:space="0"/>
                  </w:tcBorders>
                  <w:vAlign w:val="center"/>
                </w:tcPr>
                <w:p>
                  <w:pPr>
                    <w:pStyle w:val="33"/>
                    <w:rPr>
                      <w:lang w:val="en-US" w:eastAsia="zh-CN"/>
                    </w:rPr>
                  </w:pPr>
                  <w:r>
                    <w:rPr>
                      <w:lang w:val="en-US" w:eastAsia="zh-CN"/>
                    </w:rPr>
                    <w:t>EPS线条数控切割机</w:t>
                  </w:r>
                </w:p>
              </w:tc>
              <w:tc>
                <w:tcPr>
                  <w:tcW w:w="1989" w:type="pct"/>
                  <w:tcBorders>
                    <w:top w:val="single" w:color="auto" w:sz="12" w:space="0"/>
                    <w:left w:val="single" w:color="auto" w:sz="4" w:space="0"/>
                    <w:bottom w:val="single" w:color="auto" w:sz="4" w:space="0"/>
                    <w:right w:val="single" w:color="auto" w:sz="4" w:space="0"/>
                  </w:tcBorders>
                  <w:vAlign w:val="center"/>
                </w:tcPr>
                <w:p>
                  <w:pPr>
                    <w:pStyle w:val="33"/>
                    <w:rPr>
                      <w:lang w:val="en-US" w:eastAsia="zh-CN"/>
                    </w:rPr>
                  </w:pPr>
                  <w:r>
                    <w:rPr>
                      <w:lang w:val="en-US" w:eastAsia="zh-CN"/>
                    </w:rPr>
                    <w:t xml:space="preserve">JDH-Q7 </w:t>
                  </w:r>
                </w:p>
              </w:tc>
              <w:tc>
                <w:tcPr>
                  <w:tcW w:w="454" w:type="pct"/>
                  <w:tcBorders>
                    <w:top w:val="single" w:color="auto" w:sz="12" w:space="0"/>
                    <w:left w:val="single" w:color="auto" w:sz="4" w:space="0"/>
                    <w:bottom w:val="single" w:color="auto" w:sz="4" w:space="0"/>
                    <w:right w:val="single" w:color="auto" w:sz="4" w:space="0"/>
                  </w:tcBorders>
                  <w:vAlign w:val="center"/>
                </w:tcPr>
                <w:p>
                  <w:pPr>
                    <w:pStyle w:val="33"/>
                    <w:rPr>
                      <w:lang w:val="en-US" w:eastAsia="zh-CN"/>
                    </w:rPr>
                  </w:pPr>
                  <w:r>
                    <w:rPr>
                      <w:rFonts w:hint="eastAsia"/>
                      <w:lang w:val="en-US" w:eastAsia="zh-CN"/>
                    </w:rPr>
                    <w:t>1</w:t>
                  </w:r>
                </w:p>
              </w:tc>
              <w:tc>
                <w:tcPr>
                  <w:tcW w:w="454" w:type="pct"/>
                  <w:tcBorders>
                    <w:top w:val="single" w:color="auto" w:sz="12" w:space="0"/>
                    <w:left w:val="single" w:color="auto" w:sz="4" w:space="0"/>
                    <w:bottom w:val="single" w:color="auto" w:sz="4" w:space="0"/>
                    <w:right w:val="nil"/>
                  </w:tcBorders>
                  <w:vAlign w:val="center"/>
                </w:tcPr>
                <w:p>
                  <w:pPr>
                    <w:pStyle w:val="33"/>
                    <w:rPr>
                      <w:lang w:val="en-US" w:eastAsia="zh-CN"/>
                    </w:rPr>
                  </w:pPr>
                  <w:r>
                    <w:rPr>
                      <w:rFonts w:hint="eastAsia"/>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pct"/>
                  <w:tcBorders>
                    <w:top w:val="single" w:color="auto" w:sz="4" w:space="0"/>
                    <w:left w:val="nil"/>
                    <w:bottom w:val="single" w:color="auto" w:sz="4" w:space="0"/>
                    <w:right w:val="single" w:color="auto" w:sz="4" w:space="0"/>
                  </w:tcBorders>
                  <w:vAlign w:val="center"/>
                </w:tcPr>
                <w:p>
                  <w:pPr>
                    <w:pStyle w:val="33"/>
                    <w:rPr>
                      <w:lang w:val="en-US" w:eastAsia="zh-CN"/>
                    </w:rPr>
                  </w:pPr>
                  <w:r>
                    <w:rPr>
                      <w:rFonts w:hint="eastAsia"/>
                      <w:lang w:val="en-US" w:eastAsia="zh-CN"/>
                    </w:rPr>
                    <w:t>2</w:t>
                  </w:r>
                </w:p>
              </w:tc>
              <w:tc>
                <w:tcPr>
                  <w:tcW w:w="1650" w:type="pct"/>
                  <w:tcBorders>
                    <w:top w:val="single" w:color="auto" w:sz="4" w:space="0"/>
                    <w:left w:val="single" w:color="auto" w:sz="4" w:space="0"/>
                    <w:bottom w:val="single" w:color="auto" w:sz="4" w:space="0"/>
                    <w:right w:val="single" w:color="auto" w:sz="4" w:space="0"/>
                  </w:tcBorders>
                  <w:vAlign w:val="center"/>
                </w:tcPr>
                <w:p>
                  <w:pPr>
                    <w:pStyle w:val="33"/>
                    <w:rPr>
                      <w:lang w:val="en-US" w:eastAsia="zh-CN"/>
                    </w:rPr>
                  </w:pPr>
                  <w:r>
                    <w:rPr>
                      <w:lang w:val="en-US" w:eastAsia="zh-CN"/>
                    </w:rPr>
                    <w:t>EPS圆弧切割机</w:t>
                  </w:r>
                </w:p>
              </w:tc>
              <w:tc>
                <w:tcPr>
                  <w:tcW w:w="1989" w:type="pct"/>
                  <w:tcBorders>
                    <w:top w:val="single" w:color="auto" w:sz="4" w:space="0"/>
                    <w:left w:val="single" w:color="auto" w:sz="4" w:space="0"/>
                    <w:bottom w:val="single" w:color="auto" w:sz="4" w:space="0"/>
                    <w:right w:val="single" w:color="auto" w:sz="4" w:space="0"/>
                  </w:tcBorders>
                  <w:vAlign w:val="center"/>
                </w:tcPr>
                <w:p>
                  <w:pPr>
                    <w:pStyle w:val="33"/>
                    <w:rPr>
                      <w:color w:val="FF0000"/>
                      <w:lang w:val="en-US" w:eastAsia="zh-CN"/>
                    </w:rPr>
                  </w:pPr>
                  <w:r>
                    <w:rPr>
                      <w:lang w:val="en-US" w:eastAsia="zh-CN"/>
                    </w:rPr>
                    <w:t>JDH-Y3</w:t>
                  </w:r>
                </w:p>
              </w:tc>
              <w:tc>
                <w:tcPr>
                  <w:tcW w:w="454" w:type="pct"/>
                  <w:tcBorders>
                    <w:top w:val="single" w:color="auto" w:sz="4" w:space="0"/>
                    <w:left w:val="single" w:color="auto" w:sz="4" w:space="0"/>
                    <w:bottom w:val="single" w:color="auto" w:sz="4" w:space="0"/>
                    <w:right w:val="single" w:color="auto" w:sz="4" w:space="0"/>
                  </w:tcBorders>
                  <w:vAlign w:val="center"/>
                </w:tcPr>
                <w:p>
                  <w:pPr>
                    <w:pStyle w:val="33"/>
                    <w:rPr>
                      <w:lang w:val="en-US" w:eastAsia="zh-CN"/>
                    </w:rPr>
                  </w:pPr>
                  <w:r>
                    <w:rPr>
                      <w:rFonts w:hint="eastAsia"/>
                      <w:lang w:val="en-US" w:eastAsia="zh-CN"/>
                    </w:rPr>
                    <w:t>1</w:t>
                  </w:r>
                </w:p>
              </w:tc>
              <w:tc>
                <w:tcPr>
                  <w:tcW w:w="454" w:type="pct"/>
                  <w:tcBorders>
                    <w:top w:val="single" w:color="auto" w:sz="4" w:space="0"/>
                    <w:left w:val="single" w:color="auto" w:sz="4" w:space="0"/>
                    <w:bottom w:val="single" w:color="auto" w:sz="4" w:space="0"/>
                    <w:right w:val="nil"/>
                  </w:tcBorders>
                  <w:vAlign w:val="center"/>
                </w:tcPr>
                <w:p>
                  <w:pPr>
                    <w:pStyle w:val="33"/>
                    <w:rPr>
                      <w:lang w:val="en-US" w:eastAsia="zh-CN"/>
                    </w:rPr>
                  </w:pPr>
                  <w:r>
                    <w:rPr>
                      <w:rFonts w:hint="eastAsia"/>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pct"/>
                  <w:tcBorders>
                    <w:top w:val="single" w:color="auto" w:sz="4" w:space="0"/>
                    <w:left w:val="nil"/>
                    <w:bottom w:val="single" w:color="auto" w:sz="4" w:space="0"/>
                    <w:right w:val="single" w:color="auto" w:sz="4" w:space="0"/>
                  </w:tcBorders>
                  <w:vAlign w:val="center"/>
                </w:tcPr>
                <w:p>
                  <w:pPr>
                    <w:pStyle w:val="33"/>
                    <w:rPr>
                      <w:lang w:val="en-US" w:eastAsia="zh-CN"/>
                    </w:rPr>
                  </w:pPr>
                  <w:r>
                    <w:rPr>
                      <w:rFonts w:hint="eastAsia"/>
                      <w:lang w:val="en-US" w:eastAsia="zh-CN"/>
                    </w:rPr>
                    <w:t>3</w:t>
                  </w:r>
                </w:p>
              </w:tc>
              <w:tc>
                <w:tcPr>
                  <w:tcW w:w="1650" w:type="pct"/>
                  <w:tcBorders>
                    <w:top w:val="single" w:color="auto" w:sz="4" w:space="0"/>
                    <w:left w:val="single" w:color="auto" w:sz="4" w:space="0"/>
                    <w:bottom w:val="single" w:color="auto" w:sz="4" w:space="0"/>
                    <w:right w:val="single" w:color="auto" w:sz="4" w:space="0"/>
                  </w:tcBorders>
                  <w:vAlign w:val="center"/>
                </w:tcPr>
                <w:p>
                  <w:pPr>
                    <w:pStyle w:val="33"/>
                    <w:rPr>
                      <w:lang w:val="en-US" w:eastAsia="zh-CN"/>
                    </w:rPr>
                  </w:pPr>
                  <w:r>
                    <w:rPr>
                      <w:rFonts w:hint="eastAsia"/>
                    </w:rPr>
                    <w:t>泡沫雕刻机</w:t>
                  </w:r>
                </w:p>
              </w:tc>
              <w:tc>
                <w:tcPr>
                  <w:tcW w:w="1989" w:type="pct"/>
                  <w:tcBorders>
                    <w:top w:val="single" w:color="auto" w:sz="4" w:space="0"/>
                    <w:left w:val="single" w:color="auto" w:sz="4" w:space="0"/>
                    <w:bottom w:val="single" w:color="auto" w:sz="4" w:space="0"/>
                    <w:right w:val="single" w:color="auto" w:sz="4" w:space="0"/>
                  </w:tcBorders>
                  <w:vAlign w:val="center"/>
                </w:tcPr>
                <w:p>
                  <w:pPr>
                    <w:pStyle w:val="33"/>
                    <w:rPr>
                      <w:lang w:val="en-US" w:eastAsia="zh-CN"/>
                    </w:rPr>
                  </w:pPr>
                  <w:r>
                    <w:rPr>
                      <w:rFonts w:hint="eastAsia"/>
                    </w:rPr>
                    <w:t>1325</w:t>
                  </w:r>
                </w:p>
              </w:tc>
              <w:tc>
                <w:tcPr>
                  <w:tcW w:w="454" w:type="pct"/>
                  <w:tcBorders>
                    <w:top w:val="single" w:color="auto" w:sz="4" w:space="0"/>
                    <w:left w:val="single" w:color="auto" w:sz="4" w:space="0"/>
                    <w:bottom w:val="single" w:color="auto" w:sz="4" w:space="0"/>
                    <w:right w:val="single" w:color="auto" w:sz="4" w:space="0"/>
                  </w:tcBorders>
                  <w:vAlign w:val="center"/>
                </w:tcPr>
                <w:p>
                  <w:pPr>
                    <w:pStyle w:val="33"/>
                    <w:rPr>
                      <w:lang w:val="en-US" w:eastAsia="zh-CN"/>
                    </w:rPr>
                  </w:pPr>
                  <w:r>
                    <w:rPr>
                      <w:rFonts w:hint="eastAsia"/>
                      <w:lang w:val="en-US" w:eastAsia="zh-CN"/>
                    </w:rPr>
                    <w:t>1</w:t>
                  </w:r>
                </w:p>
              </w:tc>
              <w:tc>
                <w:tcPr>
                  <w:tcW w:w="454" w:type="pct"/>
                  <w:tcBorders>
                    <w:top w:val="single" w:color="auto" w:sz="4" w:space="0"/>
                    <w:left w:val="single" w:color="auto" w:sz="4" w:space="0"/>
                    <w:bottom w:val="single" w:color="auto" w:sz="4" w:space="0"/>
                    <w:right w:val="nil"/>
                  </w:tcBorders>
                  <w:vAlign w:val="center"/>
                </w:tcPr>
                <w:p>
                  <w:pPr>
                    <w:pStyle w:val="33"/>
                    <w:rPr>
                      <w:lang w:val="en-US" w:eastAsia="zh-CN"/>
                    </w:rPr>
                  </w:pPr>
                  <w:r>
                    <w:rPr>
                      <w:rFonts w:hint="eastAsia"/>
                      <w:lang w:val="en-US" w:eastAsia="zh-CN"/>
                    </w:rPr>
                    <w:t>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pct"/>
                  <w:tcBorders>
                    <w:top w:val="single" w:color="auto" w:sz="4" w:space="0"/>
                    <w:left w:val="nil"/>
                    <w:bottom w:val="single" w:color="000000" w:sz="4" w:space="0"/>
                    <w:right w:val="single" w:color="auto" w:sz="4" w:space="0"/>
                  </w:tcBorders>
                  <w:vAlign w:val="center"/>
                </w:tcPr>
                <w:p>
                  <w:pPr>
                    <w:pStyle w:val="33"/>
                    <w:rPr>
                      <w:lang w:val="en-US" w:eastAsia="zh-CN"/>
                    </w:rPr>
                  </w:pPr>
                  <w:r>
                    <w:rPr>
                      <w:rFonts w:hint="eastAsia"/>
                      <w:lang w:val="en-US" w:eastAsia="zh-CN"/>
                    </w:rPr>
                    <w:t>4</w:t>
                  </w:r>
                </w:p>
              </w:tc>
              <w:tc>
                <w:tcPr>
                  <w:tcW w:w="1650" w:type="pct"/>
                  <w:tcBorders>
                    <w:top w:val="single" w:color="auto" w:sz="4" w:space="0"/>
                    <w:left w:val="single" w:color="auto" w:sz="4" w:space="0"/>
                    <w:bottom w:val="single" w:color="000000" w:sz="4" w:space="0"/>
                    <w:right w:val="single" w:color="auto" w:sz="4" w:space="0"/>
                  </w:tcBorders>
                  <w:vAlign w:val="center"/>
                </w:tcPr>
                <w:p>
                  <w:pPr>
                    <w:pStyle w:val="33"/>
                    <w:rPr>
                      <w:lang w:val="en-US" w:eastAsia="zh-CN"/>
                    </w:rPr>
                  </w:pPr>
                  <w:r>
                    <w:rPr>
                      <w:rFonts w:hint="eastAsia"/>
                      <w:lang w:val="en-US" w:eastAsia="zh-CN"/>
                    </w:rPr>
                    <w:t>EPS线条自动抹浆机</w:t>
                  </w:r>
                </w:p>
              </w:tc>
              <w:tc>
                <w:tcPr>
                  <w:tcW w:w="1989" w:type="pct"/>
                  <w:tcBorders>
                    <w:top w:val="single" w:color="auto" w:sz="4" w:space="0"/>
                    <w:left w:val="single" w:color="auto" w:sz="4" w:space="0"/>
                    <w:bottom w:val="single" w:color="000000" w:sz="4" w:space="0"/>
                    <w:right w:val="single" w:color="auto" w:sz="4" w:space="0"/>
                  </w:tcBorders>
                  <w:vAlign w:val="center"/>
                </w:tcPr>
                <w:p>
                  <w:pPr>
                    <w:pStyle w:val="33"/>
                    <w:rPr>
                      <w:lang w:val="en-US" w:eastAsia="zh-CN"/>
                    </w:rPr>
                  </w:pPr>
                  <w:r>
                    <w:rPr>
                      <w:lang w:val="en-US" w:eastAsia="zh-CN"/>
                    </w:rPr>
                    <w:t xml:space="preserve">JDH-G4 </w:t>
                  </w:r>
                </w:p>
              </w:tc>
              <w:tc>
                <w:tcPr>
                  <w:tcW w:w="454" w:type="pct"/>
                  <w:tcBorders>
                    <w:top w:val="single" w:color="auto" w:sz="4" w:space="0"/>
                    <w:left w:val="single" w:color="auto" w:sz="4" w:space="0"/>
                    <w:bottom w:val="single" w:color="000000" w:sz="4" w:space="0"/>
                    <w:right w:val="single" w:color="auto" w:sz="4" w:space="0"/>
                  </w:tcBorders>
                  <w:vAlign w:val="center"/>
                </w:tcPr>
                <w:p>
                  <w:pPr>
                    <w:pStyle w:val="33"/>
                    <w:rPr>
                      <w:lang w:val="en-US" w:eastAsia="zh-CN"/>
                    </w:rPr>
                  </w:pPr>
                  <w:r>
                    <w:rPr>
                      <w:rFonts w:hint="eastAsia"/>
                      <w:lang w:val="en-US" w:eastAsia="zh-CN"/>
                    </w:rPr>
                    <w:t>1</w:t>
                  </w:r>
                </w:p>
              </w:tc>
              <w:tc>
                <w:tcPr>
                  <w:tcW w:w="454" w:type="pct"/>
                  <w:tcBorders>
                    <w:top w:val="single" w:color="auto" w:sz="4" w:space="0"/>
                    <w:left w:val="single" w:color="auto" w:sz="4" w:space="0"/>
                    <w:bottom w:val="single" w:color="000000" w:sz="4" w:space="0"/>
                    <w:right w:val="nil"/>
                  </w:tcBorders>
                  <w:vAlign w:val="center"/>
                </w:tcPr>
                <w:p>
                  <w:pPr>
                    <w:pStyle w:val="33"/>
                    <w:rPr>
                      <w:lang w:val="en-US" w:eastAsia="zh-CN"/>
                    </w:rPr>
                  </w:pPr>
                  <w:r>
                    <w:rPr>
                      <w:rFonts w:hint="eastAsia"/>
                      <w:lang w:val="en-US" w:eastAsia="zh-CN"/>
                    </w:rPr>
                    <w:t>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pct"/>
                  <w:tcBorders>
                    <w:top w:val="single" w:color="auto" w:sz="4" w:space="0"/>
                    <w:left w:val="nil"/>
                    <w:bottom w:val="single" w:color="000000" w:sz="4" w:space="0"/>
                    <w:right w:val="single" w:color="auto" w:sz="4" w:space="0"/>
                  </w:tcBorders>
                  <w:vAlign w:val="center"/>
                </w:tcPr>
                <w:p>
                  <w:pPr>
                    <w:pStyle w:val="33"/>
                    <w:rPr>
                      <w:lang w:val="en-US" w:eastAsia="zh-CN"/>
                    </w:rPr>
                  </w:pPr>
                  <w:r>
                    <w:rPr>
                      <w:rFonts w:hint="eastAsia"/>
                      <w:lang w:val="en-US" w:eastAsia="zh-CN"/>
                    </w:rPr>
                    <w:t>5</w:t>
                  </w:r>
                </w:p>
              </w:tc>
              <w:tc>
                <w:tcPr>
                  <w:tcW w:w="1650" w:type="pct"/>
                  <w:tcBorders>
                    <w:top w:val="single" w:color="auto" w:sz="4" w:space="0"/>
                    <w:left w:val="single" w:color="auto" w:sz="4" w:space="0"/>
                    <w:bottom w:val="single" w:color="000000" w:sz="4" w:space="0"/>
                    <w:right w:val="single" w:color="auto" w:sz="4" w:space="0"/>
                  </w:tcBorders>
                  <w:vAlign w:val="center"/>
                </w:tcPr>
                <w:p>
                  <w:pPr>
                    <w:pStyle w:val="33"/>
                    <w:rPr>
                      <w:lang w:val="en-US" w:eastAsia="zh-CN"/>
                    </w:rPr>
                  </w:pPr>
                  <w:r>
                    <w:rPr>
                      <w:rFonts w:hint="eastAsia"/>
                      <w:lang w:val="en-US" w:eastAsia="zh-CN"/>
                    </w:rPr>
                    <w:t>EPS线条自动包网机</w:t>
                  </w:r>
                </w:p>
              </w:tc>
              <w:tc>
                <w:tcPr>
                  <w:tcW w:w="1989" w:type="pct"/>
                  <w:tcBorders>
                    <w:top w:val="single" w:color="auto" w:sz="4" w:space="0"/>
                    <w:left w:val="single" w:color="auto" w:sz="4" w:space="0"/>
                    <w:bottom w:val="single" w:color="000000" w:sz="4" w:space="0"/>
                    <w:right w:val="single" w:color="auto" w:sz="4" w:space="0"/>
                  </w:tcBorders>
                  <w:vAlign w:val="center"/>
                </w:tcPr>
                <w:p>
                  <w:pPr>
                    <w:pStyle w:val="33"/>
                    <w:rPr>
                      <w:lang w:val="en-US" w:eastAsia="zh-CN"/>
                    </w:rPr>
                  </w:pPr>
                  <w:r>
                    <w:rPr>
                      <w:lang w:val="en-US" w:eastAsia="zh-CN"/>
                    </w:rPr>
                    <w:t>JDHBW1</w:t>
                  </w:r>
                </w:p>
              </w:tc>
              <w:tc>
                <w:tcPr>
                  <w:tcW w:w="454" w:type="pct"/>
                  <w:tcBorders>
                    <w:top w:val="single" w:color="auto" w:sz="4" w:space="0"/>
                    <w:left w:val="single" w:color="auto" w:sz="4" w:space="0"/>
                    <w:bottom w:val="single" w:color="000000" w:sz="4" w:space="0"/>
                    <w:right w:val="single" w:color="auto" w:sz="4" w:space="0"/>
                  </w:tcBorders>
                  <w:vAlign w:val="center"/>
                </w:tcPr>
                <w:p>
                  <w:pPr>
                    <w:pStyle w:val="33"/>
                    <w:rPr>
                      <w:lang w:val="en-US" w:eastAsia="zh-CN"/>
                    </w:rPr>
                  </w:pPr>
                  <w:r>
                    <w:rPr>
                      <w:rFonts w:hint="eastAsia"/>
                      <w:lang w:val="en-US" w:eastAsia="zh-CN"/>
                    </w:rPr>
                    <w:t>1</w:t>
                  </w:r>
                </w:p>
              </w:tc>
              <w:tc>
                <w:tcPr>
                  <w:tcW w:w="454" w:type="pct"/>
                  <w:tcBorders>
                    <w:top w:val="single" w:color="auto" w:sz="4" w:space="0"/>
                    <w:left w:val="single" w:color="auto" w:sz="4" w:space="0"/>
                    <w:bottom w:val="single" w:color="000000" w:sz="4" w:space="0"/>
                    <w:right w:val="nil"/>
                  </w:tcBorders>
                  <w:vAlign w:val="center"/>
                </w:tcPr>
                <w:p>
                  <w:pPr>
                    <w:pStyle w:val="33"/>
                    <w:rPr>
                      <w:lang w:val="en-US" w:eastAsia="zh-CN"/>
                    </w:rPr>
                  </w:pPr>
                  <w:r>
                    <w:rPr>
                      <w:rFonts w:hint="eastAsia"/>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pct"/>
                  <w:tcBorders>
                    <w:top w:val="single" w:color="auto" w:sz="4" w:space="0"/>
                    <w:left w:val="nil"/>
                    <w:bottom w:val="single" w:color="000000" w:sz="4" w:space="0"/>
                    <w:right w:val="single" w:color="auto" w:sz="4" w:space="0"/>
                  </w:tcBorders>
                  <w:vAlign w:val="center"/>
                </w:tcPr>
                <w:p>
                  <w:pPr>
                    <w:pStyle w:val="33"/>
                    <w:rPr>
                      <w:lang w:val="en-US" w:eastAsia="zh-CN"/>
                    </w:rPr>
                  </w:pPr>
                  <w:r>
                    <w:rPr>
                      <w:rFonts w:hint="eastAsia"/>
                      <w:lang w:val="en-US" w:eastAsia="zh-CN"/>
                    </w:rPr>
                    <w:t>6</w:t>
                  </w:r>
                </w:p>
              </w:tc>
              <w:tc>
                <w:tcPr>
                  <w:tcW w:w="1650" w:type="pct"/>
                  <w:tcBorders>
                    <w:top w:val="single" w:color="auto" w:sz="4" w:space="0"/>
                    <w:left w:val="single" w:color="auto" w:sz="4" w:space="0"/>
                    <w:bottom w:val="single" w:color="000000" w:sz="4" w:space="0"/>
                    <w:right w:val="single" w:color="auto" w:sz="4" w:space="0"/>
                  </w:tcBorders>
                  <w:vAlign w:val="center"/>
                </w:tcPr>
                <w:p>
                  <w:pPr>
                    <w:pStyle w:val="33"/>
                    <w:rPr>
                      <w:lang w:val="en-US" w:eastAsia="zh-CN"/>
                    </w:rPr>
                  </w:pPr>
                  <w:r>
                    <w:rPr>
                      <w:rFonts w:hint="eastAsia"/>
                      <w:lang w:val="en-US" w:eastAsia="zh-CN"/>
                    </w:rPr>
                    <w:t>GRC模具</w:t>
                  </w:r>
                </w:p>
              </w:tc>
              <w:tc>
                <w:tcPr>
                  <w:tcW w:w="1989" w:type="pct"/>
                  <w:tcBorders>
                    <w:top w:val="single" w:color="auto" w:sz="4" w:space="0"/>
                    <w:left w:val="single" w:color="auto" w:sz="4" w:space="0"/>
                    <w:bottom w:val="single" w:color="000000" w:sz="4" w:space="0"/>
                    <w:right w:val="single" w:color="auto" w:sz="4" w:space="0"/>
                  </w:tcBorders>
                  <w:vAlign w:val="center"/>
                </w:tcPr>
                <w:p>
                  <w:pPr>
                    <w:pStyle w:val="33"/>
                    <w:rPr>
                      <w:lang w:val="en-US" w:eastAsia="zh-CN"/>
                    </w:rPr>
                  </w:pPr>
                  <w:r>
                    <w:rPr>
                      <w:rFonts w:hint="eastAsia"/>
                      <w:lang w:val="en-US" w:eastAsia="zh-CN"/>
                    </w:rPr>
                    <w:t>/</w:t>
                  </w:r>
                </w:p>
              </w:tc>
              <w:tc>
                <w:tcPr>
                  <w:tcW w:w="454" w:type="pct"/>
                  <w:tcBorders>
                    <w:top w:val="single" w:color="auto" w:sz="4" w:space="0"/>
                    <w:left w:val="single" w:color="auto" w:sz="4" w:space="0"/>
                    <w:bottom w:val="single" w:color="000000" w:sz="4" w:space="0"/>
                    <w:right w:val="single" w:color="auto" w:sz="4" w:space="0"/>
                  </w:tcBorders>
                  <w:vAlign w:val="center"/>
                </w:tcPr>
                <w:p>
                  <w:pPr>
                    <w:pStyle w:val="33"/>
                    <w:rPr>
                      <w:lang w:val="en-US" w:eastAsia="zh-CN"/>
                    </w:rPr>
                  </w:pPr>
                  <w:r>
                    <w:rPr>
                      <w:rFonts w:hint="eastAsia"/>
                      <w:lang w:val="en-US" w:eastAsia="zh-CN"/>
                    </w:rPr>
                    <w:t>若干</w:t>
                  </w:r>
                </w:p>
              </w:tc>
              <w:tc>
                <w:tcPr>
                  <w:tcW w:w="454" w:type="pct"/>
                  <w:tcBorders>
                    <w:top w:val="single" w:color="auto" w:sz="4" w:space="0"/>
                    <w:left w:val="single" w:color="auto" w:sz="4" w:space="0"/>
                    <w:bottom w:val="single" w:color="000000" w:sz="4" w:space="0"/>
                    <w:right w:val="nil"/>
                  </w:tcBorders>
                  <w:vAlign w:val="center"/>
                </w:tcPr>
                <w:p>
                  <w:pPr>
                    <w:pStyle w:val="33"/>
                    <w:rPr>
                      <w:lang w:val="en-US" w:eastAsia="zh-CN"/>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pct"/>
                  <w:tcBorders>
                    <w:top w:val="single" w:color="auto" w:sz="4" w:space="0"/>
                    <w:left w:val="nil"/>
                    <w:bottom w:val="single" w:color="000000" w:sz="4" w:space="0"/>
                    <w:right w:val="single" w:color="auto" w:sz="4" w:space="0"/>
                  </w:tcBorders>
                  <w:vAlign w:val="center"/>
                </w:tcPr>
                <w:p>
                  <w:pPr>
                    <w:pStyle w:val="33"/>
                    <w:rPr>
                      <w:lang w:val="en-US" w:eastAsia="zh-CN"/>
                    </w:rPr>
                  </w:pPr>
                  <w:r>
                    <w:rPr>
                      <w:rFonts w:hint="eastAsia"/>
                      <w:lang w:val="en-US" w:eastAsia="zh-CN"/>
                    </w:rPr>
                    <w:t>7</w:t>
                  </w:r>
                </w:p>
              </w:tc>
              <w:tc>
                <w:tcPr>
                  <w:tcW w:w="1650" w:type="pct"/>
                  <w:tcBorders>
                    <w:top w:val="single" w:color="auto" w:sz="4" w:space="0"/>
                    <w:left w:val="single" w:color="auto" w:sz="4" w:space="0"/>
                    <w:bottom w:val="single" w:color="000000" w:sz="4" w:space="0"/>
                    <w:right w:val="single" w:color="auto" w:sz="4" w:space="0"/>
                  </w:tcBorders>
                  <w:vAlign w:val="center"/>
                </w:tcPr>
                <w:p>
                  <w:pPr>
                    <w:pStyle w:val="33"/>
                    <w:rPr>
                      <w:lang w:val="en-US" w:eastAsia="zh-CN"/>
                    </w:rPr>
                  </w:pPr>
                  <w:r>
                    <w:rPr>
                      <w:lang w:val="en-US" w:eastAsia="zh-CN"/>
                    </w:rPr>
                    <w:t>砂浆搅拌机+输送机</w:t>
                  </w:r>
                </w:p>
              </w:tc>
              <w:tc>
                <w:tcPr>
                  <w:tcW w:w="1989" w:type="pct"/>
                  <w:tcBorders>
                    <w:top w:val="single" w:color="auto" w:sz="4" w:space="0"/>
                    <w:left w:val="single" w:color="auto" w:sz="4" w:space="0"/>
                    <w:bottom w:val="single" w:color="000000" w:sz="4" w:space="0"/>
                    <w:right w:val="single" w:color="auto" w:sz="4" w:space="0"/>
                  </w:tcBorders>
                  <w:vAlign w:val="center"/>
                </w:tcPr>
                <w:p>
                  <w:pPr>
                    <w:pStyle w:val="33"/>
                    <w:rPr>
                      <w:lang w:val="en-US" w:eastAsia="zh-CN"/>
                    </w:rPr>
                  </w:pPr>
                  <w:r>
                    <w:rPr>
                      <w:lang w:val="en-US" w:eastAsia="zh-CN"/>
                    </w:rPr>
                    <w:t>JDH-J3</w:t>
                  </w:r>
                </w:p>
              </w:tc>
              <w:tc>
                <w:tcPr>
                  <w:tcW w:w="454" w:type="pct"/>
                  <w:tcBorders>
                    <w:top w:val="single" w:color="auto" w:sz="4" w:space="0"/>
                    <w:left w:val="single" w:color="auto" w:sz="4" w:space="0"/>
                    <w:bottom w:val="single" w:color="000000" w:sz="4" w:space="0"/>
                    <w:right w:val="single" w:color="auto" w:sz="4" w:space="0"/>
                  </w:tcBorders>
                  <w:vAlign w:val="center"/>
                </w:tcPr>
                <w:p>
                  <w:pPr>
                    <w:pStyle w:val="33"/>
                    <w:rPr>
                      <w:lang w:val="en-US" w:eastAsia="zh-CN"/>
                    </w:rPr>
                  </w:pPr>
                  <w:r>
                    <w:rPr>
                      <w:rFonts w:hint="eastAsia"/>
                      <w:lang w:val="en-US" w:eastAsia="zh-CN"/>
                    </w:rPr>
                    <w:t>1</w:t>
                  </w:r>
                </w:p>
              </w:tc>
              <w:tc>
                <w:tcPr>
                  <w:tcW w:w="454" w:type="pct"/>
                  <w:tcBorders>
                    <w:top w:val="single" w:color="auto" w:sz="4" w:space="0"/>
                    <w:left w:val="single" w:color="auto" w:sz="4" w:space="0"/>
                    <w:bottom w:val="single" w:color="000000" w:sz="4" w:space="0"/>
                    <w:right w:val="nil"/>
                  </w:tcBorders>
                  <w:vAlign w:val="center"/>
                </w:tcPr>
                <w:p>
                  <w:pPr>
                    <w:pStyle w:val="33"/>
                    <w:rPr>
                      <w:lang w:val="en-US" w:eastAsia="zh-CN"/>
                    </w:rPr>
                  </w:pPr>
                  <w:r>
                    <w:rPr>
                      <w:rFonts w:hint="eastAsia"/>
                      <w:lang w:val="en-US" w:eastAsia="zh-CN"/>
                    </w:rPr>
                    <w:t>套</w:t>
                  </w:r>
                </w:p>
              </w:tc>
            </w:tr>
          </w:tbl>
          <w:p>
            <w:pPr>
              <w:pStyle w:val="5"/>
              <w:numPr>
                <w:ilvl w:val="0"/>
                <w:numId w:val="5"/>
              </w:numPr>
              <w:jc w:val="both"/>
              <w:outlineLvl w:val="1"/>
            </w:pPr>
            <w:r>
              <w:rPr>
                <w:rFonts w:hint="eastAsia"/>
              </w:rPr>
              <w:t>原辅材料来源</w:t>
            </w:r>
          </w:p>
          <w:p>
            <w:pPr>
              <w:pStyle w:val="32"/>
            </w:pPr>
            <w:r>
              <w:rPr>
                <w:rFonts w:hint="eastAsia"/>
              </w:rPr>
              <w:t>表2-3    主要原辅材料用量一览表</w:t>
            </w:r>
          </w:p>
          <w:tbl>
            <w:tblPr>
              <w:tblStyle w:val="25"/>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223"/>
              <w:gridCol w:w="2150"/>
              <w:gridCol w:w="1234"/>
              <w:gridCol w:w="25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12" w:space="0"/>
                  </w:tcBorders>
                  <w:vAlign w:val="center"/>
                </w:tcPr>
                <w:p>
                  <w:pPr>
                    <w:pStyle w:val="33"/>
                    <w:widowControl w:val="0"/>
                    <w:rPr>
                      <w:b/>
                      <w:bCs/>
                      <w:lang w:val="en-US" w:eastAsia="zh-CN"/>
                    </w:rPr>
                  </w:pPr>
                  <w:r>
                    <w:rPr>
                      <w:rFonts w:hint="eastAsia"/>
                      <w:b/>
                      <w:bCs/>
                      <w:lang w:val="en-US" w:eastAsia="zh-CN"/>
                    </w:rPr>
                    <w:t>序号</w:t>
                  </w:r>
                </w:p>
              </w:tc>
              <w:tc>
                <w:tcPr>
                  <w:tcW w:w="779" w:type="pct"/>
                  <w:tcBorders>
                    <w:bottom w:val="single" w:color="auto" w:sz="12" w:space="0"/>
                  </w:tcBorders>
                  <w:vAlign w:val="center"/>
                </w:tcPr>
                <w:p>
                  <w:pPr>
                    <w:pStyle w:val="33"/>
                    <w:widowControl w:val="0"/>
                    <w:rPr>
                      <w:b/>
                      <w:bCs/>
                      <w:lang w:val="en-US" w:eastAsia="zh-CN"/>
                    </w:rPr>
                  </w:pPr>
                  <w:r>
                    <w:rPr>
                      <w:rFonts w:hint="eastAsia"/>
                      <w:b/>
                      <w:bCs/>
                      <w:lang w:val="en-US" w:eastAsia="zh-CN"/>
                    </w:rPr>
                    <w:t>产品</w:t>
                  </w:r>
                </w:p>
              </w:tc>
              <w:tc>
                <w:tcPr>
                  <w:tcW w:w="1370" w:type="pct"/>
                  <w:tcBorders>
                    <w:bottom w:val="single" w:color="auto" w:sz="12" w:space="0"/>
                  </w:tcBorders>
                  <w:vAlign w:val="center"/>
                </w:tcPr>
                <w:p>
                  <w:pPr>
                    <w:pStyle w:val="33"/>
                    <w:widowControl w:val="0"/>
                    <w:rPr>
                      <w:b/>
                      <w:bCs/>
                      <w:lang w:val="en-US" w:eastAsia="zh-CN"/>
                    </w:rPr>
                  </w:pPr>
                  <w:r>
                    <w:rPr>
                      <w:rFonts w:hint="eastAsia"/>
                      <w:b/>
                      <w:bCs/>
                      <w:lang w:val="en-US" w:eastAsia="zh-CN"/>
                    </w:rPr>
                    <w:t>名称</w:t>
                  </w:r>
                </w:p>
              </w:tc>
              <w:tc>
                <w:tcPr>
                  <w:tcW w:w="786" w:type="pct"/>
                  <w:tcBorders>
                    <w:bottom w:val="single" w:color="auto" w:sz="12" w:space="0"/>
                  </w:tcBorders>
                  <w:vAlign w:val="center"/>
                </w:tcPr>
                <w:p>
                  <w:pPr>
                    <w:pStyle w:val="33"/>
                    <w:widowControl w:val="0"/>
                    <w:rPr>
                      <w:b/>
                      <w:bCs/>
                      <w:lang w:val="en-US" w:eastAsia="zh-CN"/>
                    </w:rPr>
                  </w:pPr>
                  <w:r>
                    <w:rPr>
                      <w:b/>
                      <w:bCs/>
                      <w:lang w:val="en-US" w:eastAsia="zh-CN"/>
                    </w:rPr>
                    <w:t>年用量</w:t>
                  </w:r>
                </w:p>
              </w:tc>
              <w:tc>
                <w:tcPr>
                  <w:tcW w:w="1652" w:type="pct"/>
                  <w:tcBorders>
                    <w:bottom w:val="single" w:color="auto" w:sz="12" w:space="0"/>
                  </w:tcBorders>
                  <w:vAlign w:val="center"/>
                </w:tcPr>
                <w:p>
                  <w:pPr>
                    <w:pStyle w:val="33"/>
                    <w:widowControl w:val="0"/>
                    <w:rPr>
                      <w:b/>
                      <w:bCs/>
                      <w:lang w:val="en-US" w:eastAsia="zh-CN"/>
                    </w:rPr>
                  </w:pPr>
                  <w:r>
                    <w:rPr>
                      <w:rFonts w:hint="eastAsia"/>
                      <w:b/>
                      <w:bCs/>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12" w:space="0"/>
                    <w:tl2br w:val="nil"/>
                    <w:tr2bl w:val="nil"/>
                  </w:tcBorders>
                  <w:vAlign w:val="center"/>
                </w:tcPr>
                <w:p>
                  <w:pPr>
                    <w:pStyle w:val="33"/>
                    <w:widowControl w:val="0"/>
                    <w:rPr>
                      <w:lang w:val="en-US" w:eastAsia="zh-CN"/>
                    </w:rPr>
                  </w:pPr>
                  <w:r>
                    <w:rPr>
                      <w:rFonts w:hint="eastAsia"/>
                      <w:lang w:val="en-US" w:eastAsia="zh-CN"/>
                    </w:rPr>
                    <w:t>1</w:t>
                  </w:r>
                </w:p>
              </w:tc>
              <w:tc>
                <w:tcPr>
                  <w:tcW w:w="779" w:type="pct"/>
                  <w:vMerge w:val="restart"/>
                  <w:tcBorders>
                    <w:top w:val="single" w:color="auto" w:sz="12" w:space="0"/>
                    <w:tl2br w:val="nil"/>
                    <w:tr2bl w:val="nil"/>
                  </w:tcBorders>
                  <w:vAlign w:val="center"/>
                </w:tcPr>
                <w:p>
                  <w:pPr>
                    <w:pStyle w:val="48"/>
                    <w:rPr>
                      <w:color w:val="0000FF"/>
                    </w:rPr>
                  </w:pPr>
                  <w:r>
                    <w:t>GRC构件</w:t>
                  </w:r>
                </w:p>
              </w:tc>
              <w:tc>
                <w:tcPr>
                  <w:tcW w:w="1370" w:type="pct"/>
                  <w:tcBorders>
                    <w:top w:val="single" w:color="auto" w:sz="12" w:space="0"/>
                    <w:tl2br w:val="nil"/>
                    <w:tr2bl w:val="nil"/>
                  </w:tcBorders>
                  <w:vAlign w:val="center"/>
                </w:tcPr>
                <w:p>
                  <w:pPr>
                    <w:pStyle w:val="48"/>
                  </w:pPr>
                  <w:r>
                    <w:rPr>
                      <w:rFonts w:hint="eastAsia"/>
                    </w:rPr>
                    <w:t>425低碱度</w:t>
                  </w:r>
                  <w:r>
                    <w:t>水泥</w:t>
                  </w:r>
                </w:p>
              </w:tc>
              <w:tc>
                <w:tcPr>
                  <w:tcW w:w="786" w:type="pct"/>
                  <w:tcBorders>
                    <w:top w:val="single" w:color="auto" w:sz="12" w:space="0"/>
                    <w:tl2br w:val="nil"/>
                    <w:tr2bl w:val="nil"/>
                  </w:tcBorders>
                  <w:vAlign w:val="center"/>
                </w:tcPr>
                <w:p>
                  <w:pPr>
                    <w:pStyle w:val="33"/>
                    <w:widowControl w:val="0"/>
                    <w:rPr>
                      <w:lang w:val="en-US" w:eastAsia="zh-CN"/>
                    </w:rPr>
                  </w:pPr>
                  <w:r>
                    <w:rPr>
                      <w:rFonts w:hint="eastAsia"/>
                      <w:lang w:val="en-US" w:eastAsia="zh-CN"/>
                    </w:rPr>
                    <w:t>120吨</w:t>
                  </w:r>
                </w:p>
              </w:tc>
              <w:tc>
                <w:tcPr>
                  <w:tcW w:w="1652" w:type="pct"/>
                  <w:tcBorders>
                    <w:top w:val="single" w:color="auto" w:sz="12" w:space="0"/>
                    <w:tl2br w:val="nil"/>
                    <w:tr2bl w:val="nil"/>
                  </w:tcBorders>
                  <w:vAlign w:val="center"/>
                </w:tcPr>
                <w:p>
                  <w:pPr>
                    <w:pStyle w:val="33"/>
                    <w:widowControl w:val="0"/>
                    <w:rPr>
                      <w:lang w:val="en-US" w:eastAsia="zh-CN"/>
                    </w:rPr>
                  </w:pPr>
                  <w:r>
                    <w:rPr>
                      <w:szCs w:val="21"/>
                    </w:rPr>
                    <w:t>袋装，50kg/袋，厂家直送，置于</w:t>
                  </w:r>
                  <w:r>
                    <w:rPr>
                      <w:rFonts w:hint="eastAsia"/>
                      <w:szCs w:val="21"/>
                      <w:lang w:val="en-US" w:eastAsia="zh-CN"/>
                    </w:rPr>
                    <w:t>厂房内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vAlign w:val="center"/>
                </w:tcPr>
                <w:p>
                  <w:pPr>
                    <w:pStyle w:val="33"/>
                    <w:widowControl w:val="0"/>
                    <w:rPr>
                      <w:lang w:val="en-US" w:eastAsia="zh-CN"/>
                    </w:rPr>
                  </w:pPr>
                  <w:r>
                    <w:rPr>
                      <w:rFonts w:hint="eastAsia"/>
                      <w:lang w:val="en-US" w:eastAsia="zh-CN"/>
                    </w:rPr>
                    <w:t>2</w:t>
                  </w:r>
                </w:p>
              </w:tc>
              <w:tc>
                <w:tcPr>
                  <w:tcW w:w="779" w:type="pct"/>
                  <w:vMerge w:val="continue"/>
                  <w:tcBorders>
                    <w:tl2br w:val="nil"/>
                    <w:tr2bl w:val="nil"/>
                  </w:tcBorders>
                  <w:vAlign w:val="center"/>
                </w:tcPr>
                <w:p>
                  <w:pPr>
                    <w:pStyle w:val="48"/>
                    <w:rPr>
                      <w:color w:val="0000FF"/>
                    </w:rPr>
                  </w:pPr>
                </w:p>
              </w:tc>
              <w:tc>
                <w:tcPr>
                  <w:tcW w:w="1370" w:type="pct"/>
                  <w:tcBorders>
                    <w:tl2br w:val="nil"/>
                    <w:tr2bl w:val="nil"/>
                  </w:tcBorders>
                  <w:vAlign w:val="center"/>
                </w:tcPr>
                <w:p>
                  <w:pPr>
                    <w:pStyle w:val="48"/>
                  </w:pPr>
                  <w:r>
                    <w:rPr>
                      <w:rFonts w:hint="eastAsia"/>
                    </w:rPr>
                    <w:t>水洗砂</w:t>
                  </w:r>
                </w:p>
              </w:tc>
              <w:tc>
                <w:tcPr>
                  <w:tcW w:w="786" w:type="pct"/>
                  <w:tcBorders>
                    <w:tl2br w:val="nil"/>
                    <w:tr2bl w:val="nil"/>
                  </w:tcBorders>
                  <w:vAlign w:val="center"/>
                </w:tcPr>
                <w:p>
                  <w:pPr>
                    <w:pStyle w:val="33"/>
                    <w:widowControl w:val="0"/>
                    <w:rPr>
                      <w:lang w:val="en-US" w:eastAsia="zh-CN"/>
                    </w:rPr>
                  </w:pPr>
                  <w:r>
                    <w:rPr>
                      <w:rFonts w:hint="eastAsia"/>
                      <w:lang w:val="en-US" w:eastAsia="zh-CN"/>
                    </w:rPr>
                    <w:t>240吨</w:t>
                  </w:r>
                </w:p>
              </w:tc>
              <w:tc>
                <w:tcPr>
                  <w:tcW w:w="1652" w:type="pct"/>
                  <w:tcBorders>
                    <w:tl2br w:val="nil"/>
                    <w:tr2bl w:val="nil"/>
                  </w:tcBorders>
                  <w:vAlign w:val="center"/>
                </w:tcPr>
                <w:p>
                  <w:pPr>
                    <w:pStyle w:val="33"/>
                    <w:widowControl w:val="0"/>
                    <w:rPr>
                      <w:lang w:val="en-US" w:eastAsia="zh-CN"/>
                    </w:rPr>
                  </w:pPr>
                  <w:r>
                    <w:rPr>
                      <w:szCs w:val="21"/>
                    </w:rPr>
                    <w:t>外购，汽车运输置于密闭</w:t>
                  </w:r>
                  <w:r>
                    <w:rPr>
                      <w:rFonts w:hint="eastAsia"/>
                      <w:szCs w:val="21"/>
                      <w:lang w:val="en-US" w:eastAsia="zh-CN"/>
                    </w:rPr>
                    <w:t>厂房，采用篷布覆盖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vAlign w:val="center"/>
                </w:tcPr>
                <w:p>
                  <w:pPr>
                    <w:pStyle w:val="33"/>
                    <w:widowControl w:val="0"/>
                    <w:rPr>
                      <w:lang w:val="en-US" w:eastAsia="zh-CN"/>
                    </w:rPr>
                  </w:pPr>
                  <w:r>
                    <w:rPr>
                      <w:rFonts w:hint="eastAsia"/>
                      <w:lang w:val="en-US" w:eastAsia="zh-CN"/>
                    </w:rPr>
                    <w:t>4</w:t>
                  </w:r>
                </w:p>
              </w:tc>
              <w:tc>
                <w:tcPr>
                  <w:tcW w:w="779" w:type="pct"/>
                  <w:vMerge w:val="continue"/>
                  <w:tcBorders>
                    <w:tl2br w:val="nil"/>
                    <w:tr2bl w:val="nil"/>
                  </w:tcBorders>
                  <w:vAlign w:val="center"/>
                </w:tcPr>
                <w:p>
                  <w:pPr>
                    <w:pStyle w:val="48"/>
                  </w:pPr>
                </w:p>
              </w:tc>
              <w:tc>
                <w:tcPr>
                  <w:tcW w:w="1370" w:type="pct"/>
                  <w:tcBorders>
                    <w:tl2br w:val="nil"/>
                    <w:tr2bl w:val="nil"/>
                  </w:tcBorders>
                  <w:vAlign w:val="center"/>
                </w:tcPr>
                <w:p>
                  <w:pPr>
                    <w:pStyle w:val="48"/>
                  </w:pPr>
                  <w:r>
                    <w:rPr>
                      <w:rFonts w:hint="eastAsia"/>
                    </w:rPr>
                    <w:t>钢筋</w:t>
                  </w:r>
                </w:p>
              </w:tc>
              <w:tc>
                <w:tcPr>
                  <w:tcW w:w="786" w:type="pct"/>
                  <w:tcBorders>
                    <w:tl2br w:val="nil"/>
                    <w:tr2bl w:val="nil"/>
                  </w:tcBorders>
                  <w:vAlign w:val="center"/>
                </w:tcPr>
                <w:p>
                  <w:pPr>
                    <w:pStyle w:val="33"/>
                    <w:widowControl w:val="0"/>
                    <w:rPr>
                      <w:lang w:val="en-US" w:eastAsia="zh-CN"/>
                    </w:rPr>
                  </w:pPr>
                  <w:r>
                    <w:rPr>
                      <w:rFonts w:hint="eastAsia"/>
                      <w:lang w:val="en-US" w:eastAsia="zh-CN"/>
                    </w:rPr>
                    <w:t>6吨</w:t>
                  </w:r>
                </w:p>
              </w:tc>
              <w:tc>
                <w:tcPr>
                  <w:tcW w:w="1652" w:type="pct"/>
                  <w:tcBorders>
                    <w:tl2br w:val="nil"/>
                    <w:tr2bl w:val="nil"/>
                  </w:tcBorders>
                  <w:vAlign w:val="center"/>
                </w:tcPr>
                <w:p>
                  <w:pPr>
                    <w:pStyle w:val="33"/>
                    <w:widowControl w:val="0"/>
                    <w:rPr>
                      <w:szCs w:val="21"/>
                      <w:lang w:val="en-US" w:eastAsia="zh-CN"/>
                    </w:rPr>
                  </w:pPr>
                  <w:r>
                    <w:rPr>
                      <w:rFonts w:hint="eastAsia"/>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vAlign w:val="center"/>
                </w:tcPr>
                <w:p>
                  <w:pPr>
                    <w:pStyle w:val="33"/>
                    <w:widowControl w:val="0"/>
                    <w:rPr>
                      <w:lang w:val="en-US" w:eastAsia="zh-CN"/>
                    </w:rPr>
                  </w:pPr>
                  <w:r>
                    <w:rPr>
                      <w:rFonts w:hint="eastAsia"/>
                      <w:lang w:val="en-US" w:eastAsia="zh-CN"/>
                    </w:rPr>
                    <w:t>5</w:t>
                  </w:r>
                </w:p>
              </w:tc>
              <w:tc>
                <w:tcPr>
                  <w:tcW w:w="779" w:type="pct"/>
                  <w:vMerge w:val="continue"/>
                  <w:tcBorders>
                    <w:tl2br w:val="nil"/>
                    <w:tr2bl w:val="nil"/>
                  </w:tcBorders>
                  <w:vAlign w:val="center"/>
                </w:tcPr>
                <w:p>
                  <w:pPr>
                    <w:pStyle w:val="48"/>
                  </w:pPr>
                </w:p>
              </w:tc>
              <w:tc>
                <w:tcPr>
                  <w:tcW w:w="1370" w:type="pct"/>
                  <w:tcBorders>
                    <w:tl2br w:val="nil"/>
                    <w:tr2bl w:val="nil"/>
                  </w:tcBorders>
                  <w:vAlign w:val="center"/>
                </w:tcPr>
                <w:p>
                  <w:pPr>
                    <w:pStyle w:val="48"/>
                  </w:pPr>
                  <w:r>
                    <w:rPr>
                      <w:rFonts w:hint="eastAsia"/>
                    </w:rPr>
                    <w:t>抗裂布</w:t>
                  </w:r>
                </w:p>
              </w:tc>
              <w:tc>
                <w:tcPr>
                  <w:tcW w:w="786" w:type="pct"/>
                  <w:tcBorders>
                    <w:tl2br w:val="nil"/>
                    <w:tr2bl w:val="nil"/>
                  </w:tcBorders>
                  <w:vAlign w:val="center"/>
                </w:tcPr>
                <w:p>
                  <w:pPr>
                    <w:pStyle w:val="33"/>
                    <w:widowControl w:val="0"/>
                    <w:rPr>
                      <w:lang w:val="en-US" w:eastAsia="zh-CN"/>
                    </w:rPr>
                  </w:pPr>
                  <w:r>
                    <w:rPr>
                      <w:rFonts w:hint="eastAsia"/>
                      <w:lang w:val="en-US" w:eastAsia="zh-CN"/>
                    </w:rPr>
                    <w:t>200卷</w:t>
                  </w:r>
                </w:p>
              </w:tc>
              <w:tc>
                <w:tcPr>
                  <w:tcW w:w="1652" w:type="pct"/>
                  <w:tcBorders>
                    <w:tl2br w:val="nil"/>
                    <w:tr2bl w:val="nil"/>
                  </w:tcBorders>
                  <w:vAlign w:val="center"/>
                </w:tcPr>
                <w:p>
                  <w:pPr>
                    <w:pStyle w:val="33"/>
                    <w:widowControl w:val="0"/>
                    <w:rPr>
                      <w:szCs w:val="21"/>
                      <w:lang w:val="en-US" w:eastAsia="zh-CN"/>
                    </w:rPr>
                  </w:pPr>
                  <w:r>
                    <w:rPr>
                      <w:rFonts w:hint="eastAsia"/>
                      <w:szCs w:val="21"/>
                      <w:lang w:val="en-US" w:eastAsia="zh-CN"/>
                    </w:rPr>
                    <w:t>100</w:t>
                  </w:r>
                  <w:r>
                    <w:rPr>
                      <w:szCs w:val="21"/>
                    </w:rPr>
                    <w:t>m</w:t>
                  </w:r>
                  <w:r>
                    <w:rPr>
                      <w:szCs w:val="21"/>
                      <w:vertAlign w:val="superscript"/>
                    </w:rPr>
                    <w:t>2</w:t>
                  </w:r>
                  <w:r>
                    <w:rPr>
                      <w:rFonts w:hint="eastAsia"/>
                      <w:lang w:val="en-US" w:eastAsia="zh-CN"/>
                    </w:rPr>
                    <w:t>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11" w:type="pct"/>
                  <w:tcBorders>
                    <w:tl2br w:val="nil"/>
                    <w:tr2bl w:val="nil"/>
                  </w:tcBorders>
                  <w:vAlign w:val="center"/>
                </w:tcPr>
                <w:p>
                  <w:pPr>
                    <w:pStyle w:val="33"/>
                    <w:widowControl w:val="0"/>
                    <w:rPr>
                      <w:lang w:val="en-US" w:eastAsia="zh-CN"/>
                    </w:rPr>
                  </w:pPr>
                  <w:r>
                    <w:rPr>
                      <w:rFonts w:hint="eastAsia"/>
                      <w:lang w:val="en-US" w:eastAsia="zh-CN"/>
                    </w:rPr>
                    <w:t>6</w:t>
                  </w:r>
                </w:p>
              </w:tc>
              <w:tc>
                <w:tcPr>
                  <w:tcW w:w="779" w:type="pct"/>
                  <w:vMerge w:val="continue"/>
                  <w:tcBorders>
                    <w:tl2br w:val="nil"/>
                    <w:tr2bl w:val="nil"/>
                  </w:tcBorders>
                  <w:vAlign w:val="center"/>
                </w:tcPr>
                <w:p>
                  <w:pPr>
                    <w:pStyle w:val="48"/>
                  </w:pPr>
                </w:p>
              </w:tc>
              <w:tc>
                <w:tcPr>
                  <w:tcW w:w="1370" w:type="pct"/>
                  <w:tcBorders>
                    <w:tl2br w:val="nil"/>
                    <w:tr2bl w:val="nil"/>
                  </w:tcBorders>
                  <w:vAlign w:val="center"/>
                </w:tcPr>
                <w:p>
                  <w:pPr>
                    <w:pStyle w:val="48"/>
                  </w:pPr>
                  <w:r>
                    <w:rPr>
                      <w:rFonts w:hint="eastAsia"/>
                    </w:rPr>
                    <w:t>模具</w:t>
                  </w:r>
                </w:p>
              </w:tc>
              <w:tc>
                <w:tcPr>
                  <w:tcW w:w="786" w:type="pct"/>
                  <w:tcBorders>
                    <w:tl2br w:val="nil"/>
                    <w:tr2bl w:val="nil"/>
                  </w:tcBorders>
                  <w:vAlign w:val="center"/>
                </w:tcPr>
                <w:p>
                  <w:pPr>
                    <w:pStyle w:val="33"/>
                    <w:widowControl w:val="0"/>
                    <w:rPr>
                      <w:lang w:val="en-US" w:eastAsia="zh-CN"/>
                    </w:rPr>
                  </w:pPr>
                  <w:r>
                    <w:rPr>
                      <w:rFonts w:hint="eastAsia"/>
                      <w:lang w:val="en-US" w:eastAsia="zh-CN"/>
                    </w:rPr>
                    <w:t>若干</w:t>
                  </w:r>
                </w:p>
              </w:tc>
              <w:tc>
                <w:tcPr>
                  <w:tcW w:w="1652" w:type="pct"/>
                  <w:tcBorders>
                    <w:tl2br w:val="nil"/>
                    <w:tr2bl w:val="nil"/>
                  </w:tcBorders>
                  <w:vAlign w:val="center"/>
                </w:tcPr>
                <w:p>
                  <w:pPr>
                    <w:pStyle w:val="33"/>
                    <w:widowControl w:val="0"/>
                    <w:rPr>
                      <w:szCs w:val="21"/>
                      <w:lang w:val="en-US" w:eastAsia="zh-CN"/>
                    </w:rPr>
                  </w:pPr>
                  <w:r>
                    <w:rPr>
                      <w:rFonts w:hint="eastAsia"/>
                      <w:szCs w:val="21"/>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vAlign w:val="center"/>
                </w:tcPr>
                <w:p>
                  <w:pPr>
                    <w:pStyle w:val="33"/>
                    <w:widowControl w:val="0"/>
                    <w:rPr>
                      <w:lang w:val="en-US" w:eastAsia="zh-CN"/>
                    </w:rPr>
                  </w:pPr>
                  <w:r>
                    <w:rPr>
                      <w:rFonts w:hint="eastAsia"/>
                      <w:lang w:val="en-US" w:eastAsia="zh-CN"/>
                    </w:rPr>
                    <w:t>7</w:t>
                  </w:r>
                </w:p>
              </w:tc>
              <w:tc>
                <w:tcPr>
                  <w:tcW w:w="779" w:type="pct"/>
                  <w:vMerge w:val="continue"/>
                  <w:tcBorders>
                    <w:tl2br w:val="nil"/>
                    <w:tr2bl w:val="nil"/>
                  </w:tcBorders>
                  <w:vAlign w:val="center"/>
                </w:tcPr>
                <w:p>
                  <w:pPr>
                    <w:pStyle w:val="48"/>
                  </w:pPr>
                </w:p>
              </w:tc>
              <w:tc>
                <w:tcPr>
                  <w:tcW w:w="1370" w:type="pct"/>
                  <w:tcBorders>
                    <w:tl2br w:val="nil"/>
                    <w:tr2bl w:val="nil"/>
                  </w:tcBorders>
                  <w:vAlign w:val="center"/>
                </w:tcPr>
                <w:p>
                  <w:pPr>
                    <w:pStyle w:val="48"/>
                  </w:pPr>
                  <w:r>
                    <w:rPr>
                      <w:rFonts w:hint="eastAsia"/>
                    </w:rPr>
                    <w:t>脱模剂</w:t>
                  </w:r>
                </w:p>
              </w:tc>
              <w:tc>
                <w:tcPr>
                  <w:tcW w:w="786" w:type="pct"/>
                  <w:tcBorders>
                    <w:tl2br w:val="nil"/>
                    <w:tr2bl w:val="nil"/>
                  </w:tcBorders>
                  <w:vAlign w:val="center"/>
                </w:tcPr>
                <w:p>
                  <w:pPr>
                    <w:pStyle w:val="33"/>
                    <w:widowControl w:val="0"/>
                    <w:rPr>
                      <w:lang w:val="en-US" w:eastAsia="zh-CN"/>
                    </w:rPr>
                  </w:pPr>
                  <w:r>
                    <w:rPr>
                      <w:rFonts w:hint="eastAsia"/>
                      <w:lang w:val="en-US" w:eastAsia="zh-CN"/>
                    </w:rPr>
                    <w:t>1000</w:t>
                  </w:r>
                  <w:r>
                    <w:rPr>
                      <w:szCs w:val="21"/>
                    </w:rPr>
                    <w:t>kg</w:t>
                  </w:r>
                </w:p>
              </w:tc>
              <w:tc>
                <w:tcPr>
                  <w:tcW w:w="1652" w:type="pct"/>
                  <w:tcBorders>
                    <w:tl2br w:val="nil"/>
                    <w:tr2bl w:val="nil"/>
                  </w:tcBorders>
                  <w:vAlign w:val="center"/>
                </w:tcPr>
                <w:p>
                  <w:pPr>
                    <w:pStyle w:val="33"/>
                    <w:widowControl w:val="0"/>
                    <w:rPr>
                      <w:lang w:val="en-US" w:eastAsia="zh-CN"/>
                    </w:rPr>
                  </w:pPr>
                  <w:r>
                    <w:rPr>
                      <w:rFonts w:hint="eastAsia"/>
                      <w:lang w:val="en-US" w:eastAsia="zh-CN"/>
                    </w:rPr>
                    <w:t>植物油  20kg/桶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vAlign w:val="center"/>
                </w:tcPr>
                <w:p>
                  <w:pPr>
                    <w:pStyle w:val="33"/>
                    <w:widowControl w:val="0"/>
                    <w:rPr>
                      <w:lang w:val="en-US" w:eastAsia="zh-CN"/>
                    </w:rPr>
                  </w:pPr>
                  <w:r>
                    <w:rPr>
                      <w:rFonts w:hint="eastAsia"/>
                      <w:lang w:val="en-US" w:eastAsia="zh-CN"/>
                    </w:rPr>
                    <w:t>8</w:t>
                  </w:r>
                </w:p>
              </w:tc>
              <w:tc>
                <w:tcPr>
                  <w:tcW w:w="779" w:type="pct"/>
                  <w:vMerge w:val="continue"/>
                  <w:tcBorders>
                    <w:tl2br w:val="nil"/>
                    <w:tr2bl w:val="nil"/>
                  </w:tcBorders>
                  <w:vAlign w:val="center"/>
                </w:tcPr>
                <w:p>
                  <w:pPr>
                    <w:pStyle w:val="48"/>
                  </w:pPr>
                </w:p>
              </w:tc>
              <w:tc>
                <w:tcPr>
                  <w:tcW w:w="1370" w:type="pct"/>
                  <w:tcBorders>
                    <w:tl2br w:val="nil"/>
                    <w:tr2bl w:val="nil"/>
                  </w:tcBorders>
                  <w:vAlign w:val="center"/>
                </w:tcPr>
                <w:p>
                  <w:pPr>
                    <w:pStyle w:val="48"/>
                  </w:pPr>
                  <w:r>
                    <w:rPr>
                      <w:rFonts w:hint="eastAsia"/>
                    </w:rPr>
                    <w:t>滑石粉</w:t>
                  </w:r>
                </w:p>
              </w:tc>
              <w:tc>
                <w:tcPr>
                  <w:tcW w:w="786" w:type="pct"/>
                  <w:tcBorders>
                    <w:tl2br w:val="nil"/>
                    <w:tr2bl w:val="nil"/>
                  </w:tcBorders>
                  <w:vAlign w:val="center"/>
                </w:tcPr>
                <w:p>
                  <w:pPr>
                    <w:pStyle w:val="33"/>
                    <w:widowControl w:val="0"/>
                    <w:rPr>
                      <w:lang w:val="en-US" w:eastAsia="zh-CN"/>
                    </w:rPr>
                  </w:pPr>
                  <w:r>
                    <w:rPr>
                      <w:rFonts w:hint="eastAsia"/>
                      <w:lang w:val="en-US" w:eastAsia="zh-CN"/>
                    </w:rPr>
                    <w:t>2吨</w:t>
                  </w:r>
                </w:p>
              </w:tc>
              <w:tc>
                <w:tcPr>
                  <w:tcW w:w="1652" w:type="pct"/>
                  <w:tcBorders>
                    <w:tl2br w:val="nil"/>
                    <w:tr2bl w:val="nil"/>
                  </w:tcBorders>
                  <w:vAlign w:val="center"/>
                </w:tcPr>
                <w:p>
                  <w:pPr>
                    <w:pStyle w:val="33"/>
                    <w:widowControl w:val="0"/>
                    <w:rPr>
                      <w:lang w:val="en-US" w:eastAsia="zh-CN"/>
                    </w:rPr>
                  </w:pPr>
                  <w:r>
                    <w:rPr>
                      <w:szCs w:val="21"/>
                    </w:rPr>
                    <w:t>置于密闭</w:t>
                  </w:r>
                  <w:r>
                    <w:rPr>
                      <w:rFonts w:hint="eastAsia"/>
                      <w:szCs w:val="21"/>
                      <w:lang w:val="en-US" w:eastAsia="zh-CN"/>
                    </w:rPr>
                    <w:t>厂房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11" w:type="pct"/>
                  <w:tcBorders>
                    <w:tl2br w:val="nil"/>
                    <w:tr2bl w:val="nil"/>
                  </w:tcBorders>
                  <w:vAlign w:val="center"/>
                </w:tcPr>
                <w:p>
                  <w:pPr>
                    <w:pStyle w:val="33"/>
                    <w:widowControl w:val="0"/>
                    <w:rPr>
                      <w:lang w:val="en-US" w:eastAsia="zh-CN"/>
                    </w:rPr>
                  </w:pPr>
                  <w:r>
                    <w:rPr>
                      <w:rFonts w:hint="eastAsia"/>
                      <w:lang w:val="en-US" w:eastAsia="zh-CN"/>
                    </w:rPr>
                    <w:t>9</w:t>
                  </w:r>
                </w:p>
              </w:tc>
              <w:tc>
                <w:tcPr>
                  <w:tcW w:w="779" w:type="pct"/>
                  <w:vMerge w:val="restart"/>
                  <w:tcBorders>
                    <w:tl2br w:val="nil"/>
                    <w:tr2bl w:val="nil"/>
                  </w:tcBorders>
                  <w:vAlign w:val="center"/>
                </w:tcPr>
                <w:p>
                  <w:pPr>
                    <w:pStyle w:val="33"/>
                    <w:widowControl w:val="0"/>
                    <w:rPr>
                      <w:lang w:val="en-US" w:eastAsia="zh-CN"/>
                    </w:rPr>
                  </w:pPr>
                  <w:r>
                    <w:rPr>
                      <w:szCs w:val="21"/>
                    </w:rPr>
                    <w:t>EPS线条</w:t>
                  </w:r>
                </w:p>
              </w:tc>
              <w:tc>
                <w:tcPr>
                  <w:tcW w:w="1370" w:type="pct"/>
                  <w:tcBorders>
                    <w:tl2br w:val="nil"/>
                    <w:tr2bl w:val="nil"/>
                  </w:tcBorders>
                  <w:vAlign w:val="center"/>
                </w:tcPr>
                <w:p>
                  <w:pPr>
                    <w:pStyle w:val="48"/>
                  </w:pPr>
                  <w:r>
                    <w:rPr>
                      <w:rFonts w:hint="eastAsia"/>
                    </w:rPr>
                    <w:t>苯板</w:t>
                  </w:r>
                </w:p>
              </w:tc>
              <w:tc>
                <w:tcPr>
                  <w:tcW w:w="786" w:type="pct"/>
                  <w:tcBorders>
                    <w:tl2br w:val="nil"/>
                    <w:tr2bl w:val="nil"/>
                  </w:tcBorders>
                  <w:vAlign w:val="center"/>
                </w:tcPr>
                <w:p>
                  <w:pPr>
                    <w:pStyle w:val="33"/>
                    <w:widowControl w:val="0"/>
                    <w:rPr>
                      <w:lang w:val="en-US" w:eastAsia="zh-CN"/>
                    </w:rPr>
                  </w:pPr>
                  <w:r>
                    <w:rPr>
                      <w:rFonts w:hint="eastAsia"/>
                      <w:szCs w:val="21"/>
                      <w:lang w:val="en-US" w:eastAsia="zh-CN"/>
                    </w:rPr>
                    <w:t>30</w:t>
                  </w:r>
                  <w:r>
                    <w:rPr>
                      <w:szCs w:val="21"/>
                    </w:rPr>
                    <w:t>00m</w:t>
                  </w:r>
                  <w:r>
                    <w:rPr>
                      <w:szCs w:val="21"/>
                      <w:vertAlign w:val="superscript"/>
                    </w:rPr>
                    <w:t>3</w:t>
                  </w:r>
                </w:p>
              </w:tc>
              <w:tc>
                <w:tcPr>
                  <w:tcW w:w="1652" w:type="pct"/>
                  <w:tcBorders>
                    <w:tl2br w:val="nil"/>
                    <w:tr2bl w:val="nil"/>
                  </w:tcBorders>
                  <w:vAlign w:val="center"/>
                </w:tcPr>
                <w:p>
                  <w:pPr>
                    <w:pStyle w:val="33"/>
                    <w:widowControl w:val="0"/>
                    <w:rPr>
                      <w:lang w:val="en-US" w:eastAsia="zh-CN"/>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vAlign w:val="center"/>
                </w:tcPr>
                <w:p>
                  <w:pPr>
                    <w:pStyle w:val="33"/>
                    <w:widowControl w:val="0"/>
                    <w:rPr>
                      <w:lang w:val="en-US" w:eastAsia="zh-CN"/>
                    </w:rPr>
                  </w:pPr>
                  <w:r>
                    <w:rPr>
                      <w:rFonts w:hint="eastAsia"/>
                      <w:lang w:val="en-US" w:eastAsia="zh-CN"/>
                    </w:rPr>
                    <w:t>10</w:t>
                  </w:r>
                </w:p>
              </w:tc>
              <w:tc>
                <w:tcPr>
                  <w:tcW w:w="779" w:type="pct"/>
                  <w:vMerge w:val="continue"/>
                  <w:tcBorders>
                    <w:tl2br w:val="nil"/>
                    <w:tr2bl w:val="nil"/>
                  </w:tcBorders>
                  <w:vAlign w:val="center"/>
                </w:tcPr>
                <w:p>
                  <w:pPr>
                    <w:pStyle w:val="48"/>
                    <w:rPr>
                      <w:color w:val="0000FF"/>
                    </w:rPr>
                  </w:pPr>
                </w:p>
              </w:tc>
              <w:tc>
                <w:tcPr>
                  <w:tcW w:w="1370" w:type="pct"/>
                  <w:tcBorders>
                    <w:tl2br w:val="nil"/>
                    <w:tr2bl w:val="nil"/>
                  </w:tcBorders>
                  <w:vAlign w:val="center"/>
                </w:tcPr>
                <w:p>
                  <w:pPr>
                    <w:pStyle w:val="48"/>
                  </w:pPr>
                  <w:r>
                    <w:t>玻璃纤维</w:t>
                  </w:r>
                  <w:r>
                    <w:rPr>
                      <w:rFonts w:hint="eastAsia"/>
                    </w:rPr>
                    <w:t>网格布</w:t>
                  </w:r>
                </w:p>
              </w:tc>
              <w:tc>
                <w:tcPr>
                  <w:tcW w:w="786" w:type="pct"/>
                  <w:tcBorders>
                    <w:tl2br w:val="nil"/>
                    <w:tr2bl w:val="nil"/>
                  </w:tcBorders>
                  <w:vAlign w:val="center"/>
                </w:tcPr>
                <w:p>
                  <w:pPr>
                    <w:pStyle w:val="48"/>
                  </w:pPr>
                  <w:r>
                    <w:t>12</w:t>
                  </w:r>
                  <w:r>
                    <w:rPr>
                      <w:rFonts w:hint="eastAsia"/>
                    </w:rPr>
                    <w:t>0</w:t>
                  </w:r>
                  <w:r>
                    <w:t>卷</w:t>
                  </w:r>
                </w:p>
              </w:tc>
              <w:tc>
                <w:tcPr>
                  <w:tcW w:w="1652" w:type="pct"/>
                  <w:tcBorders>
                    <w:tl2br w:val="nil"/>
                    <w:tr2bl w:val="nil"/>
                  </w:tcBorders>
                  <w:vAlign w:val="center"/>
                </w:tcPr>
                <w:p>
                  <w:pPr>
                    <w:pStyle w:val="48"/>
                  </w:pPr>
                  <w:r>
                    <w:t>100g/m</w:t>
                  </w:r>
                  <w:r>
                    <w:rPr>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vAlign w:val="center"/>
                </w:tcPr>
                <w:p>
                  <w:pPr>
                    <w:pStyle w:val="33"/>
                    <w:widowControl w:val="0"/>
                    <w:rPr>
                      <w:lang w:val="en-US" w:eastAsia="zh-CN"/>
                    </w:rPr>
                  </w:pPr>
                  <w:r>
                    <w:rPr>
                      <w:rFonts w:hint="eastAsia"/>
                      <w:lang w:val="en-US" w:eastAsia="zh-CN"/>
                    </w:rPr>
                    <w:t>11</w:t>
                  </w:r>
                </w:p>
              </w:tc>
              <w:tc>
                <w:tcPr>
                  <w:tcW w:w="779" w:type="pct"/>
                  <w:vMerge w:val="continue"/>
                  <w:tcBorders>
                    <w:tl2br w:val="nil"/>
                    <w:tr2bl w:val="nil"/>
                  </w:tcBorders>
                  <w:vAlign w:val="center"/>
                </w:tcPr>
                <w:p>
                  <w:pPr>
                    <w:pStyle w:val="48"/>
                    <w:rPr>
                      <w:color w:val="0000FF"/>
                    </w:rPr>
                  </w:pPr>
                </w:p>
              </w:tc>
              <w:tc>
                <w:tcPr>
                  <w:tcW w:w="1370" w:type="pct"/>
                  <w:tcBorders>
                    <w:tl2br w:val="nil"/>
                    <w:tr2bl w:val="nil"/>
                  </w:tcBorders>
                  <w:vAlign w:val="center"/>
                </w:tcPr>
                <w:p>
                  <w:pPr>
                    <w:pStyle w:val="48"/>
                  </w:pPr>
                  <w:r>
                    <w:t>乳液</w:t>
                  </w:r>
                </w:p>
              </w:tc>
              <w:tc>
                <w:tcPr>
                  <w:tcW w:w="786" w:type="pct"/>
                  <w:tcBorders>
                    <w:tl2br w:val="nil"/>
                    <w:tr2bl w:val="nil"/>
                  </w:tcBorders>
                  <w:vAlign w:val="center"/>
                </w:tcPr>
                <w:p>
                  <w:pPr>
                    <w:pStyle w:val="48"/>
                  </w:pPr>
                  <w:r>
                    <w:rPr>
                      <w:rFonts w:hint="eastAsia"/>
                    </w:rPr>
                    <w:t>3吨</w:t>
                  </w:r>
                </w:p>
              </w:tc>
              <w:tc>
                <w:tcPr>
                  <w:tcW w:w="1652" w:type="pct"/>
                  <w:tcBorders>
                    <w:tl2br w:val="nil"/>
                    <w:tr2bl w:val="nil"/>
                  </w:tcBorders>
                  <w:vAlign w:val="center"/>
                </w:tcPr>
                <w:p>
                  <w:pPr>
                    <w:pStyle w:val="48"/>
                  </w:pPr>
                  <w:r>
                    <w:t>25kg/桶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vAlign w:val="center"/>
                </w:tcPr>
                <w:p>
                  <w:pPr>
                    <w:pStyle w:val="33"/>
                    <w:widowControl w:val="0"/>
                    <w:rPr>
                      <w:lang w:val="en-US" w:eastAsia="zh-CN"/>
                    </w:rPr>
                  </w:pPr>
                  <w:r>
                    <w:rPr>
                      <w:rFonts w:hint="eastAsia"/>
                      <w:lang w:val="en-US" w:eastAsia="zh-CN"/>
                    </w:rPr>
                    <w:t>12</w:t>
                  </w:r>
                </w:p>
              </w:tc>
              <w:tc>
                <w:tcPr>
                  <w:tcW w:w="779" w:type="pct"/>
                  <w:vMerge w:val="continue"/>
                  <w:tcBorders>
                    <w:tl2br w:val="nil"/>
                    <w:tr2bl w:val="nil"/>
                  </w:tcBorders>
                  <w:vAlign w:val="center"/>
                </w:tcPr>
                <w:p>
                  <w:pPr>
                    <w:pStyle w:val="48"/>
                    <w:rPr>
                      <w:color w:val="0000FF"/>
                    </w:rPr>
                  </w:pPr>
                </w:p>
              </w:tc>
              <w:tc>
                <w:tcPr>
                  <w:tcW w:w="1370" w:type="pct"/>
                  <w:tcBorders>
                    <w:tl2br w:val="nil"/>
                    <w:tr2bl w:val="nil"/>
                  </w:tcBorders>
                  <w:vAlign w:val="center"/>
                </w:tcPr>
                <w:p>
                  <w:pPr>
                    <w:pStyle w:val="48"/>
                  </w:pPr>
                  <w:r>
                    <w:rPr>
                      <w:rFonts w:hint="eastAsia"/>
                    </w:rPr>
                    <w:t>纤维素</w:t>
                  </w:r>
                </w:p>
              </w:tc>
              <w:tc>
                <w:tcPr>
                  <w:tcW w:w="786" w:type="pct"/>
                  <w:tcBorders>
                    <w:tl2br w:val="nil"/>
                    <w:tr2bl w:val="nil"/>
                  </w:tcBorders>
                  <w:vAlign w:val="center"/>
                </w:tcPr>
                <w:p>
                  <w:pPr>
                    <w:pStyle w:val="48"/>
                  </w:pPr>
                  <w:r>
                    <w:rPr>
                      <w:rFonts w:hint="eastAsia"/>
                    </w:rPr>
                    <w:t>700</w:t>
                  </w:r>
                  <w:r>
                    <w:t>kg</w:t>
                  </w:r>
                </w:p>
              </w:tc>
              <w:tc>
                <w:tcPr>
                  <w:tcW w:w="1652" w:type="pct"/>
                  <w:tcBorders>
                    <w:tl2br w:val="nil"/>
                    <w:tr2bl w:val="nil"/>
                  </w:tcBorders>
                  <w:vAlign w:val="center"/>
                </w:tcPr>
                <w:p>
                  <w:pPr>
                    <w:pStyle w:val="48"/>
                  </w:pPr>
                  <w:r>
                    <w:t>25kg/袋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vAlign w:val="center"/>
                </w:tcPr>
                <w:p>
                  <w:pPr>
                    <w:pStyle w:val="33"/>
                    <w:widowControl w:val="0"/>
                    <w:rPr>
                      <w:lang w:val="en-US" w:eastAsia="zh-CN"/>
                    </w:rPr>
                  </w:pPr>
                  <w:r>
                    <w:rPr>
                      <w:rFonts w:hint="eastAsia"/>
                      <w:lang w:val="en-US" w:eastAsia="zh-CN"/>
                    </w:rPr>
                    <w:t>13</w:t>
                  </w:r>
                </w:p>
              </w:tc>
              <w:tc>
                <w:tcPr>
                  <w:tcW w:w="779" w:type="pct"/>
                  <w:vMerge w:val="continue"/>
                  <w:tcBorders>
                    <w:tl2br w:val="nil"/>
                    <w:tr2bl w:val="nil"/>
                  </w:tcBorders>
                  <w:vAlign w:val="center"/>
                </w:tcPr>
                <w:p>
                  <w:pPr>
                    <w:pStyle w:val="48"/>
                    <w:rPr>
                      <w:color w:val="0000FF"/>
                    </w:rPr>
                  </w:pPr>
                </w:p>
              </w:tc>
              <w:tc>
                <w:tcPr>
                  <w:tcW w:w="1370" w:type="pct"/>
                  <w:tcBorders>
                    <w:tl2br w:val="nil"/>
                    <w:tr2bl w:val="nil"/>
                  </w:tcBorders>
                  <w:vAlign w:val="center"/>
                </w:tcPr>
                <w:p>
                  <w:pPr>
                    <w:pStyle w:val="48"/>
                  </w:pPr>
                  <w:r>
                    <w:rPr>
                      <w:rFonts w:hint="eastAsia"/>
                    </w:rPr>
                    <w:t>黄沙</w:t>
                  </w:r>
                </w:p>
              </w:tc>
              <w:tc>
                <w:tcPr>
                  <w:tcW w:w="786" w:type="pct"/>
                  <w:tcBorders>
                    <w:tl2br w:val="nil"/>
                    <w:tr2bl w:val="nil"/>
                  </w:tcBorders>
                  <w:vAlign w:val="center"/>
                </w:tcPr>
                <w:p>
                  <w:pPr>
                    <w:pStyle w:val="48"/>
                  </w:pPr>
                  <w:r>
                    <w:rPr>
                      <w:rFonts w:hint="eastAsia"/>
                    </w:rPr>
                    <w:t>300</w:t>
                  </w:r>
                  <w:r>
                    <w:t>t</w:t>
                  </w:r>
                </w:p>
              </w:tc>
              <w:tc>
                <w:tcPr>
                  <w:tcW w:w="1652" w:type="pct"/>
                  <w:tcBorders>
                    <w:tl2br w:val="nil"/>
                    <w:tr2bl w:val="nil"/>
                  </w:tcBorders>
                  <w:vAlign w:val="center"/>
                </w:tcPr>
                <w:p>
                  <w:pPr>
                    <w:pStyle w:val="48"/>
                  </w:pPr>
                  <w:r>
                    <w:t>袋装，50kg/袋，厂家直送，置于</w:t>
                  </w:r>
                  <w:r>
                    <w:rPr>
                      <w:rFonts w:hint="eastAsia"/>
                    </w:rPr>
                    <w:t>厂房内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vAlign w:val="center"/>
                </w:tcPr>
                <w:p>
                  <w:pPr>
                    <w:pStyle w:val="33"/>
                    <w:widowControl w:val="0"/>
                    <w:rPr>
                      <w:lang w:val="en-US" w:eastAsia="zh-CN"/>
                    </w:rPr>
                  </w:pPr>
                  <w:r>
                    <w:rPr>
                      <w:rFonts w:hint="eastAsia"/>
                      <w:lang w:val="en-US" w:eastAsia="zh-CN"/>
                    </w:rPr>
                    <w:t>14</w:t>
                  </w:r>
                </w:p>
              </w:tc>
              <w:tc>
                <w:tcPr>
                  <w:tcW w:w="779" w:type="pct"/>
                  <w:vMerge w:val="continue"/>
                  <w:tcBorders>
                    <w:tl2br w:val="nil"/>
                    <w:tr2bl w:val="nil"/>
                  </w:tcBorders>
                  <w:vAlign w:val="center"/>
                </w:tcPr>
                <w:p>
                  <w:pPr>
                    <w:pStyle w:val="33"/>
                    <w:widowControl w:val="0"/>
                    <w:rPr>
                      <w:lang w:val="en-US" w:eastAsia="zh-CN"/>
                    </w:rPr>
                  </w:pPr>
                </w:p>
              </w:tc>
              <w:tc>
                <w:tcPr>
                  <w:tcW w:w="1370" w:type="pct"/>
                  <w:tcBorders>
                    <w:tl2br w:val="nil"/>
                    <w:tr2bl w:val="nil"/>
                  </w:tcBorders>
                  <w:vAlign w:val="center"/>
                </w:tcPr>
                <w:p>
                  <w:pPr>
                    <w:pStyle w:val="48"/>
                  </w:pPr>
                  <w:r>
                    <w:rPr>
                      <w:rFonts w:hint="eastAsia"/>
                    </w:rPr>
                    <w:t>425</w:t>
                  </w:r>
                  <w:r>
                    <w:t>水泥</w:t>
                  </w:r>
                </w:p>
              </w:tc>
              <w:tc>
                <w:tcPr>
                  <w:tcW w:w="786" w:type="pct"/>
                  <w:tcBorders>
                    <w:tl2br w:val="nil"/>
                    <w:tr2bl w:val="nil"/>
                  </w:tcBorders>
                  <w:vAlign w:val="center"/>
                </w:tcPr>
                <w:p>
                  <w:pPr>
                    <w:pStyle w:val="48"/>
                  </w:pPr>
                  <w:r>
                    <w:rPr>
                      <w:rFonts w:hint="eastAsia"/>
                    </w:rPr>
                    <w:t>100</w:t>
                  </w:r>
                  <w:r>
                    <w:t>t</w:t>
                  </w:r>
                </w:p>
              </w:tc>
              <w:tc>
                <w:tcPr>
                  <w:tcW w:w="1652" w:type="pct"/>
                  <w:tcBorders>
                    <w:tl2br w:val="nil"/>
                    <w:tr2bl w:val="nil"/>
                  </w:tcBorders>
                  <w:vAlign w:val="center"/>
                </w:tcPr>
                <w:p>
                  <w:pPr>
                    <w:pStyle w:val="48"/>
                  </w:pPr>
                  <w:r>
                    <w:t>袋装，50kg/袋，厂家直送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11" w:type="pct"/>
                  <w:tcBorders>
                    <w:tl2br w:val="nil"/>
                    <w:tr2bl w:val="nil"/>
                  </w:tcBorders>
                  <w:vAlign w:val="center"/>
                </w:tcPr>
                <w:p>
                  <w:pPr>
                    <w:pStyle w:val="33"/>
                    <w:widowControl w:val="0"/>
                    <w:rPr>
                      <w:lang w:val="en-US" w:eastAsia="zh-CN"/>
                    </w:rPr>
                  </w:pPr>
                  <w:r>
                    <w:rPr>
                      <w:rFonts w:hint="eastAsia"/>
                      <w:lang w:val="en-US" w:eastAsia="zh-CN"/>
                    </w:rPr>
                    <w:t>15</w:t>
                  </w:r>
                </w:p>
              </w:tc>
              <w:tc>
                <w:tcPr>
                  <w:tcW w:w="779" w:type="pct"/>
                  <w:vMerge w:val="restart"/>
                  <w:tcBorders>
                    <w:tl2br w:val="nil"/>
                    <w:tr2bl w:val="nil"/>
                  </w:tcBorders>
                  <w:vAlign w:val="center"/>
                </w:tcPr>
                <w:p>
                  <w:pPr>
                    <w:pStyle w:val="33"/>
                    <w:widowControl w:val="0"/>
                    <w:rPr>
                      <w:lang w:val="en-US" w:eastAsia="zh-CN"/>
                    </w:rPr>
                  </w:pPr>
                  <w:r>
                    <w:rPr>
                      <w:szCs w:val="21"/>
                    </w:rPr>
                    <w:t>辅助材料</w:t>
                  </w:r>
                </w:p>
              </w:tc>
              <w:tc>
                <w:tcPr>
                  <w:tcW w:w="1370" w:type="pct"/>
                  <w:tcBorders>
                    <w:tl2br w:val="nil"/>
                    <w:tr2bl w:val="nil"/>
                  </w:tcBorders>
                  <w:vAlign w:val="center"/>
                </w:tcPr>
                <w:p>
                  <w:pPr>
                    <w:pStyle w:val="33"/>
                    <w:widowControl w:val="0"/>
                    <w:rPr>
                      <w:lang w:val="en-US" w:eastAsia="zh-CN"/>
                    </w:rPr>
                  </w:pPr>
                  <w:r>
                    <w:rPr>
                      <w:rFonts w:hint="eastAsia"/>
                      <w:lang w:val="en-US" w:eastAsia="zh-CN"/>
                    </w:rPr>
                    <w:t>水</w:t>
                  </w:r>
                </w:p>
              </w:tc>
              <w:tc>
                <w:tcPr>
                  <w:tcW w:w="786" w:type="pct"/>
                  <w:tcBorders>
                    <w:tl2br w:val="nil"/>
                    <w:tr2bl w:val="nil"/>
                  </w:tcBorders>
                  <w:vAlign w:val="center"/>
                </w:tcPr>
                <w:p>
                  <w:pPr>
                    <w:pStyle w:val="33"/>
                    <w:widowControl w:val="0"/>
                    <w:rPr>
                      <w:lang w:val="en-US" w:eastAsia="zh-CN"/>
                    </w:rPr>
                  </w:pPr>
                  <w:r>
                    <w:rPr>
                      <w:rFonts w:hint="eastAsia"/>
                      <w:lang w:val="en-US" w:eastAsia="zh-CN"/>
                    </w:rPr>
                    <w:t>600m</w:t>
                  </w:r>
                  <w:r>
                    <w:rPr>
                      <w:rFonts w:hint="eastAsia"/>
                      <w:vertAlign w:val="superscript"/>
                      <w:lang w:val="en-US" w:eastAsia="zh-CN"/>
                    </w:rPr>
                    <w:t>3</w:t>
                  </w:r>
                </w:p>
              </w:tc>
              <w:tc>
                <w:tcPr>
                  <w:tcW w:w="1652" w:type="pct"/>
                  <w:tcBorders>
                    <w:tl2br w:val="nil"/>
                    <w:tr2bl w:val="nil"/>
                  </w:tcBorders>
                  <w:vAlign w:val="center"/>
                </w:tcPr>
                <w:p>
                  <w:pPr>
                    <w:pStyle w:val="33"/>
                    <w:widowControl w:val="0"/>
                    <w:rPr>
                      <w:lang w:val="en-US" w:eastAsia="zh-CN"/>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vAlign w:val="center"/>
                </w:tcPr>
                <w:p>
                  <w:pPr>
                    <w:pStyle w:val="33"/>
                    <w:widowControl w:val="0"/>
                    <w:rPr>
                      <w:lang w:val="en-US" w:eastAsia="zh-CN"/>
                    </w:rPr>
                  </w:pPr>
                  <w:r>
                    <w:rPr>
                      <w:rFonts w:hint="eastAsia"/>
                      <w:lang w:val="en-US" w:eastAsia="zh-CN"/>
                    </w:rPr>
                    <w:t>16</w:t>
                  </w:r>
                </w:p>
              </w:tc>
              <w:tc>
                <w:tcPr>
                  <w:tcW w:w="779" w:type="pct"/>
                  <w:vMerge w:val="continue"/>
                  <w:tcBorders>
                    <w:tl2br w:val="nil"/>
                    <w:tr2bl w:val="nil"/>
                  </w:tcBorders>
                  <w:vAlign w:val="center"/>
                </w:tcPr>
                <w:p>
                  <w:pPr>
                    <w:pStyle w:val="33"/>
                    <w:widowControl w:val="0"/>
                    <w:rPr>
                      <w:lang w:val="en-US" w:eastAsia="zh-CN"/>
                    </w:rPr>
                  </w:pPr>
                </w:p>
              </w:tc>
              <w:tc>
                <w:tcPr>
                  <w:tcW w:w="1370" w:type="pct"/>
                  <w:tcBorders>
                    <w:tl2br w:val="nil"/>
                    <w:tr2bl w:val="nil"/>
                  </w:tcBorders>
                  <w:vAlign w:val="center"/>
                </w:tcPr>
                <w:p>
                  <w:pPr>
                    <w:pStyle w:val="33"/>
                    <w:widowControl w:val="0"/>
                    <w:rPr>
                      <w:lang w:val="en-US" w:eastAsia="zh-CN"/>
                    </w:rPr>
                  </w:pPr>
                  <w:r>
                    <w:rPr>
                      <w:rFonts w:hint="eastAsia"/>
                      <w:lang w:val="en-US" w:eastAsia="zh-CN"/>
                    </w:rPr>
                    <w:t>电</w:t>
                  </w:r>
                </w:p>
              </w:tc>
              <w:tc>
                <w:tcPr>
                  <w:tcW w:w="786" w:type="pct"/>
                  <w:tcBorders>
                    <w:tl2br w:val="nil"/>
                    <w:tr2bl w:val="nil"/>
                  </w:tcBorders>
                  <w:vAlign w:val="center"/>
                </w:tcPr>
                <w:p>
                  <w:pPr>
                    <w:pStyle w:val="33"/>
                    <w:widowControl w:val="0"/>
                    <w:rPr>
                      <w:lang w:val="en-US" w:eastAsia="zh-CN"/>
                    </w:rPr>
                  </w:pPr>
                  <w:r>
                    <w:rPr>
                      <w:rFonts w:hint="eastAsia"/>
                      <w:lang w:val="en-US" w:eastAsia="zh-CN"/>
                    </w:rPr>
                    <w:t>8000度</w:t>
                  </w:r>
                </w:p>
              </w:tc>
              <w:tc>
                <w:tcPr>
                  <w:tcW w:w="1652" w:type="pct"/>
                  <w:tcBorders>
                    <w:tl2br w:val="nil"/>
                    <w:tr2bl w:val="nil"/>
                  </w:tcBorders>
                  <w:vAlign w:val="center"/>
                </w:tcPr>
                <w:p>
                  <w:pPr>
                    <w:pStyle w:val="33"/>
                    <w:widowControl w:val="0"/>
                    <w:rPr>
                      <w:lang w:val="en-US" w:eastAsia="zh-CN"/>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vAlign w:val="center"/>
                </w:tcPr>
                <w:p>
                  <w:pPr>
                    <w:pStyle w:val="33"/>
                    <w:widowControl w:val="0"/>
                    <w:rPr>
                      <w:lang w:val="en-US" w:eastAsia="zh-CN"/>
                    </w:rPr>
                  </w:pPr>
                  <w:r>
                    <w:rPr>
                      <w:rFonts w:hint="eastAsia"/>
                      <w:lang w:val="en-US" w:eastAsia="zh-CN"/>
                    </w:rPr>
                    <w:t>17</w:t>
                  </w:r>
                </w:p>
              </w:tc>
              <w:tc>
                <w:tcPr>
                  <w:tcW w:w="779" w:type="pct"/>
                  <w:vMerge w:val="continue"/>
                  <w:tcBorders>
                    <w:tl2br w:val="nil"/>
                    <w:tr2bl w:val="nil"/>
                  </w:tcBorders>
                  <w:vAlign w:val="center"/>
                </w:tcPr>
                <w:p>
                  <w:pPr>
                    <w:pStyle w:val="33"/>
                    <w:widowControl w:val="0"/>
                    <w:rPr>
                      <w:lang w:val="en-US" w:eastAsia="zh-CN"/>
                    </w:rPr>
                  </w:pPr>
                </w:p>
              </w:tc>
              <w:tc>
                <w:tcPr>
                  <w:tcW w:w="1370" w:type="pct"/>
                  <w:tcBorders>
                    <w:tl2br w:val="nil"/>
                    <w:tr2bl w:val="nil"/>
                  </w:tcBorders>
                  <w:vAlign w:val="center"/>
                </w:tcPr>
                <w:p>
                  <w:pPr>
                    <w:pStyle w:val="48"/>
                  </w:pPr>
                  <w:r>
                    <w:rPr>
                      <w:rFonts w:hint="eastAsia"/>
                    </w:rPr>
                    <w:t>机油</w:t>
                  </w:r>
                </w:p>
              </w:tc>
              <w:tc>
                <w:tcPr>
                  <w:tcW w:w="786" w:type="pct"/>
                  <w:tcBorders>
                    <w:tl2br w:val="nil"/>
                    <w:tr2bl w:val="nil"/>
                  </w:tcBorders>
                  <w:vAlign w:val="center"/>
                </w:tcPr>
                <w:p>
                  <w:pPr>
                    <w:pStyle w:val="33"/>
                    <w:widowControl w:val="0"/>
                    <w:rPr>
                      <w:lang w:val="en-US" w:eastAsia="zh-CN"/>
                    </w:rPr>
                  </w:pPr>
                  <w:r>
                    <w:t>0.02t/a</w:t>
                  </w:r>
                </w:p>
              </w:tc>
              <w:tc>
                <w:tcPr>
                  <w:tcW w:w="1652" w:type="pct"/>
                  <w:tcBorders>
                    <w:tl2br w:val="nil"/>
                    <w:tr2bl w:val="nil"/>
                  </w:tcBorders>
                  <w:vAlign w:val="center"/>
                </w:tcPr>
                <w:p>
                  <w:pPr>
                    <w:pStyle w:val="33"/>
                    <w:widowControl w:val="0"/>
                    <w:rPr>
                      <w:lang w:val="en-US" w:eastAsia="zh-CN"/>
                    </w:rPr>
                  </w:pPr>
                  <w:r>
                    <w:rPr>
                      <w:rFonts w:hint="eastAsia"/>
                      <w:lang w:val="en-US" w:eastAsia="zh-CN"/>
                    </w:rPr>
                    <w:t>/</w:t>
                  </w:r>
                </w:p>
              </w:tc>
            </w:tr>
          </w:tbl>
          <w:p>
            <w:pPr>
              <w:pStyle w:val="6"/>
              <w:jc w:val="both"/>
              <w:outlineLvl w:val="2"/>
            </w:pPr>
            <w:r>
              <w:rPr>
                <w:rFonts w:hint="eastAsia"/>
              </w:rPr>
              <w:t>3.1 项目原辅料物理性质：</w:t>
            </w:r>
          </w:p>
          <w:p>
            <w:pPr>
              <w:pStyle w:val="20"/>
              <w:ind w:firstLine="480"/>
              <w:jc w:val="both"/>
            </w:pPr>
            <w:r>
              <w:t>玻璃纤维网格布：玻璃纤维网格布是以玻璃纤维机织物为基材，经高分子抗乳液浸泡涂层。玻璃纤维网格布以耐碱玻纤网布为主，它采用中无碱玻纤纱(主要成份是硅酸盐、化学稳定性好)经特殊的组织结构-纱罗组织绞织而成，后经抗碱液、增强剂等高温热定型处理。根据建设单位提供资料，本项目玻璃纤维网格布上附带有不干胶，以便于EPS线条包覆工序</w:t>
            </w:r>
            <w:r>
              <w:rPr>
                <w:rFonts w:hint="eastAsia"/>
              </w:rPr>
              <w:t>。</w:t>
            </w:r>
          </w:p>
          <w:p>
            <w:pPr>
              <w:pStyle w:val="20"/>
              <w:ind w:firstLine="480"/>
              <w:jc w:val="both"/>
            </w:pPr>
            <w:r>
              <w:t>乳液：本项目选用乳液为EPS线条专用乳液，为丙烯酸共聚乳液，乳液主要作用为提高成膜强度和韧性。主要成分为丁酯、甲酯、丙烯酸共聚物和水。常温下，丙烯酸乳液挥发量约为原料用量的0.5%</w:t>
            </w:r>
            <w:r>
              <w:rPr>
                <w:rFonts w:hint="eastAsia"/>
              </w:rPr>
              <w:t>。</w:t>
            </w:r>
          </w:p>
          <w:p>
            <w:pPr>
              <w:pStyle w:val="5"/>
              <w:numPr>
                <w:ilvl w:val="0"/>
                <w:numId w:val="5"/>
              </w:numPr>
              <w:jc w:val="both"/>
              <w:outlineLvl w:val="1"/>
            </w:pPr>
            <w:r>
              <w:rPr>
                <w:rFonts w:hint="eastAsia"/>
              </w:rPr>
              <w:t>产品方案</w:t>
            </w:r>
          </w:p>
          <w:p>
            <w:pPr>
              <w:pStyle w:val="20"/>
              <w:ind w:firstLine="480"/>
              <w:jc w:val="both"/>
            </w:pPr>
            <w:r>
              <w:t>项目产品方案见下表2-</w:t>
            </w:r>
            <w:r>
              <w:rPr>
                <w:rFonts w:hint="eastAsia"/>
              </w:rPr>
              <w:t>4</w:t>
            </w:r>
            <w:r>
              <w:t>。</w:t>
            </w:r>
          </w:p>
          <w:p>
            <w:pPr>
              <w:pStyle w:val="32"/>
            </w:pPr>
            <w:r>
              <w:t>表2-</w:t>
            </w:r>
            <w:r>
              <w:rPr>
                <w:rFonts w:hint="eastAsia"/>
              </w:rPr>
              <w:t>4</w:t>
            </w:r>
            <w:r>
              <w:t xml:space="preserve">     产品方案一览表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266"/>
              <w:gridCol w:w="1008"/>
              <w:gridCol w:w="1154"/>
              <w:gridCol w:w="35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7" w:type="pct"/>
                  <w:tcBorders>
                    <w:bottom w:val="single" w:color="000000" w:sz="12" w:space="0"/>
                    <w:tl2br w:val="nil"/>
                    <w:tr2bl w:val="nil"/>
                  </w:tcBorders>
                  <w:vAlign w:val="center"/>
                </w:tcPr>
                <w:p>
                  <w:pPr>
                    <w:pStyle w:val="33"/>
                    <w:widowControl w:val="0"/>
                    <w:rPr>
                      <w:b/>
                      <w:bCs/>
                      <w:lang w:val="en-US" w:eastAsia="zh-CN"/>
                    </w:rPr>
                  </w:pPr>
                  <w:r>
                    <w:rPr>
                      <w:b/>
                      <w:bCs/>
                      <w:lang w:val="en-US" w:eastAsia="zh-CN"/>
                    </w:rPr>
                    <w:t>序号</w:t>
                  </w:r>
                </w:p>
              </w:tc>
              <w:tc>
                <w:tcPr>
                  <w:tcW w:w="806" w:type="pct"/>
                  <w:tcBorders>
                    <w:bottom w:val="single" w:color="000000" w:sz="12" w:space="0"/>
                    <w:tl2br w:val="nil"/>
                    <w:tr2bl w:val="nil"/>
                  </w:tcBorders>
                  <w:vAlign w:val="center"/>
                </w:tcPr>
                <w:p>
                  <w:pPr>
                    <w:pStyle w:val="33"/>
                    <w:widowControl w:val="0"/>
                    <w:rPr>
                      <w:b/>
                      <w:bCs/>
                      <w:lang w:val="en-US" w:eastAsia="zh-CN"/>
                    </w:rPr>
                  </w:pPr>
                  <w:r>
                    <w:rPr>
                      <w:b/>
                      <w:bCs/>
                      <w:lang w:val="en-US" w:eastAsia="zh-CN"/>
                    </w:rPr>
                    <w:t>名称</w:t>
                  </w:r>
                </w:p>
              </w:tc>
              <w:tc>
                <w:tcPr>
                  <w:tcW w:w="642" w:type="pct"/>
                  <w:tcBorders>
                    <w:bottom w:val="single" w:color="000000" w:sz="12" w:space="0"/>
                    <w:tl2br w:val="nil"/>
                    <w:tr2bl w:val="nil"/>
                  </w:tcBorders>
                  <w:vAlign w:val="center"/>
                </w:tcPr>
                <w:p>
                  <w:pPr>
                    <w:pStyle w:val="33"/>
                    <w:widowControl w:val="0"/>
                    <w:rPr>
                      <w:b/>
                      <w:bCs/>
                      <w:lang w:val="en-US" w:eastAsia="zh-CN"/>
                    </w:rPr>
                  </w:pPr>
                  <w:r>
                    <w:rPr>
                      <w:b/>
                      <w:bCs/>
                      <w:lang w:val="en-US" w:eastAsia="zh-CN"/>
                    </w:rPr>
                    <w:t>数量</w:t>
                  </w:r>
                </w:p>
              </w:tc>
              <w:tc>
                <w:tcPr>
                  <w:tcW w:w="735" w:type="pct"/>
                  <w:tcBorders>
                    <w:bottom w:val="single" w:color="000000" w:sz="12" w:space="0"/>
                    <w:tl2br w:val="nil"/>
                    <w:tr2bl w:val="nil"/>
                  </w:tcBorders>
                  <w:vAlign w:val="center"/>
                </w:tcPr>
                <w:p>
                  <w:pPr>
                    <w:pStyle w:val="33"/>
                    <w:widowControl w:val="0"/>
                    <w:rPr>
                      <w:b/>
                      <w:bCs/>
                      <w:lang w:val="en-US" w:eastAsia="zh-CN"/>
                    </w:rPr>
                  </w:pPr>
                  <w:r>
                    <w:rPr>
                      <w:rFonts w:hint="eastAsia"/>
                      <w:b/>
                      <w:bCs/>
                      <w:lang w:val="en-US" w:eastAsia="zh-CN"/>
                    </w:rPr>
                    <w:t>单位</w:t>
                  </w:r>
                </w:p>
              </w:tc>
              <w:tc>
                <w:tcPr>
                  <w:tcW w:w="2237" w:type="pct"/>
                  <w:tcBorders>
                    <w:bottom w:val="single" w:color="000000" w:sz="12" w:space="0"/>
                    <w:tl2br w:val="nil"/>
                    <w:tr2bl w:val="nil"/>
                  </w:tcBorders>
                  <w:vAlign w:val="center"/>
                </w:tcPr>
                <w:p>
                  <w:pPr>
                    <w:pStyle w:val="33"/>
                    <w:widowControl w:val="0"/>
                    <w:rPr>
                      <w:b/>
                      <w:bCs/>
                      <w:lang w:val="en-US" w:eastAsia="zh-CN"/>
                    </w:rPr>
                  </w:pPr>
                  <w:r>
                    <w:rPr>
                      <w:rFonts w:hint="eastAsia"/>
                      <w:b/>
                      <w:bCs/>
                      <w:lang w:val="en-US" w:eastAsia="zh-CN"/>
                    </w:rPr>
                    <w:t>质量指标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7" w:type="pct"/>
                  <w:tcBorders>
                    <w:tl2br w:val="nil"/>
                    <w:tr2bl w:val="nil"/>
                  </w:tcBorders>
                  <w:vAlign w:val="center"/>
                </w:tcPr>
                <w:p>
                  <w:pPr>
                    <w:pStyle w:val="33"/>
                    <w:widowControl w:val="0"/>
                    <w:rPr>
                      <w:lang w:val="en-US" w:eastAsia="zh-CN"/>
                    </w:rPr>
                  </w:pPr>
                  <w:r>
                    <w:rPr>
                      <w:rFonts w:hint="eastAsia"/>
                      <w:lang w:val="en-US" w:eastAsia="zh-CN"/>
                    </w:rPr>
                    <w:t>1</w:t>
                  </w:r>
                </w:p>
              </w:tc>
              <w:tc>
                <w:tcPr>
                  <w:tcW w:w="806" w:type="pct"/>
                  <w:tcBorders>
                    <w:tl2br w:val="nil"/>
                    <w:tr2bl w:val="nil"/>
                  </w:tcBorders>
                  <w:vAlign w:val="center"/>
                </w:tcPr>
                <w:p>
                  <w:pPr>
                    <w:pStyle w:val="33"/>
                    <w:widowControl w:val="0"/>
                    <w:rPr>
                      <w:lang w:val="en-US" w:eastAsia="zh-CN"/>
                    </w:rPr>
                  </w:pPr>
                  <w:r>
                    <w:rPr>
                      <w:rFonts w:hint="eastAsia"/>
                      <w:lang w:val="en-US" w:eastAsia="zh-CN"/>
                    </w:rPr>
                    <w:t>GRC构件</w:t>
                  </w:r>
                </w:p>
              </w:tc>
              <w:tc>
                <w:tcPr>
                  <w:tcW w:w="642" w:type="pct"/>
                  <w:tcBorders>
                    <w:tl2br w:val="nil"/>
                    <w:tr2bl w:val="nil"/>
                  </w:tcBorders>
                  <w:vAlign w:val="center"/>
                </w:tcPr>
                <w:p>
                  <w:pPr>
                    <w:pStyle w:val="33"/>
                    <w:widowControl w:val="0"/>
                    <w:rPr>
                      <w:lang w:val="en-US" w:eastAsia="zh-CN"/>
                    </w:rPr>
                  </w:pPr>
                  <w:r>
                    <w:rPr>
                      <w:rFonts w:hint="eastAsia"/>
                      <w:lang w:val="en-US" w:eastAsia="zh-CN"/>
                    </w:rPr>
                    <w:t>1.5</w:t>
                  </w:r>
                </w:p>
              </w:tc>
              <w:tc>
                <w:tcPr>
                  <w:tcW w:w="735" w:type="pct"/>
                  <w:tcBorders>
                    <w:tl2br w:val="nil"/>
                    <w:tr2bl w:val="nil"/>
                  </w:tcBorders>
                  <w:vAlign w:val="center"/>
                </w:tcPr>
                <w:p>
                  <w:pPr>
                    <w:pStyle w:val="33"/>
                    <w:widowControl w:val="0"/>
                    <w:rPr>
                      <w:lang w:val="en-US" w:eastAsia="zh-CN"/>
                    </w:rPr>
                  </w:pPr>
                  <w:r>
                    <w:rPr>
                      <w:lang w:val="en-US" w:eastAsia="zh-CN"/>
                    </w:rPr>
                    <w:t>万平方米</w:t>
                  </w:r>
                </w:p>
              </w:tc>
              <w:tc>
                <w:tcPr>
                  <w:tcW w:w="2237" w:type="pct"/>
                  <w:tcBorders>
                    <w:tl2br w:val="nil"/>
                    <w:tr2bl w:val="nil"/>
                  </w:tcBorders>
                  <w:vAlign w:val="center"/>
                </w:tcPr>
                <w:p>
                  <w:pPr>
                    <w:pStyle w:val="33"/>
                    <w:widowControl w:val="0"/>
                    <w:rPr>
                      <w:lang w:val="en-US" w:eastAsia="zh-CN"/>
                    </w:rPr>
                  </w:pPr>
                  <w:r>
                    <w:rPr>
                      <w:rFonts w:hint="eastAsia"/>
                      <w:lang w:val="en-US" w:eastAsia="zh-CN"/>
                    </w:rPr>
                    <w:t>《玻璃纤维增强水泥（GRC）装饰制品》（JC/T940-2004）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77" w:type="pct"/>
                  <w:tcBorders>
                    <w:tl2br w:val="nil"/>
                    <w:tr2bl w:val="nil"/>
                  </w:tcBorders>
                  <w:vAlign w:val="center"/>
                </w:tcPr>
                <w:p>
                  <w:pPr>
                    <w:pStyle w:val="33"/>
                    <w:widowControl w:val="0"/>
                    <w:rPr>
                      <w:lang w:val="en-US" w:eastAsia="zh-CN"/>
                    </w:rPr>
                  </w:pPr>
                  <w:r>
                    <w:rPr>
                      <w:rFonts w:hint="eastAsia"/>
                      <w:lang w:val="en-US" w:eastAsia="zh-CN"/>
                    </w:rPr>
                    <w:t>2</w:t>
                  </w:r>
                </w:p>
              </w:tc>
              <w:tc>
                <w:tcPr>
                  <w:tcW w:w="806" w:type="pct"/>
                  <w:tcBorders>
                    <w:tl2br w:val="nil"/>
                    <w:tr2bl w:val="nil"/>
                  </w:tcBorders>
                  <w:vAlign w:val="center"/>
                </w:tcPr>
                <w:p>
                  <w:pPr>
                    <w:pStyle w:val="33"/>
                    <w:widowControl w:val="0"/>
                    <w:rPr>
                      <w:lang w:val="en-US" w:eastAsia="zh-CN"/>
                    </w:rPr>
                  </w:pPr>
                  <w:r>
                    <w:rPr>
                      <w:rFonts w:hint="eastAsia"/>
                      <w:lang w:val="en-US" w:eastAsia="zh-CN"/>
                    </w:rPr>
                    <w:t>EPS线条</w:t>
                  </w:r>
                </w:p>
              </w:tc>
              <w:tc>
                <w:tcPr>
                  <w:tcW w:w="642" w:type="pct"/>
                  <w:tcBorders>
                    <w:tl2br w:val="nil"/>
                    <w:tr2bl w:val="nil"/>
                  </w:tcBorders>
                  <w:vAlign w:val="center"/>
                </w:tcPr>
                <w:p>
                  <w:pPr>
                    <w:pStyle w:val="33"/>
                    <w:widowControl w:val="0"/>
                    <w:rPr>
                      <w:lang w:val="en-US" w:eastAsia="zh-CN"/>
                    </w:rPr>
                  </w:pPr>
                  <w:r>
                    <w:rPr>
                      <w:rFonts w:hint="eastAsia"/>
                      <w:lang w:val="en-US" w:eastAsia="zh-CN"/>
                    </w:rPr>
                    <w:t>1.5</w:t>
                  </w:r>
                </w:p>
              </w:tc>
              <w:tc>
                <w:tcPr>
                  <w:tcW w:w="735" w:type="pct"/>
                  <w:tcBorders>
                    <w:tl2br w:val="nil"/>
                    <w:tr2bl w:val="nil"/>
                  </w:tcBorders>
                  <w:vAlign w:val="center"/>
                </w:tcPr>
                <w:p>
                  <w:pPr>
                    <w:pStyle w:val="33"/>
                    <w:widowControl w:val="0"/>
                    <w:rPr>
                      <w:lang w:val="en-US" w:eastAsia="zh-CN"/>
                    </w:rPr>
                  </w:pPr>
                  <w:r>
                    <w:rPr>
                      <w:lang w:val="en-US" w:eastAsia="zh-CN"/>
                    </w:rPr>
                    <w:t>万平方米</w:t>
                  </w:r>
                </w:p>
              </w:tc>
              <w:tc>
                <w:tcPr>
                  <w:tcW w:w="2237" w:type="pct"/>
                  <w:tcBorders>
                    <w:tl2br w:val="nil"/>
                    <w:tr2bl w:val="nil"/>
                  </w:tcBorders>
                  <w:vAlign w:val="center"/>
                </w:tcPr>
                <w:p>
                  <w:pPr>
                    <w:pStyle w:val="33"/>
                    <w:widowControl w:val="0"/>
                    <w:jc w:val="both"/>
                  </w:pPr>
                  <w:r>
                    <w:rPr>
                      <w:rFonts w:hint="eastAsia"/>
                      <w:lang w:val="en-US" w:eastAsia="zh-CN"/>
                    </w:rPr>
                    <w:t>《聚苯乙烯泡沫（EPS）复合装饰线》（JC/T2387-2016）</w:t>
                  </w:r>
                </w:p>
              </w:tc>
            </w:tr>
          </w:tbl>
          <w:p>
            <w:pPr>
              <w:pStyle w:val="5"/>
              <w:numPr>
                <w:ilvl w:val="0"/>
                <w:numId w:val="5"/>
              </w:numPr>
              <w:jc w:val="both"/>
              <w:outlineLvl w:val="1"/>
            </w:pPr>
            <w:r>
              <w:rPr>
                <w:rFonts w:hint="eastAsia"/>
              </w:rPr>
              <w:t>公用工程</w:t>
            </w:r>
          </w:p>
          <w:p>
            <w:pPr>
              <w:pStyle w:val="6"/>
              <w:jc w:val="both"/>
              <w:outlineLvl w:val="2"/>
            </w:pPr>
            <w:r>
              <w:rPr>
                <w:rFonts w:hint="eastAsia"/>
              </w:rPr>
              <w:t>5.1 供电</w:t>
            </w:r>
          </w:p>
          <w:p>
            <w:pPr>
              <w:pStyle w:val="20"/>
              <w:ind w:firstLine="480"/>
              <w:jc w:val="both"/>
            </w:pPr>
            <w:r>
              <w:rPr>
                <w:rFonts w:hint="eastAsia"/>
              </w:rPr>
              <w:t>本项目电源由园区供电网统一供给，电力设施基础完好，能满足项目用电需求；</w:t>
            </w:r>
          </w:p>
          <w:p>
            <w:pPr>
              <w:pStyle w:val="6"/>
              <w:jc w:val="both"/>
              <w:outlineLvl w:val="2"/>
            </w:pPr>
            <w:r>
              <w:rPr>
                <w:rFonts w:hint="eastAsia"/>
              </w:rPr>
              <w:t>5.2 给水</w:t>
            </w:r>
          </w:p>
          <w:p>
            <w:pPr>
              <w:pStyle w:val="20"/>
              <w:ind w:firstLine="480"/>
              <w:jc w:val="both"/>
            </w:pPr>
            <w:r>
              <w:t>本项目用水依托</w:t>
            </w:r>
            <w:r>
              <w:rPr>
                <w:rFonts w:hint="eastAsia"/>
              </w:rPr>
              <w:t>园区</w:t>
            </w:r>
            <w:r>
              <w:t>管网供水系统提供，可满足本项目用水需求。</w:t>
            </w:r>
          </w:p>
          <w:p>
            <w:pPr>
              <w:pStyle w:val="6"/>
              <w:jc w:val="both"/>
              <w:outlineLvl w:val="2"/>
            </w:pPr>
            <w:r>
              <w:rPr>
                <w:rFonts w:hint="eastAsia"/>
              </w:rPr>
              <w:t>5.2.1 生产用水</w:t>
            </w:r>
          </w:p>
          <w:p>
            <w:pPr>
              <w:pStyle w:val="20"/>
              <w:ind w:firstLine="480"/>
              <w:jc w:val="both"/>
            </w:pPr>
            <w:r>
              <w:rPr>
                <w:rFonts w:hint="eastAsia"/>
              </w:rPr>
              <w:t>生产用水主要为混凝土搅拌用水、清洗用水、降尘用水等。</w:t>
            </w:r>
          </w:p>
          <w:p>
            <w:pPr>
              <w:pStyle w:val="20"/>
              <w:numPr>
                <w:ilvl w:val="0"/>
                <w:numId w:val="6"/>
              </w:numPr>
              <w:ind w:firstLine="480"/>
              <w:jc w:val="both"/>
            </w:pPr>
            <w:r>
              <w:rPr>
                <w:rFonts w:hint="eastAsia"/>
              </w:rPr>
              <w:t>搅拌用水</w:t>
            </w:r>
          </w:p>
          <w:p>
            <w:pPr>
              <w:pStyle w:val="20"/>
              <w:ind w:firstLine="480"/>
              <w:jc w:val="both"/>
            </w:pPr>
            <w:r>
              <w:rPr>
                <w:rFonts w:hint="eastAsia"/>
              </w:rPr>
              <w:t>根据建设单位提供，本项目搅拌用水600m</w:t>
            </w:r>
            <w:r>
              <w:rPr>
                <w:rFonts w:hint="eastAsia"/>
                <w:vertAlign w:val="superscript"/>
              </w:rPr>
              <w:t>3</w:t>
            </w:r>
            <w:r>
              <w:rPr>
                <w:rFonts w:hint="eastAsia"/>
              </w:rPr>
              <w:t>/a，搅拌用水一部分进入产品中，一部分在养护过程中蒸发消耗，因此不产生废水。</w:t>
            </w:r>
          </w:p>
          <w:p>
            <w:pPr>
              <w:pStyle w:val="20"/>
              <w:numPr>
                <w:ilvl w:val="0"/>
                <w:numId w:val="6"/>
              </w:numPr>
              <w:ind w:firstLine="480"/>
              <w:jc w:val="both"/>
            </w:pPr>
            <w:r>
              <w:rPr>
                <w:rFonts w:hint="eastAsia"/>
              </w:rPr>
              <w:t>生产设备清洗用水</w:t>
            </w:r>
          </w:p>
          <w:p>
            <w:pPr>
              <w:pStyle w:val="20"/>
              <w:ind w:firstLine="480"/>
              <w:jc w:val="both"/>
            </w:pPr>
            <w:r>
              <w:rPr>
                <w:rFonts w:hint="eastAsia"/>
              </w:rPr>
              <w:t>本项目搅拌机挂浆机等设备需定时进行清洗，以保证产品标准化，平均每天冲洗1次，按平均0.1m</w:t>
            </w:r>
            <w:r>
              <w:rPr>
                <w:rFonts w:hint="eastAsia"/>
                <w:vertAlign w:val="superscript"/>
              </w:rPr>
              <w:t>3</w:t>
            </w:r>
            <w:r>
              <w:rPr>
                <w:rFonts w:hint="eastAsia"/>
              </w:rPr>
              <w:t>/d计算，年工作210d，冲洗用水总量为21m</w:t>
            </w:r>
            <w:r>
              <w:rPr>
                <w:rFonts w:hint="eastAsia"/>
                <w:vertAlign w:val="superscript"/>
              </w:rPr>
              <w:t>3</w:t>
            </w:r>
            <w:r>
              <w:rPr>
                <w:rFonts w:hint="eastAsia"/>
              </w:rPr>
              <w:t>/a。</w:t>
            </w:r>
          </w:p>
          <w:p>
            <w:pPr>
              <w:pStyle w:val="20"/>
              <w:numPr>
                <w:ilvl w:val="0"/>
                <w:numId w:val="6"/>
              </w:numPr>
              <w:ind w:firstLine="480"/>
              <w:jc w:val="both"/>
            </w:pPr>
            <w:r>
              <w:rPr>
                <w:rFonts w:hint="eastAsia"/>
              </w:rPr>
              <w:t>降尘用水</w:t>
            </w:r>
          </w:p>
          <w:p>
            <w:pPr>
              <w:pStyle w:val="20"/>
              <w:ind w:firstLine="480"/>
              <w:jc w:val="both"/>
            </w:pPr>
            <w:r>
              <w:rPr>
                <w:rFonts w:hint="eastAsia"/>
              </w:rPr>
              <w:t>为控制营运期厂区扬尘污染，项目需对生产区、厂区道路及砂石堆场定期洒水喷雾降尘，根据同类型项目类比，降尘洒水用水量平均约为2m</w:t>
            </w:r>
            <w:r>
              <w:rPr>
                <w:rFonts w:hint="eastAsia"/>
                <w:vertAlign w:val="superscript"/>
              </w:rPr>
              <w:t>3</w:t>
            </w:r>
            <w:r>
              <w:rPr>
                <w:rFonts w:hint="eastAsia"/>
              </w:rPr>
              <w:t>/d，全部蒸发消耗。</w:t>
            </w:r>
          </w:p>
          <w:p>
            <w:pPr>
              <w:pStyle w:val="6"/>
              <w:jc w:val="both"/>
              <w:outlineLvl w:val="2"/>
            </w:pPr>
            <w:r>
              <w:rPr>
                <w:rFonts w:hint="eastAsia"/>
              </w:rPr>
              <w:t>5.2.2 生活用水</w:t>
            </w:r>
          </w:p>
          <w:p>
            <w:pPr>
              <w:pStyle w:val="20"/>
              <w:ind w:firstLine="480"/>
              <w:jc w:val="both"/>
            </w:pPr>
            <w:r>
              <w:t>本项目劳动定员为</w:t>
            </w:r>
            <w:r>
              <w:rPr>
                <w:rFonts w:hint="eastAsia"/>
              </w:rPr>
              <w:t>10</w:t>
            </w:r>
            <w:r>
              <w:t>人，</w:t>
            </w:r>
            <w:r>
              <w:rPr>
                <w:rFonts w:hint="eastAsia"/>
              </w:rPr>
              <w:t>年工作210天，根据《新疆维吾尔自治区生活用水定额》，人均</w:t>
            </w:r>
            <w:r>
              <w:t>用水量按每人</w:t>
            </w:r>
            <w:r>
              <w:rPr>
                <w:rFonts w:hint="eastAsia"/>
              </w:rPr>
              <w:t>50</w:t>
            </w:r>
            <w:r>
              <w:t>L/d计算，</w:t>
            </w:r>
            <w:r>
              <w:rPr>
                <w:rFonts w:hint="eastAsia"/>
              </w:rPr>
              <w:t>则</w:t>
            </w:r>
            <w:r>
              <w:t>生活用水量为</w:t>
            </w:r>
            <w:r>
              <w:rPr>
                <w:rFonts w:hint="eastAsia"/>
              </w:rPr>
              <w:t>0.5</w:t>
            </w:r>
            <w:r>
              <w:t>m</w:t>
            </w:r>
            <w:r>
              <w:rPr>
                <w:vertAlign w:val="superscript"/>
              </w:rPr>
              <w:t>3</w:t>
            </w:r>
            <w:r>
              <w:t>/d</w:t>
            </w:r>
            <w:r>
              <w:rPr>
                <w:rFonts w:hint="eastAsia"/>
              </w:rPr>
              <w:t>（105</w:t>
            </w:r>
            <w:r>
              <w:t>m</w:t>
            </w:r>
            <w:r>
              <w:rPr>
                <w:vertAlign w:val="superscript"/>
              </w:rPr>
              <w:t>3</w:t>
            </w:r>
            <w:r>
              <w:t>/a</w:t>
            </w:r>
            <w:r>
              <w:rPr>
                <w:rFonts w:hint="eastAsia"/>
              </w:rPr>
              <w:t>）</w:t>
            </w:r>
            <w:r>
              <w:t>。</w:t>
            </w:r>
          </w:p>
          <w:p>
            <w:pPr>
              <w:pStyle w:val="6"/>
              <w:jc w:val="both"/>
              <w:outlineLvl w:val="2"/>
            </w:pPr>
            <w:r>
              <w:rPr>
                <w:rFonts w:hint="eastAsia"/>
              </w:rPr>
              <w:t>5.2.2 排水</w:t>
            </w:r>
          </w:p>
          <w:p>
            <w:pPr>
              <w:pStyle w:val="20"/>
              <w:ind w:firstLine="480"/>
              <w:jc w:val="both"/>
            </w:pPr>
            <w:r>
              <w:rPr>
                <w:rFonts w:hint="eastAsia"/>
              </w:rPr>
              <w:t>项目营运期设备冲洗废水回用于生产，不外排；生活废水按80%计，生活污水排放量为84m</w:t>
            </w:r>
            <w:r>
              <w:rPr>
                <w:rFonts w:hint="eastAsia"/>
                <w:vertAlign w:val="superscript"/>
              </w:rPr>
              <w:t>3</w:t>
            </w:r>
            <w:r>
              <w:rPr>
                <w:rFonts w:hint="eastAsia"/>
              </w:rPr>
              <w:t>/a。</w:t>
            </w:r>
          </w:p>
          <w:p>
            <w:pPr>
              <w:pStyle w:val="20"/>
              <w:ind w:firstLine="473"/>
              <w:jc w:val="both"/>
              <w:rPr>
                <w:w w:val="99"/>
              </w:rPr>
            </w:pPr>
            <w:r>
              <w:rPr>
                <w:rFonts w:hint="eastAsia"/>
                <w:w w:val="99"/>
              </w:rPr>
              <w:t>生产废水经沉淀池收集后循环使用不外排，生活污水排入园区污水管网。</w:t>
            </w:r>
          </w:p>
          <w:p>
            <w:pPr>
              <w:pStyle w:val="20"/>
              <w:spacing w:line="240" w:lineRule="auto"/>
              <w:ind w:firstLine="0" w:firstLineChars="0"/>
              <w:jc w:val="center"/>
              <w:rPr>
                <w:w w:val="99"/>
              </w:rPr>
            </w:pPr>
            <w:r>
              <w:drawing>
                <wp:inline distT="0" distB="0" distL="114300" distR="114300">
                  <wp:extent cx="4000500" cy="3155950"/>
                  <wp:effectExtent l="0" t="0" r="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4000500" cy="3155950"/>
                          </a:xfrm>
                          <a:prstGeom prst="rect">
                            <a:avLst/>
                          </a:prstGeom>
                          <a:noFill/>
                          <a:ln>
                            <a:noFill/>
                          </a:ln>
                        </pic:spPr>
                      </pic:pic>
                    </a:graphicData>
                  </a:graphic>
                </wp:inline>
              </w:drawing>
            </w:r>
          </w:p>
          <w:p>
            <w:pPr>
              <w:pStyle w:val="11"/>
            </w:pPr>
            <w:r>
              <w:rPr>
                <w:rFonts w:hint="eastAsia"/>
              </w:rPr>
              <w:t>图1    项目水平衡图  单位m</w:t>
            </w:r>
            <w:r>
              <w:rPr>
                <w:rFonts w:hint="eastAsia"/>
                <w:vertAlign w:val="superscript"/>
              </w:rPr>
              <w:t>3</w:t>
            </w:r>
            <w:r>
              <w:rPr>
                <w:rFonts w:hint="eastAsia"/>
              </w:rPr>
              <w:t>/d</w:t>
            </w:r>
          </w:p>
          <w:p>
            <w:pPr>
              <w:pStyle w:val="6"/>
              <w:jc w:val="both"/>
              <w:outlineLvl w:val="2"/>
            </w:pPr>
            <w:r>
              <w:rPr>
                <w:rFonts w:hint="eastAsia"/>
              </w:rPr>
              <w:t>5.4 供暖</w:t>
            </w:r>
          </w:p>
          <w:p>
            <w:pPr>
              <w:pStyle w:val="20"/>
              <w:ind w:firstLine="480"/>
              <w:jc w:val="both"/>
            </w:pPr>
            <w:r>
              <w:rPr>
                <w:rFonts w:hint="eastAsia"/>
              </w:rPr>
              <w:t>生产不用热，冬季不生产，无生活供暖。</w:t>
            </w:r>
          </w:p>
          <w:p>
            <w:pPr>
              <w:pStyle w:val="6"/>
              <w:jc w:val="both"/>
              <w:outlineLvl w:val="2"/>
            </w:pPr>
            <w:r>
              <w:rPr>
                <w:rFonts w:hint="eastAsia"/>
              </w:rPr>
              <w:t>5.5 工作制度及劳动定员</w:t>
            </w:r>
          </w:p>
          <w:p>
            <w:pPr>
              <w:pStyle w:val="20"/>
              <w:ind w:firstLine="480"/>
              <w:jc w:val="both"/>
            </w:pPr>
            <w:r>
              <w:rPr>
                <w:rFonts w:hint="eastAsia"/>
              </w:rPr>
              <w:t>根据</w:t>
            </w:r>
            <w:r>
              <w:t>本项目生产规模需求，</w:t>
            </w:r>
            <w:r>
              <w:rPr>
                <w:rFonts w:hint="eastAsia"/>
              </w:rPr>
              <w:t>劳动定员10人。</w:t>
            </w:r>
            <w:r>
              <w:t>全年生产约为</w:t>
            </w:r>
            <w:r>
              <w:rPr>
                <w:rFonts w:hint="eastAsia"/>
              </w:rPr>
              <w:t>210</w:t>
            </w:r>
            <w:r>
              <w:t>天。</w:t>
            </w:r>
            <w:r>
              <w:rPr>
                <w:rFonts w:hint="eastAsia"/>
              </w:rPr>
              <w:t>车间1</w:t>
            </w:r>
            <w:r>
              <w:t>班制，每班</w:t>
            </w:r>
            <w:r>
              <w:rPr>
                <w:rFonts w:hint="eastAsia"/>
              </w:rPr>
              <w:t>10</w:t>
            </w:r>
            <w:r>
              <w:t>小时。</w:t>
            </w:r>
            <w:r>
              <w:rPr>
                <w:rFonts w:hint="eastAsia"/>
              </w:rPr>
              <w:t>项目区不设食宿。</w:t>
            </w:r>
          </w:p>
          <w:p>
            <w:pPr>
              <w:pStyle w:val="5"/>
              <w:numPr>
                <w:ilvl w:val="0"/>
                <w:numId w:val="5"/>
              </w:numPr>
              <w:jc w:val="both"/>
              <w:outlineLvl w:val="1"/>
            </w:pPr>
            <w:r>
              <w:rPr>
                <w:rFonts w:hint="eastAsia"/>
              </w:rPr>
              <w:t>总平面布置</w:t>
            </w:r>
          </w:p>
          <w:p>
            <w:pPr>
              <w:pStyle w:val="20"/>
              <w:ind w:firstLine="480"/>
              <w:jc w:val="both"/>
              <w:rPr>
                <w:rFonts w:hint="eastAsia" w:cs="Times New Roman"/>
              </w:rPr>
            </w:pPr>
            <w:r>
              <w:rPr>
                <w:rFonts w:cs="Times New Roman"/>
              </w:rPr>
              <w:t>本项目位于</w:t>
            </w:r>
            <w:r>
              <w:rPr>
                <w:rFonts w:hint="eastAsia"/>
              </w:rPr>
              <w:t>昌吉市高新区建材园区N-10号</w:t>
            </w:r>
            <w:r>
              <w:rPr>
                <w:rFonts w:cs="Times New Roman"/>
              </w:rPr>
              <w:t>，利用现有闲置厂房，占地面积</w:t>
            </w:r>
            <w:r>
              <w:rPr>
                <w:rFonts w:hint="eastAsia" w:cs="Times New Roman"/>
              </w:rPr>
              <w:t>96</w:t>
            </w:r>
            <w:r>
              <w:rPr>
                <w:rFonts w:cs="Times New Roman"/>
              </w:rPr>
              <w:t>0m</w:t>
            </w:r>
            <w:r>
              <w:rPr>
                <w:rFonts w:cs="Times New Roman"/>
                <w:vertAlign w:val="superscript"/>
              </w:rPr>
              <w:t>2</w:t>
            </w:r>
            <w:r>
              <w:rPr>
                <w:rFonts w:cs="Times New Roman"/>
              </w:rPr>
              <w:t>，其中生产厂房位于厂区</w:t>
            </w:r>
            <w:r>
              <w:rPr>
                <w:rFonts w:hint="eastAsia" w:cs="Times New Roman"/>
              </w:rPr>
              <w:t>南</w:t>
            </w:r>
            <w:r>
              <w:rPr>
                <w:rFonts w:cs="Times New Roman"/>
              </w:rPr>
              <w:t>侧，生产厂房分为原料堆放区</w:t>
            </w:r>
            <w:r>
              <w:rPr>
                <w:rFonts w:hint="eastAsia" w:cs="Times New Roman"/>
              </w:rPr>
              <w:t>、</w:t>
            </w:r>
            <w:r>
              <w:rPr>
                <w:rFonts w:cs="Times New Roman"/>
              </w:rPr>
              <w:t>EPS构件生产线、GRC构件生产线，各区域根据工艺流程进行划分</w:t>
            </w:r>
            <w:r>
              <w:rPr>
                <w:rFonts w:hint="eastAsia" w:cs="Times New Roman"/>
              </w:rPr>
              <w:t>，</w:t>
            </w:r>
            <w:r>
              <w:rPr>
                <w:rFonts w:cs="Times New Roman"/>
              </w:rPr>
              <w:t>整个项目平面布置根据生产工艺流程布置，平面布置合理</w:t>
            </w:r>
            <w:r>
              <w:rPr>
                <w:rFonts w:hint="eastAsia" w:cs="Times New Roman"/>
              </w:rPr>
              <w:t>。</w:t>
            </w:r>
          </w:p>
          <w:p>
            <w:pPr>
              <w:pStyle w:val="20"/>
              <w:ind w:firstLine="480"/>
              <w:jc w:val="both"/>
              <w:rPr>
                <w:rFonts w:hint="eastAsia" w:cs="Times New Roman"/>
              </w:rPr>
            </w:pPr>
          </w:p>
          <w:p>
            <w:pPr>
              <w:pStyle w:val="20"/>
              <w:ind w:firstLine="480"/>
              <w:jc w:val="both"/>
              <w:rPr>
                <w:rFonts w:hint="eastAsia" w:cs="Times New Roman"/>
              </w:rPr>
            </w:pPr>
          </w:p>
          <w:p>
            <w:pPr>
              <w:pStyle w:val="20"/>
              <w:ind w:firstLine="480"/>
              <w:jc w:val="both"/>
              <w:rPr>
                <w:rFonts w:hint="eastAsia" w:cs="Times New Roman"/>
              </w:rPr>
            </w:pPr>
          </w:p>
          <w:p>
            <w:pPr>
              <w:pStyle w:val="20"/>
              <w:ind w:left="0" w:leftChars="0" w:firstLine="0" w:firstLineChars="0"/>
              <w:jc w:val="both"/>
              <w:rPr>
                <w:rFonts w:hint="eastAsia"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7" w:hRule="atLeast"/>
          <w:jc w:val="center"/>
        </w:trPr>
        <w:tc>
          <w:tcPr>
            <w:tcW w:w="455" w:type="dxa"/>
            <w:tcBorders>
              <w:tl2br w:val="nil"/>
              <w:tr2bl w:val="nil"/>
            </w:tcBorders>
            <w:vAlign w:val="center"/>
          </w:tcPr>
          <w:p>
            <w:pPr>
              <w:jc w:val="center"/>
            </w:pPr>
            <w:r>
              <w:rPr>
                <w:rFonts w:hint="eastAsia" w:cs="宋体"/>
              </w:rPr>
              <w:t>工艺流程和产排污环节</w:t>
            </w:r>
          </w:p>
        </w:tc>
        <w:tc>
          <w:tcPr>
            <w:tcW w:w="8067" w:type="dxa"/>
            <w:tcBorders>
              <w:tl2br w:val="nil"/>
              <w:tr2bl w:val="nil"/>
            </w:tcBorders>
          </w:tcPr>
          <w:p>
            <w:pPr>
              <w:pStyle w:val="5"/>
              <w:numPr>
                <w:ilvl w:val="0"/>
                <w:numId w:val="7"/>
              </w:numPr>
              <w:jc w:val="both"/>
              <w:outlineLvl w:val="1"/>
            </w:pPr>
            <w:r>
              <w:rPr>
                <w:rFonts w:hint="eastAsia"/>
              </w:rPr>
              <w:t>施工期</w:t>
            </w:r>
          </w:p>
          <w:p>
            <w:pPr>
              <w:pStyle w:val="20"/>
              <w:ind w:firstLine="480"/>
              <w:jc w:val="both"/>
            </w:pPr>
            <w:r>
              <w:rPr>
                <w:rFonts w:hint="eastAsia"/>
              </w:rPr>
              <w:t>本项目</w:t>
            </w:r>
            <w:r>
              <w:t>租赁昌吉市先导工程材料有限责任公司现有生产厂房等设施</w:t>
            </w:r>
            <w:r>
              <w:rPr>
                <w:rFonts w:hint="eastAsia"/>
              </w:rPr>
              <w:t>，施工期仅为简单的设备安装，无土建工程。</w:t>
            </w:r>
          </w:p>
          <w:p>
            <w:pPr>
              <w:pStyle w:val="5"/>
              <w:numPr>
                <w:ilvl w:val="0"/>
                <w:numId w:val="7"/>
              </w:numPr>
              <w:jc w:val="both"/>
              <w:outlineLvl w:val="1"/>
            </w:pPr>
            <w:r>
              <w:rPr>
                <w:rFonts w:hint="eastAsia"/>
              </w:rPr>
              <w:t>营运期工艺流程简述</w:t>
            </w:r>
          </w:p>
          <w:p>
            <w:pPr>
              <w:pStyle w:val="6"/>
              <w:numPr>
                <w:ilvl w:val="1"/>
                <w:numId w:val="7"/>
              </w:numPr>
              <w:jc w:val="both"/>
              <w:outlineLvl w:val="2"/>
            </w:pPr>
            <w:r>
              <w:rPr>
                <w:rFonts w:hint="eastAsia"/>
              </w:rPr>
              <w:t>GRC构件生产工艺流程及污染环节图</w:t>
            </w:r>
          </w:p>
          <w:p>
            <w:pPr>
              <w:pStyle w:val="20"/>
              <w:spacing w:line="240" w:lineRule="auto"/>
              <w:ind w:firstLine="0" w:firstLineChars="0"/>
              <w:jc w:val="both"/>
            </w:pPr>
            <w:r>
              <w:drawing>
                <wp:inline distT="0" distB="0" distL="114300" distR="114300">
                  <wp:extent cx="5022850" cy="1569720"/>
                  <wp:effectExtent l="0" t="0" r="6350" b="508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5022850" cy="1569720"/>
                          </a:xfrm>
                          <a:prstGeom prst="rect">
                            <a:avLst/>
                          </a:prstGeom>
                          <a:noFill/>
                          <a:ln>
                            <a:noFill/>
                          </a:ln>
                        </pic:spPr>
                      </pic:pic>
                    </a:graphicData>
                  </a:graphic>
                </wp:inline>
              </w:drawing>
            </w:r>
          </w:p>
          <w:p>
            <w:pPr>
              <w:pStyle w:val="11"/>
            </w:pPr>
            <w:r>
              <w:rPr>
                <w:rFonts w:hint="eastAsia"/>
              </w:rPr>
              <w:t>图2    GRC构件工艺流程图</w:t>
            </w:r>
          </w:p>
          <w:p>
            <w:pPr>
              <w:pStyle w:val="20"/>
              <w:ind w:firstLine="0" w:firstLineChars="0"/>
              <w:jc w:val="both"/>
              <w:rPr>
                <w:b/>
                <w:bCs/>
              </w:rPr>
            </w:pPr>
            <w:r>
              <w:rPr>
                <w:rFonts w:hint="eastAsia"/>
                <w:b/>
                <w:bCs/>
              </w:rPr>
              <w:t>生产工艺流程简述：</w:t>
            </w:r>
          </w:p>
          <w:p>
            <w:pPr>
              <w:pStyle w:val="20"/>
              <w:numPr>
                <w:ilvl w:val="0"/>
                <w:numId w:val="8"/>
              </w:numPr>
              <w:ind w:firstLine="480"/>
              <w:jc w:val="both"/>
            </w:pPr>
            <w:r>
              <w:rPr>
                <w:rFonts w:hint="eastAsia"/>
                <w:lang w:val="en-US" w:eastAsia="zh-CN"/>
              </w:rPr>
              <w:t xml:space="preserve"> </w:t>
            </w:r>
            <w:r>
              <w:rPr>
                <w:rFonts w:hint="eastAsia"/>
              </w:rPr>
              <w:t>定制模具</w:t>
            </w:r>
          </w:p>
          <w:p>
            <w:pPr>
              <w:pStyle w:val="20"/>
              <w:ind w:firstLine="480"/>
              <w:jc w:val="both"/>
            </w:pPr>
            <w:r>
              <w:t>根据客户要求制作图纸模板</w:t>
            </w:r>
            <w:r>
              <w:rPr>
                <w:rFonts w:hint="eastAsia"/>
              </w:rPr>
              <w:t>，本项目模具均为外购。</w:t>
            </w:r>
          </w:p>
          <w:p>
            <w:pPr>
              <w:pStyle w:val="20"/>
              <w:numPr>
                <w:ilvl w:val="0"/>
                <w:numId w:val="8"/>
              </w:numPr>
              <w:ind w:left="0" w:leftChars="0" w:firstLine="480" w:firstLineChars="200"/>
              <w:jc w:val="both"/>
            </w:pPr>
            <w:r>
              <w:rPr>
                <w:rFonts w:hint="eastAsia"/>
                <w:lang w:val="en-US" w:eastAsia="zh-CN"/>
              </w:rPr>
              <w:t xml:space="preserve"> </w:t>
            </w:r>
            <w:r>
              <w:rPr>
                <w:rFonts w:hint="eastAsia"/>
              </w:rPr>
              <w:t>混料</w:t>
            </w:r>
          </w:p>
          <w:p>
            <w:pPr>
              <w:pStyle w:val="20"/>
              <w:ind w:firstLine="480"/>
              <w:jc w:val="both"/>
            </w:pPr>
            <w:r>
              <w:rPr>
                <w:rFonts w:hint="eastAsia"/>
              </w:rPr>
              <w:t>将外购的水泥、砂子、水等，人工拆包，投入配料机由输送皮带输送至称量斗中计量，水由水泵经管道按比例配料，进入搅拌机内搅拌制成砂浆。</w:t>
            </w:r>
            <w:r>
              <w:rPr>
                <w:rFonts w:hint="default" w:ascii="Times New Roman" w:hAnsi="Times New Roman" w:eastAsia="宋体" w:cs="Times New Roman"/>
                <w:color w:val="0000FF"/>
                <w:sz w:val="24"/>
              </w:rPr>
              <w:t>该工序主要污染因素为混料过程中产生的粉尘、设备噪声和原料包装袋。</w:t>
            </w:r>
          </w:p>
          <w:p>
            <w:pPr>
              <w:pStyle w:val="20"/>
              <w:numPr>
                <w:ilvl w:val="0"/>
                <w:numId w:val="8"/>
              </w:numPr>
              <w:ind w:left="0" w:leftChars="0" w:firstLine="480" w:firstLineChars="200"/>
              <w:jc w:val="both"/>
            </w:pPr>
            <w:r>
              <w:rPr>
                <w:rFonts w:hint="eastAsia"/>
                <w:lang w:val="en-US" w:eastAsia="zh-CN"/>
              </w:rPr>
              <w:t xml:space="preserve"> </w:t>
            </w:r>
            <w:r>
              <w:rPr>
                <w:rFonts w:hint="eastAsia"/>
              </w:rPr>
              <w:t>人工浇注、凝固定型</w:t>
            </w:r>
          </w:p>
          <w:p>
            <w:pPr>
              <w:pStyle w:val="20"/>
              <w:ind w:firstLine="480"/>
              <w:jc w:val="both"/>
            </w:pPr>
            <w:r>
              <w:t>通过人工将浆料浇注到模具中，浇注前在模具上先加一层脱模剂，然后加一层浆料，人工用抹子将表面抹平，在浆料层上加一层玻璃纤维，最后再加一层浆料，人工用抹子将表面抹平，即可完成浇注工序（产品厚度 8~10mm）。浇注好的模具静置 24h 后即可定型、脱模</w:t>
            </w:r>
            <w:r>
              <w:rPr>
                <w:rFonts w:hint="eastAsia"/>
              </w:rPr>
              <w:t>。</w:t>
            </w:r>
          </w:p>
          <w:p>
            <w:pPr>
              <w:pStyle w:val="20"/>
              <w:numPr>
                <w:ilvl w:val="0"/>
                <w:numId w:val="6"/>
              </w:numPr>
              <w:ind w:firstLine="480"/>
              <w:jc w:val="both"/>
            </w:pPr>
            <w:r>
              <w:rPr>
                <w:rFonts w:hint="eastAsia"/>
              </w:rPr>
              <w:t>脱模</w:t>
            </w:r>
          </w:p>
          <w:p>
            <w:pPr>
              <w:pStyle w:val="20"/>
              <w:ind w:left="480" w:leftChars="200" w:firstLine="0" w:firstLineChars="0"/>
              <w:jc w:val="both"/>
            </w:pPr>
            <w:r>
              <w:t>人工将凝固好的产品进行脱模</w:t>
            </w:r>
          </w:p>
          <w:p>
            <w:pPr>
              <w:pStyle w:val="20"/>
              <w:numPr>
                <w:ilvl w:val="0"/>
                <w:numId w:val="6"/>
              </w:numPr>
              <w:ind w:left="0" w:leftChars="0" w:firstLine="480" w:firstLineChars="200"/>
              <w:jc w:val="both"/>
            </w:pPr>
            <w:r>
              <w:rPr>
                <w:rFonts w:hint="eastAsia"/>
              </w:rPr>
              <w:t>晾晒、成品出厂</w:t>
            </w:r>
          </w:p>
          <w:p>
            <w:pPr>
              <w:pStyle w:val="20"/>
              <w:ind w:firstLine="480"/>
              <w:jc w:val="both"/>
              <w:rPr>
                <w:rFonts w:hint="eastAsia"/>
              </w:rPr>
            </w:pPr>
            <w:r>
              <w:rPr>
                <w:rFonts w:hint="eastAsia"/>
              </w:rPr>
              <w:t>将脱模的产品置于晾晒区自然晾干，即可作为形成 GRC 构件成品，由订购客户直接运走。</w:t>
            </w:r>
          </w:p>
          <w:p>
            <w:pPr>
              <w:pStyle w:val="20"/>
              <w:ind w:firstLine="480"/>
              <w:jc w:val="both"/>
              <w:rPr>
                <w:rFonts w:hint="eastAsia"/>
              </w:rPr>
            </w:pPr>
          </w:p>
          <w:p>
            <w:pPr>
              <w:widowControl/>
              <w:jc w:val="both"/>
            </w:pPr>
            <w:r>
              <w:rPr>
                <w:rFonts w:hint="eastAsia"/>
                <w:bCs/>
              </w:rPr>
              <w:t xml:space="preserve">2.2 </w:t>
            </w:r>
            <w:r>
              <w:rPr>
                <w:rFonts w:cs="Times New Roman"/>
                <w:bCs/>
                <w:color w:val="000000"/>
                <w:kern w:val="0"/>
                <w:lang w:bidi="ar"/>
              </w:rPr>
              <w:t xml:space="preserve">EPS </w:t>
            </w:r>
            <w:r>
              <w:rPr>
                <w:rFonts w:hint="eastAsia" w:ascii="宋体" w:hAnsi="宋体" w:cs="宋体"/>
                <w:bCs/>
                <w:color w:val="000000"/>
                <w:kern w:val="0"/>
                <w:lang w:bidi="ar"/>
              </w:rPr>
              <w:t>线条</w:t>
            </w:r>
            <w:r>
              <w:rPr>
                <w:rFonts w:hint="eastAsia"/>
                <w:bCs/>
              </w:rPr>
              <w:t>生产工艺流程图</w:t>
            </w:r>
          </w:p>
          <w:p>
            <w:pPr>
              <w:pStyle w:val="20"/>
              <w:ind w:firstLine="0" w:firstLineChars="0"/>
              <w:jc w:val="center"/>
            </w:pPr>
            <w:r>
              <w:drawing>
                <wp:inline distT="0" distB="0" distL="114300" distR="114300">
                  <wp:extent cx="4991100" cy="1967865"/>
                  <wp:effectExtent l="0" t="0" r="0" b="6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rcRect l="557" t="1650"/>
                          <a:stretch>
                            <a:fillRect/>
                          </a:stretch>
                        </pic:blipFill>
                        <pic:spPr>
                          <a:xfrm>
                            <a:off x="0" y="0"/>
                            <a:ext cx="4991100" cy="1967865"/>
                          </a:xfrm>
                          <a:prstGeom prst="snipRoundRect">
                            <a:avLst/>
                          </a:prstGeom>
                          <a:noFill/>
                          <a:ln>
                            <a:noFill/>
                          </a:ln>
                        </pic:spPr>
                      </pic:pic>
                    </a:graphicData>
                  </a:graphic>
                </wp:inline>
              </w:drawing>
            </w:r>
          </w:p>
          <w:p>
            <w:pPr>
              <w:pStyle w:val="11"/>
            </w:pPr>
            <w:r>
              <w:rPr>
                <w:rFonts w:hint="eastAsia"/>
              </w:rPr>
              <w:t>图 3    EPS 线条工艺流程图</w:t>
            </w:r>
          </w:p>
          <w:p>
            <w:pPr>
              <w:pStyle w:val="20"/>
              <w:ind w:firstLine="0" w:firstLineChars="0"/>
              <w:jc w:val="both"/>
              <w:rPr>
                <w:b/>
                <w:bCs/>
              </w:rPr>
            </w:pPr>
            <w:r>
              <w:rPr>
                <w:rFonts w:hint="eastAsia"/>
                <w:b/>
                <w:bCs/>
              </w:rPr>
              <w:t>生产工艺流程简述：</w:t>
            </w:r>
          </w:p>
          <w:p>
            <w:pPr>
              <w:pStyle w:val="20"/>
              <w:numPr>
                <w:ilvl w:val="0"/>
                <w:numId w:val="9"/>
              </w:numPr>
              <w:ind w:firstLine="480"/>
              <w:jc w:val="both"/>
            </w:pPr>
            <w:r>
              <w:rPr>
                <w:rFonts w:hint="eastAsia"/>
              </w:rPr>
              <w:t>雕刻</w:t>
            </w:r>
            <w:r>
              <w:t>/</w:t>
            </w:r>
            <w:r>
              <w:rPr>
                <w:rFonts w:hint="eastAsia"/>
              </w:rPr>
              <w:t xml:space="preserve">切割 </w:t>
            </w:r>
          </w:p>
          <w:p>
            <w:pPr>
              <w:pStyle w:val="20"/>
              <w:ind w:firstLine="480"/>
              <w:jc w:val="both"/>
            </w:pPr>
            <w:r>
              <w:rPr>
                <w:rFonts w:hint="eastAsia"/>
              </w:rPr>
              <w:t>根据产品需求采用雕刻机、切割机对聚苯乙烯板进行雕刻或切割，雕刻机为物理加工，切割工序采用电热丝进行切割。</w:t>
            </w:r>
            <w:r>
              <w:rPr>
                <w:rFonts w:hint="default" w:ascii="Times New Roman" w:hAnsi="Times New Roman" w:eastAsia="宋体" w:cs="Times New Roman"/>
                <w:color w:val="0000FF"/>
                <w:sz w:val="24"/>
              </w:rPr>
              <w:t>主要污染因素为雕刻</w:t>
            </w:r>
            <w:r>
              <w:rPr>
                <w:rFonts w:hint="eastAsia" w:cs="Times New Roman"/>
                <w:color w:val="0000FF"/>
                <w:sz w:val="24"/>
                <w:lang w:eastAsia="zh-CN"/>
              </w:rPr>
              <w:t>、</w:t>
            </w:r>
            <w:r>
              <w:rPr>
                <w:rFonts w:hint="default" w:ascii="Times New Roman" w:hAnsi="Times New Roman" w:eastAsia="宋体" w:cs="Times New Roman"/>
                <w:color w:val="0000FF"/>
                <w:sz w:val="24"/>
              </w:rPr>
              <w:t>切割工序产生的废边角料</w:t>
            </w:r>
            <w:r>
              <w:rPr>
                <w:rFonts w:hint="eastAsia" w:cs="Times New Roman"/>
                <w:color w:val="0000FF"/>
                <w:sz w:val="24"/>
                <w:lang w:eastAsia="zh-CN"/>
              </w:rPr>
              <w:t>、</w:t>
            </w:r>
            <w:r>
              <w:rPr>
                <w:rFonts w:hint="default" w:ascii="Times New Roman" w:hAnsi="Times New Roman" w:eastAsia="宋体" w:cs="Times New Roman"/>
                <w:color w:val="0000FF"/>
                <w:sz w:val="24"/>
              </w:rPr>
              <w:t>切割过程中产生的切割废气（</w:t>
            </w:r>
            <w:r>
              <w:rPr>
                <w:rFonts w:hint="eastAsia" w:cs="Times New Roman"/>
                <w:color w:val="0000FF"/>
                <w:sz w:val="24"/>
                <w:lang w:val="en-US" w:eastAsia="zh-CN"/>
              </w:rPr>
              <w:t>非甲烷总烃</w:t>
            </w:r>
            <w:r>
              <w:rPr>
                <w:rFonts w:hint="default" w:ascii="Times New Roman" w:hAnsi="Times New Roman" w:eastAsia="宋体" w:cs="Times New Roman"/>
                <w:color w:val="0000FF"/>
                <w:sz w:val="24"/>
              </w:rPr>
              <w:t>）。</w:t>
            </w:r>
          </w:p>
          <w:p>
            <w:pPr>
              <w:pStyle w:val="20"/>
              <w:numPr>
                <w:ilvl w:val="0"/>
                <w:numId w:val="9"/>
              </w:numPr>
              <w:ind w:left="0" w:leftChars="0" w:firstLine="480" w:firstLineChars="200"/>
              <w:jc w:val="both"/>
            </w:pPr>
            <w:r>
              <w:rPr>
                <w:rFonts w:hint="eastAsia"/>
              </w:rPr>
              <w:t xml:space="preserve">网格布包覆 </w:t>
            </w:r>
          </w:p>
          <w:p>
            <w:pPr>
              <w:pStyle w:val="20"/>
              <w:ind w:firstLine="480"/>
              <w:jc w:val="both"/>
              <w:rPr>
                <w:color w:val="0000FF"/>
              </w:rPr>
            </w:pPr>
            <w:r>
              <w:rPr>
                <w:rFonts w:hint="eastAsia"/>
              </w:rPr>
              <w:t>人工在雕刻</w:t>
            </w:r>
            <w:r>
              <w:t>/</w:t>
            </w:r>
            <w:r>
              <w:rPr>
                <w:rFonts w:hint="eastAsia"/>
              </w:rPr>
              <w:t xml:space="preserve">切割好的聚苯乙烯板上包覆一层网格布，能够有效防止 </w:t>
            </w:r>
            <w:r>
              <w:t xml:space="preserve">EPS </w:t>
            </w:r>
            <w:r>
              <w:rPr>
                <w:rFonts w:hint="eastAsia"/>
              </w:rPr>
              <w:t>线条断裂。根据建设单位提供资料，本项目选用不干胶玻璃纤维网格布，玻璃纤维网格布可通过不干胶直接粘贴在聚苯乙烯板表面。</w:t>
            </w:r>
            <w:r>
              <w:rPr>
                <w:rFonts w:hint="default" w:ascii="Times New Roman" w:hAnsi="Times New Roman" w:eastAsia="宋体" w:cs="Times New Roman"/>
                <w:color w:val="0000FF"/>
                <w:w w:val="100"/>
                <w:sz w:val="24"/>
              </w:rPr>
              <w:t>该工序主要污染物为废边角料（废网格布）。</w:t>
            </w:r>
          </w:p>
          <w:p>
            <w:pPr>
              <w:pStyle w:val="20"/>
              <w:numPr>
                <w:ilvl w:val="0"/>
                <w:numId w:val="9"/>
              </w:numPr>
              <w:ind w:left="0" w:leftChars="0" w:firstLine="480" w:firstLineChars="200"/>
              <w:jc w:val="both"/>
            </w:pPr>
            <w:r>
              <w:rPr>
                <w:rFonts w:hint="eastAsia"/>
              </w:rPr>
              <w:t xml:space="preserve">混料 </w:t>
            </w:r>
          </w:p>
          <w:p>
            <w:pPr>
              <w:pStyle w:val="20"/>
              <w:ind w:firstLine="480"/>
              <w:jc w:val="both"/>
              <w:rPr>
                <w:color w:val="0000FF"/>
              </w:rPr>
            </w:pPr>
            <w:r>
              <w:rPr>
                <w:rFonts w:hint="eastAsia"/>
              </w:rPr>
              <w:t xml:space="preserve">本项目 </w:t>
            </w:r>
            <w:r>
              <w:t xml:space="preserve">EPS </w:t>
            </w:r>
            <w:r>
              <w:rPr>
                <w:rFonts w:hint="eastAsia"/>
              </w:rPr>
              <w:t>线条混料分干料混合和湿料混合，为减少粉尘产生和方便投料，建设单位设置专门的投料间，在投料间在地下设有一个硬化的</w:t>
            </w:r>
            <w:r>
              <w:t>“</w:t>
            </w:r>
            <w:r>
              <w:rPr>
                <w:rFonts w:hint="eastAsia"/>
              </w:rPr>
              <w:t>凹槽</w:t>
            </w:r>
            <w:r>
              <w:t>”</w:t>
            </w:r>
            <w:r>
              <w:rPr>
                <w:rFonts w:hint="eastAsia"/>
              </w:rPr>
              <w:t xml:space="preserve">，凹槽上方仅留由 </w:t>
            </w:r>
            <w:r>
              <w:t xml:space="preserve">20cm×20cm </w:t>
            </w:r>
            <w:r>
              <w:rPr>
                <w:rFonts w:hint="eastAsia"/>
              </w:rPr>
              <w:t>的投料口，投料口与地面持平，并在投料口上设置有盖板，投料时，打开盖板，人工将原料（水泥、沙子和纤维素）投加到凹槽中，然后盖住盖板，通过泵和密闭的管道将原料打入干料搅拌机中，进行混合，混合均匀后由密闭管道将干料泵入湿料搅拌机中，通过管道将水加入搅拌机中进行混合。混合均匀后将浆料加到过浆机中。项目搅拌机密闭搅拌。</w:t>
            </w:r>
            <w:r>
              <w:rPr>
                <w:rFonts w:hint="default" w:ascii="Times New Roman" w:hAnsi="Times New Roman" w:eastAsia="宋体" w:cs="Times New Roman"/>
                <w:color w:val="0000FF"/>
                <w:w w:val="100"/>
                <w:sz w:val="24"/>
              </w:rPr>
              <w:t>该工序主要污染因素为投料过程中产生的粉尘、乳液挥发产生的有机废气（以非甲烷总烃计）、设备噪声、原料包装袋和乳液包装桶。</w:t>
            </w:r>
          </w:p>
          <w:p>
            <w:pPr>
              <w:pStyle w:val="20"/>
              <w:numPr>
                <w:ilvl w:val="0"/>
                <w:numId w:val="9"/>
              </w:numPr>
              <w:ind w:left="0" w:leftChars="0" w:firstLine="480" w:firstLineChars="200"/>
              <w:jc w:val="both"/>
            </w:pPr>
            <w:r>
              <w:rPr>
                <w:rFonts w:hint="eastAsia"/>
              </w:rPr>
              <w:t xml:space="preserve">过浆 </w:t>
            </w:r>
          </w:p>
          <w:p>
            <w:pPr>
              <w:pStyle w:val="20"/>
              <w:ind w:firstLine="480"/>
              <w:jc w:val="both"/>
            </w:pPr>
            <w:r>
              <w:rPr>
                <w:rFonts w:hint="eastAsia"/>
              </w:rPr>
              <w:t xml:space="preserve">首先是把刻好的模具板安装到过浆机上再放上产品进行调整，保证过浆时能顺利进行。然后人工将混合好的浆料添加到过浆机料仓中，最后将包覆好的 </w:t>
            </w:r>
            <w:r>
              <w:t xml:space="preserve">EPS </w:t>
            </w:r>
            <w:r>
              <w:rPr>
                <w:rFonts w:hint="eastAsia"/>
              </w:rPr>
              <w:t xml:space="preserve">线条通过过浆机过浆（过浆厚度根据客户要求可设置 </w:t>
            </w:r>
            <w:r>
              <w:t>3~5mm</w:t>
            </w:r>
            <w:r>
              <w:rPr>
                <w:rFonts w:hint="eastAsia"/>
              </w:rPr>
              <w:t xml:space="preserve">）。 </w:t>
            </w:r>
          </w:p>
          <w:p>
            <w:pPr>
              <w:pStyle w:val="20"/>
              <w:numPr>
                <w:ilvl w:val="0"/>
                <w:numId w:val="9"/>
              </w:numPr>
              <w:ind w:left="0" w:leftChars="0" w:firstLine="480" w:firstLineChars="200"/>
              <w:jc w:val="both"/>
            </w:pPr>
            <w:r>
              <w:rPr>
                <w:rFonts w:hint="eastAsia"/>
              </w:rPr>
              <w:t xml:space="preserve">晾晒、成品出厂 </w:t>
            </w:r>
          </w:p>
          <w:p>
            <w:pPr>
              <w:pStyle w:val="20"/>
              <w:ind w:firstLine="480"/>
              <w:jc w:val="both"/>
              <w:rPr>
                <w:rFonts w:hint="eastAsia" w:eastAsia="宋体"/>
                <w:lang w:eastAsia="zh-CN"/>
              </w:rPr>
            </w:pPr>
            <w:r>
              <w:rPr>
                <w:rFonts w:hint="eastAsia"/>
              </w:rPr>
              <w:t xml:space="preserve">将脱模的产品置于晾晒区自然晾干，即可作为形成 </w:t>
            </w:r>
            <w:r>
              <w:t xml:space="preserve">EPS </w:t>
            </w:r>
            <w:r>
              <w:rPr>
                <w:rFonts w:hint="eastAsia"/>
              </w:rPr>
              <w:t>线条成品，由订购客户直接运走</w:t>
            </w:r>
            <w:r>
              <w:rPr>
                <w:rFonts w:hint="eastAsia"/>
                <w:lang w:eastAsia="zh-CN"/>
              </w:rPr>
              <w:t>。</w:t>
            </w:r>
          </w:p>
          <w:p>
            <w:pPr>
              <w:pStyle w:val="6"/>
              <w:jc w:val="both"/>
              <w:outlineLvl w:val="2"/>
            </w:pPr>
            <w:r>
              <w:rPr>
                <w:rFonts w:hint="eastAsia"/>
              </w:rPr>
              <w:t>2.3 产排污环节</w:t>
            </w:r>
          </w:p>
          <w:p>
            <w:pPr>
              <w:pStyle w:val="20"/>
              <w:ind w:firstLine="480"/>
              <w:jc w:val="both"/>
            </w:pPr>
            <w:r>
              <w:rPr>
                <w:rFonts w:hint="eastAsia"/>
              </w:rPr>
              <w:t>（1） 大气污染物</w:t>
            </w:r>
          </w:p>
          <w:p>
            <w:pPr>
              <w:pStyle w:val="20"/>
              <w:ind w:firstLine="480"/>
              <w:jc w:val="both"/>
            </w:pPr>
            <w:r>
              <w:rPr>
                <w:rFonts w:hint="eastAsia"/>
              </w:rPr>
              <w:t>主要来源有生产粉尘投料、混料、装卸粉尘、运输扬尘、堆场扬尘、乳液挥发及EPS线条切割的有机废气等。</w:t>
            </w:r>
          </w:p>
          <w:p>
            <w:pPr>
              <w:pStyle w:val="20"/>
              <w:bidi w:val="0"/>
              <w:jc w:val="both"/>
            </w:pPr>
            <w:r>
              <w:rPr>
                <w:rFonts w:hint="eastAsia"/>
                <w:lang w:eastAsia="zh-CN"/>
              </w:rPr>
              <w:t>（</w:t>
            </w:r>
            <w:r>
              <w:rPr>
                <w:rFonts w:hint="eastAsia"/>
                <w:lang w:val="en-US" w:eastAsia="zh-CN"/>
              </w:rPr>
              <w:t>2</w:t>
            </w:r>
            <w:r>
              <w:rPr>
                <w:rFonts w:hint="eastAsia"/>
                <w:lang w:eastAsia="zh-CN"/>
              </w:rPr>
              <w:t>）</w:t>
            </w:r>
            <w:r>
              <w:rPr>
                <w:rFonts w:hint="eastAsia"/>
              </w:rPr>
              <w:t xml:space="preserve"> 废水</w:t>
            </w:r>
          </w:p>
          <w:p>
            <w:pPr>
              <w:pStyle w:val="20"/>
              <w:ind w:firstLine="480"/>
              <w:jc w:val="both"/>
            </w:pPr>
            <w:r>
              <w:rPr>
                <w:rFonts w:hint="eastAsia"/>
              </w:rPr>
              <w:t>项目营运期产生的废水主要为清洗废水、生活污水。</w:t>
            </w:r>
          </w:p>
          <w:p>
            <w:pPr>
              <w:pStyle w:val="20"/>
              <w:ind w:firstLine="480"/>
              <w:jc w:val="both"/>
            </w:pPr>
            <w:r>
              <w:rPr>
                <w:rFonts w:hint="eastAsia"/>
              </w:rPr>
              <w:t>（3） 噪声</w:t>
            </w:r>
          </w:p>
          <w:p>
            <w:pPr>
              <w:pStyle w:val="20"/>
              <w:ind w:firstLine="480"/>
              <w:jc w:val="both"/>
            </w:pPr>
            <w:r>
              <w:rPr>
                <w:rFonts w:hint="eastAsia"/>
              </w:rPr>
              <w:t>噪声主要来源于生产设备、机械、运输车辆产生的噪声。</w:t>
            </w:r>
          </w:p>
          <w:p>
            <w:pPr>
              <w:pStyle w:val="20"/>
              <w:ind w:firstLine="480"/>
              <w:jc w:val="both"/>
            </w:pPr>
            <w:r>
              <w:rPr>
                <w:rFonts w:hint="eastAsia"/>
              </w:rPr>
              <w:t>（4） 固体废物</w:t>
            </w:r>
          </w:p>
          <w:p>
            <w:pPr>
              <w:pStyle w:val="20"/>
              <w:ind w:firstLine="480"/>
              <w:jc w:val="both"/>
            </w:pPr>
            <w:r>
              <w:rPr>
                <w:rFonts w:hint="eastAsia"/>
              </w:rPr>
              <w:t>营运期固体废物主要来源于边角料、不合格品、收集尘、废包装物、脱模剂桶、含油沾染物、生活垃圾、废活性炭、UV灯管、乳液桶、废机油等。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1" w:hRule="atLeast"/>
          <w:jc w:val="center"/>
        </w:trPr>
        <w:tc>
          <w:tcPr>
            <w:tcW w:w="455" w:type="dxa"/>
            <w:tcBorders>
              <w:tl2br w:val="nil"/>
              <w:tr2bl w:val="nil"/>
            </w:tcBorders>
            <w:vAlign w:val="center"/>
          </w:tcPr>
          <w:p>
            <w:pPr>
              <w:jc w:val="center"/>
            </w:pPr>
            <w:r>
              <w:rPr>
                <w:rFonts w:hint="eastAsia" w:cs="宋体"/>
                <w:bCs/>
              </w:rPr>
              <w:t>与项目有关的原有环境污染问题</w:t>
            </w:r>
          </w:p>
        </w:tc>
        <w:tc>
          <w:tcPr>
            <w:tcW w:w="8067" w:type="dxa"/>
            <w:tcBorders>
              <w:tl2br w:val="nil"/>
              <w:tr2bl w:val="nil"/>
            </w:tcBorders>
            <w:vAlign w:val="center"/>
          </w:tcPr>
          <w:p>
            <w:pPr>
              <w:pStyle w:val="20"/>
              <w:ind w:firstLine="480"/>
              <w:jc w:val="both"/>
            </w:pPr>
            <w:r>
              <w:t>本项目</w:t>
            </w:r>
            <w:r>
              <w:rPr>
                <w:rFonts w:hint="eastAsia"/>
              </w:rPr>
              <w:t>位于昌吉回族自治州昌吉市高新区建材园区N-10号租赁昌吉市先导工程材料有限责任公司</w:t>
            </w:r>
            <w:r>
              <w:rPr>
                <w:rFonts w:cs="Times New Roman"/>
                <w:kern w:val="0"/>
              </w:rPr>
              <w:t>空置旧厂房</w:t>
            </w:r>
            <w:r>
              <w:t>。根据现场实际踏勘。无原有遗留问题，项目生产车间现为闲置状态，未投入运营</w:t>
            </w:r>
            <w:r>
              <w:rPr>
                <w:rFonts w:hint="eastAsia"/>
              </w:rPr>
              <w:t>。</w:t>
            </w:r>
            <w:r>
              <w:rPr>
                <w:rFonts w:cs="Times New Roman"/>
                <w:kern w:val="0"/>
              </w:rPr>
              <w:t>不存在与本项目有关的原有环境问题</w:t>
            </w:r>
          </w:p>
        </w:tc>
      </w:tr>
    </w:tbl>
    <w:p>
      <w:pPr>
        <w:jc w:val="both"/>
        <w:sectPr>
          <w:pgSz w:w="11906" w:h="16838"/>
          <w:pgMar w:top="1440" w:right="1800" w:bottom="1440" w:left="1800" w:header="851" w:footer="992" w:gutter="0"/>
          <w:cols w:space="425" w:num="1"/>
          <w:docGrid w:type="lines" w:linePitch="312" w:charSpace="0"/>
        </w:sectPr>
      </w:pPr>
    </w:p>
    <w:p>
      <w:pPr>
        <w:pStyle w:val="4"/>
        <w:numPr>
          <w:ilvl w:val="0"/>
          <w:numId w:val="1"/>
        </w:numPr>
      </w:pPr>
      <w:r>
        <w:rPr>
          <w:rFonts w:hint="eastAsia"/>
        </w:rPr>
        <w:t>区域环境质量现状、环境保护目标及评价标准</w:t>
      </w:r>
    </w:p>
    <w:tbl>
      <w:tblPr>
        <w:tblStyle w:val="25"/>
        <w:tblpPr w:leftFromText="180" w:rightFromText="180" w:vertAnchor="text" w:tblpXSpec="center" w:tblpY="1"/>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7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tcBorders>
              <w:tl2br w:val="nil"/>
              <w:tr2bl w:val="nil"/>
            </w:tcBorders>
            <w:vAlign w:val="center"/>
          </w:tcPr>
          <w:p>
            <w:pPr>
              <w:jc w:val="center"/>
              <w:rPr>
                <w:rFonts w:ascii="宋体" w:hAnsi="宋体" w:cs="宋体"/>
                <w:szCs w:val="21"/>
              </w:rPr>
            </w:pPr>
            <w:r>
              <w:rPr>
                <w:rFonts w:hint="eastAsia" w:ascii="宋体" w:hAnsi="宋体" w:cs="宋体"/>
                <w:szCs w:val="21"/>
              </w:rPr>
              <w:t>区域</w:t>
            </w:r>
          </w:p>
          <w:p>
            <w:pPr>
              <w:jc w:val="center"/>
              <w:rPr>
                <w:rFonts w:ascii="宋体" w:hAnsi="宋体" w:cs="宋体"/>
                <w:szCs w:val="21"/>
              </w:rPr>
            </w:pPr>
            <w:r>
              <w:rPr>
                <w:rFonts w:hint="eastAsia" w:ascii="宋体" w:hAnsi="宋体" w:cs="宋体"/>
                <w:szCs w:val="21"/>
              </w:rPr>
              <w:t>环境</w:t>
            </w:r>
          </w:p>
          <w:p>
            <w:pPr>
              <w:jc w:val="center"/>
              <w:rPr>
                <w:rFonts w:ascii="宋体" w:hAnsi="宋体" w:cs="宋体"/>
                <w:szCs w:val="21"/>
              </w:rPr>
            </w:pPr>
            <w:r>
              <w:rPr>
                <w:rFonts w:hint="eastAsia" w:ascii="宋体" w:hAnsi="宋体" w:cs="宋体"/>
                <w:szCs w:val="21"/>
              </w:rPr>
              <w:t>质量</w:t>
            </w:r>
          </w:p>
          <w:p>
            <w:pPr>
              <w:jc w:val="center"/>
            </w:pPr>
            <w:r>
              <w:rPr>
                <w:rFonts w:hint="eastAsia"/>
              </w:rPr>
              <w:t>现状</w:t>
            </w:r>
          </w:p>
        </w:tc>
        <w:tc>
          <w:tcPr>
            <w:tcW w:w="7900" w:type="dxa"/>
            <w:tcBorders>
              <w:tl2br w:val="nil"/>
              <w:tr2bl w:val="nil"/>
            </w:tcBorders>
          </w:tcPr>
          <w:p>
            <w:pPr>
              <w:pStyle w:val="5"/>
              <w:numPr>
                <w:ilvl w:val="0"/>
                <w:numId w:val="10"/>
              </w:numPr>
              <w:bidi w:val="0"/>
              <w:jc w:val="both"/>
            </w:pPr>
            <w:r>
              <w:rPr>
                <w:rFonts w:hint="eastAsia"/>
              </w:rPr>
              <w:t>大气环境质量现状</w:t>
            </w:r>
            <w:r>
              <w:t>与评价</w:t>
            </w:r>
          </w:p>
          <w:p>
            <w:pPr>
              <w:pStyle w:val="7"/>
              <w:jc w:val="both"/>
              <w:outlineLvl w:val="3"/>
            </w:pPr>
            <w:r>
              <w:rPr>
                <w:rFonts w:hint="eastAsia"/>
              </w:rPr>
              <w:t xml:space="preserve">1.1 </w:t>
            </w:r>
            <w:r>
              <w:t>环境空气质量达标区判定</w:t>
            </w:r>
          </w:p>
          <w:p>
            <w:pPr>
              <w:pStyle w:val="20"/>
              <w:ind w:firstLine="480"/>
              <w:jc w:val="both"/>
            </w:pPr>
            <w:r>
              <w:rPr>
                <w:rFonts w:hint="eastAsia"/>
              </w:rPr>
              <w:t>根据</w:t>
            </w:r>
            <w:r>
              <w:t>《环境影响评价技术导则 大气环境》（H.J</w:t>
            </w:r>
            <w:r>
              <w:rPr>
                <w:rFonts w:hint="eastAsia"/>
              </w:rPr>
              <w:t xml:space="preserve"> </w:t>
            </w:r>
            <w:r>
              <w:t>2.2-2018）对环境质量现状数据的要求，选取距离本项目最近的</w:t>
            </w:r>
            <w:r>
              <w:rPr>
                <w:rFonts w:hint="eastAsia" w:ascii="Times New Roman" w:hAnsi="Times New Roman" w:eastAsia="宋体" w:cs="Times New Roman"/>
                <w:color w:val="000000"/>
                <w:sz w:val="24"/>
              </w:rPr>
              <w:t>昌吉州政务服务中心监测点</w:t>
            </w:r>
            <w:r>
              <w:t>20</w:t>
            </w:r>
            <w:r>
              <w:rPr>
                <w:rFonts w:hint="eastAsia"/>
              </w:rPr>
              <w:t>20</w:t>
            </w:r>
            <w:r>
              <w:t>年的监测数据</w:t>
            </w:r>
            <w:r>
              <w:rPr>
                <w:rFonts w:hint="eastAsia"/>
              </w:rPr>
              <w:t>，</w:t>
            </w:r>
            <w:r>
              <w:t>作为本项目环境空气现状评价</w:t>
            </w:r>
            <w:bookmarkStart w:id="1" w:name="OLE_LINK75"/>
            <w:bookmarkStart w:id="2" w:name="OLE_LINK65"/>
            <w:bookmarkStart w:id="3" w:name="OLE_LINK78"/>
            <w:r>
              <w:t>基本污染物SO</w:t>
            </w:r>
            <w:r>
              <w:rPr>
                <w:vertAlign w:val="subscript"/>
              </w:rPr>
              <w:t>2</w:t>
            </w:r>
            <w:r>
              <w:t>、NO</w:t>
            </w:r>
            <w:r>
              <w:rPr>
                <w:vertAlign w:val="subscript"/>
              </w:rPr>
              <w:t>2</w:t>
            </w:r>
            <w:r>
              <w:t>、PM</w:t>
            </w:r>
            <w:r>
              <w:rPr>
                <w:vertAlign w:val="subscript"/>
              </w:rPr>
              <w:t>10</w:t>
            </w:r>
            <w:r>
              <w:t>、PM</w:t>
            </w:r>
            <w:r>
              <w:rPr>
                <w:vertAlign w:val="subscript"/>
              </w:rPr>
              <w:t>2.5</w:t>
            </w:r>
            <w:r>
              <w:t>、CO和O</w:t>
            </w:r>
            <w:r>
              <w:rPr>
                <w:vertAlign w:val="subscript"/>
              </w:rPr>
              <w:t>3</w:t>
            </w:r>
            <w:r>
              <w:t>的数据</w:t>
            </w:r>
            <w:bookmarkEnd w:id="1"/>
            <w:bookmarkEnd w:id="2"/>
            <w:bookmarkEnd w:id="3"/>
            <w:r>
              <w:t>来源。</w:t>
            </w:r>
          </w:p>
          <w:p>
            <w:pPr>
              <w:pStyle w:val="20"/>
              <w:numPr>
                <w:ilvl w:val="0"/>
                <w:numId w:val="11"/>
              </w:numPr>
              <w:ind w:firstLine="480"/>
              <w:jc w:val="both"/>
            </w:pPr>
            <w:r>
              <w:t xml:space="preserve">评价标准 </w:t>
            </w:r>
          </w:p>
          <w:p>
            <w:pPr>
              <w:pStyle w:val="20"/>
              <w:ind w:firstLine="480"/>
              <w:jc w:val="both"/>
            </w:pPr>
            <w:r>
              <w:t>本次评价基本污染物执行《环境空气质量标准》（GB3095-2012）中的二级标准。</w:t>
            </w:r>
          </w:p>
          <w:p>
            <w:pPr>
              <w:pStyle w:val="20"/>
              <w:numPr>
                <w:ilvl w:val="0"/>
                <w:numId w:val="11"/>
              </w:numPr>
              <w:ind w:firstLine="480"/>
              <w:jc w:val="both"/>
            </w:pPr>
            <w:r>
              <w:t xml:space="preserve">评价方法 </w:t>
            </w:r>
          </w:p>
          <w:p>
            <w:pPr>
              <w:pStyle w:val="20"/>
              <w:ind w:firstLine="480"/>
              <w:jc w:val="both"/>
            </w:pPr>
            <w:r>
              <w:t>按照《环境空气质量评价技术规范（试行）》（HJ663-2013）中各评价项目的年评价指标进行判定。年评价指标中的年均浓度和相应百分位数24h 平均或8h平均质量浓度满足GB3095中浓度限值要求的即为达标。对于超标的污染物，计算其超标倍数和超标率。</w:t>
            </w:r>
          </w:p>
          <w:p>
            <w:pPr>
              <w:pStyle w:val="20"/>
              <w:numPr>
                <w:ilvl w:val="0"/>
                <w:numId w:val="11"/>
              </w:numPr>
              <w:ind w:firstLine="480"/>
              <w:jc w:val="both"/>
            </w:pPr>
            <w:r>
              <w:t xml:space="preserve">空气质量达标区判定 </w:t>
            </w:r>
          </w:p>
          <w:p>
            <w:pPr>
              <w:pStyle w:val="20"/>
              <w:ind w:firstLine="480"/>
              <w:jc w:val="both"/>
            </w:pPr>
            <w:r>
              <w:t>本项目所在区域空气质量现状评价结果一览表，见</w:t>
            </w:r>
            <w:r>
              <w:fldChar w:fldCharType="begin"/>
            </w:r>
            <w:r>
              <w:instrText xml:space="preserve"> REF _Ref66457959 \h  \* MERGEFORMAT </w:instrText>
            </w:r>
            <w:r>
              <w:fldChar w:fldCharType="separate"/>
            </w:r>
            <w:r>
              <w:t>表 3–1</w:t>
            </w:r>
            <w:r>
              <w:fldChar w:fldCharType="end"/>
            </w:r>
            <w:r>
              <w:t>。</w:t>
            </w:r>
          </w:p>
          <w:p>
            <w:pPr>
              <w:pStyle w:val="32"/>
            </w:pPr>
            <w:r>
              <w:fldChar w:fldCharType="begin"/>
            </w:r>
            <w:r>
              <w:instrText xml:space="preserve"> REF _Ref66457959 \h  \* MERGEFORMAT </w:instrText>
            </w:r>
            <w:r>
              <w:fldChar w:fldCharType="separate"/>
            </w:r>
            <w:r>
              <w:t>表 3–1</w:t>
            </w:r>
            <w:r>
              <w:fldChar w:fldCharType="end"/>
            </w:r>
            <w:r>
              <w:rPr>
                <w:rFonts w:hint="eastAsia"/>
              </w:rPr>
              <w:t xml:space="preserve">    </w:t>
            </w:r>
            <w:r>
              <w:t>区域空气质量现状评价结果一览表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925"/>
              <w:gridCol w:w="2443"/>
              <w:gridCol w:w="1205"/>
              <w:gridCol w:w="1205"/>
              <w:gridCol w:w="952"/>
              <w:gridCol w:w="95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tblHeader/>
                <w:jc w:val="center"/>
              </w:trPr>
              <w:tc>
                <w:tcPr>
                  <w:tcW w:w="947" w:type="dxa"/>
                  <w:tcBorders>
                    <w:bottom w:val="single" w:color="000000" w:sz="12" w:space="0"/>
                    <w:tl2br w:val="nil"/>
                    <w:tr2bl w:val="nil"/>
                  </w:tcBorders>
                  <w:vAlign w:val="center"/>
                </w:tcPr>
                <w:p>
                  <w:pPr>
                    <w:pStyle w:val="33"/>
                    <w:widowControl w:val="0"/>
                    <w:rPr>
                      <w:b/>
                      <w:bCs/>
                    </w:rPr>
                  </w:pPr>
                  <w:r>
                    <w:rPr>
                      <w:b/>
                      <w:bCs/>
                    </w:rPr>
                    <w:t>污染物</w:t>
                  </w:r>
                </w:p>
              </w:tc>
              <w:tc>
                <w:tcPr>
                  <w:tcW w:w="2552" w:type="dxa"/>
                  <w:tcBorders>
                    <w:bottom w:val="single" w:color="000000" w:sz="12" w:space="0"/>
                    <w:tl2br w:val="nil"/>
                    <w:tr2bl w:val="nil"/>
                  </w:tcBorders>
                  <w:vAlign w:val="center"/>
                </w:tcPr>
                <w:p>
                  <w:pPr>
                    <w:pStyle w:val="33"/>
                    <w:widowControl w:val="0"/>
                    <w:rPr>
                      <w:b/>
                      <w:bCs/>
                    </w:rPr>
                  </w:pPr>
                  <w:r>
                    <w:rPr>
                      <w:b/>
                      <w:bCs/>
                    </w:rPr>
                    <w:t>年评价指标</w:t>
                  </w:r>
                </w:p>
              </w:tc>
              <w:tc>
                <w:tcPr>
                  <w:tcW w:w="1217" w:type="dxa"/>
                  <w:tcBorders>
                    <w:bottom w:val="single" w:color="000000" w:sz="12" w:space="0"/>
                    <w:tl2br w:val="nil"/>
                    <w:tr2bl w:val="nil"/>
                  </w:tcBorders>
                  <w:vAlign w:val="center"/>
                </w:tcPr>
                <w:p>
                  <w:pPr>
                    <w:pStyle w:val="33"/>
                    <w:widowControl w:val="0"/>
                    <w:rPr>
                      <w:b/>
                      <w:bCs/>
                    </w:rPr>
                  </w:pPr>
                  <w:r>
                    <w:rPr>
                      <w:b/>
                      <w:bCs/>
                    </w:rPr>
                    <w:t>现状浓度</w:t>
                  </w:r>
                </w:p>
                <w:p>
                  <w:pPr>
                    <w:pStyle w:val="33"/>
                    <w:widowControl w:val="0"/>
                    <w:rPr>
                      <w:b/>
                      <w:bCs/>
                    </w:rPr>
                  </w:pPr>
                  <w:r>
                    <w:rPr>
                      <w:b/>
                      <w:bCs/>
                    </w:rPr>
                    <w:t>（μg/m</w:t>
                  </w:r>
                  <w:r>
                    <w:rPr>
                      <w:b/>
                      <w:bCs/>
                      <w:vertAlign w:val="superscript"/>
                    </w:rPr>
                    <w:t>3</w:t>
                  </w:r>
                  <w:r>
                    <w:rPr>
                      <w:b/>
                      <w:bCs/>
                    </w:rPr>
                    <w:t>）</w:t>
                  </w:r>
                </w:p>
              </w:tc>
              <w:tc>
                <w:tcPr>
                  <w:tcW w:w="1217" w:type="dxa"/>
                  <w:tcBorders>
                    <w:bottom w:val="single" w:color="000000" w:sz="12" w:space="0"/>
                    <w:tl2br w:val="nil"/>
                    <w:tr2bl w:val="nil"/>
                  </w:tcBorders>
                  <w:vAlign w:val="center"/>
                </w:tcPr>
                <w:p>
                  <w:pPr>
                    <w:pStyle w:val="33"/>
                    <w:widowControl w:val="0"/>
                    <w:rPr>
                      <w:b/>
                      <w:bCs/>
                    </w:rPr>
                  </w:pPr>
                  <w:r>
                    <w:rPr>
                      <w:b/>
                      <w:bCs/>
                    </w:rPr>
                    <w:t>标准限值</w:t>
                  </w:r>
                </w:p>
                <w:p>
                  <w:pPr>
                    <w:pStyle w:val="33"/>
                    <w:widowControl w:val="0"/>
                    <w:rPr>
                      <w:b/>
                      <w:bCs/>
                    </w:rPr>
                  </w:pPr>
                  <w:r>
                    <w:rPr>
                      <w:b/>
                      <w:bCs/>
                    </w:rPr>
                    <w:t>（μg/m</w:t>
                  </w:r>
                  <w:r>
                    <w:rPr>
                      <w:b/>
                      <w:bCs/>
                      <w:vertAlign w:val="superscript"/>
                    </w:rPr>
                    <w:t>3</w:t>
                  </w:r>
                  <w:r>
                    <w:rPr>
                      <w:b/>
                      <w:bCs/>
                    </w:rPr>
                    <w:t>）</w:t>
                  </w:r>
                </w:p>
              </w:tc>
              <w:tc>
                <w:tcPr>
                  <w:tcW w:w="967" w:type="dxa"/>
                  <w:tcBorders>
                    <w:bottom w:val="single" w:color="000000" w:sz="12" w:space="0"/>
                    <w:tl2br w:val="nil"/>
                    <w:tr2bl w:val="nil"/>
                  </w:tcBorders>
                  <w:vAlign w:val="center"/>
                </w:tcPr>
                <w:p>
                  <w:pPr>
                    <w:pStyle w:val="33"/>
                    <w:widowControl w:val="0"/>
                    <w:rPr>
                      <w:b/>
                      <w:bCs/>
                    </w:rPr>
                  </w:pPr>
                  <w:r>
                    <w:rPr>
                      <w:b/>
                      <w:bCs/>
                    </w:rPr>
                    <w:t>占标率</w:t>
                  </w:r>
                </w:p>
                <w:p>
                  <w:pPr>
                    <w:pStyle w:val="33"/>
                    <w:widowControl w:val="0"/>
                    <w:rPr>
                      <w:b/>
                      <w:bCs/>
                    </w:rPr>
                  </w:pPr>
                  <w:r>
                    <w:rPr>
                      <w:b/>
                      <w:bCs/>
                    </w:rPr>
                    <w:t>（%）</w:t>
                  </w:r>
                </w:p>
              </w:tc>
              <w:tc>
                <w:tcPr>
                  <w:tcW w:w="990" w:type="dxa"/>
                  <w:tcBorders>
                    <w:bottom w:val="single" w:color="000000" w:sz="12" w:space="0"/>
                    <w:tl2br w:val="nil"/>
                    <w:tr2bl w:val="nil"/>
                  </w:tcBorders>
                  <w:vAlign w:val="center"/>
                </w:tcPr>
                <w:p>
                  <w:pPr>
                    <w:pStyle w:val="33"/>
                    <w:widowControl w:val="0"/>
                    <w:rPr>
                      <w:b/>
                      <w:bCs/>
                    </w:rPr>
                  </w:pPr>
                  <w:r>
                    <w:rPr>
                      <w:b/>
                      <w:bCs/>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op w:val="single" w:color="000000" w:sz="12" w:space="0"/>
                    <w:tl2br w:val="nil"/>
                    <w:tr2bl w:val="nil"/>
                  </w:tcBorders>
                  <w:vAlign w:val="center"/>
                </w:tcPr>
                <w:p>
                  <w:pPr>
                    <w:pStyle w:val="33"/>
                    <w:widowControl w:val="0"/>
                  </w:pPr>
                  <w:r>
                    <w:t>SO</w:t>
                  </w:r>
                  <w:r>
                    <w:rPr>
                      <w:vertAlign w:val="subscript"/>
                    </w:rPr>
                    <w:t>2</w:t>
                  </w:r>
                </w:p>
              </w:tc>
              <w:tc>
                <w:tcPr>
                  <w:tcW w:w="2552" w:type="dxa"/>
                  <w:tcBorders>
                    <w:top w:val="single" w:color="000000" w:sz="12" w:space="0"/>
                    <w:tl2br w:val="nil"/>
                    <w:tr2bl w:val="nil"/>
                  </w:tcBorders>
                  <w:vAlign w:val="center"/>
                </w:tcPr>
                <w:p>
                  <w:pPr>
                    <w:pStyle w:val="33"/>
                    <w:widowControl w:val="0"/>
                  </w:pPr>
                  <w:r>
                    <w:t>年平均质量浓度</w:t>
                  </w:r>
                </w:p>
              </w:tc>
              <w:tc>
                <w:tcPr>
                  <w:tcW w:w="1217" w:type="dxa"/>
                  <w:tcBorders>
                    <w:top w:val="single" w:color="000000" w:sz="12" w:space="0"/>
                    <w:tl2br w:val="nil"/>
                    <w:tr2bl w:val="nil"/>
                  </w:tcBorders>
                  <w:vAlign w:val="center"/>
                </w:tcPr>
                <w:p>
                  <w:pPr>
                    <w:pStyle w:val="33"/>
                    <w:widowControl w:val="0"/>
                    <w:rPr>
                      <w:lang w:eastAsia="zh-CN"/>
                    </w:rPr>
                  </w:pPr>
                  <w:r>
                    <w:rPr>
                      <w:rFonts w:hint="eastAsia"/>
                      <w:lang w:val="en-US" w:eastAsia="zh-CN"/>
                    </w:rPr>
                    <w:t>8</w:t>
                  </w:r>
                </w:p>
              </w:tc>
              <w:tc>
                <w:tcPr>
                  <w:tcW w:w="1217" w:type="dxa"/>
                  <w:tcBorders>
                    <w:top w:val="single" w:color="000000" w:sz="12" w:space="0"/>
                    <w:tl2br w:val="nil"/>
                    <w:tr2bl w:val="nil"/>
                  </w:tcBorders>
                  <w:vAlign w:val="center"/>
                </w:tcPr>
                <w:p>
                  <w:pPr>
                    <w:pStyle w:val="33"/>
                    <w:widowControl w:val="0"/>
                  </w:pPr>
                  <w:r>
                    <w:t>60</w:t>
                  </w:r>
                </w:p>
              </w:tc>
              <w:tc>
                <w:tcPr>
                  <w:tcW w:w="967" w:type="dxa"/>
                  <w:tcBorders>
                    <w:top w:val="single" w:color="000000" w:sz="12" w:space="0"/>
                    <w:tl2br w:val="nil"/>
                    <w:tr2bl w:val="nil"/>
                  </w:tcBorders>
                  <w:vAlign w:val="center"/>
                </w:tcPr>
                <w:p>
                  <w:pPr>
                    <w:pStyle w:val="33"/>
                    <w:widowControl w:val="0"/>
                    <w:rPr>
                      <w:lang w:val="en-US" w:eastAsia="zh-CN"/>
                    </w:rPr>
                  </w:pPr>
                  <w:r>
                    <w:rPr>
                      <w:rFonts w:hint="eastAsia"/>
                      <w:lang w:val="en-US" w:eastAsia="zh-CN"/>
                    </w:rPr>
                    <w:t>13.3</w:t>
                  </w:r>
                </w:p>
              </w:tc>
              <w:tc>
                <w:tcPr>
                  <w:tcW w:w="990" w:type="dxa"/>
                  <w:tcBorders>
                    <w:top w:val="single" w:color="000000" w:sz="12" w:space="0"/>
                    <w:tl2br w:val="nil"/>
                    <w:tr2bl w:val="nil"/>
                  </w:tcBorders>
                  <w:vAlign w:val="center"/>
                </w:tcPr>
                <w:p>
                  <w:pPr>
                    <w:pStyle w:val="33"/>
                    <w:widowControl w:val="0"/>
                  </w:pPr>
                  <w: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33"/>
                    <w:widowControl w:val="0"/>
                  </w:pPr>
                  <w:r>
                    <w:t>NO</w:t>
                  </w:r>
                  <w:r>
                    <w:rPr>
                      <w:vertAlign w:val="subscript"/>
                    </w:rPr>
                    <w:t>2</w:t>
                  </w:r>
                </w:p>
              </w:tc>
              <w:tc>
                <w:tcPr>
                  <w:tcW w:w="2552" w:type="dxa"/>
                  <w:tcBorders>
                    <w:tl2br w:val="nil"/>
                    <w:tr2bl w:val="nil"/>
                  </w:tcBorders>
                  <w:vAlign w:val="center"/>
                </w:tcPr>
                <w:p>
                  <w:pPr>
                    <w:pStyle w:val="33"/>
                    <w:widowControl w:val="0"/>
                  </w:pPr>
                  <w:r>
                    <w:t>年平均质量浓度</w:t>
                  </w:r>
                </w:p>
              </w:tc>
              <w:tc>
                <w:tcPr>
                  <w:tcW w:w="1217" w:type="dxa"/>
                  <w:tcBorders>
                    <w:tl2br w:val="nil"/>
                    <w:tr2bl w:val="nil"/>
                  </w:tcBorders>
                  <w:vAlign w:val="center"/>
                </w:tcPr>
                <w:p>
                  <w:pPr>
                    <w:pStyle w:val="33"/>
                    <w:widowControl w:val="0"/>
                    <w:rPr>
                      <w:lang w:val="en-US" w:eastAsia="zh-CN"/>
                    </w:rPr>
                  </w:pPr>
                  <w:r>
                    <w:rPr>
                      <w:rFonts w:hint="eastAsia"/>
                      <w:lang w:val="en-US" w:eastAsia="zh-CN"/>
                    </w:rPr>
                    <w:t>33</w:t>
                  </w:r>
                </w:p>
              </w:tc>
              <w:tc>
                <w:tcPr>
                  <w:tcW w:w="1217" w:type="dxa"/>
                  <w:tcBorders>
                    <w:tl2br w:val="nil"/>
                    <w:tr2bl w:val="nil"/>
                  </w:tcBorders>
                  <w:vAlign w:val="center"/>
                </w:tcPr>
                <w:p>
                  <w:pPr>
                    <w:pStyle w:val="33"/>
                    <w:widowControl w:val="0"/>
                  </w:pPr>
                  <w:r>
                    <w:t>40</w:t>
                  </w:r>
                </w:p>
              </w:tc>
              <w:tc>
                <w:tcPr>
                  <w:tcW w:w="967" w:type="dxa"/>
                  <w:tcBorders>
                    <w:tl2br w:val="nil"/>
                    <w:tr2bl w:val="nil"/>
                  </w:tcBorders>
                  <w:vAlign w:val="center"/>
                </w:tcPr>
                <w:p>
                  <w:pPr>
                    <w:pStyle w:val="33"/>
                    <w:widowControl w:val="0"/>
                    <w:rPr>
                      <w:lang w:val="en-US" w:eastAsia="zh-CN"/>
                    </w:rPr>
                  </w:pPr>
                  <w:r>
                    <w:rPr>
                      <w:rFonts w:hint="eastAsia"/>
                      <w:lang w:val="en-US" w:eastAsia="zh-CN"/>
                    </w:rPr>
                    <w:t>82.5</w:t>
                  </w:r>
                </w:p>
              </w:tc>
              <w:tc>
                <w:tcPr>
                  <w:tcW w:w="990" w:type="dxa"/>
                  <w:tcBorders>
                    <w:tl2br w:val="nil"/>
                    <w:tr2bl w:val="nil"/>
                  </w:tcBorders>
                  <w:vAlign w:val="center"/>
                </w:tcPr>
                <w:p>
                  <w:pPr>
                    <w:pStyle w:val="33"/>
                    <w:widowControl w:val="0"/>
                  </w:pPr>
                  <w: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33"/>
                    <w:widowControl w:val="0"/>
                  </w:pPr>
                  <w:r>
                    <w:t>CO</w:t>
                  </w:r>
                </w:p>
              </w:tc>
              <w:tc>
                <w:tcPr>
                  <w:tcW w:w="2552" w:type="dxa"/>
                  <w:tcBorders>
                    <w:tl2br w:val="nil"/>
                    <w:tr2bl w:val="nil"/>
                  </w:tcBorders>
                  <w:vAlign w:val="center"/>
                </w:tcPr>
                <w:p>
                  <w:pPr>
                    <w:pStyle w:val="33"/>
                    <w:widowControl w:val="0"/>
                  </w:pPr>
                  <w:r>
                    <w:t>第95百分位数日平均浓度</w:t>
                  </w:r>
                </w:p>
              </w:tc>
              <w:tc>
                <w:tcPr>
                  <w:tcW w:w="1217" w:type="dxa"/>
                  <w:tcBorders>
                    <w:tl2br w:val="nil"/>
                    <w:tr2bl w:val="nil"/>
                  </w:tcBorders>
                  <w:vAlign w:val="center"/>
                </w:tcPr>
                <w:p>
                  <w:pPr>
                    <w:pStyle w:val="33"/>
                    <w:widowControl w:val="0"/>
                  </w:pPr>
                  <w:r>
                    <w:t>2</w:t>
                  </w:r>
                  <w:r>
                    <w:rPr>
                      <w:rFonts w:hint="eastAsia"/>
                      <w:lang w:val="en-US" w:eastAsia="zh-CN"/>
                    </w:rPr>
                    <w:t>5</w:t>
                  </w:r>
                  <w:r>
                    <w:t>00.00</w:t>
                  </w:r>
                </w:p>
              </w:tc>
              <w:tc>
                <w:tcPr>
                  <w:tcW w:w="1217" w:type="dxa"/>
                  <w:tcBorders>
                    <w:tl2br w:val="nil"/>
                    <w:tr2bl w:val="nil"/>
                  </w:tcBorders>
                  <w:vAlign w:val="center"/>
                </w:tcPr>
                <w:p>
                  <w:pPr>
                    <w:pStyle w:val="33"/>
                    <w:widowControl w:val="0"/>
                  </w:pPr>
                  <w:r>
                    <w:t>4000</w:t>
                  </w:r>
                </w:p>
              </w:tc>
              <w:tc>
                <w:tcPr>
                  <w:tcW w:w="967" w:type="dxa"/>
                  <w:tcBorders>
                    <w:tl2br w:val="nil"/>
                    <w:tr2bl w:val="nil"/>
                  </w:tcBorders>
                  <w:vAlign w:val="center"/>
                </w:tcPr>
                <w:p>
                  <w:pPr>
                    <w:pStyle w:val="33"/>
                    <w:widowControl w:val="0"/>
                    <w:rPr>
                      <w:lang w:val="en-US" w:eastAsia="zh-CN"/>
                    </w:rPr>
                  </w:pPr>
                  <w:r>
                    <w:rPr>
                      <w:rFonts w:hint="eastAsia"/>
                      <w:lang w:val="en-US" w:eastAsia="zh-CN"/>
                    </w:rPr>
                    <w:t>62.5</w:t>
                  </w:r>
                </w:p>
              </w:tc>
              <w:tc>
                <w:tcPr>
                  <w:tcW w:w="990" w:type="dxa"/>
                  <w:tcBorders>
                    <w:tl2br w:val="nil"/>
                    <w:tr2bl w:val="nil"/>
                  </w:tcBorders>
                  <w:vAlign w:val="center"/>
                </w:tcPr>
                <w:p>
                  <w:pPr>
                    <w:pStyle w:val="33"/>
                    <w:widowControl w:val="0"/>
                  </w:pPr>
                  <w: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33"/>
                    <w:widowControl w:val="0"/>
                  </w:pPr>
                  <w:r>
                    <w:t>O</w:t>
                  </w:r>
                  <w:r>
                    <w:rPr>
                      <w:vertAlign w:val="subscript"/>
                    </w:rPr>
                    <w:t>3</w:t>
                  </w:r>
                </w:p>
              </w:tc>
              <w:tc>
                <w:tcPr>
                  <w:tcW w:w="2552" w:type="dxa"/>
                  <w:tcBorders>
                    <w:tl2br w:val="nil"/>
                    <w:tr2bl w:val="nil"/>
                  </w:tcBorders>
                  <w:vAlign w:val="center"/>
                </w:tcPr>
                <w:p>
                  <w:pPr>
                    <w:pStyle w:val="33"/>
                    <w:widowControl w:val="0"/>
                  </w:pPr>
                  <w:r>
                    <w:t>第90百分位数</w:t>
                  </w:r>
                  <w:r>
                    <w:rPr>
                      <w:rFonts w:hint="eastAsia"/>
                      <w:lang w:val="en-US" w:eastAsia="zh-CN"/>
                    </w:rPr>
                    <w:t>8小时</w:t>
                  </w:r>
                  <w:r>
                    <w:t>日平均浓度</w:t>
                  </w:r>
                </w:p>
              </w:tc>
              <w:tc>
                <w:tcPr>
                  <w:tcW w:w="1217" w:type="dxa"/>
                  <w:tcBorders>
                    <w:tl2br w:val="nil"/>
                    <w:tr2bl w:val="nil"/>
                  </w:tcBorders>
                  <w:vAlign w:val="center"/>
                </w:tcPr>
                <w:p>
                  <w:pPr>
                    <w:pStyle w:val="33"/>
                    <w:widowControl w:val="0"/>
                    <w:rPr>
                      <w:lang w:val="en-US" w:eastAsia="zh-CN"/>
                    </w:rPr>
                  </w:pPr>
                  <w:r>
                    <w:rPr>
                      <w:rFonts w:hint="eastAsia"/>
                      <w:lang w:val="en-US" w:eastAsia="zh-CN"/>
                    </w:rPr>
                    <w:t>131</w:t>
                  </w:r>
                </w:p>
              </w:tc>
              <w:tc>
                <w:tcPr>
                  <w:tcW w:w="1217" w:type="dxa"/>
                  <w:tcBorders>
                    <w:tl2br w:val="nil"/>
                    <w:tr2bl w:val="nil"/>
                  </w:tcBorders>
                  <w:vAlign w:val="center"/>
                </w:tcPr>
                <w:p>
                  <w:pPr>
                    <w:pStyle w:val="33"/>
                    <w:widowControl w:val="0"/>
                  </w:pPr>
                  <w:r>
                    <w:t>160</w:t>
                  </w:r>
                </w:p>
              </w:tc>
              <w:tc>
                <w:tcPr>
                  <w:tcW w:w="967" w:type="dxa"/>
                  <w:tcBorders>
                    <w:tl2br w:val="nil"/>
                    <w:tr2bl w:val="nil"/>
                  </w:tcBorders>
                  <w:vAlign w:val="center"/>
                </w:tcPr>
                <w:p>
                  <w:pPr>
                    <w:pStyle w:val="33"/>
                    <w:widowControl w:val="0"/>
                    <w:rPr>
                      <w:lang w:val="en-US" w:eastAsia="zh-CN"/>
                    </w:rPr>
                  </w:pPr>
                  <w:r>
                    <w:rPr>
                      <w:rFonts w:hint="eastAsia"/>
                      <w:lang w:val="en-US" w:eastAsia="zh-CN"/>
                    </w:rPr>
                    <w:t>81.9</w:t>
                  </w:r>
                </w:p>
              </w:tc>
              <w:tc>
                <w:tcPr>
                  <w:tcW w:w="990" w:type="dxa"/>
                  <w:tcBorders>
                    <w:tl2br w:val="nil"/>
                    <w:tr2bl w:val="nil"/>
                  </w:tcBorders>
                  <w:vAlign w:val="center"/>
                </w:tcPr>
                <w:p>
                  <w:pPr>
                    <w:pStyle w:val="33"/>
                    <w:widowControl w:val="0"/>
                  </w:pPr>
                  <w: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33"/>
                    <w:widowControl w:val="0"/>
                  </w:pPr>
                  <w:r>
                    <w:t>PM</w:t>
                  </w:r>
                  <w:r>
                    <w:rPr>
                      <w:vertAlign w:val="subscript"/>
                    </w:rPr>
                    <w:t>10</w:t>
                  </w:r>
                </w:p>
              </w:tc>
              <w:tc>
                <w:tcPr>
                  <w:tcW w:w="2552" w:type="dxa"/>
                  <w:tcBorders>
                    <w:tl2br w:val="nil"/>
                    <w:tr2bl w:val="nil"/>
                  </w:tcBorders>
                  <w:vAlign w:val="center"/>
                </w:tcPr>
                <w:p>
                  <w:pPr>
                    <w:pStyle w:val="33"/>
                    <w:widowControl w:val="0"/>
                  </w:pPr>
                  <w:r>
                    <w:t>年平均质量浓度</w:t>
                  </w:r>
                </w:p>
              </w:tc>
              <w:tc>
                <w:tcPr>
                  <w:tcW w:w="1217" w:type="dxa"/>
                  <w:tcBorders>
                    <w:tl2br w:val="nil"/>
                    <w:tr2bl w:val="nil"/>
                  </w:tcBorders>
                  <w:vAlign w:val="center"/>
                </w:tcPr>
                <w:p>
                  <w:pPr>
                    <w:pStyle w:val="33"/>
                    <w:widowControl w:val="0"/>
                    <w:rPr>
                      <w:lang w:val="en-US" w:eastAsia="zh-CN"/>
                    </w:rPr>
                  </w:pPr>
                  <w:r>
                    <w:rPr>
                      <w:rFonts w:hint="eastAsia"/>
                      <w:lang w:val="en-US" w:eastAsia="zh-CN"/>
                    </w:rPr>
                    <w:t>88</w:t>
                  </w:r>
                </w:p>
              </w:tc>
              <w:tc>
                <w:tcPr>
                  <w:tcW w:w="1217" w:type="dxa"/>
                  <w:tcBorders>
                    <w:tl2br w:val="nil"/>
                    <w:tr2bl w:val="nil"/>
                  </w:tcBorders>
                  <w:vAlign w:val="center"/>
                </w:tcPr>
                <w:p>
                  <w:pPr>
                    <w:pStyle w:val="33"/>
                    <w:widowControl w:val="0"/>
                  </w:pPr>
                  <w:r>
                    <w:t>70</w:t>
                  </w:r>
                </w:p>
              </w:tc>
              <w:tc>
                <w:tcPr>
                  <w:tcW w:w="967" w:type="dxa"/>
                  <w:tcBorders>
                    <w:tl2br w:val="nil"/>
                    <w:tr2bl w:val="nil"/>
                  </w:tcBorders>
                  <w:vAlign w:val="center"/>
                </w:tcPr>
                <w:p>
                  <w:pPr>
                    <w:pStyle w:val="33"/>
                    <w:widowControl w:val="0"/>
                    <w:rPr>
                      <w:lang w:val="en-US" w:eastAsia="zh-CN"/>
                    </w:rPr>
                  </w:pPr>
                  <w:r>
                    <w:rPr>
                      <w:rFonts w:hint="eastAsia"/>
                      <w:lang w:val="en-US" w:eastAsia="zh-CN"/>
                    </w:rPr>
                    <w:t>125.7</w:t>
                  </w:r>
                </w:p>
              </w:tc>
              <w:tc>
                <w:tcPr>
                  <w:tcW w:w="990" w:type="dxa"/>
                  <w:tcBorders>
                    <w:tl2br w:val="nil"/>
                    <w:tr2bl w:val="nil"/>
                  </w:tcBorders>
                  <w:vAlign w:val="center"/>
                </w:tcPr>
                <w:p>
                  <w:pPr>
                    <w:pStyle w:val="33"/>
                    <w:widowControl w:val="0"/>
                  </w:pPr>
                  <w:r>
                    <w:t>超标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33"/>
                    <w:widowControl w:val="0"/>
                  </w:pPr>
                  <w:r>
                    <w:t>PM</w:t>
                  </w:r>
                  <w:r>
                    <w:rPr>
                      <w:vertAlign w:val="subscript"/>
                    </w:rPr>
                    <w:t>2.5</w:t>
                  </w:r>
                </w:p>
              </w:tc>
              <w:tc>
                <w:tcPr>
                  <w:tcW w:w="2552" w:type="dxa"/>
                  <w:tcBorders>
                    <w:tl2br w:val="nil"/>
                    <w:tr2bl w:val="nil"/>
                  </w:tcBorders>
                  <w:vAlign w:val="center"/>
                </w:tcPr>
                <w:p>
                  <w:pPr>
                    <w:pStyle w:val="33"/>
                    <w:widowControl w:val="0"/>
                  </w:pPr>
                  <w:r>
                    <w:t>年平均质量浓度</w:t>
                  </w:r>
                </w:p>
              </w:tc>
              <w:tc>
                <w:tcPr>
                  <w:tcW w:w="1217" w:type="dxa"/>
                  <w:tcBorders>
                    <w:tl2br w:val="nil"/>
                    <w:tr2bl w:val="nil"/>
                  </w:tcBorders>
                  <w:vAlign w:val="center"/>
                </w:tcPr>
                <w:p>
                  <w:pPr>
                    <w:pStyle w:val="33"/>
                    <w:widowControl w:val="0"/>
                    <w:rPr>
                      <w:lang w:val="en-US" w:eastAsia="zh-CN"/>
                    </w:rPr>
                  </w:pPr>
                  <w:r>
                    <w:rPr>
                      <w:rFonts w:hint="eastAsia"/>
                      <w:lang w:val="en-US" w:eastAsia="zh-CN"/>
                    </w:rPr>
                    <w:t>53</w:t>
                  </w:r>
                </w:p>
              </w:tc>
              <w:tc>
                <w:tcPr>
                  <w:tcW w:w="1217" w:type="dxa"/>
                  <w:tcBorders>
                    <w:tl2br w:val="nil"/>
                    <w:tr2bl w:val="nil"/>
                  </w:tcBorders>
                  <w:vAlign w:val="center"/>
                </w:tcPr>
                <w:p>
                  <w:pPr>
                    <w:pStyle w:val="33"/>
                    <w:widowControl w:val="0"/>
                  </w:pPr>
                  <w:r>
                    <w:t>35</w:t>
                  </w:r>
                </w:p>
              </w:tc>
              <w:tc>
                <w:tcPr>
                  <w:tcW w:w="967" w:type="dxa"/>
                  <w:tcBorders>
                    <w:tl2br w:val="nil"/>
                    <w:tr2bl w:val="nil"/>
                  </w:tcBorders>
                  <w:vAlign w:val="center"/>
                </w:tcPr>
                <w:p>
                  <w:pPr>
                    <w:pStyle w:val="33"/>
                    <w:widowControl w:val="0"/>
                    <w:rPr>
                      <w:lang w:val="en-US" w:eastAsia="zh-CN"/>
                    </w:rPr>
                  </w:pPr>
                  <w:r>
                    <w:rPr>
                      <w:rFonts w:hint="eastAsia"/>
                      <w:lang w:val="en-US" w:eastAsia="zh-CN"/>
                    </w:rPr>
                    <w:t>151.4</w:t>
                  </w:r>
                </w:p>
              </w:tc>
              <w:tc>
                <w:tcPr>
                  <w:tcW w:w="990" w:type="dxa"/>
                  <w:tcBorders>
                    <w:tl2br w:val="nil"/>
                    <w:tr2bl w:val="nil"/>
                  </w:tcBorders>
                  <w:vAlign w:val="center"/>
                </w:tcPr>
                <w:p>
                  <w:pPr>
                    <w:pStyle w:val="33"/>
                    <w:widowControl w:val="0"/>
                  </w:pPr>
                  <w:r>
                    <w:t>超标</w:t>
                  </w:r>
                </w:p>
              </w:tc>
            </w:tr>
          </w:tbl>
          <w:p>
            <w:pPr>
              <w:pStyle w:val="20"/>
              <w:ind w:firstLine="480"/>
              <w:jc w:val="both"/>
              <w:rPr>
                <w:bCs/>
              </w:rPr>
            </w:pPr>
            <w:r>
              <w:rPr>
                <w:bCs/>
              </w:rPr>
              <w:t>由</w:t>
            </w:r>
            <w:r>
              <w:rPr>
                <w:rFonts w:hint="eastAsia"/>
                <w:bCs/>
              </w:rPr>
              <w:t>表3-1</w:t>
            </w:r>
            <w:r>
              <w:rPr>
                <w:bCs/>
              </w:rPr>
              <w:t>可知，项目所在区域SO</w:t>
            </w:r>
            <w:r>
              <w:rPr>
                <w:bCs/>
                <w:vertAlign w:val="subscript"/>
              </w:rPr>
              <w:t>2</w:t>
            </w:r>
            <w:r>
              <w:rPr>
                <w:bCs/>
              </w:rPr>
              <w:t>、NO</w:t>
            </w:r>
            <w:r>
              <w:rPr>
                <w:bCs/>
                <w:vertAlign w:val="subscript"/>
              </w:rPr>
              <w:t>2</w:t>
            </w:r>
            <w:r>
              <w:rPr>
                <w:bCs/>
              </w:rPr>
              <w:t>、O</w:t>
            </w:r>
            <w:r>
              <w:rPr>
                <w:bCs/>
                <w:vertAlign w:val="subscript"/>
              </w:rPr>
              <w:t>3</w:t>
            </w:r>
            <w:r>
              <w:rPr>
                <w:bCs/>
              </w:rPr>
              <w:t>、CO的年均浓度和日均浓度</w:t>
            </w:r>
            <w:r>
              <w:rPr>
                <w:rFonts w:hint="eastAsia"/>
                <w:bCs/>
              </w:rPr>
              <w:t>均满足</w:t>
            </w:r>
            <w:r>
              <w:rPr>
                <w:lang w:bidi="en-US"/>
              </w:rPr>
              <w:t>《环境空气质量标准》（GB3095-2012）的二级标准要求</w:t>
            </w:r>
            <w:r>
              <w:rPr>
                <w:bCs/>
              </w:rPr>
              <w:t>；PM</w:t>
            </w:r>
            <w:r>
              <w:rPr>
                <w:bCs/>
                <w:vertAlign w:val="subscript"/>
              </w:rPr>
              <w:t>10</w:t>
            </w:r>
            <w:r>
              <w:rPr>
                <w:bCs/>
              </w:rPr>
              <w:t>和PM</w:t>
            </w:r>
            <w:r>
              <w:rPr>
                <w:rFonts w:hint="eastAsia"/>
                <w:bCs/>
                <w:vertAlign w:val="subscript"/>
              </w:rPr>
              <w:t>2.5</w:t>
            </w:r>
            <w:r>
              <w:rPr>
                <w:bCs/>
              </w:rPr>
              <w:t>年均浓度和日均浓度均</w:t>
            </w:r>
            <w:r>
              <w:rPr>
                <w:lang w:bidi="en-US"/>
              </w:rPr>
              <w:t>超过《环境空气质量标准》（GB3095-2012）的二级标准要求，</w:t>
            </w:r>
            <w:r>
              <w:t>超标原因主要是因为新疆气候干燥</w:t>
            </w:r>
            <w:r>
              <w:rPr>
                <w:rFonts w:hint="eastAsia"/>
              </w:rPr>
              <w:t>，浮尘天气</w:t>
            </w:r>
            <w:r>
              <w:t>等因素影响。</w:t>
            </w:r>
            <w:r>
              <w:rPr>
                <w:bCs/>
              </w:rPr>
              <w:t>因此，项目所在区域为不达标区。</w:t>
            </w:r>
          </w:p>
          <w:p>
            <w:pPr>
              <w:autoSpaceDE w:val="0"/>
              <w:autoSpaceDN w:val="0"/>
              <w:spacing w:line="360" w:lineRule="auto"/>
              <w:jc w:val="both"/>
              <w:rPr>
                <w:rFonts w:cs="Times New Roman"/>
              </w:rPr>
            </w:pPr>
            <w:r>
              <w:rPr>
                <w:rFonts w:hint="eastAsia"/>
                <w:bCs/>
              </w:rPr>
              <w:t xml:space="preserve">1.2 </w:t>
            </w:r>
            <w:r>
              <w:rPr>
                <w:rFonts w:cs="Times New Roman"/>
              </w:rPr>
              <w:t>环境空气质量补充监测</w:t>
            </w:r>
          </w:p>
          <w:p>
            <w:pPr>
              <w:pStyle w:val="20"/>
              <w:ind w:firstLine="480"/>
              <w:jc w:val="both"/>
            </w:pPr>
            <w:r>
              <w:rPr>
                <w:rFonts w:cs="Times New Roman"/>
              </w:rPr>
              <w:t>根据《环境影响评价技术导则 大气环境》（HJ2.2-2018）的要求，为了进一步了解本项目所在区域大气环境质量现状，对非甲烷总烃进行补充监测。本次评价</w:t>
            </w:r>
            <w:r>
              <w:rPr>
                <w:rFonts w:hint="eastAsia" w:cs="Times New Roman"/>
              </w:rPr>
              <w:t>引用</w:t>
            </w:r>
            <w:r>
              <w:rPr>
                <w:rFonts w:hint="eastAsia"/>
              </w:rPr>
              <w:t>新疆锡水金山环境科技有限公司于2020年6月13日~19日对《醇基燃料储存销售、年产900吨汽车防冻液及年产1000吨玻璃水生产线项目》下风向环境空气质量进行监测的数据，作为评价本项目区环境空气质量现状的分析资料数据。监测点位位于本项目区东南方向约2.6km处，环境空气特征污染物监测点位图见附图6，根据《建设项目环境影响报告表编制技术指南（污染影响类）（试行）》中规定，排放国家、地方环境空气质量标准中有标准限值要求的特征污染物时，引用建设项目周边5千米范围内近3年的现有监测数据，本项目数据引用有效。</w:t>
            </w:r>
          </w:p>
          <w:p>
            <w:pPr>
              <w:pStyle w:val="20"/>
              <w:numPr>
                <w:ilvl w:val="0"/>
                <w:numId w:val="12"/>
              </w:numPr>
              <w:ind w:firstLine="480"/>
              <w:jc w:val="both"/>
            </w:pPr>
            <w:r>
              <w:rPr>
                <w:rFonts w:hint="eastAsia"/>
                <w:lang w:val="en-US" w:eastAsia="zh-CN"/>
              </w:rPr>
              <w:t xml:space="preserve"> </w:t>
            </w:r>
            <w:r>
              <w:rPr>
                <w:rFonts w:hint="eastAsia"/>
              </w:rPr>
              <w:t>评价标准</w:t>
            </w:r>
          </w:p>
          <w:p>
            <w:pPr>
              <w:pStyle w:val="20"/>
              <w:ind w:firstLine="480"/>
              <w:jc w:val="both"/>
            </w:pPr>
            <w:r>
              <w:t>本次非甲烷总烃现状评价采用《大气污染物综合排放标准》限值2.0mg/m</w:t>
            </w:r>
            <w:r>
              <w:rPr>
                <w:vertAlign w:val="superscript"/>
              </w:rPr>
              <w:t>3</w:t>
            </w:r>
            <w:r>
              <w:t>作为评价标准</w:t>
            </w:r>
            <w:r>
              <w:rPr>
                <w:rFonts w:hint="eastAsia"/>
              </w:rPr>
              <w:t>。</w:t>
            </w:r>
          </w:p>
          <w:p>
            <w:pPr>
              <w:pStyle w:val="20"/>
              <w:numPr>
                <w:ilvl w:val="0"/>
                <w:numId w:val="12"/>
              </w:numPr>
              <w:ind w:left="0" w:leftChars="0" w:firstLine="480" w:firstLineChars="200"/>
              <w:jc w:val="both"/>
            </w:pPr>
            <w:r>
              <w:rPr>
                <w:rFonts w:hint="eastAsia"/>
                <w:lang w:val="en-US" w:eastAsia="zh-CN"/>
              </w:rPr>
              <w:t xml:space="preserve"> </w:t>
            </w:r>
            <w:r>
              <w:rPr>
                <w:rFonts w:hint="eastAsia"/>
              </w:rPr>
              <w:t>评价方法</w:t>
            </w:r>
          </w:p>
          <w:p>
            <w:pPr>
              <w:pStyle w:val="20"/>
              <w:ind w:firstLine="480"/>
              <w:jc w:val="both"/>
            </w:pPr>
            <w:r>
              <w:rPr>
                <w:rFonts w:hint="eastAsia"/>
              </w:rPr>
              <w:t>评价方法采用最大质量浓度占相应标准质量浓度限值的百分比，及超标率对监测结果进行评价分析。计算公式如下：</w:t>
            </w:r>
          </w:p>
          <w:p>
            <w:pPr>
              <w:pStyle w:val="20"/>
              <w:ind w:firstLine="480"/>
              <w:jc w:val="center"/>
              <w:rPr>
                <w:position w:val="-27"/>
              </w:rPr>
            </w:pPr>
            <w:r>
              <w:rPr>
                <w:position w:val="-27"/>
              </w:rPr>
              <w:object>
                <v:shape id="_x0000_i1025" o:spt="75" type="#_x0000_t75" style="height:33.2pt;width:88.9pt;" o:ole="t" filled="f" o:preferrelative="t" stroked="f" coordsize="21600,21600">
                  <v:path/>
                  <v:fill on="f" focussize="0,0"/>
                  <v:stroke on="f"/>
                  <v:imagedata r:id="rId9" o:title=""/>
                  <o:lock v:ext="edit" aspectratio="t"/>
                  <w10:wrap type="none"/>
                  <w10:anchorlock/>
                </v:shape>
                <o:OLEObject Type="Embed" ProgID="Visio.Drawing.11" ShapeID="_x0000_i1025" DrawAspect="Content" ObjectID="_1468075725" r:id="rId8">
                  <o:LockedField>false</o:LockedField>
                </o:OLEObject>
              </w:object>
            </w:r>
          </w:p>
          <w:p>
            <w:pPr>
              <w:pStyle w:val="20"/>
              <w:ind w:firstLine="480"/>
              <w:jc w:val="both"/>
            </w:pPr>
            <w:r>
              <w:rPr>
                <w:rFonts w:hint="eastAsia"/>
              </w:rPr>
              <w:t>式中：</w:t>
            </w:r>
            <w:r>
              <w:t>Pi—</w:t>
            </w:r>
            <w:r>
              <w:rPr>
                <w:rFonts w:hint="eastAsia"/>
              </w:rPr>
              <w:t>某种污染物的最大地面质量浓度占标率，</w:t>
            </w:r>
            <w:r>
              <w:t>%</w:t>
            </w:r>
            <w:r>
              <w:rPr>
                <w:rFonts w:hint="eastAsia"/>
              </w:rPr>
              <w:t>；</w:t>
            </w:r>
          </w:p>
          <w:p>
            <w:pPr>
              <w:pStyle w:val="20"/>
              <w:ind w:firstLine="1200" w:firstLineChars="500"/>
              <w:jc w:val="both"/>
            </w:pPr>
            <w:r>
              <w:t>Ci—</w:t>
            </w:r>
            <w:r>
              <w:rPr>
                <w:rFonts w:hint="eastAsia"/>
              </w:rPr>
              <w:t>某种污染物的实际监测浓度，</w:t>
            </w:r>
            <w:r>
              <w:t>mg/m³</w:t>
            </w:r>
            <w:r>
              <w:rPr>
                <w:rFonts w:hint="eastAsia"/>
              </w:rPr>
              <w:t>；</w:t>
            </w:r>
          </w:p>
          <w:p>
            <w:pPr>
              <w:pStyle w:val="20"/>
              <w:ind w:firstLine="480"/>
              <w:jc w:val="both"/>
            </w:pPr>
            <w:r>
              <w:t xml:space="preserve">    </w:t>
            </w:r>
            <w:r>
              <w:rPr>
                <w:rFonts w:hint="eastAsia"/>
              </w:rPr>
              <w:t xml:space="preserve">  </w:t>
            </w:r>
            <w:r>
              <w:t>Coi—</w:t>
            </w:r>
            <w:r>
              <w:rPr>
                <w:rFonts w:hint="eastAsia"/>
              </w:rPr>
              <w:t>某种污染物的环境空气标准浓度，</w:t>
            </w:r>
            <w:r>
              <w:t>mg/m³</w:t>
            </w:r>
          </w:p>
          <w:p>
            <w:pPr>
              <w:pStyle w:val="20"/>
              <w:numPr>
                <w:ilvl w:val="0"/>
                <w:numId w:val="12"/>
              </w:numPr>
              <w:ind w:left="0" w:leftChars="0" w:firstLine="480" w:firstLineChars="200"/>
              <w:jc w:val="both"/>
            </w:pPr>
            <w:r>
              <w:rPr>
                <w:rFonts w:hint="eastAsia"/>
                <w:lang w:val="en-US" w:eastAsia="zh-CN"/>
              </w:rPr>
              <w:t xml:space="preserve"> </w:t>
            </w:r>
            <w:r>
              <w:rPr>
                <w:rFonts w:hint="eastAsia"/>
              </w:rPr>
              <w:t>监测项目及频率</w:t>
            </w:r>
          </w:p>
          <w:p>
            <w:pPr>
              <w:pStyle w:val="20"/>
              <w:ind w:firstLine="480"/>
              <w:jc w:val="both"/>
            </w:pPr>
            <w:r>
              <w:rPr>
                <w:rFonts w:hint="eastAsia"/>
              </w:rPr>
              <w:t>监测点位：项目区下风向</w:t>
            </w:r>
            <w:r>
              <w:t>（87°6′7.91″E，44°5′3.21″N）</w:t>
            </w:r>
            <w:r>
              <w:rPr>
                <w:rFonts w:hint="eastAsia"/>
              </w:rPr>
              <w:t>；</w:t>
            </w:r>
          </w:p>
          <w:p>
            <w:pPr>
              <w:pStyle w:val="20"/>
              <w:ind w:firstLine="480"/>
              <w:jc w:val="both"/>
            </w:pPr>
            <w:r>
              <w:rPr>
                <w:rFonts w:hint="eastAsia"/>
              </w:rPr>
              <w:t>监测项目：非甲烷总烃；</w:t>
            </w:r>
          </w:p>
          <w:p>
            <w:pPr>
              <w:pStyle w:val="20"/>
              <w:ind w:firstLine="480"/>
              <w:jc w:val="both"/>
            </w:pPr>
            <w:r>
              <w:rPr>
                <w:rFonts w:hint="eastAsia"/>
              </w:rPr>
              <w:t>监测频率：连续采样7个有效天，每天采样4次</w:t>
            </w:r>
          </w:p>
          <w:p>
            <w:pPr>
              <w:pStyle w:val="20"/>
              <w:numPr>
                <w:ilvl w:val="0"/>
                <w:numId w:val="12"/>
              </w:numPr>
              <w:ind w:left="0" w:leftChars="0" w:firstLine="480" w:firstLineChars="200"/>
              <w:jc w:val="both"/>
            </w:pPr>
            <w:r>
              <w:rPr>
                <w:rFonts w:hint="eastAsia"/>
                <w:lang w:val="en-US" w:eastAsia="zh-CN"/>
              </w:rPr>
              <w:t xml:space="preserve"> </w:t>
            </w:r>
            <w:r>
              <w:rPr>
                <w:rFonts w:hint="eastAsia"/>
              </w:rPr>
              <w:t>监测结果分析及评价</w:t>
            </w:r>
          </w:p>
          <w:p>
            <w:pPr>
              <w:pStyle w:val="20"/>
              <w:ind w:firstLine="480"/>
              <w:jc w:val="both"/>
            </w:pPr>
            <w:r>
              <w:rPr>
                <w:rFonts w:hint="eastAsia"/>
              </w:rPr>
              <w:t>非甲烷总烃监测结果见表3-2，非甲烷总烃评价结果见表3-</w:t>
            </w:r>
            <w:r>
              <w:t>3</w:t>
            </w:r>
            <w:r>
              <w:rPr>
                <w:rFonts w:hint="eastAsia"/>
              </w:rPr>
              <w:t>。</w:t>
            </w:r>
          </w:p>
          <w:p>
            <w:pPr>
              <w:pStyle w:val="32"/>
            </w:pPr>
            <w:r>
              <w:rPr>
                <w:rFonts w:hint="eastAsia"/>
              </w:rPr>
              <w:t>表3-2  非甲烷总烃监测结果表</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1299"/>
              <w:gridCol w:w="1383"/>
              <w:gridCol w:w="1069"/>
              <w:gridCol w:w="20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18" w:type="pct"/>
                  <w:vMerge w:val="restart"/>
                  <w:tcBorders>
                    <w:tl2br w:val="nil"/>
                    <w:tr2bl w:val="nil"/>
                  </w:tcBorders>
                  <w:vAlign w:val="center"/>
                </w:tcPr>
                <w:p>
                  <w:pPr>
                    <w:pStyle w:val="33"/>
                    <w:rPr>
                      <w:b/>
                      <w:bCs/>
                    </w:rPr>
                  </w:pPr>
                  <w:r>
                    <w:rPr>
                      <w:b/>
                      <w:bCs/>
                    </w:rPr>
                    <w:t>采样时间</w:t>
                  </w:r>
                </w:p>
              </w:tc>
              <w:tc>
                <w:tcPr>
                  <w:tcW w:w="848" w:type="pct"/>
                  <w:vMerge w:val="restart"/>
                  <w:tcBorders>
                    <w:tl2br w:val="nil"/>
                    <w:tr2bl w:val="nil"/>
                  </w:tcBorders>
                  <w:vAlign w:val="center"/>
                </w:tcPr>
                <w:p>
                  <w:pPr>
                    <w:pStyle w:val="33"/>
                    <w:rPr>
                      <w:b/>
                      <w:bCs/>
                    </w:rPr>
                  </w:pPr>
                  <w:r>
                    <w:rPr>
                      <w:b/>
                      <w:bCs/>
                    </w:rPr>
                    <w:t>采样点位</w:t>
                  </w:r>
                </w:p>
              </w:tc>
              <w:tc>
                <w:tcPr>
                  <w:tcW w:w="890" w:type="pct"/>
                  <w:vMerge w:val="restart"/>
                  <w:tcBorders>
                    <w:tl2br w:val="nil"/>
                    <w:tr2bl w:val="nil"/>
                  </w:tcBorders>
                  <w:vAlign w:val="center"/>
                </w:tcPr>
                <w:p>
                  <w:pPr>
                    <w:pStyle w:val="33"/>
                    <w:rPr>
                      <w:b/>
                      <w:bCs/>
                    </w:rPr>
                  </w:pPr>
                  <w:r>
                    <w:rPr>
                      <w:b/>
                      <w:bCs/>
                    </w:rPr>
                    <w:t>样</w:t>
                  </w:r>
                  <w:r>
                    <w:rPr>
                      <w:b/>
                      <w:bCs/>
                    </w:rPr>
                    <w:cr/>
                  </w:r>
                  <w:r>
                    <w:rPr>
                      <w:b/>
                      <w:bCs/>
                    </w:rPr>
                    <w:t>编号</w:t>
                  </w:r>
                </w:p>
              </w:tc>
              <w:tc>
                <w:tcPr>
                  <w:tcW w:w="698" w:type="pct"/>
                  <w:vMerge w:val="restart"/>
                  <w:tcBorders>
                    <w:tl2br w:val="nil"/>
                    <w:tr2bl w:val="nil"/>
                  </w:tcBorders>
                  <w:vAlign w:val="center"/>
                </w:tcPr>
                <w:p>
                  <w:pPr>
                    <w:pStyle w:val="33"/>
                    <w:rPr>
                      <w:b/>
                      <w:bCs/>
                    </w:rPr>
                  </w:pPr>
                  <w:r>
                    <w:rPr>
                      <w:b/>
                      <w:bCs/>
                    </w:rPr>
                    <w:t>采样时间</w:t>
                  </w:r>
                </w:p>
              </w:tc>
              <w:tc>
                <w:tcPr>
                  <w:tcW w:w="1346" w:type="pct"/>
                  <w:tcBorders>
                    <w:tl2br w:val="nil"/>
                    <w:tr2bl w:val="nil"/>
                  </w:tcBorders>
                  <w:vAlign w:val="center"/>
                </w:tcPr>
                <w:p>
                  <w:pPr>
                    <w:pStyle w:val="33"/>
                    <w:rPr>
                      <w:b/>
                      <w:bCs/>
                    </w:rPr>
                  </w:pPr>
                  <w:r>
                    <w:rPr>
                      <w:b/>
                      <w:bCs/>
                    </w:rPr>
                    <w:t>检测项目（mg/m</w:t>
                  </w:r>
                  <w:r>
                    <w:rPr>
                      <w:b/>
                      <w:bCs/>
                      <w:vertAlign w:val="superscript"/>
                    </w:rPr>
                    <w:t>3</w:t>
                  </w:r>
                  <w:r>
                    <w:rPr>
                      <w:b/>
                      <w:bC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18" w:type="pct"/>
                  <w:vMerge w:val="continue"/>
                  <w:tcBorders>
                    <w:bottom w:val="single" w:color="000000" w:sz="12" w:space="0"/>
                    <w:tl2br w:val="nil"/>
                    <w:tr2bl w:val="nil"/>
                  </w:tcBorders>
                  <w:vAlign w:val="center"/>
                </w:tcPr>
                <w:p>
                  <w:pPr>
                    <w:pStyle w:val="33"/>
                    <w:rPr>
                      <w:b/>
                      <w:bCs/>
                    </w:rPr>
                  </w:pPr>
                </w:p>
              </w:tc>
              <w:tc>
                <w:tcPr>
                  <w:tcW w:w="848" w:type="pct"/>
                  <w:vMerge w:val="continue"/>
                  <w:tcBorders>
                    <w:bottom w:val="single" w:color="000000" w:sz="12" w:space="0"/>
                    <w:tl2br w:val="nil"/>
                    <w:tr2bl w:val="nil"/>
                  </w:tcBorders>
                  <w:vAlign w:val="center"/>
                </w:tcPr>
                <w:p>
                  <w:pPr>
                    <w:pStyle w:val="33"/>
                    <w:rPr>
                      <w:b/>
                      <w:bCs/>
                    </w:rPr>
                  </w:pPr>
                </w:p>
              </w:tc>
              <w:tc>
                <w:tcPr>
                  <w:tcW w:w="890" w:type="pct"/>
                  <w:vMerge w:val="continue"/>
                  <w:tcBorders>
                    <w:bottom w:val="single" w:color="000000" w:sz="12" w:space="0"/>
                    <w:tl2br w:val="nil"/>
                    <w:tr2bl w:val="nil"/>
                  </w:tcBorders>
                  <w:vAlign w:val="center"/>
                </w:tcPr>
                <w:p>
                  <w:pPr>
                    <w:pStyle w:val="33"/>
                    <w:rPr>
                      <w:b/>
                      <w:bCs/>
                    </w:rPr>
                  </w:pPr>
                </w:p>
              </w:tc>
              <w:tc>
                <w:tcPr>
                  <w:tcW w:w="698" w:type="pct"/>
                  <w:vMerge w:val="continue"/>
                  <w:tcBorders>
                    <w:bottom w:val="single" w:color="000000" w:sz="12" w:space="0"/>
                    <w:tl2br w:val="nil"/>
                    <w:tr2bl w:val="nil"/>
                  </w:tcBorders>
                  <w:vAlign w:val="center"/>
                </w:tcPr>
                <w:p>
                  <w:pPr>
                    <w:pStyle w:val="33"/>
                    <w:rPr>
                      <w:b/>
                      <w:bCs/>
                    </w:rPr>
                  </w:pPr>
                </w:p>
              </w:tc>
              <w:tc>
                <w:tcPr>
                  <w:tcW w:w="1346" w:type="pct"/>
                  <w:tcBorders>
                    <w:bottom w:val="single" w:color="000000" w:sz="12" w:space="0"/>
                    <w:tl2br w:val="nil"/>
                    <w:tr2bl w:val="nil"/>
                  </w:tcBorders>
                  <w:vAlign w:val="center"/>
                </w:tcPr>
                <w:p>
                  <w:pPr>
                    <w:pStyle w:val="33"/>
                    <w:rPr>
                      <w:b/>
                      <w:bCs/>
                    </w:rPr>
                  </w:pPr>
                  <w:r>
                    <w:rPr>
                      <w:b/>
                      <w:bCs/>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op w:val="single" w:color="000000" w:sz="12" w:space="0"/>
                    <w:tl2br w:val="nil"/>
                    <w:tr2bl w:val="nil"/>
                  </w:tcBorders>
                  <w:vAlign w:val="center"/>
                </w:tcPr>
                <w:p>
                  <w:pPr>
                    <w:pStyle w:val="33"/>
                  </w:pPr>
                  <w:r>
                    <w:t>2020年6月12号</w:t>
                  </w:r>
                </w:p>
              </w:tc>
              <w:tc>
                <w:tcPr>
                  <w:tcW w:w="848" w:type="pct"/>
                  <w:vMerge w:val="restart"/>
                  <w:tcBorders>
                    <w:top w:val="single" w:color="000000" w:sz="12" w:space="0"/>
                    <w:tl2br w:val="nil"/>
                    <w:tr2bl w:val="nil"/>
                  </w:tcBorders>
                  <w:vAlign w:val="center"/>
                </w:tcPr>
                <w:p>
                  <w:pPr>
                    <w:pStyle w:val="33"/>
                  </w:pPr>
                  <w:r>
                    <w:t>项目区内1#</w:t>
                  </w:r>
                </w:p>
              </w:tc>
              <w:tc>
                <w:tcPr>
                  <w:tcW w:w="890" w:type="pct"/>
                  <w:tcBorders>
                    <w:top w:val="single" w:color="000000" w:sz="12" w:space="0"/>
                    <w:tl2br w:val="nil"/>
                    <w:tr2bl w:val="nil"/>
                  </w:tcBorders>
                  <w:vAlign w:val="center"/>
                </w:tcPr>
                <w:p>
                  <w:pPr>
                    <w:pStyle w:val="33"/>
                  </w:pPr>
                  <w:r>
                    <w:t>HQ-1#-1-1-m</w:t>
                  </w:r>
                </w:p>
              </w:tc>
              <w:tc>
                <w:tcPr>
                  <w:tcW w:w="698" w:type="pct"/>
                  <w:tcBorders>
                    <w:top w:val="single" w:color="000000" w:sz="12" w:space="0"/>
                    <w:tl2br w:val="nil"/>
                    <w:tr2bl w:val="nil"/>
                  </w:tcBorders>
                  <w:vAlign w:val="center"/>
                </w:tcPr>
                <w:p>
                  <w:pPr>
                    <w:pStyle w:val="33"/>
                  </w:pPr>
                  <w:r>
                    <w:t>10:03</w:t>
                  </w:r>
                </w:p>
              </w:tc>
              <w:tc>
                <w:tcPr>
                  <w:tcW w:w="1346" w:type="pct"/>
                  <w:tcBorders>
                    <w:top w:val="single" w:color="000000" w:sz="12" w:space="0"/>
                    <w:tl2br w:val="nil"/>
                    <w:tr2bl w:val="nil"/>
                  </w:tcBorders>
                  <w:vAlign w:val="center"/>
                </w:tcPr>
                <w:p>
                  <w:pPr>
                    <w:pStyle w:val="33"/>
                  </w:pPr>
                  <w:r>
                    <w:t>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HQ-1#-1-2-m</w:t>
                  </w:r>
                </w:p>
              </w:tc>
              <w:tc>
                <w:tcPr>
                  <w:tcW w:w="698" w:type="pct"/>
                  <w:tcBorders>
                    <w:tl2br w:val="nil"/>
                    <w:tr2bl w:val="nil"/>
                  </w:tcBorders>
                  <w:vAlign w:val="center"/>
                </w:tcPr>
                <w:p>
                  <w:pPr>
                    <w:pStyle w:val="33"/>
                  </w:pPr>
                  <w:r>
                    <w:t>12:01</w:t>
                  </w:r>
                </w:p>
              </w:tc>
              <w:tc>
                <w:tcPr>
                  <w:tcW w:w="1346" w:type="pct"/>
                  <w:tcBorders>
                    <w:tl2br w:val="nil"/>
                    <w:tr2bl w:val="nil"/>
                  </w:tcBorders>
                  <w:vAlign w:val="center"/>
                </w:tcPr>
                <w:p>
                  <w:pPr>
                    <w:pStyle w:val="33"/>
                  </w:pPr>
                  <w:r>
                    <w:t>0.84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HQ-1#-1-3-m</w:t>
                  </w:r>
                </w:p>
              </w:tc>
              <w:tc>
                <w:tcPr>
                  <w:tcW w:w="698" w:type="pct"/>
                  <w:tcBorders>
                    <w:tl2br w:val="nil"/>
                    <w:tr2bl w:val="nil"/>
                  </w:tcBorders>
                  <w:vAlign w:val="center"/>
                </w:tcPr>
                <w:p>
                  <w:pPr>
                    <w:pStyle w:val="33"/>
                  </w:pPr>
                  <w:r>
                    <w:t>14:05</w:t>
                  </w:r>
                </w:p>
              </w:tc>
              <w:tc>
                <w:tcPr>
                  <w:tcW w:w="1346" w:type="pct"/>
                  <w:tcBorders>
                    <w:tl2br w:val="nil"/>
                    <w:tr2bl w:val="nil"/>
                  </w:tcBorders>
                  <w:vAlign w:val="center"/>
                </w:tcPr>
                <w:p>
                  <w:pPr>
                    <w:pStyle w:val="33"/>
                  </w:pPr>
                  <w:r>
                    <w:t>0</w:t>
                  </w:r>
                  <w:r>
                    <w:rPr>
                      <w:rFonts w:hint="eastAsia"/>
                    </w:rPr>
                    <w:t>.</w:t>
                  </w:r>
                  <w:r>
                    <w:t>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HQ-1#-1-4-m</w:t>
                  </w:r>
                </w:p>
              </w:tc>
              <w:tc>
                <w:tcPr>
                  <w:tcW w:w="698" w:type="pct"/>
                  <w:tcBorders>
                    <w:tl2br w:val="nil"/>
                    <w:tr2bl w:val="nil"/>
                  </w:tcBorders>
                  <w:vAlign w:val="center"/>
                </w:tcPr>
                <w:p>
                  <w:pPr>
                    <w:pStyle w:val="33"/>
                  </w:pPr>
                  <w:r>
                    <w:t>16:07</w:t>
                  </w:r>
                </w:p>
              </w:tc>
              <w:tc>
                <w:tcPr>
                  <w:tcW w:w="1346" w:type="pct"/>
                  <w:tcBorders>
                    <w:tl2br w:val="nil"/>
                    <w:tr2bl w:val="nil"/>
                  </w:tcBorders>
                  <w:vAlign w:val="center"/>
                </w:tcPr>
                <w:p>
                  <w:pPr>
                    <w:pStyle w:val="33"/>
                  </w:pPr>
                  <w:r>
                    <w:t>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pStyle w:val="33"/>
                  </w:pPr>
                  <w:r>
                    <w:t>2020年6月13号</w:t>
                  </w: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HQ-1#-2-1-m</w:t>
                  </w:r>
                </w:p>
              </w:tc>
              <w:tc>
                <w:tcPr>
                  <w:tcW w:w="698" w:type="pct"/>
                  <w:tcBorders>
                    <w:tl2br w:val="nil"/>
                    <w:tr2bl w:val="nil"/>
                  </w:tcBorders>
                  <w:vAlign w:val="center"/>
                </w:tcPr>
                <w:p>
                  <w:pPr>
                    <w:pStyle w:val="33"/>
                  </w:pPr>
                  <w:r>
                    <w:t>10:06</w:t>
                  </w:r>
                </w:p>
              </w:tc>
              <w:tc>
                <w:tcPr>
                  <w:tcW w:w="1346" w:type="pct"/>
                  <w:tcBorders>
                    <w:tl2br w:val="nil"/>
                    <w:tr2bl w:val="nil"/>
                  </w:tcBorders>
                  <w:vAlign w:val="center"/>
                </w:tcPr>
                <w:p>
                  <w:pPr>
                    <w:pStyle w:val="33"/>
                  </w:pPr>
                  <w:r>
                    <w:t>0.89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HQ-1#-2-2-m</w:t>
                  </w:r>
                </w:p>
              </w:tc>
              <w:tc>
                <w:tcPr>
                  <w:tcW w:w="698" w:type="pct"/>
                  <w:tcBorders>
                    <w:tl2br w:val="nil"/>
                    <w:tr2bl w:val="nil"/>
                  </w:tcBorders>
                  <w:vAlign w:val="center"/>
                </w:tcPr>
                <w:p>
                  <w:pPr>
                    <w:pStyle w:val="33"/>
                  </w:pPr>
                  <w:r>
                    <w:t>12:10</w:t>
                  </w:r>
                </w:p>
              </w:tc>
              <w:tc>
                <w:tcPr>
                  <w:tcW w:w="1346" w:type="pct"/>
                  <w:tcBorders>
                    <w:tl2br w:val="nil"/>
                    <w:tr2bl w:val="nil"/>
                  </w:tcBorders>
                  <w:vAlign w:val="center"/>
                </w:tcPr>
                <w:p>
                  <w:pPr>
                    <w:pStyle w:val="33"/>
                  </w:pPr>
                  <w:r>
                    <w:t>0.76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HQ-1#-2-3-m</w:t>
                  </w:r>
                </w:p>
              </w:tc>
              <w:tc>
                <w:tcPr>
                  <w:tcW w:w="698" w:type="pct"/>
                  <w:tcBorders>
                    <w:tl2br w:val="nil"/>
                    <w:tr2bl w:val="nil"/>
                  </w:tcBorders>
                  <w:vAlign w:val="center"/>
                </w:tcPr>
                <w:p>
                  <w:pPr>
                    <w:pStyle w:val="33"/>
                  </w:pPr>
                  <w:r>
                    <w:t>14:07</w:t>
                  </w:r>
                </w:p>
              </w:tc>
              <w:tc>
                <w:tcPr>
                  <w:tcW w:w="1346" w:type="pct"/>
                  <w:tcBorders>
                    <w:tl2br w:val="nil"/>
                    <w:tr2bl w:val="nil"/>
                  </w:tcBorders>
                  <w:vAlign w:val="center"/>
                </w:tcPr>
                <w:p>
                  <w:pPr>
                    <w:pStyle w:val="33"/>
                  </w:pPr>
                  <w:r>
                    <w:t>0.85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HQ-1#-2-4-m</w:t>
                  </w:r>
                </w:p>
              </w:tc>
              <w:tc>
                <w:tcPr>
                  <w:tcW w:w="698" w:type="pct"/>
                  <w:tcBorders>
                    <w:tl2br w:val="nil"/>
                    <w:tr2bl w:val="nil"/>
                  </w:tcBorders>
                  <w:vAlign w:val="center"/>
                </w:tcPr>
                <w:p>
                  <w:pPr>
                    <w:pStyle w:val="33"/>
                  </w:pPr>
                  <w:r>
                    <w:t>16:06</w:t>
                  </w:r>
                </w:p>
              </w:tc>
              <w:tc>
                <w:tcPr>
                  <w:tcW w:w="1346" w:type="pct"/>
                  <w:tcBorders>
                    <w:tl2br w:val="nil"/>
                    <w:tr2bl w:val="nil"/>
                  </w:tcBorders>
                  <w:vAlign w:val="center"/>
                </w:tcPr>
                <w:p>
                  <w:pPr>
                    <w:pStyle w:val="33"/>
                  </w:pPr>
                  <w:r>
                    <w:t>0.74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pStyle w:val="33"/>
                  </w:pPr>
                  <w:r>
                    <w:t>2020年6月14号</w:t>
                  </w: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HQ-1#-3-1-m</w:t>
                  </w:r>
                </w:p>
              </w:tc>
              <w:tc>
                <w:tcPr>
                  <w:tcW w:w="698" w:type="pct"/>
                  <w:tcBorders>
                    <w:tl2br w:val="nil"/>
                    <w:tr2bl w:val="nil"/>
                  </w:tcBorders>
                  <w:vAlign w:val="center"/>
                </w:tcPr>
                <w:p>
                  <w:pPr>
                    <w:pStyle w:val="33"/>
                  </w:pPr>
                  <w:r>
                    <w:t>10:01</w:t>
                  </w:r>
                </w:p>
              </w:tc>
              <w:tc>
                <w:tcPr>
                  <w:tcW w:w="1346" w:type="pct"/>
                  <w:tcBorders>
                    <w:tl2br w:val="nil"/>
                    <w:tr2bl w:val="nil"/>
                  </w:tcBorders>
                  <w:vAlign w:val="center"/>
                </w:tcPr>
                <w:p>
                  <w:pPr>
                    <w:pStyle w:val="33"/>
                  </w:pPr>
                  <w:r>
                    <w:t>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HQ-1#-3-2-m</w:t>
                  </w:r>
                </w:p>
              </w:tc>
              <w:tc>
                <w:tcPr>
                  <w:tcW w:w="698" w:type="pct"/>
                  <w:tcBorders>
                    <w:tl2br w:val="nil"/>
                    <w:tr2bl w:val="nil"/>
                  </w:tcBorders>
                  <w:vAlign w:val="center"/>
                </w:tcPr>
                <w:p>
                  <w:pPr>
                    <w:pStyle w:val="33"/>
                  </w:pPr>
                  <w:r>
                    <w:t>12:00</w:t>
                  </w:r>
                </w:p>
              </w:tc>
              <w:tc>
                <w:tcPr>
                  <w:tcW w:w="1346" w:type="pct"/>
                  <w:tcBorders>
                    <w:tl2br w:val="nil"/>
                    <w:tr2bl w:val="nil"/>
                  </w:tcBorders>
                  <w:vAlign w:val="center"/>
                </w:tcPr>
                <w:p>
                  <w:pPr>
                    <w:pStyle w:val="33"/>
                  </w:pPr>
                  <w:r>
                    <w:t>0.76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HQ-1#-3-3-m</w:t>
                  </w:r>
                </w:p>
              </w:tc>
              <w:tc>
                <w:tcPr>
                  <w:tcW w:w="698" w:type="pct"/>
                  <w:tcBorders>
                    <w:tl2br w:val="nil"/>
                    <w:tr2bl w:val="nil"/>
                  </w:tcBorders>
                  <w:vAlign w:val="center"/>
                </w:tcPr>
                <w:p>
                  <w:pPr>
                    <w:pStyle w:val="33"/>
                  </w:pPr>
                  <w:r>
                    <w:t>14:01</w:t>
                  </w:r>
                </w:p>
              </w:tc>
              <w:tc>
                <w:tcPr>
                  <w:tcW w:w="1346" w:type="pct"/>
                  <w:tcBorders>
                    <w:tl2br w:val="nil"/>
                    <w:tr2bl w:val="nil"/>
                  </w:tcBorders>
                  <w:vAlign w:val="center"/>
                </w:tcPr>
                <w:p>
                  <w:pPr>
                    <w:pStyle w:val="33"/>
                  </w:pPr>
                  <w:r>
                    <w:t>0.83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HQ-1#-3-4-m</w:t>
                  </w:r>
                </w:p>
              </w:tc>
              <w:tc>
                <w:tcPr>
                  <w:tcW w:w="698" w:type="pct"/>
                  <w:tcBorders>
                    <w:tl2br w:val="nil"/>
                    <w:tr2bl w:val="nil"/>
                  </w:tcBorders>
                  <w:vAlign w:val="center"/>
                </w:tcPr>
                <w:p>
                  <w:pPr>
                    <w:pStyle w:val="33"/>
                  </w:pPr>
                  <w:r>
                    <w:t>16:04</w:t>
                  </w:r>
                </w:p>
              </w:tc>
              <w:tc>
                <w:tcPr>
                  <w:tcW w:w="1346" w:type="pct"/>
                  <w:tcBorders>
                    <w:tl2br w:val="nil"/>
                    <w:tr2bl w:val="nil"/>
                  </w:tcBorders>
                  <w:vAlign w:val="center"/>
                </w:tcPr>
                <w:p>
                  <w:pPr>
                    <w:pStyle w:val="33"/>
                  </w:pPr>
                  <w:r>
                    <w:t>0.7</w:t>
                  </w:r>
                  <w:r>
                    <w:rPr>
                      <w:rFonts w:hint="eastAsia"/>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pStyle w:val="33"/>
                  </w:pPr>
                  <w:r>
                    <w:t>2020年6月15号</w:t>
                  </w: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HQ-1#-4-1-m</w:t>
                  </w:r>
                </w:p>
              </w:tc>
              <w:tc>
                <w:tcPr>
                  <w:tcW w:w="698" w:type="pct"/>
                  <w:tcBorders>
                    <w:tl2br w:val="nil"/>
                    <w:tr2bl w:val="nil"/>
                  </w:tcBorders>
                  <w:vAlign w:val="center"/>
                </w:tcPr>
                <w:p>
                  <w:pPr>
                    <w:pStyle w:val="33"/>
                  </w:pPr>
                  <w:r>
                    <w:t>10:03</w:t>
                  </w:r>
                </w:p>
              </w:tc>
              <w:tc>
                <w:tcPr>
                  <w:tcW w:w="1346" w:type="pct"/>
                  <w:tcBorders>
                    <w:tl2br w:val="nil"/>
                    <w:tr2bl w:val="nil"/>
                  </w:tcBorders>
                  <w:vAlign w:val="center"/>
                </w:tcPr>
                <w:p>
                  <w:pPr>
                    <w:pStyle w:val="33"/>
                  </w:pPr>
                  <w:r>
                    <w:t>0.76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HQ-1#-4-2-m</w:t>
                  </w:r>
                </w:p>
              </w:tc>
              <w:tc>
                <w:tcPr>
                  <w:tcW w:w="698" w:type="pct"/>
                  <w:tcBorders>
                    <w:tl2br w:val="nil"/>
                    <w:tr2bl w:val="nil"/>
                  </w:tcBorders>
                  <w:vAlign w:val="center"/>
                </w:tcPr>
                <w:p>
                  <w:pPr>
                    <w:pStyle w:val="33"/>
                  </w:pPr>
                  <w:r>
                    <w:t>12:05</w:t>
                  </w:r>
                </w:p>
              </w:tc>
              <w:tc>
                <w:tcPr>
                  <w:tcW w:w="1346" w:type="pct"/>
                  <w:tcBorders>
                    <w:tl2br w:val="nil"/>
                    <w:tr2bl w:val="nil"/>
                  </w:tcBorders>
                  <w:vAlign w:val="center"/>
                </w:tcPr>
                <w:p>
                  <w:pPr>
                    <w:pStyle w:val="33"/>
                  </w:pPr>
                  <w: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HQ-1#-4-3-m</w:t>
                  </w:r>
                </w:p>
              </w:tc>
              <w:tc>
                <w:tcPr>
                  <w:tcW w:w="698" w:type="pct"/>
                  <w:tcBorders>
                    <w:tl2br w:val="nil"/>
                    <w:tr2bl w:val="nil"/>
                  </w:tcBorders>
                  <w:vAlign w:val="center"/>
                </w:tcPr>
                <w:p>
                  <w:pPr>
                    <w:pStyle w:val="33"/>
                  </w:pPr>
                  <w:r>
                    <w:t>14:02</w:t>
                  </w:r>
                </w:p>
              </w:tc>
              <w:tc>
                <w:tcPr>
                  <w:tcW w:w="1346" w:type="pct"/>
                  <w:tcBorders>
                    <w:tl2br w:val="nil"/>
                    <w:tr2bl w:val="nil"/>
                  </w:tcBorders>
                  <w:vAlign w:val="center"/>
                </w:tcPr>
                <w:p>
                  <w:pPr>
                    <w:pStyle w:val="33"/>
                  </w:pPr>
                  <w:r>
                    <w:t>0.83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HQ-1#-4-4-m</w:t>
                  </w:r>
                </w:p>
              </w:tc>
              <w:tc>
                <w:tcPr>
                  <w:tcW w:w="698" w:type="pct"/>
                  <w:tcBorders>
                    <w:tl2br w:val="nil"/>
                    <w:tr2bl w:val="nil"/>
                  </w:tcBorders>
                  <w:vAlign w:val="center"/>
                </w:tcPr>
                <w:p>
                  <w:pPr>
                    <w:pStyle w:val="33"/>
                  </w:pPr>
                  <w:r>
                    <w:t>16:01</w:t>
                  </w:r>
                </w:p>
              </w:tc>
              <w:tc>
                <w:tcPr>
                  <w:tcW w:w="1346" w:type="pct"/>
                  <w:tcBorders>
                    <w:tl2br w:val="nil"/>
                    <w:tr2bl w:val="nil"/>
                  </w:tcBorders>
                  <w:vAlign w:val="center"/>
                </w:tcPr>
                <w:p>
                  <w:pPr>
                    <w:pStyle w:val="33"/>
                  </w:pPr>
                  <w:r>
                    <w:t>0.83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pStyle w:val="33"/>
                  </w:pPr>
                  <w:r>
                    <w:t>2020年6月16号</w:t>
                  </w: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HQ-1#-5-1-m</w:t>
                  </w:r>
                </w:p>
              </w:tc>
              <w:tc>
                <w:tcPr>
                  <w:tcW w:w="698" w:type="pct"/>
                  <w:tcBorders>
                    <w:tl2br w:val="nil"/>
                    <w:tr2bl w:val="nil"/>
                  </w:tcBorders>
                  <w:vAlign w:val="center"/>
                </w:tcPr>
                <w:p>
                  <w:pPr>
                    <w:pStyle w:val="33"/>
                  </w:pPr>
                  <w:r>
                    <w:t>10:06</w:t>
                  </w:r>
                </w:p>
              </w:tc>
              <w:tc>
                <w:tcPr>
                  <w:tcW w:w="1346" w:type="pct"/>
                  <w:tcBorders>
                    <w:tl2br w:val="nil"/>
                    <w:tr2bl w:val="nil"/>
                  </w:tcBorders>
                  <w:vAlign w:val="center"/>
                </w:tcPr>
                <w:p>
                  <w:pPr>
                    <w:pStyle w:val="33"/>
                  </w:pPr>
                  <w:r>
                    <w:t>0.61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HQ-1#-5-2-m</w:t>
                  </w:r>
                </w:p>
              </w:tc>
              <w:tc>
                <w:tcPr>
                  <w:tcW w:w="698" w:type="pct"/>
                  <w:tcBorders>
                    <w:tl2br w:val="nil"/>
                    <w:tr2bl w:val="nil"/>
                  </w:tcBorders>
                  <w:vAlign w:val="center"/>
                </w:tcPr>
                <w:p>
                  <w:pPr>
                    <w:pStyle w:val="33"/>
                  </w:pPr>
                  <w:r>
                    <w:t>12:05</w:t>
                  </w:r>
                </w:p>
              </w:tc>
              <w:tc>
                <w:tcPr>
                  <w:tcW w:w="1346" w:type="pct"/>
                  <w:tcBorders>
                    <w:tl2br w:val="nil"/>
                    <w:tr2bl w:val="nil"/>
                  </w:tcBorders>
                  <w:vAlign w:val="center"/>
                </w:tcPr>
                <w:p>
                  <w:pPr>
                    <w:pStyle w:val="33"/>
                  </w:pPr>
                  <w:r>
                    <w:t>0.62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HQ-1#-5-3-m</w:t>
                  </w:r>
                </w:p>
              </w:tc>
              <w:tc>
                <w:tcPr>
                  <w:tcW w:w="698" w:type="pct"/>
                  <w:tcBorders>
                    <w:tl2br w:val="nil"/>
                    <w:tr2bl w:val="nil"/>
                  </w:tcBorders>
                  <w:vAlign w:val="center"/>
                </w:tcPr>
                <w:p>
                  <w:pPr>
                    <w:pStyle w:val="33"/>
                  </w:pPr>
                  <w:r>
                    <w:t>14:03</w:t>
                  </w:r>
                </w:p>
              </w:tc>
              <w:tc>
                <w:tcPr>
                  <w:tcW w:w="1346" w:type="pct"/>
                  <w:tcBorders>
                    <w:tl2br w:val="nil"/>
                    <w:tr2bl w:val="nil"/>
                  </w:tcBorders>
                  <w:vAlign w:val="center"/>
                </w:tcPr>
                <w:p>
                  <w:pPr>
                    <w:pStyle w:val="33"/>
                  </w:pPr>
                  <w:r>
                    <w:t>0.83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HQ-1#-5-4-m</w:t>
                  </w:r>
                </w:p>
              </w:tc>
              <w:tc>
                <w:tcPr>
                  <w:tcW w:w="698" w:type="pct"/>
                  <w:tcBorders>
                    <w:tl2br w:val="nil"/>
                    <w:tr2bl w:val="nil"/>
                  </w:tcBorders>
                  <w:vAlign w:val="center"/>
                </w:tcPr>
                <w:p>
                  <w:pPr>
                    <w:pStyle w:val="33"/>
                  </w:pPr>
                  <w:r>
                    <w:t>16:01</w:t>
                  </w:r>
                </w:p>
              </w:tc>
              <w:tc>
                <w:tcPr>
                  <w:tcW w:w="1346" w:type="pct"/>
                  <w:tcBorders>
                    <w:tl2br w:val="nil"/>
                    <w:tr2bl w:val="nil"/>
                  </w:tcBorders>
                  <w:vAlign w:val="center"/>
                </w:tcPr>
                <w:p>
                  <w:pPr>
                    <w:pStyle w:val="33"/>
                  </w:pPr>
                  <w:r>
                    <w:t>0.88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pStyle w:val="33"/>
                  </w:pPr>
                  <w:r>
                    <w:t>2020年6月17号</w:t>
                  </w: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HQ-1#-6-1-m</w:t>
                  </w:r>
                </w:p>
              </w:tc>
              <w:tc>
                <w:tcPr>
                  <w:tcW w:w="698" w:type="pct"/>
                  <w:tcBorders>
                    <w:tl2br w:val="nil"/>
                    <w:tr2bl w:val="nil"/>
                  </w:tcBorders>
                  <w:vAlign w:val="center"/>
                </w:tcPr>
                <w:p>
                  <w:pPr>
                    <w:pStyle w:val="33"/>
                  </w:pPr>
                  <w:r>
                    <w:t>10:09</w:t>
                  </w:r>
                </w:p>
              </w:tc>
              <w:tc>
                <w:tcPr>
                  <w:tcW w:w="1346" w:type="pct"/>
                  <w:tcBorders>
                    <w:tl2br w:val="nil"/>
                    <w:tr2bl w:val="nil"/>
                  </w:tcBorders>
                  <w:vAlign w:val="center"/>
                </w:tcPr>
                <w:p>
                  <w:pPr>
                    <w:pStyle w:val="33"/>
                  </w:pPr>
                  <w:r>
                    <w:t>0.82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HQ-1#-6-2-m</w:t>
                  </w:r>
                </w:p>
              </w:tc>
              <w:tc>
                <w:tcPr>
                  <w:tcW w:w="698" w:type="pct"/>
                  <w:tcBorders>
                    <w:tl2br w:val="nil"/>
                    <w:tr2bl w:val="nil"/>
                  </w:tcBorders>
                  <w:vAlign w:val="center"/>
                </w:tcPr>
                <w:p>
                  <w:pPr>
                    <w:pStyle w:val="33"/>
                  </w:pPr>
                  <w:r>
                    <w:t>12:01</w:t>
                  </w:r>
                </w:p>
              </w:tc>
              <w:tc>
                <w:tcPr>
                  <w:tcW w:w="1346" w:type="pct"/>
                  <w:tcBorders>
                    <w:tl2br w:val="nil"/>
                    <w:tr2bl w:val="nil"/>
                  </w:tcBorders>
                  <w:vAlign w:val="center"/>
                </w:tcPr>
                <w:p>
                  <w:pPr>
                    <w:pStyle w:val="33"/>
                  </w:pPr>
                  <w: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HQ-1#-6-3-m</w:t>
                  </w:r>
                </w:p>
              </w:tc>
              <w:tc>
                <w:tcPr>
                  <w:tcW w:w="698" w:type="pct"/>
                  <w:tcBorders>
                    <w:tl2br w:val="nil"/>
                    <w:tr2bl w:val="nil"/>
                  </w:tcBorders>
                  <w:vAlign w:val="center"/>
                </w:tcPr>
                <w:p>
                  <w:pPr>
                    <w:pStyle w:val="33"/>
                  </w:pPr>
                  <w:r>
                    <w:t>14:05</w:t>
                  </w:r>
                </w:p>
              </w:tc>
              <w:tc>
                <w:tcPr>
                  <w:tcW w:w="1346" w:type="pct"/>
                  <w:tcBorders>
                    <w:tl2br w:val="nil"/>
                    <w:tr2bl w:val="nil"/>
                  </w:tcBorders>
                  <w:vAlign w:val="center"/>
                </w:tcPr>
                <w:p>
                  <w:pPr>
                    <w:pStyle w:val="33"/>
                  </w:pPr>
                  <w:r>
                    <w:t>0.67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HQ-1#-6-4-m</w:t>
                  </w:r>
                </w:p>
              </w:tc>
              <w:tc>
                <w:tcPr>
                  <w:tcW w:w="698" w:type="pct"/>
                  <w:tcBorders>
                    <w:tl2br w:val="nil"/>
                    <w:tr2bl w:val="nil"/>
                  </w:tcBorders>
                  <w:vAlign w:val="center"/>
                </w:tcPr>
                <w:p>
                  <w:pPr>
                    <w:pStyle w:val="33"/>
                  </w:pPr>
                  <w:r>
                    <w:t>16:03</w:t>
                  </w:r>
                </w:p>
              </w:tc>
              <w:tc>
                <w:tcPr>
                  <w:tcW w:w="1346" w:type="pct"/>
                  <w:tcBorders>
                    <w:tl2br w:val="nil"/>
                    <w:tr2bl w:val="nil"/>
                  </w:tcBorders>
                  <w:vAlign w:val="center"/>
                </w:tcPr>
                <w:p>
                  <w:pPr>
                    <w:pStyle w:val="33"/>
                  </w:pPr>
                  <w:r>
                    <w:t>0.89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pStyle w:val="33"/>
                  </w:pPr>
                  <w:r>
                    <w:t>2020年6月18号</w:t>
                  </w: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w:t>
                  </w:r>
                  <w:r>
                    <w:rPr>
                      <w:rFonts w:hint="eastAsia"/>
                    </w:rPr>
                    <w:t>-</w:t>
                  </w:r>
                  <w:r>
                    <w:t>7-1-m</w:t>
                  </w:r>
                </w:p>
              </w:tc>
              <w:tc>
                <w:tcPr>
                  <w:tcW w:w="698" w:type="pct"/>
                  <w:tcBorders>
                    <w:tl2br w:val="nil"/>
                    <w:tr2bl w:val="nil"/>
                  </w:tcBorders>
                  <w:vAlign w:val="center"/>
                </w:tcPr>
                <w:p>
                  <w:pPr>
                    <w:pStyle w:val="33"/>
                  </w:pPr>
                  <w:r>
                    <w:t>10:02</w:t>
                  </w:r>
                </w:p>
              </w:tc>
              <w:tc>
                <w:tcPr>
                  <w:tcW w:w="1346" w:type="pct"/>
                  <w:tcBorders>
                    <w:tl2br w:val="nil"/>
                    <w:tr2bl w:val="nil"/>
                  </w:tcBorders>
                  <w:vAlign w:val="center"/>
                </w:tcPr>
                <w:p>
                  <w:pPr>
                    <w:pStyle w:val="33"/>
                  </w:pPr>
                  <w:r>
                    <w:t>0.88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w:t>
                  </w:r>
                  <w:r>
                    <w:cr/>
                  </w:r>
                  <w:r>
                    <w:t>-2-m</w:t>
                  </w:r>
                </w:p>
              </w:tc>
              <w:tc>
                <w:tcPr>
                  <w:tcW w:w="698" w:type="pct"/>
                  <w:tcBorders>
                    <w:tl2br w:val="nil"/>
                    <w:tr2bl w:val="nil"/>
                  </w:tcBorders>
                  <w:vAlign w:val="center"/>
                </w:tcPr>
                <w:p>
                  <w:pPr>
                    <w:pStyle w:val="33"/>
                  </w:pPr>
                  <w:r>
                    <w:t>12:03</w:t>
                  </w:r>
                </w:p>
              </w:tc>
              <w:tc>
                <w:tcPr>
                  <w:tcW w:w="1346" w:type="pct"/>
                  <w:tcBorders>
                    <w:tl2br w:val="nil"/>
                    <w:tr2bl w:val="nil"/>
                  </w:tcBorders>
                  <w:vAlign w:val="center"/>
                </w:tcPr>
                <w:p>
                  <w:pPr>
                    <w:pStyle w:val="33"/>
                  </w:pPr>
                  <w:r>
                    <w:t>0.86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HQ-1#-7-3-m</w:t>
                  </w:r>
                </w:p>
              </w:tc>
              <w:tc>
                <w:tcPr>
                  <w:tcW w:w="698" w:type="pct"/>
                  <w:tcBorders>
                    <w:tl2br w:val="nil"/>
                    <w:tr2bl w:val="nil"/>
                  </w:tcBorders>
                  <w:vAlign w:val="center"/>
                </w:tcPr>
                <w:p>
                  <w:pPr>
                    <w:pStyle w:val="33"/>
                  </w:pPr>
                  <w:r>
                    <w:t>14:01</w:t>
                  </w:r>
                </w:p>
              </w:tc>
              <w:tc>
                <w:tcPr>
                  <w:tcW w:w="1346" w:type="pct"/>
                  <w:tcBorders>
                    <w:tl2br w:val="nil"/>
                    <w:tr2bl w:val="nil"/>
                  </w:tcBorders>
                  <w:vAlign w:val="center"/>
                </w:tcPr>
                <w:p>
                  <w:pPr>
                    <w:pStyle w:val="33"/>
                  </w:pPr>
                  <w:r>
                    <w:t>0.80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pStyle w:val="33"/>
                  </w:pPr>
                </w:p>
              </w:tc>
              <w:tc>
                <w:tcPr>
                  <w:tcW w:w="848" w:type="pct"/>
                  <w:vMerge w:val="continue"/>
                  <w:tcBorders>
                    <w:tl2br w:val="nil"/>
                    <w:tr2bl w:val="nil"/>
                  </w:tcBorders>
                  <w:vAlign w:val="center"/>
                </w:tcPr>
                <w:p>
                  <w:pPr>
                    <w:pStyle w:val="33"/>
                  </w:pPr>
                </w:p>
              </w:tc>
              <w:tc>
                <w:tcPr>
                  <w:tcW w:w="890" w:type="pct"/>
                  <w:tcBorders>
                    <w:tl2br w:val="nil"/>
                    <w:tr2bl w:val="nil"/>
                  </w:tcBorders>
                  <w:vAlign w:val="center"/>
                </w:tcPr>
                <w:p>
                  <w:pPr>
                    <w:pStyle w:val="33"/>
                  </w:pPr>
                  <w:r>
                    <w:t>HQ-1#-7-4-m</w:t>
                  </w:r>
                </w:p>
              </w:tc>
              <w:tc>
                <w:tcPr>
                  <w:tcW w:w="698" w:type="pct"/>
                  <w:tcBorders>
                    <w:tl2br w:val="nil"/>
                    <w:tr2bl w:val="nil"/>
                  </w:tcBorders>
                  <w:vAlign w:val="center"/>
                </w:tcPr>
                <w:p>
                  <w:pPr>
                    <w:pStyle w:val="33"/>
                  </w:pPr>
                  <w:r>
                    <w:t>16:05</w:t>
                  </w:r>
                </w:p>
              </w:tc>
              <w:tc>
                <w:tcPr>
                  <w:tcW w:w="1346" w:type="pct"/>
                  <w:tcBorders>
                    <w:tl2br w:val="nil"/>
                    <w:tr2bl w:val="nil"/>
                  </w:tcBorders>
                  <w:vAlign w:val="center"/>
                </w:tcPr>
                <w:p>
                  <w:pPr>
                    <w:pStyle w:val="33"/>
                  </w:pPr>
                  <w:r>
                    <w:t>0.85</w:t>
                  </w:r>
                </w:p>
              </w:tc>
            </w:tr>
          </w:tbl>
          <w:p>
            <w:pPr>
              <w:pStyle w:val="32"/>
            </w:pPr>
            <w:r>
              <w:rPr>
                <w:rFonts w:hint="eastAsia"/>
              </w:rPr>
              <w:t>表 3-3    非甲烷总烃评价结果</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3080"/>
              <w:gridCol w:w="26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282" w:type="pct"/>
                  <w:tcBorders>
                    <w:bottom w:val="single" w:color="000000" w:sz="12" w:space="0"/>
                    <w:tl2br w:val="nil"/>
                    <w:tr2bl w:val="nil"/>
                  </w:tcBorders>
                  <w:vAlign w:val="center"/>
                </w:tcPr>
                <w:p>
                  <w:pPr>
                    <w:pStyle w:val="33"/>
                    <w:rPr>
                      <w:b/>
                      <w:bCs/>
                    </w:rPr>
                  </w:pPr>
                  <w:r>
                    <w:rPr>
                      <w:rFonts w:hint="eastAsia"/>
                      <w:b/>
                      <w:bCs/>
                    </w:rPr>
                    <w:t>监测点</w:t>
                  </w:r>
                </w:p>
              </w:tc>
              <w:tc>
                <w:tcPr>
                  <w:tcW w:w="2004" w:type="pct"/>
                  <w:tcBorders>
                    <w:bottom w:val="single" w:color="000000" w:sz="12" w:space="0"/>
                    <w:tl2br w:val="nil"/>
                    <w:tr2bl w:val="nil"/>
                  </w:tcBorders>
                  <w:vAlign w:val="center"/>
                </w:tcPr>
                <w:p>
                  <w:pPr>
                    <w:pStyle w:val="33"/>
                    <w:rPr>
                      <w:b/>
                      <w:bCs/>
                    </w:rPr>
                  </w:pPr>
                  <w:r>
                    <w:rPr>
                      <w:rFonts w:hint="eastAsia"/>
                      <w:b/>
                      <w:bCs/>
                    </w:rPr>
                    <w:t>项目</w:t>
                  </w:r>
                </w:p>
              </w:tc>
              <w:tc>
                <w:tcPr>
                  <w:tcW w:w="1714" w:type="pct"/>
                  <w:tcBorders>
                    <w:bottom w:val="single" w:color="000000" w:sz="12" w:space="0"/>
                    <w:tl2br w:val="nil"/>
                    <w:tr2bl w:val="nil"/>
                  </w:tcBorders>
                  <w:vAlign w:val="center"/>
                </w:tcPr>
                <w:p>
                  <w:pPr>
                    <w:pStyle w:val="33"/>
                    <w:rPr>
                      <w:b/>
                      <w:bCs/>
                    </w:rPr>
                  </w:pPr>
                  <w:r>
                    <w:rPr>
                      <w:rFonts w:hint="eastAsia"/>
                      <w:b/>
                      <w:bCs/>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2" w:type="pct"/>
                  <w:vMerge w:val="restart"/>
                  <w:tcBorders>
                    <w:top w:val="single" w:color="000000" w:sz="12" w:space="0"/>
                    <w:tl2br w:val="nil"/>
                    <w:tr2bl w:val="nil"/>
                  </w:tcBorders>
                  <w:vAlign w:val="center"/>
                </w:tcPr>
                <w:p>
                  <w:pPr>
                    <w:pStyle w:val="33"/>
                  </w:pPr>
                  <w:r>
                    <w:rPr>
                      <w:rFonts w:hint="eastAsia"/>
                    </w:rPr>
                    <w:t>W1：项目区</w:t>
                  </w:r>
                </w:p>
              </w:tc>
              <w:tc>
                <w:tcPr>
                  <w:tcW w:w="2004" w:type="pct"/>
                  <w:tcBorders>
                    <w:top w:val="single" w:color="000000" w:sz="12" w:space="0"/>
                    <w:tl2br w:val="nil"/>
                    <w:tr2bl w:val="nil"/>
                  </w:tcBorders>
                  <w:vAlign w:val="center"/>
                </w:tcPr>
                <w:p>
                  <w:pPr>
                    <w:pStyle w:val="33"/>
                  </w:pPr>
                  <w:r>
                    <w:rPr>
                      <w:rFonts w:hint="eastAsia"/>
                    </w:rPr>
                    <w:t>有效日数</w:t>
                  </w:r>
                </w:p>
              </w:tc>
              <w:tc>
                <w:tcPr>
                  <w:tcW w:w="1714" w:type="pct"/>
                  <w:tcBorders>
                    <w:top w:val="single" w:color="000000" w:sz="12" w:space="0"/>
                    <w:tl2br w:val="nil"/>
                    <w:tr2bl w:val="nil"/>
                  </w:tcBorders>
                  <w:vAlign w:val="center"/>
                </w:tcPr>
                <w:p>
                  <w:pPr>
                    <w:pStyle w:val="33"/>
                  </w:pPr>
                  <w:r>
                    <w:rPr>
                      <w:rFonts w:hint="eastAsia"/>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2" w:type="pct"/>
                  <w:vMerge w:val="continue"/>
                  <w:tcBorders>
                    <w:tl2br w:val="nil"/>
                    <w:tr2bl w:val="nil"/>
                  </w:tcBorders>
                  <w:vAlign w:val="center"/>
                </w:tcPr>
                <w:p>
                  <w:pPr>
                    <w:pStyle w:val="33"/>
                  </w:pPr>
                </w:p>
              </w:tc>
              <w:tc>
                <w:tcPr>
                  <w:tcW w:w="2004" w:type="pct"/>
                  <w:tcBorders>
                    <w:tl2br w:val="nil"/>
                    <w:tr2bl w:val="nil"/>
                  </w:tcBorders>
                  <w:vAlign w:val="center"/>
                </w:tcPr>
                <w:p>
                  <w:pPr>
                    <w:pStyle w:val="33"/>
                  </w:pPr>
                  <w:r>
                    <w:rPr>
                      <w:rFonts w:hint="eastAsia"/>
                    </w:rPr>
                    <w:t>浓度范围（mg/m</w:t>
                  </w:r>
                  <w:r>
                    <w:rPr>
                      <w:rFonts w:hint="eastAsia"/>
                      <w:vertAlign w:val="superscript"/>
                    </w:rPr>
                    <w:t>3</w:t>
                  </w:r>
                  <w:r>
                    <w:rPr>
                      <w:rFonts w:hint="eastAsia"/>
                    </w:rPr>
                    <w:t>）</w:t>
                  </w:r>
                </w:p>
              </w:tc>
              <w:tc>
                <w:tcPr>
                  <w:tcW w:w="1714" w:type="pct"/>
                  <w:tcBorders>
                    <w:tl2br w:val="nil"/>
                    <w:tr2bl w:val="nil"/>
                  </w:tcBorders>
                  <w:vAlign w:val="center"/>
                </w:tcPr>
                <w:p>
                  <w:pPr>
                    <w:pStyle w:val="33"/>
                  </w:pPr>
                  <w:r>
                    <w:rPr>
                      <w:rFonts w:hint="eastAsia"/>
                    </w:rPr>
                    <w:t>0.61~0.89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2" w:type="pct"/>
                  <w:vMerge w:val="continue"/>
                  <w:tcBorders>
                    <w:tl2br w:val="nil"/>
                    <w:tr2bl w:val="nil"/>
                  </w:tcBorders>
                  <w:vAlign w:val="center"/>
                </w:tcPr>
                <w:p>
                  <w:pPr>
                    <w:pStyle w:val="33"/>
                  </w:pPr>
                </w:p>
              </w:tc>
              <w:tc>
                <w:tcPr>
                  <w:tcW w:w="2004" w:type="pct"/>
                  <w:tcBorders>
                    <w:tl2br w:val="nil"/>
                    <w:tr2bl w:val="nil"/>
                  </w:tcBorders>
                  <w:vAlign w:val="center"/>
                </w:tcPr>
                <w:p>
                  <w:pPr>
                    <w:pStyle w:val="33"/>
                  </w:pPr>
                  <w:r>
                    <w:rPr>
                      <w:rFonts w:hint="eastAsia"/>
                    </w:rPr>
                    <w:t>超标率（%）</w:t>
                  </w:r>
                </w:p>
              </w:tc>
              <w:tc>
                <w:tcPr>
                  <w:tcW w:w="1714" w:type="pct"/>
                  <w:tcBorders>
                    <w:tl2br w:val="nil"/>
                    <w:tr2bl w:val="nil"/>
                  </w:tcBorders>
                  <w:vAlign w:val="center"/>
                </w:tcPr>
                <w:p>
                  <w:pPr>
                    <w:pStyle w:val="33"/>
                  </w:pPr>
                  <w:r>
                    <w:rPr>
                      <w:rFonts w:hint="eastAsia"/>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2" w:type="pct"/>
                  <w:vMerge w:val="continue"/>
                  <w:tcBorders>
                    <w:tl2br w:val="nil"/>
                    <w:tr2bl w:val="nil"/>
                  </w:tcBorders>
                  <w:vAlign w:val="center"/>
                </w:tcPr>
                <w:p>
                  <w:pPr>
                    <w:pStyle w:val="33"/>
                  </w:pPr>
                </w:p>
              </w:tc>
              <w:tc>
                <w:tcPr>
                  <w:tcW w:w="2004" w:type="pct"/>
                  <w:tcBorders>
                    <w:tl2br w:val="nil"/>
                    <w:tr2bl w:val="nil"/>
                  </w:tcBorders>
                  <w:vAlign w:val="center"/>
                </w:tcPr>
                <w:p>
                  <w:pPr>
                    <w:pStyle w:val="33"/>
                  </w:pPr>
                  <w:r>
                    <w:rPr>
                      <w:rFonts w:hint="eastAsia"/>
                    </w:rPr>
                    <w:t>最大超标倍数</w:t>
                  </w:r>
                </w:p>
              </w:tc>
              <w:tc>
                <w:tcPr>
                  <w:tcW w:w="1714" w:type="pct"/>
                  <w:tcBorders>
                    <w:tl2br w:val="nil"/>
                    <w:tr2bl w:val="nil"/>
                  </w:tcBorders>
                  <w:vAlign w:val="center"/>
                </w:tcPr>
                <w:p>
                  <w:pPr>
                    <w:pStyle w:val="33"/>
                  </w:pPr>
                  <w:r>
                    <w:rPr>
                      <w:rFonts w:hint="eastAsia"/>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2" w:type="pct"/>
                  <w:vMerge w:val="continue"/>
                  <w:tcBorders>
                    <w:tl2br w:val="nil"/>
                    <w:tr2bl w:val="nil"/>
                  </w:tcBorders>
                  <w:vAlign w:val="center"/>
                </w:tcPr>
                <w:p>
                  <w:pPr>
                    <w:pStyle w:val="33"/>
                  </w:pPr>
                </w:p>
              </w:tc>
              <w:tc>
                <w:tcPr>
                  <w:tcW w:w="2004" w:type="pct"/>
                  <w:tcBorders>
                    <w:tl2br w:val="nil"/>
                    <w:tr2bl w:val="nil"/>
                  </w:tcBorders>
                  <w:vAlign w:val="center"/>
                </w:tcPr>
                <w:p>
                  <w:pPr>
                    <w:pStyle w:val="33"/>
                  </w:pPr>
                  <w:r>
                    <w:rPr>
                      <w:rFonts w:hint="eastAsia"/>
                    </w:rPr>
                    <w:t>Pi</w:t>
                  </w:r>
                </w:p>
              </w:tc>
              <w:tc>
                <w:tcPr>
                  <w:tcW w:w="1714" w:type="pct"/>
                  <w:tcBorders>
                    <w:tl2br w:val="nil"/>
                    <w:tr2bl w:val="nil"/>
                  </w:tcBorders>
                  <w:vAlign w:val="center"/>
                </w:tcPr>
                <w:p>
                  <w:pPr>
                    <w:pStyle w:val="33"/>
                  </w:pPr>
                  <w:r>
                    <w:rPr>
                      <w:rFonts w:hint="eastAsia"/>
                    </w:rPr>
                    <w:t>0.305~0.445</w:t>
                  </w:r>
                </w:p>
              </w:tc>
            </w:tr>
          </w:tbl>
          <w:p>
            <w:pPr>
              <w:pStyle w:val="20"/>
              <w:ind w:firstLine="480"/>
              <w:jc w:val="both"/>
            </w:pPr>
            <w:r>
              <w:rPr>
                <w:rFonts w:hint="eastAsia"/>
              </w:rPr>
              <w:t>根据监测结果，特征污染物非甲烷总烃在监测时段内浓度值</w:t>
            </w:r>
            <w:r>
              <w:rPr>
                <w:rFonts w:cs="Times New Roman"/>
              </w:rPr>
              <w:t>符合《大气污染物排放标准详解》中标准限值</w:t>
            </w:r>
            <w:r>
              <w:rPr>
                <w:rFonts w:cs="Times New Roman"/>
                <w:kern w:val="0"/>
                <w:lang w:bidi="ar"/>
              </w:rPr>
              <w:t>（2.0mg/</w:t>
            </w:r>
            <w:r>
              <w:rPr>
                <w:rFonts w:cs="Times New Roman"/>
              </w:rPr>
              <w:t>m</w:t>
            </w:r>
            <w:r>
              <w:rPr>
                <w:rFonts w:cs="Times New Roman"/>
                <w:vertAlign w:val="superscript"/>
              </w:rPr>
              <w:t>3</w:t>
            </w:r>
            <w:r>
              <w:rPr>
                <w:rFonts w:cs="Times New Roman"/>
                <w:kern w:val="0"/>
                <w:lang w:bidi="ar"/>
              </w:rPr>
              <w:t>）</w:t>
            </w:r>
            <w:r>
              <w:rPr>
                <w:rFonts w:hint="eastAsia" w:cs="Times New Roman"/>
              </w:rPr>
              <w:t>。</w:t>
            </w:r>
          </w:p>
          <w:p>
            <w:pPr>
              <w:pStyle w:val="5"/>
              <w:bidi w:val="0"/>
              <w:jc w:val="both"/>
            </w:pPr>
            <w:r>
              <w:t>2. 地表水环境质量现状调查与评价</w:t>
            </w:r>
          </w:p>
          <w:p>
            <w:pPr>
              <w:pStyle w:val="20"/>
              <w:ind w:firstLine="480"/>
              <w:jc w:val="both"/>
            </w:pPr>
            <w:r>
              <w:rPr>
                <w:rFonts w:hint="eastAsia"/>
              </w:rPr>
              <w:t>本项目生活污水排入园区污水管网，生产废水循环使用不外排；根据《环境影响评价技术导则 地表水环境》（HJ2.3-2018），本项目运营期生产废水不外排，生活污水直排园区污水管网，评价等级为三级B，且本项目不与地表水直接接触，不开展区域污染源调查，故本次评价不对地表水环境影响进行定量评价。</w:t>
            </w:r>
          </w:p>
          <w:p>
            <w:pPr>
              <w:pStyle w:val="5"/>
              <w:bidi w:val="0"/>
              <w:jc w:val="both"/>
            </w:pPr>
            <w:r>
              <w:rPr>
                <w:rFonts w:hint="eastAsia"/>
              </w:rPr>
              <w:t xml:space="preserve">3. </w:t>
            </w:r>
            <w:r>
              <w:t>声环境质量现状及分析</w:t>
            </w:r>
          </w:p>
          <w:p>
            <w:pPr>
              <w:pStyle w:val="20"/>
              <w:ind w:firstLine="480"/>
              <w:jc w:val="both"/>
            </w:pPr>
            <w:r>
              <w:rPr>
                <w:rFonts w:hint="eastAsia"/>
              </w:rPr>
              <w:t>本项目位于昌吉回族自治州昌吉市高新区建材园区昌吉市先导工程材料有限责任公司厂内，</w:t>
            </w:r>
            <w:r>
              <w:t>项目区东侧为</w:t>
            </w:r>
            <w:r>
              <w:rPr>
                <w:rFonts w:hint="eastAsia"/>
              </w:rPr>
              <w:t>锦绣路</w:t>
            </w:r>
            <w:r>
              <w:t>，南侧为新疆朝阳电缆有限公司，西侧</w:t>
            </w:r>
            <w:r>
              <w:rPr>
                <w:rFonts w:hint="eastAsia"/>
              </w:rPr>
              <w:t>均</w:t>
            </w:r>
            <w:r>
              <w:t>为新疆恒泰新型建材有限公司</w:t>
            </w:r>
            <w:r>
              <w:rPr>
                <w:rFonts w:hint="eastAsia"/>
              </w:rPr>
              <w:t>，北侧为新疆鑫润达建材有限公司</w:t>
            </w:r>
            <w:r>
              <w:t>。</w:t>
            </w:r>
            <w:r>
              <w:rPr>
                <w:rFonts w:hint="eastAsia"/>
              </w:rPr>
              <w:t>根据《建设项目环境影响报告表编制技术指南》（污染影响类）（试行）环办环评[2020]33号（1），本项目厂界外周边50米范围内不存在声环境保护目标的建设项目，故本次评价不对噪声环境影响进行评价。</w:t>
            </w:r>
          </w:p>
          <w:p>
            <w:pPr>
              <w:pStyle w:val="5"/>
              <w:bidi w:val="0"/>
              <w:jc w:val="both"/>
            </w:pPr>
            <w:r>
              <w:rPr>
                <w:rFonts w:hint="eastAsia"/>
              </w:rPr>
              <w:t>4. 生态环境</w:t>
            </w:r>
          </w:p>
          <w:p>
            <w:pPr>
              <w:pStyle w:val="20"/>
              <w:ind w:firstLine="480"/>
              <w:jc w:val="both"/>
            </w:pPr>
            <w:r>
              <w:rPr>
                <w:rFonts w:hint="eastAsia"/>
              </w:rPr>
              <w:t>项目周边区域内植被较为单一，主要为野生杂草；项目区自然植被较少，分布稀疏且不均匀，无国家和自治区重点保护野生动物。评价区域周边无风景名胜区、自然保护区及文化遗产等特殊保护目标，生态环境不属于敏感区，生态环境一般。</w:t>
            </w:r>
          </w:p>
          <w:p>
            <w:pPr>
              <w:pStyle w:val="5"/>
              <w:numPr>
                <w:ilvl w:val="0"/>
                <w:numId w:val="13"/>
              </w:numPr>
              <w:bidi w:val="0"/>
              <w:jc w:val="both"/>
            </w:pPr>
            <w:r>
              <w:rPr>
                <w:rFonts w:hint="eastAsia"/>
              </w:rPr>
              <w:t>地下水环境</w:t>
            </w:r>
          </w:p>
          <w:p>
            <w:pPr>
              <w:pStyle w:val="20"/>
              <w:ind w:firstLine="480"/>
              <w:jc w:val="both"/>
            </w:pPr>
            <w:r>
              <w:rPr>
                <w:rFonts w:hint="eastAsia"/>
              </w:rPr>
              <w:t>根据《环境影响评价技术导则 地下水环境》（HJ610-2016）本项目属于地下水IV类评价项目，不进行地下水环境影响评价。</w:t>
            </w:r>
          </w:p>
          <w:p>
            <w:pPr>
              <w:pStyle w:val="5"/>
              <w:numPr>
                <w:ilvl w:val="0"/>
                <w:numId w:val="13"/>
              </w:numPr>
              <w:bidi w:val="0"/>
              <w:jc w:val="both"/>
            </w:pPr>
            <w:r>
              <w:rPr>
                <w:rFonts w:hint="eastAsia"/>
              </w:rPr>
              <w:t>土壤环境</w:t>
            </w:r>
          </w:p>
          <w:p>
            <w:pPr>
              <w:pStyle w:val="20"/>
              <w:ind w:firstLine="480"/>
              <w:jc w:val="both"/>
            </w:pPr>
            <w:r>
              <w:rPr>
                <w:rFonts w:hint="eastAsia"/>
              </w:rPr>
              <w:t>根据行业特征、工业特点或规模大小等将建设项目类别分为I类、II类、III类、IV类，分类根据《</w:t>
            </w:r>
            <w:r>
              <w:t>环境影响评价技术导则</w:t>
            </w:r>
            <w:r>
              <w:rPr>
                <w:rFonts w:hint="eastAsia"/>
              </w:rPr>
              <w:t>-</w:t>
            </w:r>
            <w:r>
              <w:t>土壤环境</w:t>
            </w:r>
            <w:r>
              <w:rPr>
                <w:rFonts w:hint="eastAsia"/>
              </w:rPr>
              <w:t>（试行）</w:t>
            </w:r>
            <w:r>
              <w:t>》</w:t>
            </w:r>
            <w:r>
              <w:rPr>
                <w:rFonts w:hint="eastAsia"/>
              </w:rPr>
              <w:t>（</w:t>
            </w:r>
            <w:r>
              <w:t>HJ964-2018</w:t>
            </w:r>
            <w:r>
              <w:rPr>
                <w:rFonts w:hint="eastAsia"/>
              </w:rPr>
              <w:t>）附录A。</w:t>
            </w:r>
          </w:p>
          <w:p>
            <w:pPr>
              <w:pStyle w:val="6"/>
              <w:jc w:val="both"/>
              <w:outlineLvl w:val="2"/>
            </w:pPr>
            <w:r>
              <w:rPr>
                <w:rFonts w:hint="eastAsia"/>
              </w:rPr>
              <w:t>6.1 评价等级</w:t>
            </w:r>
          </w:p>
          <w:p>
            <w:pPr>
              <w:pStyle w:val="20"/>
              <w:ind w:firstLine="480"/>
              <w:jc w:val="both"/>
            </w:pPr>
            <w:r>
              <w:t>根据《环境影响评价技术导则-土壤环境》（试行）附录A，</w:t>
            </w:r>
            <w:r>
              <w:rPr>
                <w:rFonts w:hint="eastAsia"/>
              </w:rPr>
              <w:t>本项目本项目属于“制造业”中“金属冶炼和压延加工及非金属矿物制品”中的其他，为Ⅲ类项目。本项目占地面积1360m</w:t>
            </w:r>
            <w:r>
              <w:rPr>
                <w:rFonts w:hint="eastAsia"/>
                <w:vertAlign w:val="superscript"/>
              </w:rPr>
              <w:t>2</w:t>
            </w:r>
            <w:r>
              <w:rPr>
                <w:rFonts w:hint="eastAsia"/>
              </w:rPr>
              <w:t>，占地规模&lt;5hm</w:t>
            </w:r>
            <w:r>
              <w:rPr>
                <w:rFonts w:hint="eastAsia"/>
                <w:vertAlign w:val="superscript"/>
              </w:rPr>
              <w:t>2</w:t>
            </w:r>
            <w:r>
              <w:rPr>
                <w:rFonts w:hint="eastAsia"/>
              </w:rPr>
              <w:t>，占地规模为小型建设项目。本项目位于工业园区，周边为园区已建企业和空地，本项目所在区域土壤环境敏感程度为“不敏感”。</w:t>
            </w:r>
          </w:p>
          <w:p>
            <w:pPr>
              <w:pStyle w:val="20"/>
              <w:ind w:firstLine="480"/>
              <w:jc w:val="both"/>
            </w:pPr>
            <w:r>
              <w:rPr>
                <w:rFonts w:hint="eastAsia"/>
              </w:rPr>
              <w:t>根据土壤环境影响评价项目类别、占地规模与敏感程度划分评价工作等级。本项目项目类别属于“Ⅲ类”项目；按占地规模划分属于“小型”；敏感程度为“不敏感”型项目，对照《环境影响评价技术导则 土壤环境（试行）》（HJ964-2018）表4，本项评价工作等级为“-”，可不开展土壤环境影响评价工作。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tcBorders>
              <w:tl2br w:val="nil"/>
              <w:tr2bl w:val="nil"/>
            </w:tcBorders>
            <w:vAlign w:val="center"/>
          </w:tcPr>
          <w:p>
            <w:pPr>
              <w:jc w:val="center"/>
              <w:rPr>
                <w:rFonts w:ascii="宋体" w:hAnsi="宋体" w:cs="宋体"/>
                <w:szCs w:val="21"/>
              </w:rPr>
            </w:pPr>
            <w:r>
              <w:rPr>
                <w:rFonts w:hint="eastAsia" w:ascii="宋体" w:hAnsi="宋体" w:cs="宋体"/>
                <w:szCs w:val="21"/>
              </w:rPr>
              <w:t>环境</w:t>
            </w:r>
          </w:p>
          <w:p>
            <w:pPr>
              <w:jc w:val="center"/>
              <w:rPr>
                <w:rFonts w:ascii="宋体" w:hAnsi="宋体" w:cs="宋体"/>
                <w:szCs w:val="21"/>
              </w:rPr>
            </w:pPr>
            <w:r>
              <w:rPr>
                <w:rFonts w:hint="eastAsia" w:ascii="宋体" w:hAnsi="宋体" w:cs="宋体"/>
                <w:szCs w:val="21"/>
              </w:rPr>
              <w:t>保护</w:t>
            </w:r>
          </w:p>
          <w:p>
            <w:pPr>
              <w:jc w:val="center"/>
            </w:pPr>
            <w:r>
              <w:rPr>
                <w:rFonts w:hint="eastAsia"/>
              </w:rPr>
              <w:t>目标</w:t>
            </w:r>
          </w:p>
        </w:tc>
        <w:tc>
          <w:tcPr>
            <w:tcW w:w="7900" w:type="dxa"/>
            <w:tcBorders>
              <w:tl2br w:val="nil"/>
              <w:tr2bl w:val="nil"/>
            </w:tcBorders>
          </w:tcPr>
          <w:p>
            <w:pPr>
              <w:pStyle w:val="5"/>
              <w:numPr>
                <w:ilvl w:val="0"/>
                <w:numId w:val="14"/>
              </w:numPr>
              <w:bidi w:val="0"/>
              <w:jc w:val="both"/>
            </w:pPr>
            <w:r>
              <w:rPr>
                <w:rFonts w:hint="eastAsia"/>
              </w:rPr>
              <w:t>大气环境</w:t>
            </w:r>
          </w:p>
          <w:p>
            <w:pPr>
              <w:pStyle w:val="20"/>
              <w:ind w:firstLine="480"/>
              <w:jc w:val="both"/>
            </w:pPr>
            <w:r>
              <w:rPr>
                <w:rFonts w:hint="eastAsia"/>
              </w:rPr>
              <w:t>本项目厂界外 500 米范围内无自然保护区、风景名胜区、居住区、文化区和农村地区中人群较集中的区域等保护目标。</w:t>
            </w:r>
          </w:p>
          <w:p>
            <w:pPr>
              <w:pStyle w:val="5"/>
              <w:numPr>
                <w:ilvl w:val="0"/>
                <w:numId w:val="14"/>
              </w:numPr>
              <w:bidi w:val="0"/>
              <w:jc w:val="both"/>
            </w:pPr>
            <w:r>
              <w:rPr>
                <w:rFonts w:hint="eastAsia"/>
              </w:rPr>
              <w:t>声环境</w:t>
            </w:r>
          </w:p>
          <w:p>
            <w:pPr>
              <w:pStyle w:val="20"/>
              <w:ind w:firstLine="480"/>
              <w:jc w:val="both"/>
            </w:pPr>
            <w:r>
              <w:rPr>
                <w:rFonts w:hint="eastAsia"/>
              </w:rPr>
              <w:t>本项目厂界外 50m 范围内无声环境保护目标。</w:t>
            </w:r>
          </w:p>
          <w:p>
            <w:pPr>
              <w:pStyle w:val="5"/>
              <w:numPr>
                <w:ilvl w:val="0"/>
                <w:numId w:val="14"/>
              </w:numPr>
              <w:bidi w:val="0"/>
              <w:jc w:val="both"/>
            </w:pPr>
            <w:r>
              <w:rPr>
                <w:rFonts w:hint="eastAsia"/>
              </w:rPr>
              <w:t>地下水环境</w:t>
            </w:r>
          </w:p>
          <w:p>
            <w:pPr>
              <w:pStyle w:val="20"/>
              <w:ind w:firstLine="480"/>
              <w:jc w:val="both"/>
            </w:pPr>
            <w:r>
              <w:rPr>
                <w:rFonts w:hint="eastAsia"/>
              </w:rPr>
              <w:t>本项目厂界外500米范围内无地下水集中式饮用水水源和热水、矿泉水、温泉等特殊地下水资源。</w:t>
            </w:r>
          </w:p>
          <w:p>
            <w:pPr>
              <w:pStyle w:val="5"/>
              <w:numPr>
                <w:ilvl w:val="0"/>
                <w:numId w:val="14"/>
              </w:numPr>
              <w:bidi w:val="0"/>
              <w:jc w:val="both"/>
            </w:pPr>
            <w:r>
              <w:rPr>
                <w:rFonts w:hint="eastAsia"/>
              </w:rPr>
              <w:t>生态环境</w:t>
            </w:r>
          </w:p>
          <w:p>
            <w:pPr>
              <w:pStyle w:val="20"/>
              <w:ind w:firstLine="480"/>
              <w:jc w:val="both"/>
            </w:pPr>
            <w:r>
              <w:t>本项目位于</w:t>
            </w:r>
            <w:r>
              <w:rPr>
                <w:rFonts w:hint="eastAsia"/>
              </w:rPr>
              <w:t>昌吉回族自治州昌吉市高新区建材园区昌吉市先导工程材料有限责任公司厂内</w:t>
            </w:r>
            <w:r>
              <w:t>，故不涉及生态环境保护目标。</w:t>
            </w:r>
          </w:p>
          <w:p>
            <w:pPr>
              <w:pStyle w:val="20"/>
              <w:ind w:firstLine="480"/>
              <w:jc w:val="both"/>
            </w:pPr>
          </w:p>
          <w:p>
            <w:pPr>
              <w:pStyle w:val="20"/>
              <w:ind w:firstLine="480"/>
              <w:jc w:val="both"/>
            </w:pPr>
          </w:p>
          <w:p>
            <w:pPr>
              <w:pStyle w:val="20"/>
              <w:ind w:firstLine="480"/>
              <w:jc w:val="both"/>
            </w:pPr>
          </w:p>
          <w:p>
            <w:pPr>
              <w:pStyle w:val="20"/>
              <w:ind w:firstLine="480"/>
              <w:jc w:val="both"/>
            </w:pPr>
          </w:p>
          <w:p>
            <w:pPr>
              <w:pStyle w:val="20"/>
              <w:ind w:firstLine="480"/>
              <w:jc w:val="both"/>
            </w:pPr>
          </w:p>
          <w:p>
            <w:pPr>
              <w:pStyle w:val="20"/>
              <w:ind w:firstLine="480"/>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1" w:hRule="atLeast"/>
          <w:jc w:val="center"/>
        </w:trPr>
        <w:tc>
          <w:tcPr>
            <w:tcW w:w="622" w:type="dxa"/>
            <w:tcBorders>
              <w:tl2br w:val="nil"/>
              <w:tr2bl w:val="nil"/>
            </w:tcBorders>
            <w:vAlign w:val="center"/>
          </w:tcPr>
          <w:p>
            <w:pPr>
              <w:jc w:val="center"/>
              <w:rPr>
                <w:rFonts w:ascii="宋体" w:hAnsi="宋体" w:cs="宋体"/>
                <w:szCs w:val="21"/>
              </w:rPr>
            </w:pPr>
            <w:r>
              <w:rPr>
                <w:rFonts w:hint="eastAsia" w:ascii="宋体" w:hAnsi="宋体" w:cs="宋体"/>
                <w:szCs w:val="21"/>
              </w:rPr>
              <w:t>污染</w:t>
            </w:r>
          </w:p>
          <w:p>
            <w:pPr>
              <w:jc w:val="center"/>
              <w:rPr>
                <w:rFonts w:ascii="宋体" w:hAnsi="宋体" w:cs="宋体"/>
                <w:szCs w:val="21"/>
              </w:rPr>
            </w:pPr>
            <w:r>
              <w:rPr>
                <w:rFonts w:hint="eastAsia" w:ascii="宋体" w:hAnsi="宋体" w:cs="宋体"/>
                <w:szCs w:val="21"/>
              </w:rPr>
              <w:t>物排</w:t>
            </w:r>
          </w:p>
          <w:p>
            <w:pPr>
              <w:jc w:val="center"/>
              <w:rPr>
                <w:rFonts w:ascii="宋体" w:hAnsi="宋体" w:cs="宋体"/>
                <w:szCs w:val="21"/>
              </w:rPr>
            </w:pPr>
            <w:r>
              <w:rPr>
                <w:rFonts w:hint="eastAsia" w:ascii="宋体" w:hAnsi="宋体" w:cs="宋体"/>
                <w:szCs w:val="21"/>
              </w:rPr>
              <w:t>放控</w:t>
            </w:r>
          </w:p>
          <w:p>
            <w:pPr>
              <w:jc w:val="center"/>
              <w:rPr>
                <w:rFonts w:ascii="宋体" w:hAnsi="宋体" w:cs="宋体"/>
                <w:szCs w:val="21"/>
              </w:rPr>
            </w:pPr>
            <w:r>
              <w:rPr>
                <w:rFonts w:hint="eastAsia" w:ascii="宋体" w:hAnsi="宋体" w:cs="宋体"/>
                <w:szCs w:val="21"/>
              </w:rPr>
              <w:t>制标</w:t>
            </w:r>
          </w:p>
          <w:p>
            <w:pPr>
              <w:jc w:val="center"/>
            </w:pPr>
            <w:r>
              <w:rPr>
                <w:rFonts w:hint="eastAsia"/>
              </w:rPr>
              <w:t>准</w:t>
            </w:r>
          </w:p>
        </w:tc>
        <w:tc>
          <w:tcPr>
            <w:tcW w:w="7900" w:type="dxa"/>
            <w:tcBorders>
              <w:tl2br w:val="nil"/>
              <w:tr2bl w:val="nil"/>
            </w:tcBorders>
          </w:tcPr>
          <w:p>
            <w:pPr>
              <w:pStyle w:val="5"/>
              <w:numPr>
                <w:ilvl w:val="0"/>
                <w:numId w:val="15"/>
              </w:numPr>
              <w:bidi w:val="0"/>
              <w:jc w:val="both"/>
            </w:pPr>
            <w:r>
              <w:rPr>
                <w:rFonts w:hint="eastAsia"/>
              </w:rPr>
              <w:t>大气污染物排放标准</w:t>
            </w:r>
          </w:p>
          <w:p>
            <w:pPr>
              <w:pStyle w:val="32"/>
            </w:pPr>
            <w:r>
              <w:rPr>
                <w:rFonts w:hint="eastAsia"/>
              </w:rPr>
              <w:t>表3-4    大气污染物排放限值标准</w:t>
            </w:r>
          </w:p>
          <w:tbl>
            <w:tblPr>
              <w:tblStyle w:val="25"/>
              <w:tblW w:w="489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908"/>
              <w:gridCol w:w="2853"/>
              <w:gridCol w:w="30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bottom w:val="single" w:color="000000" w:sz="12" w:space="0"/>
                  </w:tcBorders>
                  <w:vAlign w:val="center"/>
                </w:tcPr>
                <w:p>
                  <w:pPr>
                    <w:pStyle w:val="33"/>
                    <w:widowControl w:val="0"/>
                    <w:rPr>
                      <w:b/>
                      <w:bCs/>
                      <w:lang w:val="en-US" w:eastAsia="zh-CN"/>
                    </w:rPr>
                  </w:pPr>
                  <w:r>
                    <w:rPr>
                      <w:rFonts w:hint="eastAsia"/>
                      <w:b/>
                      <w:bCs/>
                      <w:lang w:val="en-US" w:eastAsia="zh-CN"/>
                    </w:rPr>
                    <w:t>污染物</w:t>
                  </w:r>
                </w:p>
              </w:tc>
              <w:tc>
                <w:tcPr>
                  <w:tcW w:w="604" w:type="pct"/>
                  <w:tcBorders>
                    <w:bottom w:val="single" w:color="000000" w:sz="12" w:space="0"/>
                  </w:tcBorders>
                  <w:vAlign w:val="center"/>
                </w:tcPr>
                <w:p>
                  <w:pPr>
                    <w:pStyle w:val="33"/>
                    <w:widowControl w:val="0"/>
                    <w:rPr>
                      <w:rFonts w:hint="eastAsia"/>
                      <w:b/>
                      <w:bCs/>
                      <w:lang w:val="en-US" w:eastAsia="zh-CN"/>
                    </w:rPr>
                  </w:pPr>
                  <w:r>
                    <w:rPr>
                      <w:rFonts w:hint="eastAsia"/>
                      <w:b/>
                      <w:bCs/>
                      <w:lang w:val="en-US" w:eastAsia="zh-CN"/>
                    </w:rPr>
                    <w:t>排放</w:t>
                  </w:r>
                </w:p>
                <w:p>
                  <w:pPr>
                    <w:pStyle w:val="33"/>
                    <w:widowControl w:val="0"/>
                    <w:rPr>
                      <w:b/>
                      <w:bCs/>
                      <w:lang w:val="en-US" w:eastAsia="zh-CN"/>
                    </w:rPr>
                  </w:pPr>
                  <w:r>
                    <w:rPr>
                      <w:rFonts w:hint="eastAsia"/>
                      <w:b/>
                      <w:bCs/>
                      <w:lang w:val="en-US" w:eastAsia="zh-CN"/>
                    </w:rPr>
                    <w:t>形式</w:t>
                  </w:r>
                </w:p>
              </w:tc>
              <w:tc>
                <w:tcPr>
                  <w:tcW w:w="1898" w:type="pct"/>
                  <w:tcBorders>
                    <w:bottom w:val="single" w:color="000000" w:sz="12" w:space="0"/>
                  </w:tcBorders>
                  <w:vAlign w:val="center"/>
                </w:tcPr>
                <w:p>
                  <w:pPr>
                    <w:pStyle w:val="33"/>
                    <w:widowControl w:val="0"/>
                    <w:rPr>
                      <w:b/>
                      <w:bCs/>
                      <w:lang w:val="en-US" w:eastAsia="zh-CN"/>
                    </w:rPr>
                  </w:pPr>
                  <w:r>
                    <w:rPr>
                      <w:rFonts w:hint="eastAsia"/>
                      <w:b/>
                      <w:bCs/>
                      <w:lang w:val="en-US" w:eastAsia="zh-CN"/>
                    </w:rPr>
                    <w:t>标准</w:t>
                  </w:r>
                </w:p>
              </w:tc>
              <w:tc>
                <w:tcPr>
                  <w:tcW w:w="2053" w:type="pct"/>
                  <w:tcBorders>
                    <w:bottom w:val="single" w:color="000000" w:sz="12" w:space="0"/>
                  </w:tcBorders>
                  <w:vAlign w:val="center"/>
                </w:tcPr>
                <w:p>
                  <w:pPr>
                    <w:pStyle w:val="33"/>
                    <w:widowControl w:val="0"/>
                    <w:rPr>
                      <w:b/>
                      <w:bCs/>
                      <w:lang w:val="en-US" w:eastAsia="zh-CN"/>
                    </w:rPr>
                  </w:pPr>
                  <w:r>
                    <w:rPr>
                      <w:rFonts w:hint="eastAsia"/>
                      <w:b/>
                      <w:bCs/>
                      <w:lang w:val="en-US" w:eastAsia="zh-CN"/>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Merge w:val="restart"/>
                  <w:tcBorders>
                    <w:top w:val="single" w:color="000000" w:sz="12" w:space="0"/>
                  </w:tcBorders>
                  <w:vAlign w:val="center"/>
                </w:tcPr>
                <w:p>
                  <w:pPr>
                    <w:pStyle w:val="33"/>
                    <w:widowControl w:val="0"/>
                    <w:rPr>
                      <w:lang w:val="en-US" w:eastAsia="zh-CN"/>
                    </w:rPr>
                  </w:pPr>
                  <w:r>
                    <w:rPr>
                      <w:rFonts w:hint="eastAsia"/>
                      <w:lang w:val="en-US" w:eastAsia="zh-CN"/>
                    </w:rPr>
                    <w:t>颗粒物</w:t>
                  </w:r>
                </w:p>
              </w:tc>
              <w:tc>
                <w:tcPr>
                  <w:tcW w:w="604" w:type="pct"/>
                  <w:tcBorders>
                    <w:top w:val="single" w:color="000000" w:sz="12" w:space="0"/>
                  </w:tcBorders>
                  <w:vAlign w:val="center"/>
                </w:tcPr>
                <w:p>
                  <w:pPr>
                    <w:pStyle w:val="33"/>
                    <w:widowControl w:val="0"/>
                    <w:rPr>
                      <w:lang w:val="en-US" w:eastAsia="zh-CN"/>
                    </w:rPr>
                  </w:pPr>
                  <w:r>
                    <w:rPr>
                      <w:rFonts w:hint="eastAsia"/>
                      <w:lang w:val="en-US" w:eastAsia="zh-CN"/>
                    </w:rPr>
                    <w:t>无组织</w:t>
                  </w:r>
                </w:p>
              </w:tc>
              <w:tc>
                <w:tcPr>
                  <w:tcW w:w="1898" w:type="pct"/>
                  <w:tcBorders>
                    <w:top w:val="single" w:color="000000" w:sz="12" w:space="0"/>
                  </w:tcBorders>
                  <w:vAlign w:val="center"/>
                </w:tcPr>
                <w:p>
                  <w:pPr>
                    <w:pStyle w:val="33"/>
                    <w:widowControl w:val="0"/>
                    <w:rPr>
                      <w:lang w:val="en-US" w:eastAsia="zh-CN"/>
                    </w:rPr>
                  </w:pPr>
                  <w:r>
                    <w:rPr>
                      <w:rFonts w:hint="eastAsia"/>
                      <w:lang w:val="en-US" w:eastAsia="zh-CN"/>
                    </w:rPr>
                    <w:t>《水泥工业大气污染物排放标准》（GB4915-2013）</w:t>
                  </w:r>
                </w:p>
              </w:tc>
              <w:tc>
                <w:tcPr>
                  <w:tcW w:w="2053" w:type="pct"/>
                  <w:tcBorders>
                    <w:top w:val="single" w:color="000000" w:sz="12" w:space="0"/>
                  </w:tcBorders>
                  <w:vAlign w:val="center"/>
                </w:tcPr>
                <w:p>
                  <w:pPr>
                    <w:pStyle w:val="33"/>
                    <w:widowControl w:val="0"/>
                    <w:rPr>
                      <w:lang w:val="en-US" w:eastAsia="zh-CN"/>
                    </w:rPr>
                  </w:pPr>
                  <w:r>
                    <w:rPr>
                      <w:rFonts w:hint="eastAsia"/>
                      <w:lang w:val="en-US" w:eastAsia="zh-CN"/>
                    </w:rPr>
                    <w:t>0.5mg/m</w:t>
                  </w:r>
                  <w:r>
                    <w:rPr>
                      <w:rFonts w:hint="eastAsia"/>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Merge w:val="continue"/>
                  <w:vAlign w:val="center"/>
                </w:tcPr>
                <w:p>
                  <w:pPr>
                    <w:pStyle w:val="33"/>
                    <w:widowControl w:val="0"/>
                    <w:rPr>
                      <w:lang w:val="en-US" w:eastAsia="zh-CN"/>
                    </w:rPr>
                  </w:pPr>
                </w:p>
              </w:tc>
              <w:tc>
                <w:tcPr>
                  <w:tcW w:w="604" w:type="pct"/>
                  <w:vAlign w:val="center"/>
                </w:tcPr>
                <w:p>
                  <w:pPr>
                    <w:pStyle w:val="33"/>
                    <w:widowControl w:val="0"/>
                    <w:rPr>
                      <w:lang w:val="en-US" w:eastAsia="zh-CN"/>
                    </w:rPr>
                  </w:pPr>
                  <w:r>
                    <w:rPr>
                      <w:rFonts w:hint="eastAsia"/>
                      <w:lang w:val="en-US" w:eastAsia="zh-CN"/>
                    </w:rPr>
                    <w:t>有组织</w:t>
                  </w:r>
                </w:p>
              </w:tc>
              <w:tc>
                <w:tcPr>
                  <w:tcW w:w="1898" w:type="pct"/>
                  <w:vAlign w:val="center"/>
                </w:tcPr>
                <w:p>
                  <w:pPr>
                    <w:pStyle w:val="33"/>
                    <w:widowControl w:val="0"/>
                    <w:jc w:val="both"/>
                    <w:rPr>
                      <w:rFonts w:hint="default" w:eastAsia="宋体"/>
                      <w:lang w:val="en-US" w:eastAsia="zh-CN"/>
                    </w:rPr>
                  </w:pPr>
                  <w:r>
                    <w:rPr>
                      <w:rFonts w:hint="eastAsia"/>
                      <w:lang w:val="en-US" w:eastAsia="zh-CN"/>
                    </w:rPr>
                    <w:t>《水泥工业大气污染物排放标准》（GB4915-2013）</w:t>
                  </w:r>
                  <w:r>
                    <w:rPr>
                      <w:rFonts w:hint="eastAsia"/>
                      <w:color w:val="0000FF"/>
                      <w:lang w:val="en-US" w:eastAsia="zh-CN"/>
                    </w:rPr>
                    <w:t>表2大气污染物特别排放限值</w:t>
                  </w:r>
                </w:p>
              </w:tc>
              <w:tc>
                <w:tcPr>
                  <w:tcW w:w="2053" w:type="pct"/>
                  <w:vAlign w:val="center"/>
                </w:tcPr>
                <w:p>
                  <w:pPr>
                    <w:pStyle w:val="33"/>
                    <w:widowControl w:val="0"/>
                    <w:rPr>
                      <w:lang w:val="en-US" w:eastAsia="zh-CN"/>
                    </w:rPr>
                  </w:pPr>
                  <w:r>
                    <w:rPr>
                      <w:rFonts w:hint="eastAsia"/>
                      <w:lang w:val="en-US" w:eastAsia="zh-CN"/>
                    </w:rPr>
                    <w:t>10mg/m³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Merge w:val="restart"/>
                  <w:vAlign w:val="center"/>
                </w:tcPr>
                <w:p>
                  <w:pPr>
                    <w:pStyle w:val="33"/>
                    <w:widowControl w:val="0"/>
                    <w:rPr>
                      <w:lang w:val="en-US" w:eastAsia="zh-CN"/>
                    </w:rPr>
                  </w:pPr>
                  <w:r>
                    <w:rPr>
                      <w:rFonts w:hint="eastAsia"/>
                      <w:lang w:val="en-US" w:eastAsia="zh-CN"/>
                    </w:rPr>
                    <w:t>非甲烷总烃</w:t>
                  </w:r>
                </w:p>
              </w:tc>
              <w:tc>
                <w:tcPr>
                  <w:tcW w:w="604" w:type="pct"/>
                  <w:vMerge w:val="restart"/>
                  <w:vAlign w:val="center"/>
                </w:tcPr>
                <w:p>
                  <w:pPr>
                    <w:pStyle w:val="33"/>
                    <w:widowControl w:val="0"/>
                    <w:rPr>
                      <w:lang w:val="en-US" w:eastAsia="zh-CN"/>
                    </w:rPr>
                  </w:pPr>
                  <w:r>
                    <w:rPr>
                      <w:rFonts w:hint="eastAsia"/>
                      <w:lang w:val="en-US" w:eastAsia="zh-CN"/>
                    </w:rPr>
                    <w:t>无组织</w:t>
                  </w:r>
                </w:p>
              </w:tc>
              <w:tc>
                <w:tcPr>
                  <w:tcW w:w="1898" w:type="pct"/>
                  <w:vMerge w:val="restart"/>
                  <w:vAlign w:val="center"/>
                </w:tcPr>
                <w:p>
                  <w:pPr>
                    <w:pStyle w:val="33"/>
                    <w:widowControl w:val="0"/>
                    <w:rPr>
                      <w:lang w:val="en-US" w:eastAsia="zh-CN"/>
                    </w:rPr>
                  </w:pPr>
                  <w:r>
                    <w:rPr>
                      <w:rFonts w:hint="eastAsia"/>
                      <w:lang w:val="en-US" w:eastAsia="zh-CN"/>
                    </w:rPr>
                    <w:t>《挥发性有机物无组织排放控制标准》（GB37822-2019）</w:t>
                  </w:r>
                </w:p>
              </w:tc>
              <w:tc>
                <w:tcPr>
                  <w:tcW w:w="2053" w:type="pct"/>
                  <w:vAlign w:val="center"/>
                </w:tcPr>
                <w:p>
                  <w:pPr>
                    <w:pStyle w:val="33"/>
                    <w:widowControl w:val="0"/>
                    <w:rPr>
                      <w:lang w:val="en-US" w:eastAsia="zh-CN"/>
                    </w:rPr>
                  </w:pPr>
                  <w:r>
                    <w:rPr>
                      <w:lang w:val="en-US" w:eastAsia="zh-CN"/>
                    </w:rPr>
                    <w:t>10（监控点处 1h 平均浓度值）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Merge w:val="continue"/>
                  <w:vAlign w:val="center"/>
                </w:tcPr>
                <w:p>
                  <w:pPr>
                    <w:pStyle w:val="33"/>
                    <w:widowControl w:val="0"/>
                    <w:rPr>
                      <w:lang w:val="en-US" w:eastAsia="zh-CN"/>
                    </w:rPr>
                  </w:pPr>
                </w:p>
              </w:tc>
              <w:tc>
                <w:tcPr>
                  <w:tcW w:w="604" w:type="pct"/>
                  <w:vMerge w:val="continue"/>
                  <w:vAlign w:val="center"/>
                </w:tcPr>
                <w:p>
                  <w:pPr>
                    <w:pStyle w:val="33"/>
                    <w:widowControl w:val="0"/>
                    <w:rPr>
                      <w:lang w:val="en-US" w:eastAsia="zh-CN"/>
                    </w:rPr>
                  </w:pPr>
                </w:p>
              </w:tc>
              <w:tc>
                <w:tcPr>
                  <w:tcW w:w="1898" w:type="pct"/>
                  <w:vMerge w:val="continue"/>
                  <w:vAlign w:val="center"/>
                </w:tcPr>
                <w:p>
                  <w:pPr>
                    <w:pStyle w:val="33"/>
                    <w:widowControl w:val="0"/>
                    <w:rPr>
                      <w:lang w:val="en-US" w:eastAsia="zh-CN"/>
                    </w:rPr>
                  </w:pPr>
                </w:p>
              </w:tc>
              <w:tc>
                <w:tcPr>
                  <w:tcW w:w="2053" w:type="pct"/>
                  <w:vAlign w:val="center"/>
                </w:tcPr>
                <w:p>
                  <w:pPr>
                    <w:pStyle w:val="33"/>
                    <w:widowControl w:val="0"/>
                    <w:rPr>
                      <w:lang w:val="en-US" w:eastAsia="zh-CN"/>
                    </w:rPr>
                  </w:pPr>
                  <w:r>
                    <w:rPr>
                      <w:lang w:val="en-US" w:eastAsia="zh-CN"/>
                    </w:rPr>
                    <w:t>30（监控点处任意一次浓度值）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Merge w:val="continue"/>
                  <w:vAlign w:val="center"/>
                </w:tcPr>
                <w:p>
                  <w:pPr>
                    <w:pStyle w:val="33"/>
                    <w:widowControl w:val="0"/>
                    <w:rPr>
                      <w:lang w:val="en-US" w:eastAsia="zh-CN"/>
                    </w:rPr>
                  </w:pPr>
                </w:p>
              </w:tc>
              <w:tc>
                <w:tcPr>
                  <w:tcW w:w="604" w:type="pct"/>
                  <w:vMerge w:val="continue"/>
                  <w:vAlign w:val="center"/>
                </w:tcPr>
                <w:p>
                  <w:pPr>
                    <w:pStyle w:val="33"/>
                    <w:widowControl w:val="0"/>
                    <w:rPr>
                      <w:lang w:val="en-US" w:eastAsia="zh-CN"/>
                    </w:rPr>
                  </w:pPr>
                </w:p>
              </w:tc>
              <w:tc>
                <w:tcPr>
                  <w:tcW w:w="1898" w:type="pct"/>
                  <w:vAlign w:val="center"/>
                </w:tcPr>
                <w:p>
                  <w:pPr>
                    <w:pStyle w:val="33"/>
                    <w:widowControl w:val="0"/>
                    <w:rPr>
                      <w:lang w:val="en-US" w:eastAsia="zh-CN"/>
                    </w:rPr>
                  </w:pPr>
                  <w:r>
                    <w:rPr>
                      <w:rFonts w:hint="eastAsia"/>
                      <w:lang w:val="en-US" w:eastAsia="zh-CN"/>
                    </w:rPr>
                    <w:t>《大气污染物综合排放标准》（GB16297-1996）</w:t>
                  </w:r>
                </w:p>
              </w:tc>
              <w:tc>
                <w:tcPr>
                  <w:tcW w:w="2053" w:type="pct"/>
                  <w:vAlign w:val="center"/>
                </w:tcPr>
                <w:p>
                  <w:pPr>
                    <w:pStyle w:val="33"/>
                    <w:widowControl w:val="0"/>
                    <w:rPr>
                      <w:lang w:val="en-US" w:eastAsia="zh-CN"/>
                    </w:rPr>
                  </w:pPr>
                  <w:r>
                    <w:rPr>
                      <w:rFonts w:hint="eastAsia"/>
                      <w:lang w:val="en-US" w:eastAsia="zh-CN"/>
                    </w:rPr>
                    <w:t>1.0mg/m</w:t>
                  </w:r>
                  <w:r>
                    <w:rPr>
                      <w:rFonts w:hint="eastAsia"/>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Merge w:val="continue"/>
                  <w:vAlign w:val="center"/>
                </w:tcPr>
                <w:p>
                  <w:pPr>
                    <w:pStyle w:val="33"/>
                    <w:widowControl w:val="0"/>
                    <w:rPr>
                      <w:lang w:val="en-US" w:eastAsia="zh-CN"/>
                    </w:rPr>
                  </w:pPr>
                </w:p>
              </w:tc>
              <w:tc>
                <w:tcPr>
                  <w:tcW w:w="604" w:type="pct"/>
                  <w:vAlign w:val="center"/>
                </w:tcPr>
                <w:p>
                  <w:pPr>
                    <w:pStyle w:val="33"/>
                    <w:widowControl w:val="0"/>
                    <w:rPr>
                      <w:lang w:val="en-US" w:eastAsia="zh-CN"/>
                    </w:rPr>
                  </w:pPr>
                  <w:r>
                    <w:rPr>
                      <w:rFonts w:hint="eastAsia"/>
                      <w:lang w:val="en-US" w:eastAsia="zh-CN"/>
                    </w:rPr>
                    <w:t>有组织</w:t>
                  </w:r>
                </w:p>
              </w:tc>
              <w:tc>
                <w:tcPr>
                  <w:tcW w:w="1898" w:type="pct"/>
                  <w:vAlign w:val="center"/>
                </w:tcPr>
                <w:p>
                  <w:pPr>
                    <w:pStyle w:val="33"/>
                    <w:widowControl w:val="0"/>
                    <w:rPr>
                      <w:lang w:val="en-US" w:eastAsia="zh-CN"/>
                    </w:rPr>
                  </w:pPr>
                  <w:r>
                    <w:rPr>
                      <w:rFonts w:hint="eastAsia"/>
                      <w:lang w:val="en-US" w:eastAsia="zh-CN"/>
                    </w:rPr>
                    <w:t>《大气污染物综合排放标准》（GB16297-1996）</w:t>
                  </w:r>
                </w:p>
              </w:tc>
              <w:tc>
                <w:tcPr>
                  <w:tcW w:w="2053" w:type="pct"/>
                  <w:vAlign w:val="center"/>
                </w:tcPr>
                <w:p>
                  <w:pPr>
                    <w:pStyle w:val="33"/>
                    <w:widowControl w:val="0"/>
                    <w:rPr>
                      <w:lang w:val="en-US" w:eastAsia="zh-CN"/>
                    </w:rPr>
                  </w:pPr>
                  <w:r>
                    <w:rPr>
                      <w:rFonts w:hint="eastAsia"/>
                      <w:lang w:val="en-US" w:eastAsia="zh-CN"/>
                    </w:rPr>
                    <w:t>120mg/m</w:t>
                  </w:r>
                  <w:r>
                    <w:rPr>
                      <w:rFonts w:hint="eastAsia"/>
                      <w:vertAlign w:val="superscript"/>
                      <w:lang w:val="en-US" w:eastAsia="zh-CN"/>
                    </w:rPr>
                    <w:t>3</w:t>
                  </w:r>
                </w:p>
              </w:tc>
            </w:tr>
          </w:tbl>
          <w:p>
            <w:pPr>
              <w:pStyle w:val="5"/>
              <w:numPr>
                <w:ilvl w:val="0"/>
                <w:numId w:val="15"/>
              </w:numPr>
              <w:bidi w:val="0"/>
              <w:jc w:val="both"/>
            </w:pPr>
            <w:r>
              <w:rPr>
                <w:rFonts w:hint="eastAsia"/>
              </w:rPr>
              <w:t>水污染物排放标准</w:t>
            </w:r>
          </w:p>
          <w:p>
            <w:pPr>
              <w:pStyle w:val="20"/>
              <w:ind w:firstLine="480"/>
              <w:jc w:val="both"/>
            </w:pPr>
            <w:r>
              <w:rPr>
                <w:rFonts w:hint="eastAsia"/>
              </w:rPr>
              <w:t>项目营运期，生产废水循环使用不外排，生活污水排入园区污水管网。生活污水执行《污水综合排放标准》（GB8978-1996）表4中的三级标准。</w:t>
            </w:r>
          </w:p>
          <w:p>
            <w:pPr>
              <w:pStyle w:val="32"/>
            </w:pPr>
            <w:r>
              <w:rPr>
                <w:rFonts w:hint="eastAsia"/>
              </w:rPr>
              <w:t>表 3-5    水污染物排放限值标准</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581"/>
              <w:gridCol w:w="3301"/>
              <w:gridCol w:w="15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7" w:type="pct"/>
                  <w:tcBorders>
                    <w:bottom w:val="single" w:color="000000" w:sz="12" w:space="0"/>
                  </w:tcBorders>
                  <w:vAlign w:val="center"/>
                </w:tcPr>
                <w:p>
                  <w:pPr>
                    <w:pStyle w:val="33"/>
                    <w:widowControl w:val="0"/>
                    <w:rPr>
                      <w:b/>
                      <w:bCs/>
                      <w:lang w:val="en-US" w:eastAsia="zh-CN"/>
                    </w:rPr>
                  </w:pPr>
                  <w:r>
                    <w:rPr>
                      <w:b/>
                      <w:bCs/>
                      <w:lang w:val="en-US" w:eastAsia="zh-CN"/>
                    </w:rPr>
                    <w:t>废水类别</w:t>
                  </w:r>
                </w:p>
              </w:tc>
              <w:tc>
                <w:tcPr>
                  <w:tcW w:w="1029" w:type="pct"/>
                  <w:tcBorders>
                    <w:bottom w:val="single" w:color="000000" w:sz="12" w:space="0"/>
                  </w:tcBorders>
                  <w:vAlign w:val="center"/>
                </w:tcPr>
                <w:p>
                  <w:pPr>
                    <w:pStyle w:val="33"/>
                    <w:widowControl w:val="0"/>
                    <w:rPr>
                      <w:b/>
                      <w:bCs/>
                      <w:lang w:val="en-US" w:eastAsia="zh-CN"/>
                    </w:rPr>
                  </w:pPr>
                  <w:r>
                    <w:rPr>
                      <w:b/>
                      <w:bCs/>
                      <w:lang w:val="en-US" w:eastAsia="zh-CN"/>
                    </w:rPr>
                    <w:t>污染物</w:t>
                  </w:r>
                </w:p>
              </w:tc>
              <w:tc>
                <w:tcPr>
                  <w:tcW w:w="2148" w:type="pct"/>
                  <w:tcBorders>
                    <w:bottom w:val="single" w:color="000000" w:sz="12" w:space="0"/>
                  </w:tcBorders>
                  <w:vAlign w:val="center"/>
                </w:tcPr>
                <w:p>
                  <w:pPr>
                    <w:pStyle w:val="33"/>
                    <w:widowControl w:val="0"/>
                    <w:rPr>
                      <w:b/>
                      <w:bCs/>
                      <w:lang w:val="en-US" w:eastAsia="zh-CN"/>
                    </w:rPr>
                  </w:pPr>
                  <w:r>
                    <w:rPr>
                      <w:b/>
                      <w:bCs/>
                      <w:lang w:val="en-US" w:eastAsia="zh-CN"/>
                    </w:rPr>
                    <w:t>标准</w:t>
                  </w:r>
                </w:p>
              </w:tc>
              <w:tc>
                <w:tcPr>
                  <w:tcW w:w="1014" w:type="pct"/>
                  <w:tcBorders>
                    <w:bottom w:val="single" w:color="000000" w:sz="12" w:space="0"/>
                  </w:tcBorders>
                  <w:vAlign w:val="center"/>
                </w:tcPr>
                <w:p>
                  <w:pPr>
                    <w:pStyle w:val="33"/>
                    <w:widowControl w:val="0"/>
                    <w:rPr>
                      <w:b/>
                      <w:bCs/>
                      <w:lang w:val="en-US" w:eastAsia="zh-CN"/>
                    </w:rPr>
                  </w:pPr>
                  <w:r>
                    <w:rPr>
                      <w:b/>
                      <w:bCs/>
                      <w:lang w:val="en-US" w:eastAsia="zh-CN"/>
                    </w:rPr>
                    <w:t>限值</w:t>
                  </w:r>
                  <w:r>
                    <w:rPr>
                      <w:rFonts w:hint="eastAsia"/>
                      <w:b/>
                      <w:bCs/>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7" w:type="pct"/>
                  <w:vMerge w:val="restart"/>
                  <w:tcBorders>
                    <w:top w:val="single" w:color="000000" w:sz="12" w:space="0"/>
                  </w:tcBorders>
                  <w:vAlign w:val="center"/>
                </w:tcPr>
                <w:p>
                  <w:pPr>
                    <w:pStyle w:val="33"/>
                    <w:widowControl w:val="0"/>
                    <w:rPr>
                      <w:lang w:val="en-US" w:eastAsia="zh-CN"/>
                    </w:rPr>
                  </w:pPr>
                  <w:r>
                    <w:rPr>
                      <w:lang w:val="en-US" w:eastAsia="zh-CN"/>
                    </w:rPr>
                    <w:t>生活污水</w:t>
                  </w:r>
                </w:p>
              </w:tc>
              <w:tc>
                <w:tcPr>
                  <w:tcW w:w="1029" w:type="pct"/>
                  <w:tcBorders>
                    <w:top w:val="single" w:color="000000" w:sz="12" w:space="0"/>
                    <w:bottom w:val="single" w:color="auto" w:sz="4" w:space="0"/>
                  </w:tcBorders>
                  <w:vAlign w:val="center"/>
                </w:tcPr>
                <w:p>
                  <w:pPr>
                    <w:pStyle w:val="33"/>
                    <w:widowControl w:val="0"/>
                    <w:rPr>
                      <w:lang w:val="en-US" w:eastAsia="zh-CN"/>
                    </w:rPr>
                  </w:pPr>
                  <w:r>
                    <w:rPr>
                      <w:lang w:val="en-US" w:eastAsia="zh-CN"/>
                    </w:rPr>
                    <w:t>CODcr</w:t>
                  </w:r>
                </w:p>
              </w:tc>
              <w:tc>
                <w:tcPr>
                  <w:tcW w:w="2148" w:type="pct"/>
                  <w:vMerge w:val="restart"/>
                  <w:tcBorders>
                    <w:top w:val="single" w:color="000000" w:sz="12" w:space="0"/>
                  </w:tcBorders>
                  <w:vAlign w:val="center"/>
                </w:tcPr>
                <w:p>
                  <w:pPr>
                    <w:pStyle w:val="33"/>
                    <w:widowControl w:val="0"/>
                  </w:pPr>
                  <w:r>
                    <w:rPr>
                      <w:lang w:val="en-US" w:eastAsia="zh-CN"/>
                    </w:rPr>
                    <w:t>《污水综合排放标准》（GB8978-1996）表4中的三级标准</w:t>
                  </w:r>
                  <w:r>
                    <w:rPr>
                      <w:color w:val="0000FF"/>
                      <w:lang w:val="en-US" w:eastAsia="zh-CN"/>
                    </w:rPr>
                    <w:t>《污水排入城镇下水道水质标准》</w:t>
                  </w:r>
                  <w:r>
                    <w:rPr>
                      <w:rFonts w:hint="eastAsia"/>
                      <w:color w:val="0000FF"/>
                      <w:lang w:val="en-US" w:eastAsia="zh-CN"/>
                    </w:rPr>
                    <w:t>(</w:t>
                  </w:r>
                  <w:r>
                    <w:rPr>
                      <w:color w:val="0000FF"/>
                      <w:lang w:val="en-US" w:eastAsia="zh-CN"/>
                    </w:rPr>
                    <w:t>GB/T31962-2015</w:t>
                  </w:r>
                  <w:r>
                    <w:rPr>
                      <w:rFonts w:hint="eastAsia"/>
                      <w:color w:val="0000FF"/>
                      <w:lang w:val="en-US" w:eastAsia="zh-CN"/>
                    </w:rPr>
                    <w:t>)</w:t>
                  </w:r>
                  <w:r>
                    <w:rPr>
                      <w:color w:val="0000FF"/>
                      <w:lang w:val="en-US" w:eastAsia="zh-CN"/>
                    </w:rPr>
                    <w:t>B级标准</w:t>
                  </w:r>
                </w:p>
              </w:tc>
              <w:tc>
                <w:tcPr>
                  <w:tcW w:w="1014" w:type="pct"/>
                  <w:tcBorders>
                    <w:top w:val="single" w:color="000000" w:sz="12" w:space="0"/>
                    <w:bottom w:val="single" w:color="auto" w:sz="4" w:space="0"/>
                  </w:tcBorders>
                  <w:vAlign w:val="center"/>
                </w:tcPr>
                <w:p>
                  <w:pPr>
                    <w:pStyle w:val="33"/>
                    <w:widowControl w:val="0"/>
                    <w:rPr>
                      <w:lang w:val="en-US" w:eastAsia="zh-CN"/>
                    </w:rPr>
                  </w:pPr>
                  <w:r>
                    <w:rPr>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7" w:type="pct"/>
                  <w:vMerge w:val="continue"/>
                  <w:vAlign w:val="center"/>
                </w:tcPr>
                <w:p>
                  <w:pPr>
                    <w:pStyle w:val="33"/>
                    <w:widowControl w:val="0"/>
                    <w:rPr>
                      <w:lang w:val="en-US" w:eastAsia="zh-CN"/>
                    </w:rPr>
                  </w:pPr>
                </w:p>
              </w:tc>
              <w:tc>
                <w:tcPr>
                  <w:tcW w:w="1029" w:type="pct"/>
                  <w:tcBorders>
                    <w:top w:val="single" w:color="auto" w:sz="4" w:space="0"/>
                    <w:bottom w:val="single" w:color="auto" w:sz="4" w:space="0"/>
                  </w:tcBorders>
                  <w:vAlign w:val="center"/>
                </w:tcPr>
                <w:p>
                  <w:pPr>
                    <w:pStyle w:val="33"/>
                    <w:widowControl w:val="0"/>
                    <w:rPr>
                      <w:lang w:val="en-US" w:eastAsia="zh-CN"/>
                    </w:rPr>
                  </w:pPr>
                  <w:r>
                    <w:rPr>
                      <w:lang w:val="en-US" w:eastAsia="zh-CN"/>
                    </w:rPr>
                    <w:t>BOD</w:t>
                  </w:r>
                  <w:r>
                    <w:rPr>
                      <w:vertAlign w:val="subscript"/>
                      <w:lang w:val="en-US" w:eastAsia="zh-CN"/>
                    </w:rPr>
                    <w:t>5</w:t>
                  </w:r>
                </w:p>
              </w:tc>
              <w:tc>
                <w:tcPr>
                  <w:tcW w:w="2148" w:type="pct"/>
                  <w:vMerge w:val="continue"/>
                  <w:vAlign w:val="center"/>
                </w:tcPr>
                <w:p>
                  <w:pPr>
                    <w:pStyle w:val="33"/>
                    <w:widowControl w:val="0"/>
                    <w:rPr>
                      <w:lang w:val="en-US" w:eastAsia="zh-CN"/>
                    </w:rPr>
                  </w:pPr>
                </w:p>
              </w:tc>
              <w:tc>
                <w:tcPr>
                  <w:tcW w:w="1014" w:type="pct"/>
                  <w:tcBorders>
                    <w:top w:val="single" w:color="auto" w:sz="4" w:space="0"/>
                    <w:bottom w:val="single" w:color="auto" w:sz="4" w:space="0"/>
                  </w:tcBorders>
                  <w:vAlign w:val="center"/>
                </w:tcPr>
                <w:p>
                  <w:pPr>
                    <w:pStyle w:val="33"/>
                    <w:widowControl w:val="0"/>
                    <w:rPr>
                      <w:lang w:val="en-US" w:eastAsia="zh-CN"/>
                    </w:rPr>
                  </w:pPr>
                  <w:r>
                    <w:rPr>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7" w:type="pct"/>
                  <w:vMerge w:val="continue"/>
                  <w:vAlign w:val="center"/>
                </w:tcPr>
                <w:p>
                  <w:pPr>
                    <w:pStyle w:val="33"/>
                    <w:widowControl w:val="0"/>
                    <w:rPr>
                      <w:lang w:val="en-US" w:eastAsia="zh-CN"/>
                    </w:rPr>
                  </w:pPr>
                </w:p>
              </w:tc>
              <w:tc>
                <w:tcPr>
                  <w:tcW w:w="1029" w:type="pct"/>
                  <w:tcBorders>
                    <w:top w:val="single" w:color="auto" w:sz="4" w:space="0"/>
                    <w:bottom w:val="single" w:color="auto" w:sz="4" w:space="0"/>
                  </w:tcBorders>
                  <w:vAlign w:val="center"/>
                </w:tcPr>
                <w:p>
                  <w:pPr>
                    <w:pStyle w:val="33"/>
                    <w:widowControl w:val="0"/>
                    <w:rPr>
                      <w:lang w:val="en-US" w:eastAsia="zh-CN"/>
                    </w:rPr>
                  </w:pPr>
                  <w:r>
                    <w:rPr>
                      <w:lang w:val="en-US" w:eastAsia="zh-CN"/>
                    </w:rPr>
                    <w:t>NH</w:t>
                  </w:r>
                  <w:r>
                    <w:rPr>
                      <w:vertAlign w:val="subscript"/>
                      <w:lang w:val="en-US" w:eastAsia="zh-CN"/>
                    </w:rPr>
                    <w:t>3</w:t>
                  </w:r>
                  <w:r>
                    <w:rPr>
                      <w:lang w:val="en-US" w:eastAsia="zh-CN"/>
                    </w:rPr>
                    <w:t>N</w:t>
                  </w:r>
                </w:p>
              </w:tc>
              <w:tc>
                <w:tcPr>
                  <w:tcW w:w="2148" w:type="pct"/>
                  <w:vMerge w:val="continue"/>
                  <w:vAlign w:val="center"/>
                </w:tcPr>
                <w:p>
                  <w:pPr>
                    <w:pStyle w:val="33"/>
                    <w:widowControl w:val="0"/>
                    <w:rPr>
                      <w:lang w:val="en-US" w:eastAsia="zh-CN"/>
                    </w:rPr>
                  </w:pPr>
                </w:p>
              </w:tc>
              <w:tc>
                <w:tcPr>
                  <w:tcW w:w="1014" w:type="pct"/>
                  <w:tcBorders>
                    <w:top w:val="single" w:color="auto" w:sz="4" w:space="0"/>
                    <w:bottom w:val="single" w:color="auto" w:sz="4" w:space="0"/>
                  </w:tcBorders>
                  <w:vAlign w:val="center"/>
                </w:tcPr>
                <w:p>
                  <w:pPr>
                    <w:pStyle w:val="33"/>
                    <w:widowControl w:val="0"/>
                    <w:rPr>
                      <w:rFonts w:hint="default"/>
                      <w:lang w:val="en-US" w:eastAsia="zh-CN"/>
                    </w:rPr>
                  </w:pPr>
                  <w:r>
                    <w:rPr>
                      <w:rFonts w:hint="eastAsia"/>
                      <w:color w:val="0000FF"/>
                      <w:lang w:val="en-US" w:eastAsia="zh-CN"/>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7" w:type="pct"/>
                  <w:vMerge w:val="continue"/>
                  <w:tcBorders>
                    <w:bottom w:val="single" w:color="auto" w:sz="12" w:space="0"/>
                  </w:tcBorders>
                  <w:vAlign w:val="center"/>
                </w:tcPr>
                <w:p>
                  <w:pPr>
                    <w:pStyle w:val="33"/>
                    <w:widowControl w:val="0"/>
                    <w:rPr>
                      <w:lang w:val="en-US" w:eastAsia="zh-CN"/>
                    </w:rPr>
                  </w:pPr>
                </w:p>
              </w:tc>
              <w:tc>
                <w:tcPr>
                  <w:tcW w:w="1029" w:type="pct"/>
                  <w:tcBorders>
                    <w:top w:val="single" w:color="auto" w:sz="4" w:space="0"/>
                    <w:bottom w:val="single" w:color="auto" w:sz="12" w:space="0"/>
                  </w:tcBorders>
                  <w:vAlign w:val="center"/>
                </w:tcPr>
                <w:p>
                  <w:pPr>
                    <w:pStyle w:val="33"/>
                    <w:widowControl w:val="0"/>
                    <w:rPr>
                      <w:lang w:val="en-US" w:eastAsia="zh-CN"/>
                    </w:rPr>
                  </w:pPr>
                  <w:r>
                    <w:rPr>
                      <w:lang w:val="en-US" w:eastAsia="zh-CN"/>
                    </w:rPr>
                    <w:t>SS</w:t>
                  </w:r>
                </w:p>
              </w:tc>
              <w:tc>
                <w:tcPr>
                  <w:tcW w:w="2148" w:type="pct"/>
                  <w:vMerge w:val="continue"/>
                  <w:tcBorders>
                    <w:bottom w:val="single" w:color="auto" w:sz="12" w:space="0"/>
                  </w:tcBorders>
                  <w:vAlign w:val="center"/>
                </w:tcPr>
                <w:p>
                  <w:pPr>
                    <w:pStyle w:val="33"/>
                    <w:widowControl w:val="0"/>
                    <w:rPr>
                      <w:lang w:val="en-US" w:eastAsia="zh-CN"/>
                    </w:rPr>
                  </w:pPr>
                </w:p>
              </w:tc>
              <w:tc>
                <w:tcPr>
                  <w:tcW w:w="1014" w:type="pct"/>
                  <w:tcBorders>
                    <w:top w:val="single" w:color="auto" w:sz="4" w:space="0"/>
                    <w:bottom w:val="single" w:color="auto" w:sz="12" w:space="0"/>
                  </w:tcBorders>
                  <w:vAlign w:val="center"/>
                </w:tcPr>
                <w:p>
                  <w:pPr>
                    <w:pStyle w:val="33"/>
                    <w:widowControl w:val="0"/>
                    <w:rPr>
                      <w:lang w:val="en-US" w:eastAsia="zh-CN"/>
                    </w:rPr>
                  </w:pPr>
                  <w:r>
                    <w:rPr>
                      <w:lang w:val="en-US" w:eastAsia="zh-CN"/>
                    </w:rPr>
                    <w:t>400</w:t>
                  </w:r>
                </w:p>
              </w:tc>
            </w:tr>
          </w:tbl>
          <w:p>
            <w:pPr>
              <w:pStyle w:val="5"/>
              <w:numPr>
                <w:ilvl w:val="0"/>
                <w:numId w:val="15"/>
              </w:numPr>
              <w:bidi w:val="0"/>
              <w:jc w:val="both"/>
            </w:pPr>
            <w:r>
              <w:rPr>
                <w:rFonts w:hint="eastAsia"/>
              </w:rPr>
              <w:t>噪声排放标准</w:t>
            </w:r>
          </w:p>
          <w:p>
            <w:pPr>
              <w:pStyle w:val="20"/>
              <w:ind w:firstLine="480"/>
              <w:jc w:val="both"/>
            </w:pPr>
            <w:r>
              <w:t>施工期噪声执行《建筑施工场界环境噪声排放标准》（GB12523-2011）标准，运营期厂界噪声排放执行《工业企业厂界环境噪声排放标准》 （GB12348-2008）3类标准。噪声限值见表3-</w:t>
            </w:r>
            <w:r>
              <w:rPr>
                <w:rFonts w:hint="eastAsia"/>
              </w:rPr>
              <w:t>6</w:t>
            </w:r>
            <w:r>
              <w:t>。</w:t>
            </w:r>
          </w:p>
          <w:p>
            <w:pPr>
              <w:pStyle w:val="32"/>
            </w:pPr>
            <w:r>
              <w:rPr>
                <w:rFonts w:hint="eastAsia"/>
              </w:rPr>
              <w:t xml:space="preserve">表3-6    </w:t>
            </w:r>
            <w:r>
              <w:t xml:space="preserve"> </w:t>
            </w:r>
            <w:r>
              <w:rPr>
                <w:rFonts w:hint="eastAsia"/>
              </w:rPr>
              <w:t>噪声排放限值标准</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5069"/>
              <w:gridCol w:w="16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8" w:type="pct"/>
                  <w:tcBorders>
                    <w:bottom w:val="single" w:color="auto" w:sz="12" w:space="0"/>
                  </w:tcBorders>
                  <w:vAlign w:val="center"/>
                </w:tcPr>
                <w:p>
                  <w:pPr>
                    <w:pStyle w:val="33"/>
                    <w:widowControl w:val="0"/>
                    <w:rPr>
                      <w:b/>
                      <w:bCs/>
                      <w:lang w:val="en-US" w:eastAsia="zh-CN"/>
                    </w:rPr>
                  </w:pPr>
                  <w:r>
                    <w:rPr>
                      <w:rFonts w:hint="eastAsia"/>
                      <w:b/>
                      <w:bCs/>
                      <w:lang w:val="en-US" w:eastAsia="zh-CN"/>
                    </w:rPr>
                    <w:t>时期</w:t>
                  </w:r>
                </w:p>
              </w:tc>
              <w:tc>
                <w:tcPr>
                  <w:tcW w:w="3299" w:type="pct"/>
                  <w:tcBorders>
                    <w:bottom w:val="single" w:color="auto" w:sz="12" w:space="0"/>
                  </w:tcBorders>
                  <w:vAlign w:val="center"/>
                </w:tcPr>
                <w:p>
                  <w:pPr>
                    <w:pStyle w:val="33"/>
                    <w:widowControl w:val="0"/>
                    <w:rPr>
                      <w:b/>
                      <w:bCs/>
                      <w:lang w:val="en-US" w:eastAsia="zh-CN"/>
                    </w:rPr>
                  </w:pPr>
                  <w:r>
                    <w:rPr>
                      <w:rFonts w:hint="eastAsia"/>
                      <w:b/>
                      <w:bCs/>
                      <w:lang w:val="en-US" w:eastAsia="zh-CN"/>
                    </w:rPr>
                    <w:t>标准</w:t>
                  </w:r>
                </w:p>
              </w:tc>
              <w:tc>
                <w:tcPr>
                  <w:tcW w:w="1062" w:type="pct"/>
                  <w:tcBorders>
                    <w:bottom w:val="single" w:color="auto" w:sz="12" w:space="0"/>
                  </w:tcBorders>
                  <w:vAlign w:val="center"/>
                </w:tcPr>
                <w:p>
                  <w:pPr>
                    <w:pStyle w:val="33"/>
                    <w:widowControl w:val="0"/>
                    <w:rPr>
                      <w:b/>
                      <w:bCs/>
                      <w:lang w:val="en-US" w:eastAsia="zh-CN"/>
                    </w:rPr>
                  </w:pPr>
                  <w:r>
                    <w:rPr>
                      <w:rFonts w:hint="eastAsia"/>
                      <w:b/>
                      <w:bCs/>
                      <w:lang w:val="en-US" w:eastAsia="zh-CN"/>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8" w:type="pct"/>
                  <w:tcBorders>
                    <w:top w:val="single" w:color="auto" w:sz="12" w:space="0"/>
                    <w:bottom w:val="single" w:color="auto" w:sz="4" w:space="0"/>
                  </w:tcBorders>
                  <w:vAlign w:val="center"/>
                </w:tcPr>
                <w:p>
                  <w:pPr>
                    <w:pStyle w:val="33"/>
                    <w:widowControl w:val="0"/>
                    <w:rPr>
                      <w:lang w:val="en-US" w:eastAsia="zh-CN"/>
                    </w:rPr>
                  </w:pPr>
                  <w:r>
                    <w:rPr>
                      <w:rFonts w:hint="eastAsia"/>
                      <w:lang w:val="en-US" w:eastAsia="zh-CN"/>
                    </w:rPr>
                    <w:t>施工期</w:t>
                  </w:r>
                </w:p>
              </w:tc>
              <w:tc>
                <w:tcPr>
                  <w:tcW w:w="3299" w:type="pct"/>
                  <w:tcBorders>
                    <w:top w:val="single" w:color="auto" w:sz="12" w:space="0"/>
                    <w:bottom w:val="single" w:color="auto" w:sz="4" w:space="0"/>
                  </w:tcBorders>
                  <w:vAlign w:val="center"/>
                </w:tcPr>
                <w:p>
                  <w:pPr>
                    <w:pStyle w:val="33"/>
                    <w:widowControl w:val="0"/>
                    <w:rPr>
                      <w:lang w:val="en-US" w:eastAsia="zh-CN"/>
                    </w:rPr>
                  </w:pPr>
                  <w:r>
                    <w:rPr>
                      <w:rFonts w:hint="eastAsia"/>
                      <w:lang w:val="en-US" w:eastAsia="zh-CN"/>
                    </w:rPr>
                    <w:t>《建筑施工场界环境噪声排放标准》（GB12532-2011）</w:t>
                  </w:r>
                </w:p>
              </w:tc>
              <w:tc>
                <w:tcPr>
                  <w:tcW w:w="1062" w:type="pct"/>
                  <w:tcBorders>
                    <w:top w:val="single" w:color="auto" w:sz="12" w:space="0"/>
                    <w:bottom w:val="single" w:color="auto" w:sz="4" w:space="0"/>
                  </w:tcBorders>
                  <w:vAlign w:val="center"/>
                </w:tcPr>
                <w:p>
                  <w:pPr>
                    <w:pStyle w:val="33"/>
                    <w:widowControl w:val="0"/>
                    <w:rPr>
                      <w:lang w:val="en-US" w:eastAsia="zh-CN"/>
                    </w:rPr>
                  </w:pPr>
                  <w:r>
                    <w:rPr>
                      <w:lang w:val="en-US" w:eastAsia="zh-CN"/>
                    </w:rPr>
                    <w:t>昼间70dB(A)、夜间55dB(A)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8" w:type="pct"/>
                  <w:tcBorders>
                    <w:top w:val="single" w:color="auto" w:sz="4" w:space="0"/>
                  </w:tcBorders>
                  <w:vAlign w:val="center"/>
                </w:tcPr>
                <w:p>
                  <w:pPr>
                    <w:pStyle w:val="33"/>
                    <w:widowControl w:val="0"/>
                    <w:rPr>
                      <w:lang w:val="en-US" w:eastAsia="zh-CN"/>
                    </w:rPr>
                  </w:pPr>
                  <w:r>
                    <w:rPr>
                      <w:rFonts w:hint="eastAsia"/>
                      <w:lang w:val="en-US" w:eastAsia="zh-CN"/>
                    </w:rPr>
                    <w:t>运营期</w:t>
                  </w:r>
                </w:p>
              </w:tc>
              <w:tc>
                <w:tcPr>
                  <w:tcW w:w="3299" w:type="pct"/>
                  <w:tcBorders>
                    <w:top w:val="single" w:color="auto" w:sz="4" w:space="0"/>
                  </w:tcBorders>
                  <w:vAlign w:val="center"/>
                </w:tcPr>
                <w:p>
                  <w:pPr>
                    <w:pStyle w:val="33"/>
                    <w:widowControl w:val="0"/>
                    <w:rPr>
                      <w:lang w:val="en-US" w:eastAsia="zh-CN"/>
                    </w:rPr>
                  </w:pPr>
                  <w:r>
                    <w:rPr>
                      <w:rFonts w:hint="eastAsia"/>
                      <w:lang w:val="en-US" w:eastAsia="zh-CN"/>
                    </w:rPr>
                    <w:t>《工业企业厂界环境噪声排放标准》（GB12348-2008）</w:t>
                  </w:r>
                  <w:r>
                    <w:rPr>
                      <w:lang w:val="en-US" w:eastAsia="zh-CN"/>
                    </w:rPr>
                    <w:t>3类</w:t>
                  </w:r>
                </w:p>
              </w:tc>
              <w:tc>
                <w:tcPr>
                  <w:tcW w:w="1062" w:type="pct"/>
                  <w:tcBorders>
                    <w:top w:val="single" w:color="auto" w:sz="4" w:space="0"/>
                  </w:tcBorders>
                  <w:vAlign w:val="center"/>
                </w:tcPr>
                <w:p>
                  <w:pPr>
                    <w:pStyle w:val="33"/>
                    <w:widowControl w:val="0"/>
                    <w:rPr>
                      <w:lang w:val="en-US" w:eastAsia="zh-CN"/>
                    </w:rPr>
                  </w:pPr>
                  <w:r>
                    <w:rPr>
                      <w:lang w:val="en-US" w:eastAsia="zh-CN"/>
                    </w:rPr>
                    <w:t>昼间</w:t>
                  </w:r>
                  <w:r>
                    <w:rPr>
                      <w:rFonts w:hint="eastAsia"/>
                      <w:lang w:val="en-US" w:eastAsia="zh-CN"/>
                    </w:rPr>
                    <w:t>65</w:t>
                  </w:r>
                  <w:r>
                    <w:rPr>
                      <w:lang w:val="en-US" w:eastAsia="zh-CN"/>
                    </w:rPr>
                    <w:t>dB(A)、夜间5</w:t>
                  </w:r>
                  <w:r>
                    <w:rPr>
                      <w:rFonts w:hint="eastAsia"/>
                      <w:lang w:val="en-US" w:eastAsia="zh-CN"/>
                    </w:rPr>
                    <w:t>5</w:t>
                  </w:r>
                  <w:r>
                    <w:rPr>
                      <w:lang w:val="en-US" w:eastAsia="zh-CN"/>
                    </w:rPr>
                    <w:t>dB(A)</w:t>
                  </w:r>
                </w:p>
              </w:tc>
            </w:tr>
          </w:tbl>
          <w:p>
            <w:pPr>
              <w:pStyle w:val="5"/>
              <w:numPr>
                <w:ilvl w:val="0"/>
                <w:numId w:val="0"/>
              </w:numPr>
              <w:bidi w:val="0"/>
              <w:jc w:val="both"/>
              <w:rPr>
                <w:rFonts w:hint="eastAsia"/>
              </w:rPr>
            </w:pPr>
          </w:p>
          <w:p>
            <w:pPr>
              <w:pStyle w:val="5"/>
              <w:numPr>
                <w:ilvl w:val="0"/>
                <w:numId w:val="15"/>
              </w:numPr>
              <w:bidi w:val="0"/>
              <w:ind w:left="0" w:leftChars="0" w:firstLine="0" w:firstLineChars="0"/>
              <w:jc w:val="both"/>
            </w:pPr>
            <w:r>
              <w:rPr>
                <w:rFonts w:hint="eastAsia"/>
              </w:rPr>
              <w:t>固体废物控制标准</w:t>
            </w:r>
          </w:p>
          <w:p>
            <w:pPr>
              <w:pStyle w:val="20"/>
              <w:numPr>
                <w:ilvl w:val="0"/>
                <w:numId w:val="16"/>
              </w:numPr>
              <w:ind w:firstLine="480"/>
              <w:jc w:val="both"/>
            </w:pPr>
            <w:r>
              <w:rPr>
                <w:rFonts w:hint="eastAsia"/>
              </w:rPr>
              <w:t>固体废弃物执行《一般工业固体废物贮存和填埋污染控制标准》（GB 18599-2020）中的相关规定。</w:t>
            </w:r>
          </w:p>
          <w:p>
            <w:pPr>
              <w:pStyle w:val="20"/>
              <w:numPr>
                <w:ilvl w:val="0"/>
                <w:numId w:val="16"/>
              </w:numPr>
              <w:ind w:firstLine="480"/>
              <w:jc w:val="both"/>
            </w:pPr>
            <w:r>
              <w:rPr>
                <w:rFonts w:hint="eastAsia"/>
              </w:rPr>
              <w:t>《危险废物贮存污染控制标准》标准及其2013年修改单相关要求（公告2013年第363号）。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3" w:hRule="atLeast"/>
          <w:jc w:val="center"/>
        </w:trPr>
        <w:tc>
          <w:tcPr>
            <w:tcW w:w="622" w:type="dxa"/>
            <w:tcBorders>
              <w:tl2br w:val="nil"/>
              <w:tr2bl w:val="nil"/>
            </w:tcBorders>
            <w:vAlign w:val="center"/>
          </w:tcPr>
          <w:p>
            <w:pPr>
              <w:jc w:val="center"/>
              <w:rPr>
                <w:rFonts w:ascii="宋体" w:hAnsi="宋体" w:cs="宋体"/>
                <w:szCs w:val="21"/>
              </w:rPr>
            </w:pPr>
            <w:r>
              <w:rPr>
                <w:rFonts w:hint="eastAsia" w:ascii="宋体" w:hAnsi="宋体" w:cs="宋体"/>
                <w:szCs w:val="21"/>
              </w:rPr>
              <w:t>总量</w:t>
            </w:r>
          </w:p>
          <w:p>
            <w:pPr>
              <w:jc w:val="center"/>
              <w:rPr>
                <w:rFonts w:ascii="宋体" w:hAnsi="宋体" w:cs="宋体"/>
                <w:szCs w:val="21"/>
              </w:rPr>
            </w:pPr>
            <w:r>
              <w:rPr>
                <w:rFonts w:hint="eastAsia" w:ascii="宋体" w:hAnsi="宋体" w:cs="宋体"/>
                <w:szCs w:val="21"/>
              </w:rPr>
              <w:t>控制</w:t>
            </w:r>
          </w:p>
          <w:p>
            <w:pPr>
              <w:jc w:val="center"/>
            </w:pPr>
            <w:r>
              <w:rPr>
                <w:rFonts w:hint="eastAsia"/>
              </w:rPr>
              <w:t>指标</w:t>
            </w:r>
          </w:p>
        </w:tc>
        <w:tc>
          <w:tcPr>
            <w:tcW w:w="7900" w:type="dxa"/>
            <w:tcBorders>
              <w:tl2br w:val="nil"/>
              <w:tr2bl w:val="nil"/>
            </w:tcBorders>
            <w:vAlign w:val="center"/>
          </w:tcPr>
          <w:p>
            <w:pPr>
              <w:pStyle w:val="20"/>
              <w:ind w:firstLine="480"/>
              <w:jc w:val="both"/>
            </w:pPr>
          </w:p>
          <w:p>
            <w:pPr>
              <w:pStyle w:val="20"/>
              <w:ind w:firstLine="480"/>
              <w:jc w:val="both"/>
            </w:pPr>
          </w:p>
          <w:p>
            <w:pPr>
              <w:pStyle w:val="20"/>
              <w:ind w:firstLine="480"/>
              <w:jc w:val="both"/>
            </w:pPr>
            <w:r>
              <w:t>根据环境保护部</w:t>
            </w:r>
            <w:r>
              <w:rPr>
                <w:rFonts w:hint="eastAsia"/>
              </w:rPr>
              <w:t>“十三五”</w:t>
            </w:r>
            <w:r>
              <w:t>期间的总量控制计划，确定本项目污染物排放总量控制因子为</w:t>
            </w:r>
            <w:r>
              <w:rPr>
                <w:rFonts w:hint="eastAsia"/>
              </w:rPr>
              <w:t>非甲烷总烃、颗粒物</w:t>
            </w:r>
            <w:r>
              <w:t>。</w:t>
            </w:r>
          </w:p>
          <w:p>
            <w:pPr>
              <w:pStyle w:val="20"/>
              <w:bidi w:val="0"/>
              <w:jc w:val="both"/>
              <w:rPr>
                <w:color w:val="0000FF"/>
              </w:rPr>
            </w:pPr>
            <w:r>
              <w:rPr>
                <w:rFonts w:hint="eastAsia"/>
                <w:color w:val="0000FF"/>
              </w:rPr>
              <w:t>非甲烷总烃</w:t>
            </w:r>
            <w:r>
              <w:rPr>
                <w:color w:val="0000FF"/>
              </w:rPr>
              <w:t>排放量为</w:t>
            </w:r>
            <w:r>
              <w:rPr>
                <w:rFonts w:hint="eastAsia"/>
                <w:color w:val="0000FF"/>
                <w:lang w:val="en-US" w:eastAsia="zh-CN"/>
              </w:rPr>
              <w:t>0.0742</w:t>
            </w:r>
            <w:r>
              <w:rPr>
                <w:color w:val="0000FF"/>
              </w:rPr>
              <w:t xml:space="preserve"> t/a</w:t>
            </w:r>
          </w:p>
          <w:p>
            <w:pPr>
              <w:pStyle w:val="20"/>
              <w:bidi w:val="0"/>
              <w:jc w:val="both"/>
              <w:rPr>
                <w:color w:val="0000FF"/>
              </w:rPr>
            </w:pPr>
            <w:r>
              <w:rPr>
                <w:rFonts w:hint="eastAsia"/>
                <w:color w:val="0000FF"/>
              </w:rPr>
              <w:t>颗粒物</w:t>
            </w:r>
            <w:r>
              <w:rPr>
                <w:color w:val="0000FF"/>
              </w:rPr>
              <w:t>排放量为</w:t>
            </w:r>
            <w:r>
              <w:rPr>
                <w:rFonts w:hint="eastAsia"/>
                <w:color w:val="0000FF"/>
                <w:lang w:val="en-US" w:eastAsia="zh-CN"/>
              </w:rPr>
              <w:t>0.0361</w:t>
            </w:r>
            <w:r>
              <w:rPr>
                <w:color w:val="0000FF"/>
              </w:rPr>
              <w:t>t/a。</w:t>
            </w:r>
          </w:p>
          <w:p>
            <w:pPr>
              <w:pStyle w:val="20"/>
              <w:bidi w:val="0"/>
              <w:jc w:val="both"/>
              <w:rPr>
                <w:rFonts w:hint="eastAsia"/>
                <w:color w:val="0000FF"/>
              </w:rPr>
            </w:pPr>
            <w:r>
              <w:rPr>
                <w:rFonts w:hint="default"/>
                <w:color w:val="0000FF"/>
              </w:rPr>
              <w:t>昌吉市为空气质量非达标区域，实施倍量替代，新增</w:t>
            </w:r>
            <w:r>
              <w:rPr>
                <w:rFonts w:hint="eastAsia"/>
                <w:color w:val="0000FF"/>
                <w:lang w:eastAsia="zh-CN"/>
              </w:rPr>
              <w:t>非甲烷总烃</w:t>
            </w:r>
            <w:r>
              <w:rPr>
                <w:rFonts w:hint="default"/>
                <w:color w:val="0000FF"/>
              </w:rPr>
              <w:t>排放量</w:t>
            </w:r>
            <w:r>
              <w:rPr>
                <w:rFonts w:hint="eastAsia"/>
                <w:color w:val="0000FF"/>
                <w:lang w:val="en-US" w:eastAsia="zh-CN"/>
              </w:rPr>
              <w:t>0.1484</w:t>
            </w:r>
            <w:r>
              <w:rPr>
                <w:rFonts w:hint="default"/>
                <w:color w:val="0000FF"/>
              </w:rPr>
              <w:t>t/a、</w:t>
            </w:r>
            <w:r>
              <w:rPr>
                <w:rFonts w:hint="eastAsia"/>
                <w:color w:val="0000FF"/>
                <w:lang w:eastAsia="zh-CN"/>
              </w:rPr>
              <w:t>颗粒物</w:t>
            </w:r>
            <w:r>
              <w:rPr>
                <w:rFonts w:hint="eastAsia"/>
                <w:color w:val="0000FF"/>
                <w:lang w:val="en-US" w:eastAsia="zh-CN"/>
              </w:rPr>
              <w:t>0.0722</w:t>
            </w:r>
            <w:r>
              <w:rPr>
                <w:rFonts w:hint="default"/>
                <w:color w:val="0000FF"/>
              </w:rPr>
              <w:t>t/a</w:t>
            </w:r>
            <w:r>
              <w:rPr>
                <w:rFonts w:hint="eastAsia"/>
                <w:color w:val="0000FF"/>
              </w:rPr>
              <w:t>。</w:t>
            </w:r>
          </w:p>
          <w:p>
            <w:pPr>
              <w:pStyle w:val="20"/>
              <w:ind w:firstLine="480"/>
              <w:jc w:val="both"/>
            </w:pPr>
          </w:p>
          <w:p>
            <w:pPr>
              <w:pStyle w:val="20"/>
              <w:ind w:firstLine="480"/>
              <w:jc w:val="both"/>
            </w:pPr>
          </w:p>
          <w:p>
            <w:pPr>
              <w:pStyle w:val="20"/>
              <w:ind w:firstLine="480"/>
              <w:jc w:val="both"/>
            </w:pPr>
          </w:p>
          <w:p>
            <w:pPr>
              <w:pStyle w:val="20"/>
              <w:ind w:firstLine="480"/>
              <w:jc w:val="both"/>
            </w:pPr>
          </w:p>
          <w:p>
            <w:pPr>
              <w:pStyle w:val="20"/>
              <w:ind w:firstLine="480"/>
              <w:jc w:val="both"/>
            </w:pPr>
          </w:p>
          <w:p>
            <w:pPr>
              <w:pStyle w:val="20"/>
              <w:ind w:firstLine="480"/>
              <w:jc w:val="both"/>
            </w:pPr>
          </w:p>
          <w:p>
            <w:pPr>
              <w:pStyle w:val="20"/>
              <w:ind w:firstLine="480"/>
              <w:jc w:val="both"/>
            </w:pPr>
          </w:p>
          <w:p>
            <w:pPr>
              <w:pStyle w:val="20"/>
              <w:ind w:firstLine="480"/>
              <w:jc w:val="both"/>
            </w:pPr>
          </w:p>
          <w:p>
            <w:pPr>
              <w:pStyle w:val="20"/>
              <w:ind w:left="0" w:leftChars="0" w:firstLine="0" w:firstLineChars="0"/>
              <w:jc w:val="both"/>
            </w:pPr>
          </w:p>
        </w:tc>
      </w:tr>
    </w:tbl>
    <w:p>
      <w:pPr>
        <w:jc w:val="both"/>
        <w:sectPr>
          <w:pgSz w:w="11906" w:h="16838"/>
          <w:pgMar w:top="1440" w:right="1800" w:bottom="1440" w:left="1800" w:header="851" w:footer="992" w:gutter="0"/>
          <w:cols w:space="425" w:num="1"/>
          <w:docGrid w:type="lines" w:linePitch="312" w:charSpace="0"/>
        </w:sectPr>
      </w:pPr>
    </w:p>
    <w:p>
      <w:pPr>
        <w:pStyle w:val="4"/>
        <w:numPr>
          <w:ilvl w:val="0"/>
          <w:numId w:val="1"/>
        </w:numPr>
      </w:pPr>
      <w:r>
        <w:rPr>
          <w:rFonts w:hint="eastAsia"/>
        </w:rPr>
        <w:t>主要环境影响和保护措施</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3"/>
        <w:gridCol w:w="8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3" w:type="dxa"/>
            <w:tcBorders>
              <w:tl2br w:val="nil"/>
              <w:tr2bl w:val="nil"/>
            </w:tcBorders>
            <w:vAlign w:val="center"/>
          </w:tcPr>
          <w:p>
            <w:pPr>
              <w:pStyle w:val="21"/>
              <w:adjustRightInd w:val="0"/>
              <w:snapToGrid w:val="0"/>
              <w:spacing w:before="0" w:beforeAutospacing="0" w:after="0" w:afterAutospacing="0"/>
              <w:jc w:val="center"/>
              <w:rPr>
                <w:rFonts w:cs="宋体"/>
                <w:kern w:val="2"/>
                <w:szCs w:val="24"/>
              </w:rPr>
            </w:pPr>
            <w:r>
              <w:rPr>
                <w:rFonts w:hint="eastAsia" w:cs="宋体"/>
                <w:kern w:val="2"/>
                <w:szCs w:val="24"/>
              </w:rPr>
              <w:t>施工</w:t>
            </w:r>
          </w:p>
          <w:p>
            <w:pPr>
              <w:pStyle w:val="21"/>
              <w:adjustRightInd w:val="0"/>
              <w:snapToGrid w:val="0"/>
              <w:spacing w:before="0" w:beforeAutospacing="0" w:after="0" w:afterAutospacing="0"/>
              <w:jc w:val="center"/>
              <w:rPr>
                <w:rFonts w:cs="宋体"/>
                <w:kern w:val="2"/>
                <w:szCs w:val="24"/>
              </w:rPr>
            </w:pPr>
            <w:r>
              <w:rPr>
                <w:rFonts w:hint="eastAsia" w:cs="宋体"/>
                <w:kern w:val="2"/>
                <w:szCs w:val="24"/>
              </w:rPr>
              <w:t>期环</w:t>
            </w:r>
          </w:p>
          <w:p>
            <w:pPr>
              <w:pStyle w:val="21"/>
              <w:adjustRightInd w:val="0"/>
              <w:snapToGrid w:val="0"/>
              <w:spacing w:before="0" w:beforeAutospacing="0" w:after="0" w:afterAutospacing="0"/>
              <w:jc w:val="center"/>
              <w:rPr>
                <w:rFonts w:cs="宋体"/>
                <w:kern w:val="2"/>
                <w:szCs w:val="24"/>
              </w:rPr>
            </w:pPr>
            <w:r>
              <w:rPr>
                <w:rFonts w:hint="eastAsia" w:cs="宋体"/>
                <w:kern w:val="2"/>
                <w:szCs w:val="24"/>
              </w:rPr>
              <w:t>境保</w:t>
            </w:r>
          </w:p>
          <w:p>
            <w:pPr>
              <w:pStyle w:val="21"/>
              <w:adjustRightInd w:val="0"/>
              <w:snapToGrid w:val="0"/>
              <w:spacing w:before="0" w:beforeAutospacing="0" w:after="0" w:afterAutospacing="0"/>
              <w:jc w:val="center"/>
              <w:rPr>
                <w:rFonts w:cs="宋体"/>
                <w:kern w:val="2"/>
                <w:szCs w:val="24"/>
              </w:rPr>
            </w:pPr>
            <w:r>
              <w:rPr>
                <w:rFonts w:hint="eastAsia" w:cs="宋体"/>
                <w:kern w:val="2"/>
                <w:szCs w:val="24"/>
              </w:rPr>
              <w:t>护措</w:t>
            </w:r>
          </w:p>
          <w:p>
            <w:pPr>
              <w:jc w:val="center"/>
            </w:pPr>
            <w:r>
              <w:rPr>
                <w:rFonts w:hint="eastAsia"/>
              </w:rPr>
              <w:t>施</w:t>
            </w:r>
          </w:p>
        </w:tc>
        <w:tc>
          <w:tcPr>
            <w:tcW w:w="8089" w:type="dxa"/>
            <w:tcBorders>
              <w:tl2br w:val="nil"/>
              <w:tr2bl w:val="nil"/>
            </w:tcBorders>
          </w:tcPr>
          <w:p>
            <w:pPr>
              <w:pStyle w:val="5"/>
              <w:jc w:val="both"/>
              <w:outlineLvl w:val="1"/>
            </w:pPr>
            <w:r>
              <w:t>施工期对环境空气的影响及防治措施</w:t>
            </w:r>
          </w:p>
          <w:p>
            <w:pPr>
              <w:pStyle w:val="20"/>
              <w:ind w:firstLine="480"/>
              <w:jc w:val="both"/>
              <w:rPr>
                <w:rFonts w:hint="eastAsia" w:eastAsia="宋体"/>
                <w:lang w:eastAsia="zh-CN"/>
              </w:rPr>
            </w:pPr>
            <w:r>
              <w:rPr>
                <w:rFonts w:hint="eastAsia"/>
              </w:rPr>
              <w:t>本项目利用已建成厂房进行生产，施工内容主要包括生产设备的安装与调试、废气净化设施等的安装与调试及危废暂存间建设。在施工期间将产生废水、噪声和建筑垃圾等。此外，设备运输也将对运输路线两侧一定范围内大气、声环境产生不利影响</w:t>
            </w:r>
            <w:r>
              <w:rPr>
                <w:rFonts w:hint="eastAsia"/>
                <w:lang w:eastAsia="zh-CN"/>
              </w:rPr>
              <w:t>。</w:t>
            </w:r>
          </w:p>
          <w:p>
            <w:pPr>
              <w:pStyle w:val="5"/>
              <w:numPr>
                <w:ilvl w:val="0"/>
                <w:numId w:val="17"/>
              </w:numPr>
              <w:jc w:val="both"/>
              <w:outlineLvl w:val="1"/>
            </w:pPr>
            <w:r>
              <w:rPr>
                <w:rFonts w:hint="eastAsia"/>
              </w:rPr>
              <w:t>施工期水污染防治措施</w:t>
            </w:r>
          </w:p>
          <w:p>
            <w:pPr>
              <w:pStyle w:val="20"/>
              <w:ind w:firstLine="480"/>
              <w:jc w:val="both"/>
            </w:pPr>
            <w:r>
              <w:t>施工期废水主要有施工人员的生活污水和施工废水。施工人员产生的生活污水主要污染因子为COD</w:t>
            </w:r>
            <w:r>
              <w:rPr>
                <w:vertAlign w:val="subscript"/>
              </w:rPr>
              <w:t>Cr</w:t>
            </w:r>
            <w:r>
              <w:t>、BOD</w:t>
            </w:r>
            <w:r>
              <w:rPr>
                <w:vertAlign w:val="subscript"/>
              </w:rPr>
              <w:t>5</w:t>
            </w:r>
            <w:r>
              <w:t>和SS等；施工车辆冲洗废水主要污染因子为COD、石油类、SS。</w:t>
            </w:r>
          </w:p>
          <w:p>
            <w:pPr>
              <w:pStyle w:val="20"/>
              <w:ind w:firstLine="480"/>
              <w:jc w:val="both"/>
            </w:pPr>
            <w:r>
              <w:t>为减小施工废水对区域地表水体的影响，应采取如下措施：</w:t>
            </w:r>
          </w:p>
          <w:p>
            <w:pPr>
              <w:pStyle w:val="20"/>
              <w:numPr>
                <w:ilvl w:val="0"/>
                <w:numId w:val="18"/>
              </w:numPr>
              <w:ind w:firstLine="480"/>
              <w:jc w:val="both"/>
            </w:pPr>
            <w:r>
              <w:t>施工人员生活污水依托项目区附近</w:t>
            </w:r>
            <w:r>
              <w:rPr>
                <w:rFonts w:hint="eastAsia"/>
              </w:rPr>
              <w:t>企业</w:t>
            </w:r>
            <w:r>
              <w:t>卫生间解决</w:t>
            </w:r>
            <w:r>
              <w:rPr>
                <w:rFonts w:hint="eastAsia"/>
              </w:rPr>
              <w:t>。</w:t>
            </w:r>
          </w:p>
          <w:p>
            <w:pPr>
              <w:pStyle w:val="20"/>
              <w:numPr>
                <w:ilvl w:val="0"/>
                <w:numId w:val="18"/>
              </w:numPr>
              <w:ind w:left="0" w:leftChars="0" w:firstLine="480" w:firstLineChars="200"/>
              <w:jc w:val="both"/>
            </w:pPr>
            <w:r>
              <w:t>施工场地修建临时沉淀池，车辆冲洗废水经沉淀处理后回用。</w:t>
            </w:r>
          </w:p>
          <w:p>
            <w:pPr>
              <w:pStyle w:val="20"/>
              <w:numPr>
                <w:ilvl w:val="0"/>
                <w:numId w:val="18"/>
              </w:numPr>
              <w:ind w:left="0" w:leftChars="0" w:firstLine="480" w:firstLineChars="200"/>
              <w:jc w:val="both"/>
            </w:pPr>
            <w:r>
              <w:t>施工场地局部应进行硬化处理，避免施工期水土流失造成区域水环境污染。</w:t>
            </w:r>
          </w:p>
          <w:p>
            <w:pPr>
              <w:pStyle w:val="20"/>
              <w:ind w:firstLine="480"/>
              <w:jc w:val="both"/>
            </w:pPr>
            <w:r>
              <w:t>采取上述措施后，项目施工期废水对周围地表水环境基本无影响小</w:t>
            </w:r>
          </w:p>
          <w:p>
            <w:pPr>
              <w:pStyle w:val="5"/>
              <w:numPr>
                <w:ilvl w:val="0"/>
                <w:numId w:val="17"/>
              </w:numPr>
              <w:jc w:val="both"/>
              <w:outlineLvl w:val="1"/>
            </w:pPr>
            <w:r>
              <w:rPr>
                <w:rFonts w:hint="eastAsia"/>
              </w:rPr>
              <w:t>施工期废气污染防治措施</w:t>
            </w:r>
          </w:p>
          <w:p>
            <w:pPr>
              <w:pStyle w:val="6"/>
              <w:jc w:val="both"/>
              <w:outlineLvl w:val="2"/>
            </w:pPr>
            <w:r>
              <w:rPr>
                <w:rFonts w:hint="eastAsia"/>
              </w:rPr>
              <w:t xml:space="preserve">2.1 </w:t>
            </w:r>
            <w:r>
              <w:t>扬尘对周围环境的影响</w:t>
            </w:r>
          </w:p>
          <w:p>
            <w:pPr>
              <w:pStyle w:val="5"/>
              <w:ind w:firstLine="480" w:firstLineChars="200"/>
              <w:jc w:val="both"/>
              <w:outlineLvl w:val="1"/>
              <w:rPr>
                <w:rFonts w:cs="Times New Roman"/>
                <w:b w:val="0"/>
                <w:sz w:val="24"/>
              </w:rPr>
            </w:pPr>
            <w:r>
              <w:rPr>
                <w:rFonts w:cs="Times New Roman"/>
                <w:b w:val="0"/>
                <w:sz w:val="24"/>
              </w:rPr>
              <w:t>施工过程中，由于基建材料的运输等将产生大量扬尘，从而使局部环境空气受到不利影响，特别是干燥大风天气更为突出。因此在基建施工过程中应注意文明施工，材料运输严格管理，防止洒、漏而污染环境。对施工场地较大的扬尘源，可通过洒水或喷雾减少扬尘，并对场地中主要的扬尘源适时覆盖，对运输渣土车辆进行统一管理。通过采取以上措施，加强施工管理，可使地面扬尘减少50%左右，建筑物高空扬尘减少70%左右，大大减少施工扬尘的产生。随着施工的结束，该影响也会自行消失。</w:t>
            </w:r>
          </w:p>
          <w:p>
            <w:pPr>
              <w:pStyle w:val="6"/>
              <w:jc w:val="both"/>
              <w:outlineLvl w:val="2"/>
            </w:pPr>
            <w:r>
              <w:rPr>
                <w:rFonts w:hint="eastAsia"/>
              </w:rPr>
              <w:t xml:space="preserve">2.2 </w:t>
            </w:r>
            <w:r>
              <w:t>运输车辆及作业机械尾气对周围环境的影响</w:t>
            </w:r>
          </w:p>
          <w:p>
            <w:pPr>
              <w:pStyle w:val="5"/>
              <w:ind w:firstLine="480" w:firstLineChars="200"/>
              <w:jc w:val="both"/>
              <w:outlineLvl w:val="1"/>
              <w:rPr>
                <w:rFonts w:cs="Times New Roman"/>
                <w:b w:val="0"/>
                <w:sz w:val="24"/>
              </w:rPr>
            </w:pPr>
            <w:r>
              <w:rPr>
                <w:rFonts w:cs="Times New Roman"/>
                <w:b w:val="0"/>
                <w:sz w:val="24"/>
              </w:rPr>
              <w:t>施工场地内的施工机械主要包括挖掘机、装载机等，施工机械运行时将产生燃油尾气。施工机械和汽车运输时所排放的尾气，主要对场区周围和运输路线两侧局部范围产生一定影响。因此，工程施工建设时对施工区的空气环境影响较小，不会对当地环境空气质量造成不良影响。</w:t>
            </w:r>
          </w:p>
          <w:p>
            <w:pPr>
              <w:pStyle w:val="6"/>
              <w:jc w:val="both"/>
              <w:outlineLvl w:val="2"/>
            </w:pPr>
            <w:r>
              <w:rPr>
                <w:rFonts w:hint="eastAsia"/>
              </w:rPr>
              <w:t xml:space="preserve">2.3 </w:t>
            </w:r>
            <w:r>
              <w:t>污染防治措施</w:t>
            </w:r>
          </w:p>
          <w:p>
            <w:pPr>
              <w:pStyle w:val="5"/>
              <w:ind w:firstLine="480" w:firstLineChars="200"/>
              <w:jc w:val="both"/>
              <w:outlineLvl w:val="1"/>
              <w:rPr>
                <w:rFonts w:cs="Times New Roman"/>
                <w:b w:val="0"/>
                <w:sz w:val="24"/>
              </w:rPr>
            </w:pPr>
            <w:r>
              <w:rPr>
                <w:rFonts w:hint="eastAsia" w:cs="Times New Roman"/>
                <w:b w:val="0"/>
                <w:sz w:val="24"/>
              </w:rPr>
              <w:t xml:space="preserve">（1） </w:t>
            </w:r>
            <w:r>
              <w:rPr>
                <w:rFonts w:cs="Times New Roman"/>
                <w:b w:val="0"/>
                <w:sz w:val="24"/>
              </w:rPr>
              <w:t>施工工地内，水泥、灰土、砂石等易产生扬尘的物料堆放，应在其周围设置不低于堆放物高度的封闭性硬质围栏围挡，施工场地的水泥堆垛必须加盖蓬布；工程脚手架外侧必须使用密闭安全网封闭；施工工地周围应按要求设置硬质密闭围挡。</w:t>
            </w:r>
          </w:p>
          <w:p>
            <w:pPr>
              <w:pStyle w:val="5"/>
              <w:ind w:firstLine="480" w:firstLineChars="200"/>
              <w:jc w:val="both"/>
              <w:outlineLvl w:val="1"/>
              <w:rPr>
                <w:rFonts w:cs="Times New Roman"/>
                <w:b w:val="0"/>
                <w:sz w:val="24"/>
              </w:rPr>
            </w:pPr>
            <w:r>
              <w:rPr>
                <w:rFonts w:hint="eastAsia" w:cs="Times New Roman"/>
                <w:b w:val="0"/>
                <w:sz w:val="24"/>
              </w:rPr>
              <w:t xml:space="preserve">（2） </w:t>
            </w:r>
            <w:r>
              <w:rPr>
                <w:rFonts w:cs="Times New Roman"/>
                <w:b w:val="0"/>
                <w:sz w:val="24"/>
              </w:rPr>
              <w:t>建筑物周围1.5</w:t>
            </w:r>
            <w:r>
              <w:rPr>
                <w:rFonts w:hint="eastAsia" w:cs="Times New Roman"/>
                <w:b w:val="0"/>
                <w:sz w:val="24"/>
              </w:rPr>
              <w:t>m</w:t>
            </w:r>
            <w:r>
              <w:rPr>
                <w:rFonts w:cs="Times New Roman"/>
                <w:b w:val="0"/>
                <w:sz w:val="24"/>
              </w:rPr>
              <w:t>外全部设置防尘布或不低于2000目/100平方</w:t>
            </w:r>
            <w:r>
              <w:rPr>
                <w:rFonts w:hint="eastAsia" w:cs="Times New Roman"/>
                <w:b w:val="0"/>
                <w:sz w:val="24"/>
              </w:rPr>
              <w:t>厘米</w:t>
            </w:r>
            <w:r>
              <w:rPr>
                <w:rFonts w:cs="Times New Roman"/>
                <w:b w:val="0"/>
                <w:sz w:val="24"/>
              </w:rPr>
              <w:t>的防尘网，防尘布（网）应先安装后动工，且防尘布（网）顶端应高于动工作业面2</w:t>
            </w:r>
            <w:r>
              <w:rPr>
                <w:rFonts w:hint="eastAsia" w:cs="Times New Roman"/>
                <w:b w:val="0"/>
                <w:sz w:val="24"/>
              </w:rPr>
              <w:t>m</w:t>
            </w:r>
            <w:r>
              <w:rPr>
                <w:rFonts w:cs="Times New Roman"/>
                <w:b w:val="0"/>
                <w:sz w:val="24"/>
              </w:rPr>
              <w:t>以上。</w:t>
            </w:r>
          </w:p>
          <w:p>
            <w:pPr>
              <w:pStyle w:val="5"/>
              <w:ind w:firstLine="480" w:firstLineChars="200"/>
              <w:jc w:val="both"/>
              <w:outlineLvl w:val="1"/>
              <w:rPr>
                <w:rFonts w:cs="Times New Roman"/>
                <w:b w:val="0"/>
                <w:sz w:val="24"/>
              </w:rPr>
            </w:pPr>
            <w:r>
              <w:rPr>
                <w:rFonts w:hint="eastAsia" w:cs="Times New Roman"/>
                <w:b w:val="0"/>
                <w:sz w:val="24"/>
              </w:rPr>
              <w:t xml:space="preserve">（3） </w:t>
            </w:r>
            <w:r>
              <w:rPr>
                <w:rFonts w:cs="Times New Roman"/>
                <w:b w:val="0"/>
                <w:sz w:val="24"/>
              </w:rPr>
              <w:t>合理选择建筑材料及土料的运输线路，施工工地进出道路和场内渣土运输道路必须进行硬化处理，易产生扬尘的散装物料、渣土和建筑垃圾的运输必须进行密闭式运输。</w:t>
            </w:r>
          </w:p>
          <w:p>
            <w:pPr>
              <w:pStyle w:val="20"/>
              <w:ind w:firstLine="480"/>
              <w:jc w:val="both"/>
            </w:pPr>
            <w:r>
              <w:rPr>
                <w:rFonts w:cs="Times New Roman"/>
              </w:rPr>
              <w:t>总之，施工期间不可避免的会对附近环境空气产生一定程度的影响，因此，在采取适当的防尘措施后，其影响可以降低到较小程度，不会对周围环境空气敏感点造成较大的污染影响。</w:t>
            </w:r>
          </w:p>
          <w:p>
            <w:pPr>
              <w:pStyle w:val="5"/>
              <w:numPr>
                <w:ilvl w:val="0"/>
                <w:numId w:val="17"/>
              </w:numPr>
              <w:jc w:val="both"/>
              <w:outlineLvl w:val="1"/>
            </w:pPr>
            <w:r>
              <w:rPr>
                <w:rFonts w:hint="eastAsia"/>
              </w:rPr>
              <w:t>施工期噪声污染防治措施</w:t>
            </w:r>
          </w:p>
          <w:p>
            <w:pPr>
              <w:pStyle w:val="20"/>
              <w:numPr>
                <w:ilvl w:val="0"/>
                <w:numId w:val="19"/>
              </w:numPr>
              <w:ind w:firstLine="480"/>
              <w:jc w:val="both"/>
            </w:pPr>
            <w:r>
              <w:t>合理安排工期。严格做到白天施工，噪声主要在昼间</w:t>
            </w:r>
            <w:r>
              <w:rPr>
                <w:rFonts w:hint="eastAsia"/>
              </w:rPr>
              <w:t>10</w:t>
            </w:r>
            <w:r>
              <w:t>:00～1</w:t>
            </w:r>
            <w:r>
              <w:rPr>
                <w:rFonts w:hint="eastAsia"/>
              </w:rPr>
              <w:t>4</w:t>
            </w:r>
            <w:r>
              <w:t>:00和1</w:t>
            </w:r>
            <w:r>
              <w:rPr>
                <w:rFonts w:hint="eastAsia"/>
              </w:rPr>
              <w:t>6</w:t>
            </w:r>
            <w:r>
              <w:t>:00～</w:t>
            </w:r>
            <w:r>
              <w:rPr>
                <w:rFonts w:hint="eastAsia"/>
              </w:rPr>
              <w:t>20</w:t>
            </w:r>
            <w:r>
              <w:t>:00时；对噪声源强较大的设备，应严格限制施工时间。</w:t>
            </w:r>
          </w:p>
          <w:p>
            <w:pPr>
              <w:pStyle w:val="20"/>
              <w:numPr>
                <w:ilvl w:val="0"/>
                <w:numId w:val="19"/>
              </w:numPr>
              <w:ind w:firstLine="480"/>
              <w:jc w:val="both"/>
            </w:pPr>
            <w:r>
              <w:t>进、离场运输车辆限速，禁止鸣笛；</w:t>
            </w:r>
          </w:p>
          <w:p>
            <w:pPr>
              <w:pStyle w:val="20"/>
              <w:numPr>
                <w:ilvl w:val="0"/>
                <w:numId w:val="19"/>
              </w:numPr>
              <w:ind w:firstLine="480"/>
              <w:jc w:val="both"/>
            </w:pPr>
            <w:r>
              <w:t>合理安排各类机械设备的使用时间，尽量不要同时操作，避免噪声叠加；对噪声较大的机械进行隔声及减振处理，对较小的产噪设备使用移动式隔声屏等措施；</w:t>
            </w:r>
          </w:p>
          <w:p>
            <w:pPr>
              <w:pStyle w:val="20"/>
              <w:numPr>
                <w:ilvl w:val="0"/>
                <w:numId w:val="19"/>
              </w:numPr>
              <w:ind w:firstLine="480"/>
              <w:jc w:val="both"/>
            </w:pPr>
            <w:r>
              <w:t>施工过程中装修器械、材料等的使用做到轻拿轻放，减少因强烈碰撞产生的噪声；</w:t>
            </w:r>
          </w:p>
          <w:p>
            <w:pPr>
              <w:pStyle w:val="20"/>
              <w:numPr>
                <w:ilvl w:val="0"/>
                <w:numId w:val="19"/>
              </w:numPr>
              <w:ind w:firstLine="480"/>
              <w:jc w:val="both"/>
            </w:pPr>
            <w:r>
              <w:t>严格执行《建筑工程施工现场管理规定》，文明施工，建立健全现场噪声管理责任制，加强对施工人员的素质培养，禁止大声喧哗；使用低噪声施工机械和其它辅助施工设备，采用选进的施工工艺和先进施工设备，禁止使用国家明令淘汰的产生噪声污染的落后施工工艺和施工机械</w:t>
            </w:r>
            <w:r>
              <w:rPr>
                <w:rFonts w:hint="eastAsia"/>
              </w:rPr>
              <w:t>。</w:t>
            </w:r>
          </w:p>
          <w:p>
            <w:pPr>
              <w:pStyle w:val="5"/>
              <w:numPr>
                <w:ilvl w:val="0"/>
                <w:numId w:val="17"/>
              </w:numPr>
              <w:jc w:val="both"/>
              <w:outlineLvl w:val="1"/>
            </w:pPr>
            <w:r>
              <w:rPr>
                <w:rFonts w:hint="eastAsia"/>
              </w:rPr>
              <w:t>施工期固体废物污染防治措施</w:t>
            </w:r>
          </w:p>
          <w:p>
            <w:pPr>
              <w:pStyle w:val="20"/>
              <w:ind w:firstLine="480"/>
              <w:jc w:val="both"/>
            </w:pPr>
            <w:r>
              <w:rPr>
                <w:rFonts w:hint="eastAsia"/>
              </w:rPr>
              <w:t>施工期固体废物主要是建筑垃圾和施工人员的生活垃圾，建筑垃圾主要包括碎砖、包装箱、包装袋等。施工场地土方基本可做到场内平衡，碎砖等做地基填料，包装箱、包装袋等回收利用或销售给废品收购站；生活垃圾收集后及时清运至生活垃圾填埋场填埋。</w:t>
            </w:r>
          </w:p>
          <w:p>
            <w:pPr>
              <w:pStyle w:val="20"/>
              <w:ind w:firstLine="480"/>
              <w:jc w:val="both"/>
            </w:pPr>
            <w:r>
              <w:rPr>
                <w:rFonts w:hint="eastAsia"/>
              </w:rPr>
              <w:t>采取上述措施后，施工期固体废物可得到妥善处置和综合利用，对环境影响较小。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433" w:type="dxa"/>
            <w:tcBorders>
              <w:tl2br w:val="nil"/>
              <w:tr2bl w:val="nil"/>
            </w:tcBorders>
            <w:vAlign w:val="center"/>
          </w:tcPr>
          <w:p>
            <w:pPr>
              <w:adjustRightInd w:val="0"/>
              <w:snapToGrid w:val="0"/>
              <w:jc w:val="center"/>
              <w:rPr>
                <w:rFonts w:ascii="宋体" w:hAnsi="宋体" w:cs="宋体"/>
                <w:bCs/>
                <w:szCs w:val="21"/>
              </w:rPr>
            </w:pPr>
            <w:r>
              <w:rPr>
                <w:rFonts w:hint="eastAsia" w:ascii="宋体" w:hAnsi="宋体" w:cs="宋体"/>
                <w:bCs/>
                <w:szCs w:val="21"/>
              </w:rPr>
              <w:t>运营</w:t>
            </w:r>
          </w:p>
          <w:p>
            <w:pPr>
              <w:adjustRightInd w:val="0"/>
              <w:snapToGrid w:val="0"/>
              <w:jc w:val="center"/>
              <w:rPr>
                <w:rFonts w:ascii="宋体" w:hAnsi="宋体" w:cs="宋体"/>
                <w:bCs/>
                <w:szCs w:val="21"/>
              </w:rPr>
            </w:pPr>
            <w:r>
              <w:rPr>
                <w:rFonts w:hint="eastAsia" w:ascii="宋体" w:hAnsi="宋体" w:cs="宋体"/>
                <w:bCs/>
                <w:szCs w:val="21"/>
              </w:rPr>
              <w:t>期环</w:t>
            </w:r>
          </w:p>
          <w:p>
            <w:pPr>
              <w:adjustRightInd w:val="0"/>
              <w:snapToGrid w:val="0"/>
              <w:jc w:val="center"/>
              <w:rPr>
                <w:rFonts w:ascii="宋体" w:hAnsi="宋体" w:cs="宋体"/>
                <w:bCs/>
                <w:szCs w:val="21"/>
              </w:rPr>
            </w:pPr>
            <w:r>
              <w:rPr>
                <w:rFonts w:hint="eastAsia" w:ascii="宋体" w:hAnsi="宋体" w:cs="宋体"/>
                <w:bCs/>
                <w:szCs w:val="21"/>
              </w:rPr>
              <w:t>境影</w:t>
            </w:r>
          </w:p>
          <w:p>
            <w:pPr>
              <w:adjustRightInd w:val="0"/>
              <w:snapToGrid w:val="0"/>
              <w:jc w:val="center"/>
              <w:rPr>
                <w:rFonts w:ascii="宋体" w:hAnsi="宋体" w:cs="宋体"/>
                <w:bCs/>
                <w:szCs w:val="21"/>
              </w:rPr>
            </w:pPr>
            <w:r>
              <w:rPr>
                <w:rFonts w:hint="eastAsia" w:ascii="宋体" w:hAnsi="宋体" w:cs="宋体"/>
                <w:bCs/>
                <w:szCs w:val="21"/>
              </w:rPr>
              <w:t>响和</w:t>
            </w:r>
          </w:p>
          <w:p>
            <w:pPr>
              <w:adjustRightInd w:val="0"/>
              <w:snapToGrid w:val="0"/>
              <w:jc w:val="center"/>
              <w:rPr>
                <w:rFonts w:ascii="宋体" w:hAnsi="宋体" w:cs="宋体"/>
                <w:bCs/>
                <w:szCs w:val="21"/>
              </w:rPr>
            </w:pPr>
            <w:r>
              <w:rPr>
                <w:rFonts w:hint="eastAsia" w:ascii="宋体" w:hAnsi="宋体" w:cs="宋体"/>
                <w:bCs/>
                <w:szCs w:val="21"/>
              </w:rPr>
              <w:t>保护</w:t>
            </w:r>
          </w:p>
          <w:p>
            <w:pPr>
              <w:jc w:val="center"/>
            </w:pPr>
            <w:r>
              <w:rPr>
                <w:rFonts w:hint="eastAsia"/>
              </w:rPr>
              <w:t>措施</w:t>
            </w:r>
          </w:p>
        </w:tc>
        <w:tc>
          <w:tcPr>
            <w:tcW w:w="8089" w:type="dxa"/>
            <w:tcBorders>
              <w:tl2br w:val="nil"/>
              <w:tr2bl w:val="nil"/>
            </w:tcBorders>
          </w:tcPr>
          <w:p>
            <w:pPr>
              <w:pStyle w:val="5"/>
              <w:numPr>
                <w:ilvl w:val="0"/>
                <w:numId w:val="20"/>
              </w:numPr>
              <w:jc w:val="both"/>
              <w:outlineLvl w:val="1"/>
            </w:pPr>
            <w:r>
              <w:rPr>
                <w:rFonts w:hint="eastAsia"/>
              </w:rPr>
              <w:t>废水环境影响和保护措施</w:t>
            </w:r>
          </w:p>
          <w:p>
            <w:pPr>
              <w:pStyle w:val="20"/>
              <w:ind w:firstLine="480"/>
              <w:jc w:val="both"/>
            </w:pPr>
            <w:r>
              <w:rPr>
                <w:rFonts w:hint="eastAsia"/>
              </w:rPr>
              <w:t>本项目营运期废水主要为生产设备清洗废水、生活污水。</w:t>
            </w:r>
          </w:p>
          <w:p>
            <w:pPr>
              <w:pStyle w:val="6"/>
              <w:jc w:val="both"/>
              <w:outlineLvl w:val="2"/>
            </w:pPr>
            <w:r>
              <w:rPr>
                <w:rFonts w:hint="eastAsia"/>
              </w:rPr>
              <w:t>1.1 生产废水</w:t>
            </w:r>
          </w:p>
          <w:p>
            <w:pPr>
              <w:pStyle w:val="20"/>
              <w:ind w:firstLine="480"/>
              <w:jc w:val="both"/>
            </w:pPr>
            <w:r>
              <w:rPr>
                <w:rFonts w:hint="eastAsia"/>
              </w:rPr>
              <w:t>（1） 清洗废水</w:t>
            </w:r>
          </w:p>
          <w:p>
            <w:pPr>
              <w:pStyle w:val="20"/>
              <w:ind w:firstLine="480"/>
              <w:jc w:val="both"/>
            </w:pPr>
            <w:r>
              <w:rPr>
                <w:rFonts w:hint="eastAsia"/>
              </w:rPr>
              <w:t>根据水平衡分析，营运期车辆、搅拌机及模具需定期清洗，产生清洗废水量约0.1</w:t>
            </w:r>
            <w:r>
              <w:t>m³/d</w:t>
            </w:r>
            <w:r>
              <w:rPr>
                <w:rFonts w:hint="eastAsia"/>
              </w:rPr>
              <w:t>，清洗废水主要污染物为SS，清洗废水经新建沉淀池2m</w:t>
            </w:r>
            <w:r>
              <w:rPr>
                <w:rFonts w:hint="eastAsia"/>
                <w:vertAlign w:val="superscript"/>
              </w:rPr>
              <w:t>3</w:t>
            </w:r>
            <w:r>
              <w:rPr>
                <w:rFonts w:hint="eastAsia"/>
              </w:rPr>
              <w:t>收集处理后回用于生产，不外排</w:t>
            </w:r>
            <w:r>
              <w:t>。</w:t>
            </w:r>
          </w:p>
          <w:p>
            <w:pPr>
              <w:pStyle w:val="20"/>
              <w:ind w:firstLine="480"/>
              <w:jc w:val="both"/>
            </w:pPr>
            <w:r>
              <w:rPr>
                <w:rFonts w:hint="eastAsia"/>
                <w:lang w:eastAsia="zh-CN"/>
              </w:rPr>
              <w:t>（</w:t>
            </w:r>
            <w:r>
              <w:rPr>
                <w:rFonts w:hint="eastAsia"/>
                <w:lang w:val="en-US" w:eastAsia="zh-CN"/>
              </w:rPr>
              <w:t>2</w:t>
            </w:r>
            <w:r>
              <w:rPr>
                <w:rFonts w:hint="eastAsia"/>
                <w:lang w:eastAsia="zh-CN"/>
              </w:rPr>
              <w:t>）</w:t>
            </w:r>
            <w:r>
              <w:rPr>
                <w:rFonts w:hint="eastAsia"/>
                <w:lang w:val="en-US" w:eastAsia="zh-CN"/>
              </w:rPr>
              <w:t xml:space="preserve"> </w:t>
            </w:r>
            <w:r>
              <w:t>原料混合用水</w:t>
            </w:r>
          </w:p>
          <w:p>
            <w:pPr>
              <w:pStyle w:val="20"/>
              <w:ind w:firstLine="480"/>
              <w:jc w:val="both"/>
            </w:pPr>
            <w:r>
              <w:t>根据建设单位提供资料，用水量约为</w:t>
            </w:r>
            <w:r>
              <w:rPr>
                <w:rFonts w:hint="eastAsia"/>
              </w:rPr>
              <w:t>6</w:t>
            </w:r>
            <w:r>
              <w:t>00m</w:t>
            </w:r>
            <w:r>
              <w:rPr>
                <w:vertAlign w:val="superscript"/>
              </w:rPr>
              <w:t>3</w:t>
            </w:r>
            <w:r>
              <w:t>/a，生产用水全部进入产品，不外排。</w:t>
            </w:r>
          </w:p>
          <w:p>
            <w:pPr>
              <w:pStyle w:val="6"/>
              <w:jc w:val="both"/>
              <w:outlineLvl w:val="2"/>
            </w:pPr>
            <w:r>
              <w:rPr>
                <w:rFonts w:hint="eastAsia"/>
              </w:rPr>
              <w:t>1.2 生活污水</w:t>
            </w:r>
          </w:p>
          <w:p>
            <w:pPr>
              <w:pStyle w:val="20"/>
              <w:ind w:firstLine="480"/>
              <w:jc w:val="both"/>
            </w:pPr>
            <w:r>
              <w:rPr>
                <w:rFonts w:hint="eastAsia"/>
              </w:rPr>
              <w:t>根据水量平衡分析，本项目营运期劳动定员10人，生活污水主要污染物为COD、SS、BOD</w:t>
            </w:r>
            <w:r>
              <w:rPr>
                <w:rFonts w:hint="eastAsia"/>
                <w:vertAlign w:val="subscript"/>
              </w:rPr>
              <w:t>5</w:t>
            </w:r>
            <w:r>
              <w:rPr>
                <w:rFonts w:hint="eastAsia"/>
              </w:rPr>
              <w:t>、NH</w:t>
            </w:r>
            <w:r>
              <w:rPr>
                <w:rFonts w:hint="eastAsia"/>
                <w:vertAlign w:val="subscript"/>
              </w:rPr>
              <w:t>3</w:t>
            </w:r>
            <w:r>
              <w:rPr>
                <w:rFonts w:hint="eastAsia"/>
              </w:rPr>
              <w:t>-N等。每人每天用水量按照50L/人.d计，则用水量为0.5m</w:t>
            </w:r>
            <w:r>
              <w:rPr>
                <w:rFonts w:hint="eastAsia"/>
                <w:vertAlign w:val="superscript"/>
              </w:rPr>
              <w:t>3</w:t>
            </w:r>
            <w:r>
              <w:rPr>
                <w:rFonts w:hint="eastAsia"/>
              </w:rPr>
              <w:t>/d（105m</w:t>
            </w:r>
            <w:r>
              <w:rPr>
                <w:rFonts w:hint="eastAsia"/>
                <w:vertAlign w:val="superscript"/>
              </w:rPr>
              <w:t>3</w:t>
            </w:r>
            <w:r>
              <w:rPr>
                <w:rFonts w:hint="eastAsia"/>
              </w:rPr>
              <w:t>/a），排放的污水量按用水量的80%计，则排水量约为0.4m</w:t>
            </w:r>
            <w:r>
              <w:rPr>
                <w:rFonts w:hint="eastAsia"/>
                <w:vertAlign w:val="superscript"/>
              </w:rPr>
              <w:t>3</w:t>
            </w:r>
            <w:r>
              <w:rPr>
                <w:rFonts w:hint="eastAsia"/>
              </w:rPr>
              <w:t>/d（84m</w:t>
            </w:r>
            <w:r>
              <w:rPr>
                <w:rFonts w:hint="eastAsia"/>
                <w:vertAlign w:val="superscript"/>
              </w:rPr>
              <w:t>3</w:t>
            </w:r>
            <w:r>
              <w:rPr>
                <w:rFonts w:hint="eastAsia"/>
              </w:rPr>
              <w:t>/a）。</w:t>
            </w:r>
          </w:p>
          <w:p>
            <w:pPr>
              <w:pStyle w:val="32"/>
            </w:pPr>
            <w:r>
              <w:rPr>
                <w:rFonts w:hint="eastAsia"/>
              </w:rPr>
              <w:t>表4-1    污水排放量及污染物浓度详情见。</w:t>
            </w:r>
          </w:p>
          <w:tbl>
            <w:tblPr>
              <w:tblStyle w:val="25"/>
              <w:tblW w:w="7873"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91"/>
              <w:gridCol w:w="928"/>
              <w:gridCol w:w="1201"/>
              <w:gridCol w:w="1216"/>
              <w:gridCol w:w="1261"/>
              <w:gridCol w:w="12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76" w:type="dxa"/>
                  <w:vMerge w:val="restart"/>
                  <w:tcBorders>
                    <w:bottom w:val="single" w:color="auto" w:sz="4" w:space="0"/>
                  </w:tcBorders>
                  <w:vAlign w:val="center"/>
                </w:tcPr>
                <w:p>
                  <w:pPr>
                    <w:pStyle w:val="33"/>
                    <w:widowControl w:val="0"/>
                    <w:rPr>
                      <w:b/>
                      <w:bCs/>
                      <w:lang w:val="en-US" w:eastAsia="zh-CN"/>
                    </w:rPr>
                  </w:pPr>
                  <w:r>
                    <w:rPr>
                      <w:rFonts w:hint="eastAsia"/>
                      <w:b/>
                      <w:bCs/>
                      <w:lang w:val="en-US" w:eastAsia="zh-CN"/>
                    </w:rPr>
                    <w:t>污染源</w:t>
                  </w:r>
                </w:p>
              </w:tc>
              <w:tc>
                <w:tcPr>
                  <w:tcW w:w="891" w:type="dxa"/>
                  <w:vMerge w:val="restart"/>
                  <w:tcBorders>
                    <w:bottom w:val="single" w:color="auto" w:sz="4" w:space="0"/>
                  </w:tcBorders>
                  <w:vAlign w:val="center"/>
                </w:tcPr>
                <w:p>
                  <w:pPr>
                    <w:pStyle w:val="33"/>
                    <w:widowControl w:val="0"/>
                    <w:rPr>
                      <w:b/>
                      <w:bCs/>
                      <w:lang w:val="en-US" w:eastAsia="zh-CN"/>
                    </w:rPr>
                  </w:pPr>
                  <w:r>
                    <w:rPr>
                      <w:rFonts w:hint="eastAsia"/>
                      <w:b/>
                      <w:bCs/>
                      <w:lang w:val="en-US" w:eastAsia="zh-CN"/>
                    </w:rPr>
                    <w:t>污染物</w:t>
                  </w:r>
                </w:p>
              </w:tc>
              <w:tc>
                <w:tcPr>
                  <w:tcW w:w="2129" w:type="dxa"/>
                  <w:gridSpan w:val="2"/>
                  <w:tcBorders>
                    <w:bottom w:val="single" w:color="auto" w:sz="4" w:space="0"/>
                  </w:tcBorders>
                  <w:vAlign w:val="center"/>
                </w:tcPr>
                <w:p>
                  <w:pPr>
                    <w:pStyle w:val="33"/>
                    <w:widowControl w:val="0"/>
                    <w:rPr>
                      <w:b/>
                      <w:bCs/>
                      <w:lang w:val="en-US" w:eastAsia="zh-CN"/>
                    </w:rPr>
                  </w:pPr>
                  <w:r>
                    <w:rPr>
                      <w:rFonts w:hint="eastAsia"/>
                      <w:b/>
                      <w:bCs/>
                      <w:lang w:val="en-US" w:eastAsia="zh-CN"/>
                    </w:rPr>
                    <w:t>产生情况</w:t>
                  </w:r>
                </w:p>
              </w:tc>
              <w:tc>
                <w:tcPr>
                  <w:tcW w:w="1216" w:type="dxa"/>
                  <w:vMerge w:val="restart"/>
                  <w:tcBorders>
                    <w:bottom w:val="single" w:color="auto" w:sz="4" w:space="0"/>
                  </w:tcBorders>
                  <w:vAlign w:val="center"/>
                </w:tcPr>
                <w:p>
                  <w:pPr>
                    <w:pStyle w:val="33"/>
                    <w:widowControl w:val="0"/>
                    <w:rPr>
                      <w:b/>
                      <w:bCs/>
                      <w:lang w:val="en-US" w:eastAsia="zh-CN"/>
                    </w:rPr>
                  </w:pPr>
                  <w:r>
                    <w:rPr>
                      <w:rFonts w:hint="eastAsia"/>
                      <w:b/>
                      <w:bCs/>
                      <w:lang w:val="en-US" w:eastAsia="zh-CN"/>
                    </w:rPr>
                    <w:t>排放去向</w:t>
                  </w:r>
                </w:p>
              </w:tc>
              <w:tc>
                <w:tcPr>
                  <w:tcW w:w="2461" w:type="dxa"/>
                  <w:gridSpan w:val="2"/>
                  <w:tcBorders>
                    <w:bottom w:val="single" w:color="auto" w:sz="4" w:space="0"/>
                  </w:tcBorders>
                  <w:vAlign w:val="center"/>
                </w:tcPr>
                <w:p>
                  <w:pPr>
                    <w:pStyle w:val="33"/>
                    <w:widowControl w:val="0"/>
                    <w:rPr>
                      <w:b/>
                      <w:bCs/>
                      <w:lang w:val="en-US" w:eastAsia="zh-CN"/>
                    </w:rPr>
                  </w:pPr>
                  <w:r>
                    <w:rPr>
                      <w:rFonts w:hint="eastAsia"/>
                      <w:b/>
                      <w:bCs/>
                      <w:lang w:val="en-US" w:eastAsia="zh-CN"/>
                    </w:rP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76" w:type="dxa"/>
                  <w:vMerge w:val="continue"/>
                  <w:tcBorders>
                    <w:top w:val="single" w:color="auto" w:sz="4" w:space="0"/>
                    <w:bottom w:val="single" w:color="auto" w:sz="12" w:space="0"/>
                  </w:tcBorders>
                  <w:vAlign w:val="center"/>
                </w:tcPr>
                <w:p>
                  <w:pPr>
                    <w:pStyle w:val="33"/>
                    <w:widowControl w:val="0"/>
                    <w:rPr>
                      <w:b/>
                      <w:bCs/>
                      <w:lang w:val="en-US" w:eastAsia="zh-CN"/>
                    </w:rPr>
                  </w:pPr>
                </w:p>
              </w:tc>
              <w:tc>
                <w:tcPr>
                  <w:tcW w:w="891" w:type="dxa"/>
                  <w:vMerge w:val="continue"/>
                  <w:tcBorders>
                    <w:top w:val="single" w:color="auto" w:sz="4" w:space="0"/>
                    <w:bottom w:val="single" w:color="auto" w:sz="12" w:space="0"/>
                  </w:tcBorders>
                  <w:vAlign w:val="center"/>
                </w:tcPr>
                <w:p>
                  <w:pPr>
                    <w:pStyle w:val="33"/>
                    <w:widowControl w:val="0"/>
                    <w:rPr>
                      <w:b/>
                      <w:bCs/>
                      <w:lang w:val="en-US" w:eastAsia="zh-CN"/>
                    </w:rPr>
                  </w:pPr>
                </w:p>
              </w:tc>
              <w:tc>
                <w:tcPr>
                  <w:tcW w:w="928" w:type="dxa"/>
                  <w:tcBorders>
                    <w:top w:val="single" w:color="auto" w:sz="4" w:space="0"/>
                    <w:bottom w:val="single" w:color="auto" w:sz="12" w:space="0"/>
                  </w:tcBorders>
                  <w:vAlign w:val="center"/>
                </w:tcPr>
                <w:p>
                  <w:pPr>
                    <w:pStyle w:val="33"/>
                    <w:widowControl w:val="0"/>
                    <w:rPr>
                      <w:b/>
                      <w:bCs/>
                      <w:lang w:val="en-US" w:eastAsia="zh-CN"/>
                    </w:rPr>
                  </w:pPr>
                  <w:r>
                    <w:rPr>
                      <w:rFonts w:hint="eastAsia"/>
                      <w:b/>
                      <w:bCs/>
                      <w:lang w:val="en-US" w:eastAsia="zh-CN"/>
                    </w:rPr>
                    <w:t>产生量</w:t>
                  </w:r>
                </w:p>
              </w:tc>
              <w:tc>
                <w:tcPr>
                  <w:tcW w:w="1201" w:type="dxa"/>
                  <w:tcBorders>
                    <w:top w:val="single" w:color="auto" w:sz="4" w:space="0"/>
                    <w:bottom w:val="single" w:color="auto" w:sz="12" w:space="0"/>
                  </w:tcBorders>
                  <w:vAlign w:val="center"/>
                </w:tcPr>
                <w:p>
                  <w:pPr>
                    <w:pStyle w:val="33"/>
                    <w:widowControl w:val="0"/>
                    <w:rPr>
                      <w:b/>
                      <w:bCs/>
                      <w:lang w:val="en-US" w:eastAsia="zh-CN"/>
                    </w:rPr>
                  </w:pPr>
                  <w:r>
                    <w:rPr>
                      <w:rFonts w:hint="eastAsia"/>
                      <w:b/>
                      <w:bCs/>
                      <w:lang w:val="en-US" w:eastAsia="zh-CN"/>
                    </w:rPr>
                    <w:t>浓度</w:t>
                  </w:r>
                </w:p>
              </w:tc>
              <w:tc>
                <w:tcPr>
                  <w:tcW w:w="1216" w:type="dxa"/>
                  <w:vMerge w:val="continue"/>
                  <w:tcBorders>
                    <w:top w:val="single" w:color="auto" w:sz="4" w:space="0"/>
                    <w:bottom w:val="single" w:color="auto" w:sz="12" w:space="0"/>
                  </w:tcBorders>
                  <w:vAlign w:val="center"/>
                </w:tcPr>
                <w:p>
                  <w:pPr>
                    <w:pStyle w:val="33"/>
                    <w:widowControl w:val="0"/>
                    <w:rPr>
                      <w:b/>
                      <w:bCs/>
                      <w:lang w:val="en-US" w:eastAsia="zh-CN"/>
                    </w:rPr>
                  </w:pPr>
                </w:p>
              </w:tc>
              <w:tc>
                <w:tcPr>
                  <w:tcW w:w="1261" w:type="dxa"/>
                  <w:tcBorders>
                    <w:top w:val="single" w:color="auto" w:sz="4" w:space="0"/>
                    <w:bottom w:val="single" w:color="auto" w:sz="12" w:space="0"/>
                  </w:tcBorders>
                  <w:vAlign w:val="center"/>
                </w:tcPr>
                <w:p>
                  <w:pPr>
                    <w:pStyle w:val="33"/>
                    <w:widowControl w:val="0"/>
                    <w:rPr>
                      <w:b/>
                      <w:bCs/>
                      <w:lang w:val="en-US" w:eastAsia="zh-CN"/>
                    </w:rPr>
                  </w:pPr>
                  <w:r>
                    <w:rPr>
                      <w:rFonts w:hint="eastAsia"/>
                      <w:b/>
                      <w:bCs/>
                      <w:lang w:val="en-US" w:eastAsia="zh-CN"/>
                    </w:rPr>
                    <w:t>排放量t/d</w:t>
                  </w:r>
                </w:p>
              </w:tc>
              <w:tc>
                <w:tcPr>
                  <w:tcW w:w="1200" w:type="dxa"/>
                  <w:tcBorders>
                    <w:top w:val="single" w:color="auto" w:sz="4" w:space="0"/>
                    <w:bottom w:val="single" w:color="auto" w:sz="12" w:space="0"/>
                  </w:tcBorders>
                  <w:vAlign w:val="center"/>
                </w:tcPr>
                <w:p>
                  <w:pPr>
                    <w:pStyle w:val="33"/>
                    <w:widowControl w:val="0"/>
                    <w:rPr>
                      <w:b/>
                      <w:bCs/>
                      <w:lang w:val="en-US" w:eastAsia="zh-CN"/>
                    </w:rPr>
                  </w:pPr>
                  <w:r>
                    <w:rPr>
                      <w:rFonts w:hint="eastAsia"/>
                      <w:b/>
                      <w:bCs/>
                      <w:lang w:val="en-US" w:eastAsia="zh-CN"/>
                    </w:rPr>
                    <w:t>浓度</w:t>
                  </w:r>
                  <w:r>
                    <w:rPr>
                      <w:b/>
                      <w:bCs/>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76" w:type="dxa"/>
                  <w:vMerge w:val="restart"/>
                  <w:tcBorders>
                    <w:top w:val="single" w:color="auto" w:sz="12" w:space="0"/>
                    <w:tl2br w:val="nil"/>
                    <w:tr2bl w:val="nil"/>
                  </w:tcBorders>
                  <w:vAlign w:val="center"/>
                </w:tcPr>
                <w:p>
                  <w:pPr>
                    <w:pStyle w:val="33"/>
                    <w:widowControl w:val="0"/>
                    <w:rPr>
                      <w:lang w:val="en-US" w:eastAsia="zh-CN"/>
                    </w:rPr>
                  </w:pPr>
                  <w:r>
                    <w:rPr>
                      <w:rFonts w:hint="eastAsia"/>
                      <w:lang w:val="en-US" w:eastAsia="zh-CN"/>
                    </w:rPr>
                    <w:t>生活</w:t>
                  </w:r>
                </w:p>
                <w:p>
                  <w:pPr>
                    <w:pStyle w:val="33"/>
                    <w:widowControl w:val="0"/>
                    <w:rPr>
                      <w:lang w:val="en-US" w:eastAsia="zh-CN"/>
                    </w:rPr>
                  </w:pPr>
                  <w:r>
                    <w:rPr>
                      <w:rFonts w:hint="eastAsia"/>
                      <w:lang w:val="en-US" w:eastAsia="zh-CN"/>
                    </w:rPr>
                    <w:t>污水</w:t>
                  </w:r>
                </w:p>
                <w:p>
                  <w:pPr>
                    <w:pStyle w:val="33"/>
                    <w:widowControl w:val="0"/>
                    <w:rPr>
                      <w:lang w:val="en-US" w:eastAsia="zh-CN"/>
                    </w:rPr>
                  </w:pPr>
                  <w:r>
                    <w:rPr>
                      <w:rFonts w:hint="eastAsia"/>
                      <w:lang w:val="en-US" w:eastAsia="zh-CN"/>
                    </w:rPr>
                    <w:t>84</w:t>
                  </w:r>
                  <w:r>
                    <w:rPr>
                      <w:lang w:val="en-US" w:eastAsia="zh-CN"/>
                    </w:rPr>
                    <w:t>m</w:t>
                  </w:r>
                  <w:r>
                    <w:rPr>
                      <w:vertAlign w:val="superscript"/>
                      <w:lang w:val="en-US" w:eastAsia="zh-CN"/>
                    </w:rPr>
                    <w:t>3</w:t>
                  </w:r>
                  <w:r>
                    <w:rPr>
                      <w:lang w:val="en-US" w:eastAsia="zh-CN"/>
                    </w:rPr>
                    <w:t>/a</w:t>
                  </w:r>
                </w:p>
              </w:tc>
              <w:tc>
                <w:tcPr>
                  <w:tcW w:w="891" w:type="dxa"/>
                  <w:tcBorders>
                    <w:top w:val="single" w:color="auto" w:sz="12" w:space="0"/>
                    <w:tl2br w:val="nil"/>
                    <w:tr2bl w:val="nil"/>
                  </w:tcBorders>
                  <w:vAlign w:val="center"/>
                </w:tcPr>
                <w:p>
                  <w:pPr>
                    <w:pStyle w:val="33"/>
                    <w:widowControl w:val="0"/>
                    <w:rPr>
                      <w:lang w:val="en-US" w:eastAsia="zh-CN"/>
                    </w:rPr>
                  </w:pPr>
                  <w:r>
                    <w:rPr>
                      <w:lang w:val="en-US" w:eastAsia="zh-CN"/>
                    </w:rPr>
                    <w:t>COD</w:t>
                  </w:r>
                </w:p>
              </w:tc>
              <w:tc>
                <w:tcPr>
                  <w:tcW w:w="928" w:type="dxa"/>
                  <w:tcBorders>
                    <w:top w:val="single" w:color="auto" w:sz="12" w:space="0"/>
                    <w:tl2br w:val="nil"/>
                    <w:tr2bl w:val="nil"/>
                  </w:tcBorders>
                  <w:vAlign w:val="center"/>
                </w:tcPr>
                <w:p>
                  <w:pPr>
                    <w:pStyle w:val="33"/>
                    <w:widowControl w:val="0"/>
                    <w:rPr>
                      <w:lang w:val="en-US" w:eastAsia="zh-CN"/>
                    </w:rPr>
                  </w:pPr>
                  <w:r>
                    <w:rPr>
                      <w:rFonts w:hint="eastAsia"/>
                      <w:lang w:val="en-US" w:eastAsia="zh-CN"/>
                    </w:rPr>
                    <w:t>0.029</w:t>
                  </w:r>
                  <w:r>
                    <w:rPr>
                      <w:lang w:val="en-US" w:eastAsia="zh-CN"/>
                    </w:rPr>
                    <w:t>t/a</w:t>
                  </w:r>
                </w:p>
              </w:tc>
              <w:tc>
                <w:tcPr>
                  <w:tcW w:w="1201" w:type="dxa"/>
                  <w:tcBorders>
                    <w:top w:val="single" w:color="auto" w:sz="12" w:space="0"/>
                    <w:tl2br w:val="nil"/>
                    <w:tr2bl w:val="nil"/>
                  </w:tcBorders>
                  <w:vAlign w:val="center"/>
                </w:tcPr>
                <w:p>
                  <w:pPr>
                    <w:pStyle w:val="33"/>
                    <w:widowControl w:val="0"/>
                    <w:rPr>
                      <w:lang w:val="en-US" w:eastAsia="zh-CN"/>
                    </w:rPr>
                  </w:pPr>
                  <w:r>
                    <w:rPr>
                      <w:lang w:val="en-US" w:eastAsia="zh-CN"/>
                    </w:rPr>
                    <w:t>350mg/L</w:t>
                  </w:r>
                </w:p>
              </w:tc>
              <w:tc>
                <w:tcPr>
                  <w:tcW w:w="1216" w:type="dxa"/>
                  <w:vMerge w:val="restart"/>
                  <w:tcBorders>
                    <w:top w:val="single" w:color="auto" w:sz="12" w:space="0"/>
                    <w:tl2br w:val="nil"/>
                    <w:tr2bl w:val="nil"/>
                  </w:tcBorders>
                  <w:vAlign w:val="center"/>
                </w:tcPr>
                <w:p>
                  <w:pPr>
                    <w:pStyle w:val="33"/>
                    <w:widowControl w:val="0"/>
                    <w:rPr>
                      <w:lang w:val="en-US" w:eastAsia="zh-CN"/>
                    </w:rPr>
                  </w:pPr>
                  <w:r>
                    <w:rPr>
                      <w:rFonts w:hint="eastAsia"/>
                      <w:lang w:val="en-US" w:eastAsia="zh-CN"/>
                    </w:rPr>
                    <w:t>园区污水管网</w:t>
                  </w:r>
                </w:p>
              </w:tc>
              <w:tc>
                <w:tcPr>
                  <w:tcW w:w="1261" w:type="dxa"/>
                  <w:tcBorders>
                    <w:top w:val="single" w:color="auto" w:sz="12" w:space="0"/>
                    <w:tl2br w:val="nil"/>
                    <w:tr2bl w:val="nil"/>
                  </w:tcBorders>
                  <w:vAlign w:val="center"/>
                </w:tcPr>
                <w:p>
                  <w:pPr>
                    <w:pStyle w:val="33"/>
                    <w:widowControl w:val="0"/>
                    <w:rPr>
                      <w:lang w:val="en-US" w:eastAsia="zh-CN"/>
                    </w:rPr>
                  </w:pPr>
                  <w:r>
                    <w:rPr>
                      <w:rFonts w:hint="eastAsia"/>
                      <w:lang w:val="en-US" w:eastAsia="zh-CN"/>
                    </w:rPr>
                    <w:t>0.029</w:t>
                  </w:r>
                  <w:r>
                    <w:rPr>
                      <w:lang w:val="en-US" w:eastAsia="zh-CN"/>
                    </w:rPr>
                    <w:t>t/a</w:t>
                  </w:r>
                </w:p>
              </w:tc>
              <w:tc>
                <w:tcPr>
                  <w:tcW w:w="1200" w:type="dxa"/>
                  <w:tcBorders>
                    <w:top w:val="single" w:color="auto" w:sz="12" w:space="0"/>
                    <w:tl2br w:val="nil"/>
                    <w:tr2bl w:val="nil"/>
                  </w:tcBorders>
                  <w:vAlign w:val="center"/>
                </w:tcPr>
                <w:p>
                  <w:pPr>
                    <w:pStyle w:val="33"/>
                    <w:widowControl w:val="0"/>
                    <w:rPr>
                      <w:lang w:val="en-US" w:eastAsia="zh-CN"/>
                    </w:rPr>
                  </w:pPr>
                  <w:r>
                    <w:rPr>
                      <w:lang w:val="en-US" w:eastAsia="zh-CN"/>
                    </w:rPr>
                    <w:t>350mg/L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76" w:type="dxa"/>
                  <w:vMerge w:val="continue"/>
                  <w:tcBorders>
                    <w:tl2br w:val="nil"/>
                    <w:tr2bl w:val="nil"/>
                  </w:tcBorders>
                  <w:vAlign w:val="center"/>
                </w:tcPr>
                <w:p>
                  <w:pPr>
                    <w:pStyle w:val="33"/>
                    <w:widowControl w:val="0"/>
                    <w:rPr>
                      <w:lang w:val="en-US" w:eastAsia="zh-CN"/>
                    </w:rPr>
                  </w:pPr>
                </w:p>
              </w:tc>
              <w:tc>
                <w:tcPr>
                  <w:tcW w:w="891" w:type="dxa"/>
                  <w:tcBorders>
                    <w:tl2br w:val="nil"/>
                    <w:tr2bl w:val="nil"/>
                  </w:tcBorders>
                  <w:vAlign w:val="center"/>
                </w:tcPr>
                <w:p>
                  <w:pPr>
                    <w:pStyle w:val="33"/>
                    <w:widowControl w:val="0"/>
                    <w:rPr>
                      <w:lang w:val="en-US" w:eastAsia="zh-CN"/>
                    </w:rPr>
                  </w:pPr>
                  <w:r>
                    <w:rPr>
                      <w:lang w:val="en-US" w:eastAsia="zh-CN"/>
                    </w:rPr>
                    <w:t>SS</w:t>
                  </w:r>
                </w:p>
              </w:tc>
              <w:tc>
                <w:tcPr>
                  <w:tcW w:w="928" w:type="dxa"/>
                  <w:tcBorders>
                    <w:tl2br w:val="nil"/>
                    <w:tr2bl w:val="nil"/>
                  </w:tcBorders>
                  <w:vAlign w:val="center"/>
                </w:tcPr>
                <w:p>
                  <w:pPr>
                    <w:pStyle w:val="33"/>
                    <w:widowControl w:val="0"/>
                    <w:rPr>
                      <w:lang w:val="en-US" w:eastAsia="zh-CN"/>
                    </w:rPr>
                  </w:pPr>
                  <w:r>
                    <w:rPr>
                      <w:rFonts w:hint="eastAsia"/>
                      <w:lang w:val="en-US" w:eastAsia="zh-CN"/>
                    </w:rPr>
                    <w:t>0.017</w:t>
                  </w:r>
                  <w:r>
                    <w:rPr>
                      <w:lang w:val="en-US" w:eastAsia="zh-CN"/>
                    </w:rPr>
                    <w:t>t/a</w:t>
                  </w:r>
                </w:p>
              </w:tc>
              <w:tc>
                <w:tcPr>
                  <w:tcW w:w="1201" w:type="dxa"/>
                  <w:tcBorders>
                    <w:tl2br w:val="nil"/>
                    <w:tr2bl w:val="nil"/>
                  </w:tcBorders>
                  <w:vAlign w:val="center"/>
                </w:tcPr>
                <w:p>
                  <w:pPr>
                    <w:pStyle w:val="33"/>
                    <w:widowControl w:val="0"/>
                    <w:rPr>
                      <w:lang w:val="en-US" w:eastAsia="zh-CN"/>
                    </w:rPr>
                  </w:pPr>
                  <w:r>
                    <w:rPr>
                      <w:lang w:val="en-US" w:eastAsia="zh-CN"/>
                    </w:rPr>
                    <w:t>200 mg/L</w:t>
                  </w:r>
                </w:p>
              </w:tc>
              <w:tc>
                <w:tcPr>
                  <w:tcW w:w="1216" w:type="dxa"/>
                  <w:vMerge w:val="continue"/>
                  <w:tcBorders>
                    <w:tl2br w:val="nil"/>
                    <w:tr2bl w:val="nil"/>
                  </w:tcBorders>
                  <w:vAlign w:val="center"/>
                </w:tcPr>
                <w:p>
                  <w:pPr>
                    <w:pStyle w:val="33"/>
                    <w:widowControl w:val="0"/>
                    <w:rPr>
                      <w:lang w:val="en-US" w:eastAsia="zh-CN"/>
                    </w:rPr>
                  </w:pPr>
                </w:p>
              </w:tc>
              <w:tc>
                <w:tcPr>
                  <w:tcW w:w="1261" w:type="dxa"/>
                  <w:tcBorders>
                    <w:tl2br w:val="nil"/>
                    <w:tr2bl w:val="nil"/>
                  </w:tcBorders>
                  <w:vAlign w:val="center"/>
                </w:tcPr>
                <w:p>
                  <w:pPr>
                    <w:pStyle w:val="33"/>
                    <w:widowControl w:val="0"/>
                    <w:rPr>
                      <w:lang w:val="en-US" w:eastAsia="zh-CN"/>
                    </w:rPr>
                  </w:pPr>
                  <w:r>
                    <w:rPr>
                      <w:rFonts w:hint="eastAsia"/>
                      <w:lang w:val="en-US" w:eastAsia="zh-CN"/>
                    </w:rPr>
                    <w:t>0.017</w:t>
                  </w:r>
                  <w:r>
                    <w:rPr>
                      <w:lang w:val="en-US" w:eastAsia="zh-CN"/>
                    </w:rPr>
                    <w:t>t/a</w:t>
                  </w:r>
                </w:p>
              </w:tc>
              <w:tc>
                <w:tcPr>
                  <w:tcW w:w="1200" w:type="dxa"/>
                  <w:tcBorders>
                    <w:tl2br w:val="nil"/>
                    <w:tr2bl w:val="nil"/>
                  </w:tcBorders>
                  <w:vAlign w:val="center"/>
                </w:tcPr>
                <w:p>
                  <w:pPr>
                    <w:pStyle w:val="33"/>
                    <w:widowControl w:val="0"/>
                    <w:rPr>
                      <w:lang w:val="en-US" w:eastAsia="zh-CN"/>
                    </w:rPr>
                  </w:pPr>
                  <w:r>
                    <w:rPr>
                      <w:lang w:val="en-US" w:eastAsia="zh-CN"/>
                    </w:rPr>
                    <w:t>200 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76" w:type="dxa"/>
                  <w:vMerge w:val="continue"/>
                  <w:tcBorders>
                    <w:tl2br w:val="nil"/>
                    <w:tr2bl w:val="nil"/>
                  </w:tcBorders>
                  <w:vAlign w:val="center"/>
                </w:tcPr>
                <w:p>
                  <w:pPr>
                    <w:pStyle w:val="33"/>
                    <w:widowControl w:val="0"/>
                    <w:rPr>
                      <w:lang w:val="en-US" w:eastAsia="zh-CN"/>
                    </w:rPr>
                  </w:pPr>
                </w:p>
              </w:tc>
              <w:tc>
                <w:tcPr>
                  <w:tcW w:w="891" w:type="dxa"/>
                  <w:tcBorders>
                    <w:tl2br w:val="nil"/>
                    <w:tr2bl w:val="nil"/>
                  </w:tcBorders>
                  <w:vAlign w:val="center"/>
                </w:tcPr>
                <w:p>
                  <w:pPr>
                    <w:pStyle w:val="33"/>
                    <w:widowControl w:val="0"/>
                    <w:rPr>
                      <w:lang w:val="en-US" w:eastAsia="zh-CN"/>
                    </w:rPr>
                  </w:pPr>
                  <w:r>
                    <w:rPr>
                      <w:lang w:val="en-US" w:eastAsia="zh-CN"/>
                    </w:rPr>
                    <w:t>BOD</w:t>
                  </w:r>
                  <w:r>
                    <w:rPr>
                      <w:vertAlign w:val="subscript"/>
                      <w:lang w:val="en-US" w:eastAsia="zh-CN"/>
                    </w:rPr>
                    <w:t>5</w:t>
                  </w:r>
                </w:p>
              </w:tc>
              <w:tc>
                <w:tcPr>
                  <w:tcW w:w="928" w:type="dxa"/>
                  <w:tcBorders>
                    <w:tl2br w:val="nil"/>
                    <w:tr2bl w:val="nil"/>
                  </w:tcBorders>
                  <w:vAlign w:val="center"/>
                </w:tcPr>
                <w:p>
                  <w:pPr>
                    <w:pStyle w:val="33"/>
                    <w:widowControl w:val="0"/>
                    <w:rPr>
                      <w:lang w:val="en-US" w:eastAsia="zh-CN"/>
                    </w:rPr>
                  </w:pPr>
                  <w:r>
                    <w:rPr>
                      <w:rFonts w:hint="eastAsia"/>
                      <w:lang w:val="en-US" w:eastAsia="zh-CN"/>
                    </w:rPr>
                    <w:t>0.021</w:t>
                  </w:r>
                  <w:r>
                    <w:rPr>
                      <w:lang w:val="en-US" w:eastAsia="zh-CN"/>
                    </w:rPr>
                    <w:t>t/a</w:t>
                  </w:r>
                </w:p>
              </w:tc>
              <w:tc>
                <w:tcPr>
                  <w:tcW w:w="1201" w:type="dxa"/>
                  <w:tcBorders>
                    <w:tl2br w:val="nil"/>
                    <w:tr2bl w:val="nil"/>
                  </w:tcBorders>
                  <w:vAlign w:val="center"/>
                </w:tcPr>
                <w:p>
                  <w:pPr>
                    <w:pStyle w:val="33"/>
                    <w:widowControl w:val="0"/>
                    <w:rPr>
                      <w:lang w:val="en-US" w:eastAsia="zh-CN"/>
                    </w:rPr>
                  </w:pPr>
                  <w:r>
                    <w:rPr>
                      <w:lang w:val="en-US" w:eastAsia="zh-CN"/>
                    </w:rPr>
                    <w:t>250 mg/L</w:t>
                  </w:r>
                </w:p>
              </w:tc>
              <w:tc>
                <w:tcPr>
                  <w:tcW w:w="1216" w:type="dxa"/>
                  <w:vMerge w:val="continue"/>
                  <w:tcBorders>
                    <w:tl2br w:val="nil"/>
                    <w:tr2bl w:val="nil"/>
                  </w:tcBorders>
                  <w:vAlign w:val="center"/>
                </w:tcPr>
                <w:p>
                  <w:pPr>
                    <w:pStyle w:val="33"/>
                    <w:widowControl w:val="0"/>
                    <w:rPr>
                      <w:lang w:val="en-US" w:eastAsia="zh-CN"/>
                    </w:rPr>
                  </w:pPr>
                </w:p>
              </w:tc>
              <w:tc>
                <w:tcPr>
                  <w:tcW w:w="1261" w:type="dxa"/>
                  <w:tcBorders>
                    <w:tl2br w:val="nil"/>
                    <w:tr2bl w:val="nil"/>
                  </w:tcBorders>
                  <w:vAlign w:val="center"/>
                </w:tcPr>
                <w:p>
                  <w:pPr>
                    <w:pStyle w:val="33"/>
                    <w:widowControl w:val="0"/>
                    <w:rPr>
                      <w:lang w:val="en-US" w:eastAsia="zh-CN"/>
                    </w:rPr>
                  </w:pPr>
                  <w:r>
                    <w:rPr>
                      <w:rFonts w:hint="eastAsia"/>
                      <w:lang w:val="en-US" w:eastAsia="zh-CN"/>
                    </w:rPr>
                    <w:t>0.021</w:t>
                  </w:r>
                  <w:r>
                    <w:rPr>
                      <w:lang w:val="en-US" w:eastAsia="zh-CN"/>
                    </w:rPr>
                    <w:t>t/a</w:t>
                  </w:r>
                </w:p>
              </w:tc>
              <w:tc>
                <w:tcPr>
                  <w:tcW w:w="1200" w:type="dxa"/>
                  <w:tcBorders>
                    <w:tl2br w:val="nil"/>
                    <w:tr2bl w:val="nil"/>
                  </w:tcBorders>
                  <w:vAlign w:val="center"/>
                </w:tcPr>
                <w:p>
                  <w:pPr>
                    <w:pStyle w:val="33"/>
                    <w:widowControl w:val="0"/>
                    <w:rPr>
                      <w:lang w:val="en-US" w:eastAsia="zh-CN"/>
                    </w:rPr>
                  </w:pPr>
                  <w:r>
                    <w:rPr>
                      <w:lang w:val="en-US" w:eastAsia="zh-CN"/>
                    </w:rPr>
                    <w:t>250 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76" w:type="dxa"/>
                  <w:vMerge w:val="continue"/>
                  <w:tcBorders>
                    <w:tl2br w:val="nil"/>
                    <w:tr2bl w:val="nil"/>
                  </w:tcBorders>
                  <w:vAlign w:val="center"/>
                </w:tcPr>
                <w:p>
                  <w:pPr>
                    <w:pStyle w:val="33"/>
                    <w:widowControl w:val="0"/>
                    <w:rPr>
                      <w:lang w:val="en-US" w:eastAsia="zh-CN"/>
                    </w:rPr>
                  </w:pPr>
                </w:p>
              </w:tc>
              <w:tc>
                <w:tcPr>
                  <w:tcW w:w="891" w:type="dxa"/>
                  <w:tcBorders>
                    <w:tl2br w:val="nil"/>
                    <w:tr2bl w:val="nil"/>
                  </w:tcBorders>
                  <w:vAlign w:val="center"/>
                </w:tcPr>
                <w:p>
                  <w:pPr>
                    <w:pStyle w:val="33"/>
                    <w:widowControl w:val="0"/>
                    <w:rPr>
                      <w:lang w:val="en-US" w:eastAsia="zh-CN"/>
                    </w:rPr>
                  </w:pPr>
                  <w:r>
                    <w:rPr>
                      <w:lang w:val="en-US" w:eastAsia="zh-CN"/>
                    </w:rPr>
                    <w:t>NH</w:t>
                  </w:r>
                  <w:r>
                    <w:rPr>
                      <w:vertAlign w:val="subscript"/>
                      <w:lang w:val="en-US" w:eastAsia="zh-CN"/>
                    </w:rPr>
                    <w:t>3</w:t>
                  </w:r>
                  <w:r>
                    <w:rPr>
                      <w:lang w:val="en-US" w:eastAsia="zh-CN"/>
                    </w:rPr>
                    <w:t>-N</w:t>
                  </w:r>
                </w:p>
              </w:tc>
              <w:tc>
                <w:tcPr>
                  <w:tcW w:w="928" w:type="dxa"/>
                  <w:tcBorders>
                    <w:tl2br w:val="nil"/>
                    <w:tr2bl w:val="nil"/>
                  </w:tcBorders>
                  <w:vAlign w:val="center"/>
                </w:tcPr>
                <w:p>
                  <w:pPr>
                    <w:pStyle w:val="33"/>
                    <w:widowControl w:val="0"/>
                    <w:rPr>
                      <w:lang w:val="en-US" w:eastAsia="zh-CN"/>
                    </w:rPr>
                  </w:pPr>
                  <w:r>
                    <w:rPr>
                      <w:rFonts w:hint="eastAsia"/>
                      <w:lang w:val="en-US" w:eastAsia="zh-CN"/>
                    </w:rPr>
                    <w:t>0.003</w:t>
                  </w:r>
                  <w:r>
                    <w:rPr>
                      <w:lang w:val="en-US" w:eastAsia="zh-CN"/>
                    </w:rPr>
                    <w:t>t/a</w:t>
                  </w:r>
                </w:p>
              </w:tc>
              <w:tc>
                <w:tcPr>
                  <w:tcW w:w="1201" w:type="dxa"/>
                  <w:tcBorders>
                    <w:tl2br w:val="nil"/>
                    <w:tr2bl w:val="nil"/>
                  </w:tcBorders>
                  <w:vAlign w:val="center"/>
                </w:tcPr>
                <w:p>
                  <w:pPr>
                    <w:pStyle w:val="33"/>
                    <w:widowControl w:val="0"/>
                    <w:rPr>
                      <w:lang w:val="en-US" w:eastAsia="zh-CN"/>
                    </w:rPr>
                  </w:pPr>
                  <w:r>
                    <w:rPr>
                      <w:lang w:val="en-US" w:eastAsia="zh-CN"/>
                    </w:rPr>
                    <w:t>40 mg/L</w:t>
                  </w:r>
                </w:p>
              </w:tc>
              <w:tc>
                <w:tcPr>
                  <w:tcW w:w="1216" w:type="dxa"/>
                  <w:vMerge w:val="continue"/>
                  <w:tcBorders>
                    <w:tl2br w:val="nil"/>
                    <w:tr2bl w:val="nil"/>
                  </w:tcBorders>
                  <w:vAlign w:val="center"/>
                </w:tcPr>
                <w:p>
                  <w:pPr>
                    <w:pStyle w:val="33"/>
                    <w:widowControl w:val="0"/>
                    <w:rPr>
                      <w:lang w:val="en-US" w:eastAsia="zh-CN"/>
                    </w:rPr>
                  </w:pPr>
                </w:p>
              </w:tc>
              <w:tc>
                <w:tcPr>
                  <w:tcW w:w="1261" w:type="dxa"/>
                  <w:tcBorders>
                    <w:tl2br w:val="nil"/>
                    <w:tr2bl w:val="nil"/>
                  </w:tcBorders>
                  <w:vAlign w:val="center"/>
                </w:tcPr>
                <w:p>
                  <w:pPr>
                    <w:pStyle w:val="33"/>
                    <w:widowControl w:val="0"/>
                    <w:rPr>
                      <w:lang w:val="en-US" w:eastAsia="zh-CN"/>
                    </w:rPr>
                  </w:pPr>
                  <w:r>
                    <w:rPr>
                      <w:rFonts w:hint="eastAsia"/>
                      <w:lang w:val="en-US" w:eastAsia="zh-CN"/>
                    </w:rPr>
                    <w:t>0.003</w:t>
                  </w:r>
                  <w:r>
                    <w:rPr>
                      <w:lang w:val="en-US" w:eastAsia="zh-CN"/>
                    </w:rPr>
                    <w:t>t/a</w:t>
                  </w:r>
                </w:p>
              </w:tc>
              <w:tc>
                <w:tcPr>
                  <w:tcW w:w="1200" w:type="dxa"/>
                  <w:tcBorders>
                    <w:tl2br w:val="nil"/>
                    <w:tr2bl w:val="nil"/>
                  </w:tcBorders>
                  <w:vAlign w:val="center"/>
                </w:tcPr>
                <w:p>
                  <w:pPr>
                    <w:pStyle w:val="33"/>
                    <w:widowControl w:val="0"/>
                    <w:rPr>
                      <w:lang w:val="en-US" w:eastAsia="zh-CN"/>
                    </w:rPr>
                  </w:pPr>
                  <w:r>
                    <w:rPr>
                      <w:lang w:val="en-US" w:eastAsia="zh-CN"/>
                    </w:rPr>
                    <w:t>40 mg/L</w:t>
                  </w:r>
                </w:p>
              </w:tc>
            </w:tr>
          </w:tbl>
          <w:p>
            <w:pPr>
              <w:pStyle w:val="20"/>
              <w:ind w:firstLine="480"/>
              <w:jc w:val="both"/>
            </w:pPr>
            <w:r>
              <w:t>根据</w:t>
            </w:r>
            <w:r>
              <w:rPr>
                <w:rFonts w:hint="eastAsia"/>
              </w:rPr>
              <w:t>表4-1</w:t>
            </w:r>
            <w:r>
              <w:t>，本项目排放生活污水中，各污染物浓度均满足《污水综合排放标准》（GB8978-1996）中三级标准限值（COD 500mg/L，BOD 300mg/L，SS 400mg/L）的要求，故拟建项目生活污水可直通过厂区污水总排口（DW001）排入园区污水管网，进入园区污水处理厂处理，对周围水环境影响较小。</w:t>
            </w:r>
          </w:p>
          <w:p>
            <w:pPr>
              <w:pStyle w:val="6"/>
              <w:jc w:val="both"/>
              <w:outlineLvl w:val="2"/>
            </w:pPr>
            <w:r>
              <w:rPr>
                <w:rFonts w:hint="eastAsia"/>
              </w:rPr>
              <w:t>1.3 排放口设置情况</w:t>
            </w:r>
          </w:p>
          <w:p>
            <w:pPr>
              <w:pStyle w:val="20"/>
              <w:ind w:firstLine="480"/>
              <w:jc w:val="both"/>
            </w:pPr>
            <w:r>
              <w:rPr>
                <w:rFonts w:hint="eastAsia"/>
              </w:rPr>
              <w:t>本项目共设置1个废水排口，主要为生活污水，生活污水排入园区污水管网。本项目废水污染治理设施情况见下表4-2。</w:t>
            </w:r>
          </w:p>
          <w:p>
            <w:pPr>
              <w:pStyle w:val="32"/>
            </w:pPr>
            <w:r>
              <w:rPr>
                <w:rFonts w:hint="eastAsia"/>
              </w:rPr>
              <w:t>表4-2    废水类别、污染物及污染治理设施一览表</w:t>
            </w:r>
          </w:p>
          <w:tbl>
            <w:tblPr>
              <w:tblStyle w:val="25"/>
              <w:tblW w:w="786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6"/>
              <w:gridCol w:w="403"/>
              <w:gridCol w:w="403"/>
              <w:gridCol w:w="857"/>
              <w:gridCol w:w="403"/>
              <w:gridCol w:w="403"/>
              <w:gridCol w:w="403"/>
              <w:gridCol w:w="937"/>
              <w:gridCol w:w="963"/>
              <w:gridCol w:w="680"/>
              <w:gridCol w:w="350"/>
              <w:gridCol w:w="855"/>
              <w:gridCol w:w="4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restart"/>
                  <w:tcBorders>
                    <w:bottom w:val="single" w:color="000000" w:sz="12" w:space="0"/>
                  </w:tcBorders>
                  <w:vAlign w:val="center"/>
                </w:tcPr>
                <w:p>
                  <w:pPr>
                    <w:pStyle w:val="33"/>
                    <w:widowControl w:val="0"/>
                    <w:rPr>
                      <w:b/>
                      <w:bCs/>
                      <w:lang w:val="en-US" w:eastAsia="zh-CN"/>
                    </w:rPr>
                  </w:pPr>
                  <w:r>
                    <w:rPr>
                      <w:rFonts w:hint="eastAsia"/>
                      <w:b/>
                      <w:bCs/>
                      <w:lang w:val="en-US" w:eastAsia="zh-CN"/>
                    </w:rPr>
                    <w:t>编号</w:t>
                  </w:r>
                </w:p>
              </w:tc>
              <w:tc>
                <w:tcPr>
                  <w:tcW w:w="403" w:type="dxa"/>
                  <w:vMerge w:val="restart"/>
                  <w:tcBorders>
                    <w:bottom w:val="single" w:color="000000" w:sz="12" w:space="0"/>
                  </w:tcBorders>
                  <w:vAlign w:val="center"/>
                </w:tcPr>
                <w:p>
                  <w:pPr>
                    <w:pStyle w:val="33"/>
                    <w:widowControl w:val="0"/>
                    <w:rPr>
                      <w:b/>
                      <w:bCs/>
                      <w:lang w:val="en-US" w:eastAsia="zh-CN"/>
                    </w:rPr>
                  </w:pPr>
                  <w:r>
                    <w:rPr>
                      <w:rFonts w:hint="eastAsia"/>
                      <w:b/>
                      <w:bCs/>
                      <w:lang w:val="en-US" w:eastAsia="zh-CN"/>
                    </w:rPr>
                    <w:t>名称</w:t>
                  </w:r>
                </w:p>
              </w:tc>
              <w:tc>
                <w:tcPr>
                  <w:tcW w:w="403" w:type="dxa"/>
                  <w:vMerge w:val="restart"/>
                  <w:tcBorders>
                    <w:bottom w:val="single" w:color="000000" w:sz="12" w:space="0"/>
                  </w:tcBorders>
                  <w:vAlign w:val="center"/>
                </w:tcPr>
                <w:p>
                  <w:pPr>
                    <w:pStyle w:val="33"/>
                    <w:widowControl w:val="0"/>
                    <w:rPr>
                      <w:b/>
                      <w:bCs/>
                      <w:lang w:val="en-US" w:eastAsia="zh-CN"/>
                    </w:rPr>
                  </w:pPr>
                  <w:r>
                    <w:rPr>
                      <w:rFonts w:hint="eastAsia"/>
                      <w:b/>
                      <w:bCs/>
                      <w:lang w:val="en-US" w:eastAsia="zh-CN"/>
                    </w:rPr>
                    <w:t>类别</w:t>
                  </w:r>
                </w:p>
              </w:tc>
              <w:tc>
                <w:tcPr>
                  <w:tcW w:w="857" w:type="dxa"/>
                  <w:vMerge w:val="restart"/>
                  <w:tcBorders>
                    <w:bottom w:val="single" w:color="000000" w:sz="12" w:space="0"/>
                  </w:tcBorders>
                  <w:vAlign w:val="center"/>
                </w:tcPr>
                <w:p>
                  <w:pPr>
                    <w:pStyle w:val="33"/>
                    <w:widowControl w:val="0"/>
                    <w:rPr>
                      <w:b/>
                      <w:bCs/>
                      <w:lang w:val="en-US" w:eastAsia="zh-CN"/>
                    </w:rPr>
                  </w:pPr>
                  <w:r>
                    <w:rPr>
                      <w:rFonts w:hint="eastAsia"/>
                      <w:b/>
                      <w:bCs/>
                      <w:lang w:val="en-US" w:eastAsia="zh-CN"/>
                    </w:rPr>
                    <w:t>污染物</w:t>
                  </w:r>
                </w:p>
              </w:tc>
              <w:tc>
                <w:tcPr>
                  <w:tcW w:w="1209" w:type="dxa"/>
                  <w:gridSpan w:val="3"/>
                  <w:tcBorders>
                    <w:bottom w:val="single" w:color="auto" w:sz="4" w:space="0"/>
                  </w:tcBorders>
                  <w:vAlign w:val="center"/>
                </w:tcPr>
                <w:p>
                  <w:pPr>
                    <w:pStyle w:val="33"/>
                    <w:widowControl w:val="0"/>
                    <w:rPr>
                      <w:b/>
                      <w:bCs/>
                      <w:lang w:val="en-US" w:eastAsia="zh-CN"/>
                    </w:rPr>
                  </w:pPr>
                  <w:r>
                    <w:rPr>
                      <w:rFonts w:hint="eastAsia"/>
                      <w:b/>
                      <w:bCs/>
                      <w:lang w:val="en-US" w:eastAsia="zh-CN"/>
                    </w:rPr>
                    <w:t>污染防治措施</w:t>
                  </w:r>
                </w:p>
              </w:tc>
              <w:tc>
                <w:tcPr>
                  <w:tcW w:w="1900" w:type="dxa"/>
                  <w:gridSpan w:val="2"/>
                  <w:tcBorders>
                    <w:bottom w:val="single" w:color="auto" w:sz="4" w:space="0"/>
                  </w:tcBorders>
                  <w:vAlign w:val="center"/>
                </w:tcPr>
                <w:p>
                  <w:pPr>
                    <w:pStyle w:val="33"/>
                    <w:widowControl w:val="0"/>
                    <w:rPr>
                      <w:b/>
                      <w:bCs/>
                      <w:lang w:val="en-US" w:eastAsia="zh-CN"/>
                    </w:rPr>
                  </w:pPr>
                  <w:r>
                    <w:rPr>
                      <w:rFonts w:hint="eastAsia"/>
                      <w:b/>
                      <w:bCs/>
                      <w:lang w:val="en-US" w:eastAsia="zh-CN"/>
                    </w:rPr>
                    <w:t>排放口</w:t>
                  </w:r>
                </w:p>
              </w:tc>
              <w:tc>
                <w:tcPr>
                  <w:tcW w:w="680" w:type="dxa"/>
                  <w:vMerge w:val="restart"/>
                  <w:tcBorders>
                    <w:bottom w:val="nil"/>
                  </w:tcBorders>
                  <w:vAlign w:val="center"/>
                </w:tcPr>
                <w:p>
                  <w:pPr>
                    <w:pStyle w:val="33"/>
                    <w:widowControl w:val="0"/>
                    <w:rPr>
                      <w:b/>
                      <w:bCs/>
                      <w:lang w:val="en-US" w:eastAsia="zh-CN"/>
                    </w:rPr>
                  </w:pPr>
                  <w:r>
                    <w:rPr>
                      <w:rFonts w:hint="eastAsia"/>
                      <w:b/>
                      <w:bCs/>
                      <w:lang w:val="en-US" w:eastAsia="zh-CN"/>
                    </w:rPr>
                    <w:t>排放去向</w:t>
                  </w:r>
                </w:p>
              </w:tc>
              <w:tc>
                <w:tcPr>
                  <w:tcW w:w="350" w:type="dxa"/>
                  <w:vMerge w:val="restart"/>
                  <w:tcBorders>
                    <w:bottom w:val="nil"/>
                  </w:tcBorders>
                  <w:vAlign w:val="center"/>
                </w:tcPr>
                <w:p>
                  <w:pPr>
                    <w:pStyle w:val="33"/>
                    <w:widowControl w:val="0"/>
                    <w:adjustRightInd w:val="0"/>
                    <w:snapToGrid w:val="0"/>
                    <w:rPr>
                      <w:b/>
                      <w:bCs/>
                      <w:lang w:val="en-US" w:eastAsia="zh-CN"/>
                    </w:rPr>
                  </w:pPr>
                  <w:r>
                    <w:rPr>
                      <w:rFonts w:hint="eastAsia"/>
                      <w:b/>
                      <w:bCs/>
                      <w:lang w:val="en-US" w:eastAsia="zh-CN"/>
                    </w:rPr>
                    <w:t>排放方式</w:t>
                  </w:r>
                </w:p>
              </w:tc>
              <w:tc>
                <w:tcPr>
                  <w:tcW w:w="855" w:type="dxa"/>
                  <w:vMerge w:val="restart"/>
                  <w:tcBorders>
                    <w:bottom w:val="nil"/>
                  </w:tcBorders>
                  <w:vAlign w:val="center"/>
                </w:tcPr>
                <w:p>
                  <w:pPr>
                    <w:pStyle w:val="33"/>
                    <w:widowControl w:val="0"/>
                    <w:rPr>
                      <w:b/>
                      <w:bCs/>
                      <w:lang w:val="en-US" w:eastAsia="zh-CN"/>
                    </w:rPr>
                  </w:pPr>
                  <w:r>
                    <w:rPr>
                      <w:rFonts w:hint="eastAsia"/>
                      <w:b/>
                      <w:bCs/>
                      <w:lang w:val="en-US" w:eastAsia="zh-CN"/>
                    </w:rPr>
                    <w:t>排放规律</w:t>
                  </w:r>
                </w:p>
              </w:tc>
              <w:tc>
                <w:tcPr>
                  <w:tcW w:w="404" w:type="dxa"/>
                  <w:vMerge w:val="restart"/>
                  <w:tcBorders>
                    <w:bottom w:val="nil"/>
                  </w:tcBorders>
                  <w:vAlign w:val="center"/>
                </w:tcPr>
                <w:p>
                  <w:pPr>
                    <w:pStyle w:val="33"/>
                    <w:widowControl w:val="0"/>
                    <w:rPr>
                      <w:b/>
                      <w:bCs/>
                      <w:lang w:val="en-US" w:eastAsia="zh-CN"/>
                    </w:rPr>
                  </w:pPr>
                  <w:r>
                    <w:rPr>
                      <w:rFonts w:hint="eastAsia"/>
                      <w:b/>
                      <w:bCs/>
                      <w:lang w:val="en-US" w:eastAsia="zh-CN"/>
                    </w:rPr>
                    <w:t>排放口类型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continue"/>
                  <w:tcBorders>
                    <w:top w:val="single" w:color="000000" w:sz="12" w:space="0"/>
                    <w:bottom w:val="single" w:color="000000" w:sz="12" w:space="0"/>
                    <w:tl2br w:val="nil"/>
                    <w:tr2bl w:val="nil"/>
                  </w:tcBorders>
                  <w:vAlign w:val="center"/>
                </w:tcPr>
                <w:p>
                  <w:pPr>
                    <w:pStyle w:val="33"/>
                    <w:widowControl w:val="0"/>
                    <w:rPr>
                      <w:lang w:val="en-US" w:eastAsia="zh-CN"/>
                    </w:rPr>
                  </w:pPr>
                </w:p>
              </w:tc>
              <w:tc>
                <w:tcPr>
                  <w:tcW w:w="403" w:type="dxa"/>
                  <w:vMerge w:val="continue"/>
                  <w:tcBorders>
                    <w:top w:val="single" w:color="000000" w:sz="12" w:space="0"/>
                    <w:bottom w:val="single" w:color="000000" w:sz="12" w:space="0"/>
                    <w:tl2br w:val="nil"/>
                    <w:tr2bl w:val="nil"/>
                  </w:tcBorders>
                  <w:vAlign w:val="center"/>
                </w:tcPr>
                <w:p>
                  <w:pPr>
                    <w:pStyle w:val="33"/>
                    <w:widowControl w:val="0"/>
                    <w:rPr>
                      <w:lang w:val="en-US" w:eastAsia="zh-CN"/>
                    </w:rPr>
                  </w:pPr>
                </w:p>
              </w:tc>
              <w:tc>
                <w:tcPr>
                  <w:tcW w:w="403" w:type="dxa"/>
                  <w:vMerge w:val="continue"/>
                  <w:tcBorders>
                    <w:top w:val="single" w:color="000000" w:sz="12" w:space="0"/>
                    <w:bottom w:val="single" w:color="000000" w:sz="12" w:space="0"/>
                    <w:tl2br w:val="nil"/>
                    <w:tr2bl w:val="nil"/>
                  </w:tcBorders>
                  <w:vAlign w:val="center"/>
                </w:tcPr>
                <w:p>
                  <w:pPr>
                    <w:pStyle w:val="33"/>
                    <w:widowControl w:val="0"/>
                    <w:rPr>
                      <w:lang w:val="en-US" w:eastAsia="zh-CN"/>
                    </w:rPr>
                  </w:pPr>
                </w:p>
              </w:tc>
              <w:tc>
                <w:tcPr>
                  <w:tcW w:w="857" w:type="dxa"/>
                  <w:vMerge w:val="continue"/>
                  <w:tcBorders>
                    <w:top w:val="single" w:color="000000" w:sz="12" w:space="0"/>
                    <w:bottom w:val="single" w:color="000000" w:sz="12" w:space="0"/>
                    <w:tl2br w:val="nil"/>
                    <w:tr2bl w:val="nil"/>
                  </w:tcBorders>
                  <w:vAlign w:val="center"/>
                </w:tcPr>
                <w:p>
                  <w:pPr>
                    <w:pStyle w:val="33"/>
                    <w:widowControl w:val="0"/>
                    <w:rPr>
                      <w:lang w:val="en-US" w:eastAsia="zh-CN"/>
                    </w:rPr>
                  </w:pPr>
                </w:p>
              </w:tc>
              <w:tc>
                <w:tcPr>
                  <w:tcW w:w="403" w:type="dxa"/>
                  <w:tcBorders>
                    <w:top w:val="single" w:color="auto" w:sz="4" w:space="0"/>
                    <w:bottom w:val="single" w:color="auto" w:sz="12" w:space="0"/>
                  </w:tcBorders>
                  <w:vAlign w:val="center"/>
                </w:tcPr>
                <w:p>
                  <w:pPr>
                    <w:pStyle w:val="33"/>
                    <w:widowControl w:val="0"/>
                    <w:rPr>
                      <w:b/>
                      <w:bCs/>
                      <w:lang w:val="en-US" w:eastAsia="zh-CN"/>
                    </w:rPr>
                  </w:pPr>
                  <w:r>
                    <w:rPr>
                      <w:rFonts w:hint="eastAsia"/>
                      <w:b/>
                      <w:bCs/>
                      <w:lang w:val="en-US" w:eastAsia="zh-CN"/>
                    </w:rPr>
                    <w:t>工艺</w:t>
                  </w:r>
                </w:p>
              </w:tc>
              <w:tc>
                <w:tcPr>
                  <w:tcW w:w="403" w:type="dxa"/>
                  <w:tcBorders>
                    <w:top w:val="single" w:color="auto" w:sz="4" w:space="0"/>
                    <w:bottom w:val="single" w:color="auto" w:sz="12" w:space="0"/>
                  </w:tcBorders>
                  <w:vAlign w:val="center"/>
                </w:tcPr>
                <w:p>
                  <w:pPr>
                    <w:pStyle w:val="33"/>
                    <w:widowControl w:val="0"/>
                    <w:rPr>
                      <w:b/>
                      <w:bCs/>
                      <w:lang w:val="en-US" w:eastAsia="zh-CN"/>
                    </w:rPr>
                  </w:pPr>
                  <w:r>
                    <w:rPr>
                      <w:rFonts w:hint="eastAsia"/>
                      <w:b/>
                      <w:bCs/>
                      <w:lang w:val="en-US" w:eastAsia="zh-CN"/>
                    </w:rPr>
                    <w:t>是否为可行技术</w:t>
                  </w:r>
                </w:p>
              </w:tc>
              <w:tc>
                <w:tcPr>
                  <w:tcW w:w="403" w:type="dxa"/>
                  <w:tcBorders>
                    <w:top w:val="single" w:color="auto" w:sz="4" w:space="0"/>
                    <w:bottom w:val="single" w:color="auto" w:sz="12" w:space="0"/>
                  </w:tcBorders>
                  <w:vAlign w:val="center"/>
                </w:tcPr>
                <w:p>
                  <w:pPr>
                    <w:pStyle w:val="33"/>
                    <w:widowControl w:val="0"/>
                    <w:rPr>
                      <w:b/>
                      <w:bCs/>
                      <w:lang w:val="en-US" w:eastAsia="zh-CN"/>
                    </w:rPr>
                  </w:pPr>
                  <w:r>
                    <w:rPr>
                      <w:rFonts w:hint="eastAsia"/>
                      <w:b/>
                      <w:bCs/>
                      <w:lang w:val="en-US" w:eastAsia="zh-CN"/>
                    </w:rPr>
                    <w:t>处理能力</w:t>
                  </w:r>
                </w:p>
              </w:tc>
              <w:tc>
                <w:tcPr>
                  <w:tcW w:w="937" w:type="dxa"/>
                  <w:tcBorders>
                    <w:top w:val="single" w:color="auto" w:sz="4" w:space="0"/>
                    <w:bottom w:val="single" w:color="auto" w:sz="12" w:space="0"/>
                  </w:tcBorders>
                  <w:vAlign w:val="center"/>
                </w:tcPr>
                <w:p>
                  <w:pPr>
                    <w:pStyle w:val="33"/>
                    <w:widowControl w:val="0"/>
                    <w:rPr>
                      <w:b/>
                      <w:bCs/>
                      <w:lang w:val="en-US" w:eastAsia="zh-CN"/>
                    </w:rPr>
                  </w:pPr>
                  <w:r>
                    <w:rPr>
                      <w:rFonts w:hint="eastAsia"/>
                      <w:b/>
                      <w:bCs/>
                      <w:lang w:val="en-US" w:eastAsia="zh-CN"/>
                    </w:rPr>
                    <w:t>经度</w:t>
                  </w:r>
                </w:p>
              </w:tc>
              <w:tc>
                <w:tcPr>
                  <w:tcW w:w="963" w:type="dxa"/>
                  <w:tcBorders>
                    <w:top w:val="single" w:color="auto" w:sz="4" w:space="0"/>
                    <w:bottom w:val="single" w:color="auto" w:sz="12" w:space="0"/>
                  </w:tcBorders>
                  <w:vAlign w:val="center"/>
                </w:tcPr>
                <w:p>
                  <w:pPr>
                    <w:pStyle w:val="33"/>
                    <w:widowControl w:val="0"/>
                    <w:rPr>
                      <w:b/>
                      <w:bCs/>
                      <w:lang w:val="en-US" w:eastAsia="zh-CN"/>
                    </w:rPr>
                  </w:pPr>
                  <w:r>
                    <w:rPr>
                      <w:rFonts w:hint="eastAsia"/>
                      <w:b/>
                      <w:bCs/>
                      <w:lang w:val="en-US" w:eastAsia="zh-CN"/>
                    </w:rPr>
                    <w:t>纬度</w:t>
                  </w:r>
                </w:p>
              </w:tc>
              <w:tc>
                <w:tcPr>
                  <w:tcW w:w="680" w:type="dxa"/>
                  <w:vMerge w:val="continue"/>
                  <w:tcBorders>
                    <w:top w:val="nil"/>
                    <w:bottom w:val="single" w:color="auto" w:sz="12" w:space="0"/>
                  </w:tcBorders>
                  <w:vAlign w:val="center"/>
                </w:tcPr>
                <w:p>
                  <w:pPr>
                    <w:pStyle w:val="33"/>
                    <w:widowControl w:val="0"/>
                    <w:rPr>
                      <w:lang w:val="en-US" w:eastAsia="zh-CN"/>
                    </w:rPr>
                  </w:pPr>
                </w:p>
              </w:tc>
              <w:tc>
                <w:tcPr>
                  <w:tcW w:w="350" w:type="dxa"/>
                  <w:vMerge w:val="continue"/>
                  <w:tcBorders>
                    <w:top w:val="nil"/>
                    <w:bottom w:val="single" w:color="auto" w:sz="12" w:space="0"/>
                  </w:tcBorders>
                  <w:vAlign w:val="center"/>
                </w:tcPr>
                <w:p>
                  <w:pPr>
                    <w:pStyle w:val="33"/>
                    <w:widowControl w:val="0"/>
                    <w:rPr>
                      <w:lang w:val="en-US" w:eastAsia="zh-CN"/>
                    </w:rPr>
                  </w:pPr>
                </w:p>
              </w:tc>
              <w:tc>
                <w:tcPr>
                  <w:tcW w:w="855" w:type="dxa"/>
                  <w:vMerge w:val="continue"/>
                  <w:tcBorders>
                    <w:top w:val="nil"/>
                    <w:bottom w:val="single" w:color="auto" w:sz="12" w:space="0"/>
                  </w:tcBorders>
                  <w:vAlign w:val="center"/>
                </w:tcPr>
                <w:p>
                  <w:pPr>
                    <w:pStyle w:val="33"/>
                    <w:widowControl w:val="0"/>
                    <w:rPr>
                      <w:lang w:val="en-US" w:eastAsia="zh-CN"/>
                    </w:rPr>
                  </w:pPr>
                </w:p>
              </w:tc>
              <w:tc>
                <w:tcPr>
                  <w:tcW w:w="404" w:type="dxa"/>
                  <w:vMerge w:val="continue"/>
                  <w:tcBorders>
                    <w:top w:val="nil"/>
                    <w:bottom w:val="single" w:color="auto" w:sz="12" w:space="0"/>
                  </w:tcBorders>
                  <w:vAlign w:val="center"/>
                </w:tcPr>
                <w:p>
                  <w:pPr>
                    <w:pStyle w:val="33"/>
                    <w:widowControl w:val="0"/>
                    <w:rPr>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tcBorders>
                    <w:top w:val="single" w:color="000000" w:sz="12" w:space="0"/>
                    <w:tl2br w:val="nil"/>
                    <w:tr2bl w:val="nil"/>
                  </w:tcBorders>
                  <w:vAlign w:val="center"/>
                </w:tcPr>
                <w:p>
                  <w:pPr>
                    <w:pStyle w:val="33"/>
                    <w:widowControl w:val="0"/>
                    <w:rPr>
                      <w:lang w:val="en-US" w:eastAsia="zh-CN"/>
                    </w:rPr>
                  </w:pPr>
                  <w:r>
                    <w:rPr>
                      <w:rFonts w:hint="eastAsia"/>
                      <w:lang w:val="en-US" w:eastAsia="zh-CN"/>
                    </w:rPr>
                    <w:t>DW001</w:t>
                  </w:r>
                </w:p>
              </w:tc>
              <w:tc>
                <w:tcPr>
                  <w:tcW w:w="403" w:type="dxa"/>
                  <w:tcBorders>
                    <w:top w:val="single" w:color="000000" w:sz="12" w:space="0"/>
                    <w:tl2br w:val="nil"/>
                    <w:tr2bl w:val="nil"/>
                  </w:tcBorders>
                  <w:vAlign w:val="center"/>
                </w:tcPr>
                <w:p>
                  <w:pPr>
                    <w:pStyle w:val="33"/>
                    <w:widowControl w:val="0"/>
                    <w:rPr>
                      <w:lang w:val="en-US" w:eastAsia="zh-CN"/>
                    </w:rPr>
                  </w:pPr>
                  <w:r>
                    <w:rPr>
                      <w:rFonts w:hint="eastAsia"/>
                      <w:lang w:val="en-US" w:eastAsia="zh-CN"/>
                    </w:rPr>
                    <w:t>厂区总排口</w:t>
                  </w:r>
                </w:p>
              </w:tc>
              <w:tc>
                <w:tcPr>
                  <w:tcW w:w="403" w:type="dxa"/>
                  <w:tcBorders>
                    <w:top w:val="single" w:color="000000" w:sz="12" w:space="0"/>
                    <w:tl2br w:val="nil"/>
                    <w:tr2bl w:val="nil"/>
                  </w:tcBorders>
                  <w:vAlign w:val="center"/>
                </w:tcPr>
                <w:p>
                  <w:pPr>
                    <w:pStyle w:val="33"/>
                    <w:widowControl w:val="0"/>
                    <w:rPr>
                      <w:lang w:val="en-US" w:eastAsia="zh-CN"/>
                    </w:rPr>
                  </w:pPr>
                  <w:r>
                    <w:rPr>
                      <w:rFonts w:hint="eastAsia"/>
                      <w:lang w:val="en-US" w:eastAsia="zh-CN"/>
                    </w:rPr>
                    <w:t>生活污水</w:t>
                  </w:r>
                </w:p>
              </w:tc>
              <w:tc>
                <w:tcPr>
                  <w:tcW w:w="857" w:type="dxa"/>
                  <w:tcBorders>
                    <w:top w:val="single" w:color="000000" w:sz="12" w:space="0"/>
                    <w:tl2br w:val="nil"/>
                    <w:tr2bl w:val="nil"/>
                  </w:tcBorders>
                  <w:vAlign w:val="center"/>
                </w:tcPr>
                <w:p>
                  <w:pPr>
                    <w:pStyle w:val="33"/>
                    <w:widowControl w:val="0"/>
                    <w:rPr>
                      <w:lang w:val="en-US" w:eastAsia="zh-CN"/>
                    </w:rPr>
                  </w:pPr>
                  <w:r>
                    <w:rPr>
                      <w:rFonts w:hint="eastAsia"/>
                      <w:lang w:val="en-US" w:eastAsia="zh-CN"/>
                    </w:rPr>
                    <w:t>COD、SS、BOD</w:t>
                  </w:r>
                  <w:r>
                    <w:rPr>
                      <w:rFonts w:hint="eastAsia"/>
                      <w:vertAlign w:val="subscript"/>
                      <w:lang w:val="en-US" w:eastAsia="zh-CN"/>
                    </w:rPr>
                    <w:t>5</w:t>
                  </w:r>
                  <w:r>
                    <w:rPr>
                      <w:rFonts w:hint="eastAsia"/>
                      <w:lang w:val="en-US" w:eastAsia="zh-CN"/>
                    </w:rPr>
                    <w:t>、NH</w:t>
                  </w:r>
                  <w:r>
                    <w:rPr>
                      <w:rFonts w:hint="eastAsia"/>
                      <w:vertAlign w:val="subscript"/>
                      <w:lang w:val="en-US" w:eastAsia="zh-CN"/>
                    </w:rPr>
                    <w:t>3</w:t>
                  </w:r>
                  <w:r>
                    <w:rPr>
                      <w:rFonts w:hint="eastAsia"/>
                      <w:lang w:val="en-US" w:eastAsia="zh-CN"/>
                    </w:rPr>
                    <w:t>-N</w:t>
                  </w:r>
                </w:p>
              </w:tc>
              <w:tc>
                <w:tcPr>
                  <w:tcW w:w="403" w:type="dxa"/>
                  <w:tcBorders>
                    <w:top w:val="single" w:color="auto" w:sz="12" w:space="0"/>
                    <w:tl2br w:val="nil"/>
                    <w:tr2bl w:val="nil"/>
                  </w:tcBorders>
                  <w:vAlign w:val="center"/>
                </w:tcPr>
                <w:p>
                  <w:pPr>
                    <w:pStyle w:val="33"/>
                    <w:widowControl w:val="0"/>
                    <w:rPr>
                      <w:lang w:val="en-US" w:eastAsia="zh-CN"/>
                    </w:rPr>
                  </w:pPr>
                  <w:r>
                    <w:rPr>
                      <w:rFonts w:hint="eastAsia"/>
                      <w:lang w:val="en-US" w:eastAsia="zh-CN"/>
                    </w:rPr>
                    <w:t>/</w:t>
                  </w:r>
                </w:p>
              </w:tc>
              <w:tc>
                <w:tcPr>
                  <w:tcW w:w="403" w:type="dxa"/>
                  <w:tcBorders>
                    <w:top w:val="single" w:color="auto" w:sz="12" w:space="0"/>
                    <w:tl2br w:val="nil"/>
                    <w:tr2bl w:val="nil"/>
                  </w:tcBorders>
                  <w:vAlign w:val="center"/>
                </w:tcPr>
                <w:p>
                  <w:pPr>
                    <w:pStyle w:val="33"/>
                    <w:widowControl w:val="0"/>
                    <w:rPr>
                      <w:lang w:val="en-US" w:eastAsia="zh-CN"/>
                    </w:rPr>
                  </w:pPr>
                  <w:r>
                    <w:rPr>
                      <w:rFonts w:hint="eastAsia"/>
                      <w:lang w:val="en-US" w:eastAsia="zh-CN"/>
                    </w:rPr>
                    <w:t>/</w:t>
                  </w:r>
                </w:p>
              </w:tc>
              <w:tc>
                <w:tcPr>
                  <w:tcW w:w="403" w:type="dxa"/>
                  <w:tcBorders>
                    <w:top w:val="single" w:color="auto" w:sz="12" w:space="0"/>
                    <w:tl2br w:val="nil"/>
                    <w:tr2bl w:val="nil"/>
                  </w:tcBorders>
                  <w:vAlign w:val="center"/>
                </w:tcPr>
                <w:p>
                  <w:pPr>
                    <w:pStyle w:val="33"/>
                    <w:widowControl w:val="0"/>
                    <w:rPr>
                      <w:lang w:val="en-US" w:eastAsia="zh-CN"/>
                    </w:rPr>
                  </w:pPr>
                  <w:r>
                    <w:rPr>
                      <w:rFonts w:hint="eastAsia"/>
                      <w:lang w:val="en-US" w:eastAsia="zh-CN"/>
                    </w:rPr>
                    <w:t>/</w:t>
                  </w:r>
                </w:p>
              </w:tc>
              <w:tc>
                <w:tcPr>
                  <w:tcW w:w="937" w:type="dxa"/>
                  <w:tcBorders>
                    <w:top w:val="single" w:color="auto" w:sz="12" w:space="0"/>
                    <w:tl2br w:val="nil"/>
                    <w:tr2bl w:val="nil"/>
                  </w:tcBorders>
                  <w:vAlign w:val="center"/>
                </w:tcPr>
                <w:p>
                  <w:pPr>
                    <w:pStyle w:val="33"/>
                    <w:widowControl w:val="0"/>
                    <w:rPr>
                      <w:lang w:val="en-US" w:eastAsia="zh-CN"/>
                    </w:rPr>
                  </w:pPr>
                  <w:r>
                    <w:rPr>
                      <w:lang w:val="en-US" w:eastAsia="zh-CN"/>
                    </w:rPr>
                    <w:t>87.13780775</w:t>
                  </w:r>
                </w:p>
              </w:tc>
              <w:tc>
                <w:tcPr>
                  <w:tcW w:w="963" w:type="dxa"/>
                  <w:tcBorders>
                    <w:top w:val="single" w:color="auto" w:sz="12" w:space="0"/>
                    <w:tl2br w:val="nil"/>
                    <w:tr2bl w:val="nil"/>
                  </w:tcBorders>
                  <w:vAlign w:val="center"/>
                </w:tcPr>
                <w:p>
                  <w:pPr>
                    <w:pStyle w:val="33"/>
                    <w:widowControl w:val="0"/>
                    <w:rPr>
                      <w:lang w:val="en-US" w:eastAsia="zh-CN"/>
                    </w:rPr>
                  </w:pPr>
                  <w:r>
                    <w:rPr>
                      <w:lang w:val="en-US" w:eastAsia="zh-CN"/>
                    </w:rPr>
                    <w:t>44.09007331</w:t>
                  </w:r>
                </w:p>
              </w:tc>
              <w:tc>
                <w:tcPr>
                  <w:tcW w:w="680" w:type="dxa"/>
                  <w:tcBorders>
                    <w:top w:val="single" w:color="auto" w:sz="12" w:space="0"/>
                    <w:tl2br w:val="nil"/>
                    <w:tr2bl w:val="nil"/>
                  </w:tcBorders>
                  <w:vAlign w:val="center"/>
                </w:tcPr>
                <w:p>
                  <w:pPr>
                    <w:pStyle w:val="33"/>
                    <w:widowControl w:val="0"/>
                    <w:rPr>
                      <w:lang w:val="en-US" w:eastAsia="zh-CN"/>
                    </w:rPr>
                  </w:pPr>
                  <w:r>
                    <w:rPr>
                      <w:rFonts w:hint="eastAsia"/>
                      <w:lang w:val="en-US" w:eastAsia="zh-CN"/>
                    </w:rPr>
                    <w:t>园区污水处理厂</w:t>
                  </w:r>
                </w:p>
              </w:tc>
              <w:tc>
                <w:tcPr>
                  <w:tcW w:w="350" w:type="dxa"/>
                  <w:tcBorders>
                    <w:top w:val="single" w:color="auto" w:sz="12" w:space="0"/>
                    <w:tl2br w:val="nil"/>
                    <w:tr2bl w:val="nil"/>
                  </w:tcBorders>
                  <w:vAlign w:val="center"/>
                </w:tcPr>
                <w:p>
                  <w:pPr>
                    <w:pStyle w:val="33"/>
                    <w:widowControl w:val="0"/>
                    <w:rPr>
                      <w:lang w:val="en-US" w:eastAsia="zh-CN"/>
                    </w:rPr>
                  </w:pPr>
                  <w:r>
                    <w:rPr>
                      <w:rFonts w:hint="eastAsia"/>
                      <w:lang w:val="en-US" w:eastAsia="zh-CN"/>
                    </w:rPr>
                    <w:t>直接排放</w:t>
                  </w:r>
                </w:p>
              </w:tc>
              <w:tc>
                <w:tcPr>
                  <w:tcW w:w="855" w:type="dxa"/>
                  <w:tcBorders>
                    <w:top w:val="single" w:color="auto" w:sz="12" w:space="0"/>
                    <w:tl2br w:val="nil"/>
                    <w:tr2bl w:val="nil"/>
                  </w:tcBorders>
                  <w:vAlign w:val="center"/>
                </w:tcPr>
                <w:p>
                  <w:pPr>
                    <w:pStyle w:val="33"/>
                    <w:widowControl w:val="0"/>
                    <w:rPr>
                      <w:lang w:val="en-US" w:eastAsia="zh-CN"/>
                    </w:rPr>
                  </w:pPr>
                  <w:r>
                    <w:rPr>
                      <w:rFonts w:hint="eastAsia"/>
                      <w:lang w:val="en-US" w:eastAsia="zh-CN"/>
                    </w:rPr>
                    <w:t>连续排放，流量不稳定且无规律，但不属于冲击型排放</w:t>
                  </w:r>
                </w:p>
              </w:tc>
              <w:tc>
                <w:tcPr>
                  <w:tcW w:w="404" w:type="dxa"/>
                  <w:tcBorders>
                    <w:top w:val="single" w:color="auto" w:sz="12" w:space="0"/>
                    <w:tl2br w:val="nil"/>
                    <w:tr2bl w:val="nil"/>
                  </w:tcBorders>
                  <w:vAlign w:val="center"/>
                </w:tcPr>
                <w:p>
                  <w:pPr>
                    <w:pStyle w:val="33"/>
                    <w:widowControl w:val="0"/>
                    <w:rPr>
                      <w:lang w:val="en-US" w:eastAsia="zh-CN"/>
                    </w:rPr>
                  </w:pPr>
                  <w:r>
                    <w:rPr>
                      <w:rFonts w:hint="eastAsia"/>
                      <w:lang w:val="en-US" w:eastAsia="zh-CN"/>
                    </w:rPr>
                    <w:t>企业总排口-一般排放口</w:t>
                  </w:r>
                </w:p>
              </w:tc>
            </w:tr>
          </w:tbl>
          <w:p>
            <w:pPr>
              <w:pStyle w:val="6"/>
              <w:jc w:val="both"/>
              <w:outlineLvl w:val="2"/>
            </w:pPr>
            <w:r>
              <w:rPr>
                <w:rFonts w:hint="eastAsia"/>
              </w:rPr>
              <w:t xml:space="preserve">1.4 废水排放依托可行性： </w:t>
            </w:r>
          </w:p>
          <w:p>
            <w:pPr>
              <w:pStyle w:val="20"/>
              <w:ind w:firstLine="480"/>
              <w:jc w:val="both"/>
              <w:rPr>
                <w:rFonts w:cs="Times New Roman"/>
              </w:rPr>
            </w:pPr>
            <w:r>
              <w:rPr>
                <w:rFonts w:hint="eastAsia"/>
              </w:rPr>
              <w:t>高新海天污水处理厂位于规划区西北角，312国道南侧，总占地面积约13万</w:t>
            </w:r>
            <w:r>
              <w:t>m</w:t>
            </w:r>
            <w:r>
              <w:rPr>
                <w:vertAlign w:val="superscript"/>
              </w:rPr>
              <w:t>2</w:t>
            </w:r>
            <w:r>
              <w:rPr>
                <w:rFonts w:hint="eastAsia"/>
              </w:rPr>
              <w:t>，已建设规模为处理污水量3.0万m</w:t>
            </w:r>
            <w:r>
              <w:rPr>
                <w:rFonts w:hint="eastAsia"/>
                <w:vertAlign w:val="superscript"/>
              </w:rPr>
              <w:t>3</w:t>
            </w:r>
            <w:r>
              <w:t>/d</w:t>
            </w:r>
            <w:r>
              <w:rPr>
                <w:rFonts w:hint="eastAsia"/>
              </w:rPr>
              <w:t>，2012年5月25日开工建设，2013年11月15日建成试运行。根据污水厂进水水质及出水水质要求，污水处理采取“预处理段（两级格栅+曝气</w:t>
            </w:r>
            <w:r>
              <w:rPr>
                <w:rFonts w:hint="eastAsia"/>
                <w:lang w:val="zh-CN"/>
              </w:rPr>
              <w:t>沉砂池</w:t>
            </w:r>
            <w:r>
              <w:rPr>
                <w:rFonts w:hint="eastAsia"/>
              </w:rPr>
              <w:t>+事故池）+A</w:t>
            </w:r>
            <w:r>
              <w:rPr>
                <w:rFonts w:hint="eastAsia"/>
                <w:vertAlign w:val="superscript"/>
              </w:rPr>
              <w:t>2</w:t>
            </w:r>
            <w:r>
              <w:rPr>
                <w:rFonts w:hint="eastAsia"/>
              </w:rPr>
              <w:t>/O</w:t>
            </w:r>
            <w:r>
              <w:rPr>
                <w:rFonts w:hint="eastAsia"/>
                <w:lang w:val="zh-CN"/>
              </w:rPr>
              <w:t>脱氮除磷生化</w:t>
            </w:r>
            <w:r>
              <w:rPr>
                <w:rFonts w:hint="eastAsia"/>
              </w:rPr>
              <w:t>池+二沉池+</w:t>
            </w:r>
            <w:r>
              <w:rPr>
                <w:rFonts w:hint="eastAsia"/>
                <w:lang w:val="zh-CN"/>
              </w:rPr>
              <w:t>芬顿反应池+絮凝沉淀+紫外线消毒</w:t>
            </w:r>
            <w:r>
              <w:rPr>
                <w:rFonts w:hint="eastAsia"/>
              </w:rPr>
              <w:t>”工艺，设计进水水质：pH=6.0-9.0、CODcr 500-600 mg/L、BOD</w:t>
            </w:r>
            <w:r>
              <w:rPr>
                <w:rFonts w:hint="eastAsia"/>
                <w:vertAlign w:val="subscript"/>
              </w:rPr>
              <w:t>5</w:t>
            </w:r>
            <w:r>
              <w:rPr>
                <w:rFonts w:hint="eastAsia"/>
              </w:rPr>
              <w:t xml:space="preserve"> 200-250 mg/L、SS 250-300 mg/L、氨氮30-40 mg/L、总磷≤3 mg/L；出水可达到《城镇污水处理厂污染物排放标准》（GB18918-2002）中一级B标准，即pH=6.0-9.0、CODcr≤60 mg/L、BOD</w:t>
            </w:r>
            <w:r>
              <w:rPr>
                <w:rFonts w:hint="eastAsia"/>
                <w:vertAlign w:val="subscript"/>
              </w:rPr>
              <w:t>5</w:t>
            </w:r>
            <w:r>
              <w:rPr>
                <w:rFonts w:hint="eastAsia"/>
              </w:rPr>
              <w:t>≤20 mg/L、SS≤20 mg/L、氨氮≤8（15）mg/L、总磷≤1mg/L</w:t>
            </w:r>
            <w:r>
              <w:rPr>
                <w:rFonts w:cs="Times New Roman"/>
              </w:rPr>
              <w:t>。</w:t>
            </w:r>
          </w:p>
          <w:p>
            <w:pPr>
              <w:pStyle w:val="20"/>
              <w:ind w:firstLine="480"/>
              <w:jc w:val="both"/>
              <w:rPr>
                <w:rFonts w:cs="Times New Roman"/>
              </w:rPr>
            </w:pPr>
            <w:r>
              <w:rPr>
                <w:rFonts w:hint="eastAsia"/>
              </w:rPr>
              <w:t>本项目污水量为84m</w:t>
            </w:r>
            <w:r>
              <w:rPr>
                <w:rFonts w:hint="eastAsia"/>
                <w:vertAlign w:val="superscript"/>
              </w:rPr>
              <w:t>3</w:t>
            </w:r>
            <w:r>
              <w:rPr>
                <w:rFonts w:hint="eastAsia"/>
              </w:rPr>
              <w:t>/a，污染物浓度较小，因此高新海天污水处理厂污水处理量可满足本项目的需求</w:t>
            </w:r>
            <w:r>
              <w:t>。</w:t>
            </w:r>
          </w:p>
          <w:p>
            <w:pPr>
              <w:pStyle w:val="5"/>
              <w:numPr>
                <w:ilvl w:val="0"/>
                <w:numId w:val="20"/>
              </w:numPr>
              <w:jc w:val="both"/>
              <w:outlineLvl w:val="1"/>
            </w:pPr>
            <w:r>
              <w:rPr>
                <w:rFonts w:hint="eastAsia"/>
              </w:rPr>
              <w:t>废气环境影响和保护措施</w:t>
            </w:r>
          </w:p>
          <w:p>
            <w:pPr>
              <w:pStyle w:val="6"/>
              <w:numPr>
                <w:ilvl w:val="1"/>
                <w:numId w:val="20"/>
              </w:numPr>
              <w:jc w:val="both"/>
              <w:outlineLvl w:val="2"/>
            </w:pPr>
            <w:r>
              <w:rPr>
                <w:rFonts w:hint="eastAsia"/>
              </w:rPr>
              <w:t>废气产排情况</w:t>
            </w:r>
          </w:p>
          <w:p>
            <w:pPr>
              <w:pStyle w:val="20"/>
              <w:ind w:firstLine="480"/>
              <w:jc w:val="both"/>
            </w:pPr>
            <w:r>
              <w:t>项目运营期产生的废气污染物主要为EPS线条切割</w:t>
            </w:r>
            <w:r>
              <w:rPr>
                <w:rFonts w:hint="eastAsia"/>
              </w:rPr>
              <w:t>及</w:t>
            </w:r>
            <w:r>
              <w:t>乳液挥发产生的非甲烷总烃</w:t>
            </w:r>
            <w:r>
              <w:rPr>
                <w:rFonts w:hint="eastAsia"/>
              </w:rPr>
              <w:t>、</w:t>
            </w:r>
            <w:r>
              <w:t>原料装卸粉尘、混料粉尘</w:t>
            </w:r>
            <w:r>
              <w:rPr>
                <w:rFonts w:hint="eastAsia"/>
              </w:rPr>
              <w:t>。</w:t>
            </w:r>
          </w:p>
          <w:p>
            <w:pPr>
              <w:pStyle w:val="20"/>
              <w:numPr>
                <w:ilvl w:val="0"/>
                <w:numId w:val="21"/>
              </w:numPr>
              <w:ind w:firstLine="480"/>
              <w:jc w:val="both"/>
            </w:pPr>
            <w:r>
              <w:rPr>
                <w:rFonts w:hint="eastAsia"/>
              </w:rPr>
              <w:t>有组织粉尘</w:t>
            </w:r>
          </w:p>
          <w:p>
            <w:pPr>
              <w:pStyle w:val="20"/>
              <w:ind w:firstLine="480"/>
              <w:jc w:val="both"/>
            </w:pPr>
            <w:r>
              <w:rPr>
                <w:rFonts w:hint="eastAsia"/>
              </w:rPr>
              <w:t xml:space="preserve">① </w:t>
            </w:r>
            <w:r>
              <w:t>EPS线条切割</w:t>
            </w:r>
          </w:p>
          <w:p>
            <w:pPr>
              <w:pStyle w:val="20"/>
              <w:overflowPunct w:val="0"/>
              <w:autoSpaceDE w:val="0"/>
              <w:autoSpaceDN w:val="0"/>
              <w:ind w:firstLine="480"/>
              <w:jc w:val="both"/>
              <w:rPr>
                <w:rFonts w:hint="eastAsia"/>
                <w:lang w:eastAsia="zh-CN"/>
              </w:rPr>
            </w:pPr>
            <w:r>
              <w:rPr>
                <w:rFonts w:hint="eastAsia"/>
              </w:rPr>
              <w:t>项目切割工序采用电钨丝切割，切割温度为 200°C，低于聚苯乙烯裂解温度（350~380°C），且切割时间较短，产生少量 VOCs，</w:t>
            </w:r>
            <w:r>
              <w:t>项目苯板（EPS）年用量为</w:t>
            </w:r>
            <w:r>
              <w:rPr>
                <w:rFonts w:hint="eastAsia"/>
              </w:rPr>
              <w:t>66t</w:t>
            </w:r>
            <w:r>
              <w:rPr>
                <w:rFonts w:hint="eastAsia"/>
                <w:lang w:eastAsia="zh-CN"/>
              </w:rPr>
              <w:t>；</w:t>
            </w:r>
          </w:p>
          <w:p>
            <w:pPr>
              <w:pStyle w:val="20"/>
              <w:overflowPunct w:val="0"/>
              <w:autoSpaceDE w:val="0"/>
              <w:autoSpaceDN w:val="0"/>
              <w:ind w:firstLine="480"/>
              <w:jc w:val="both"/>
              <w:rPr>
                <w:rFonts w:hint="eastAsia" w:cs="Times New Roman"/>
                <w:color w:val="0000FF"/>
                <w:lang w:eastAsia="zh-CN"/>
              </w:rPr>
            </w:pPr>
            <w:r>
              <w:rPr>
                <w:rFonts w:hint="eastAsia"/>
                <w:color w:val="0000FF"/>
                <w:lang w:val="en-US" w:eastAsia="zh-CN"/>
              </w:rPr>
              <w:t>根据</w:t>
            </w:r>
            <w:r>
              <w:rPr>
                <w:rFonts w:hint="eastAsia"/>
                <w:color w:val="0000FF"/>
                <w:sz w:val="24"/>
                <w:szCs w:val="24"/>
                <w:highlight w:val="none"/>
              </w:rPr>
              <w:t>《排放源统计调查产排污核算方法和系数手册-</w:t>
            </w:r>
            <w:r>
              <w:rPr>
                <w:rFonts w:hint="eastAsia"/>
                <w:color w:val="0000FF"/>
                <w:sz w:val="24"/>
                <w:szCs w:val="24"/>
                <w:highlight w:val="none"/>
                <w:lang w:val="en-US" w:eastAsia="zh-CN"/>
              </w:rPr>
              <w:t>2924 泡沫塑料制造行业</w:t>
            </w:r>
            <w:r>
              <w:rPr>
                <w:rFonts w:hint="eastAsia"/>
                <w:color w:val="0000FF"/>
                <w:sz w:val="24"/>
                <w:szCs w:val="24"/>
                <w:highlight w:val="none"/>
              </w:rPr>
              <w:t>系数手册》中</w:t>
            </w:r>
            <w:r>
              <w:rPr>
                <w:rFonts w:hint="eastAsia"/>
                <w:color w:val="0000FF"/>
                <w:sz w:val="24"/>
                <w:szCs w:val="24"/>
                <w:highlight w:val="none"/>
                <w:lang w:val="en-US" w:eastAsia="zh-CN"/>
              </w:rPr>
              <w:t>挥发性有机物产物系数为1.5kg/t，</w:t>
            </w:r>
            <w:r>
              <w:rPr>
                <w:rFonts w:hint="eastAsia"/>
                <w:color w:val="0000FF"/>
              </w:rPr>
              <w:t>则 VOCs 产生量约为 0.0</w:t>
            </w:r>
            <w:r>
              <w:rPr>
                <w:rFonts w:hint="eastAsia"/>
                <w:color w:val="0000FF"/>
                <w:lang w:val="en-US" w:eastAsia="zh-CN"/>
              </w:rPr>
              <w:t>99</w:t>
            </w:r>
            <w:r>
              <w:rPr>
                <w:rFonts w:hint="eastAsia"/>
                <w:color w:val="0000FF"/>
              </w:rPr>
              <w:t>t/a。</w:t>
            </w:r>
            <w:r>
              <w:rPr>
                <w:color w:val="0000FF"/>
              </w:rPr>
              <w:t>建设单位对线条切割工序</w:t>
            </w:r>
            <w:r>
              <w:rPr>
                <w:rFonts w:hint="eastAsia"/>
                <w:color w:val="0000FF"/>
              </w:rPr>
              <w:t xml:space="preserve">设集气罩+经光氧催化+活性炭吸附装置处理后通过 </w:t>
            </w:r>
            <w:r>
              <w:rPr>
                <w:color w:val="0000FF"/>
              </w:rPr>
              <w:t xml:space="preserve">15m </w:t>
            </w:r>
            <w:r>
              <w:rPr>
                <w:rFonts w:hint="eastAsia"/>
                <w:color w:val="0000FF"/>
              </w:rPr>
              <w:t>高排气筒排放，</w:t>
            </w:r>
            <w:r>
              <w:rPr>
                <w:rFonts w:cs="Times New Roman"/>
                <w:color w:val="0000FF"/>
              </w:rPr>
              <w:t>收集效率为80%</w:t>
            </w:r>
            <w:r>
              <w:rPr>
                <w:rFonts w:hint="eastAsia" w:cs="Times New Roman"/>
                <w:color w:val="0000FF"/>
                <w:lang w:eastAsia="zh-CN"/>
              </w:rPr>
              <w:t>；</w:t>
            </w:r>
          </w:p>
          <w:p>
            <w:pPr>
              <w:pStyle w:val="20"/>
              <w:overflowPunct w:val="0"/>
              <w:autoSpaceDE w:val="0"/>
              <w:autoSpaceDN w:val="0"/>
              <w:ind w:firstLine="480"/>
              <w:jc w:val="both"/>
              <w:rPr>
                <w:rFonts w:cs="Times New Roman"/>
              </w:rPr>
            </w:pPr>
            <w:r>
              <w:rPr>
                <w:rFonts w:hint="eastAsia" w:cs="Times New Roman"/>
                <w:color w:val="0000FF"/>
              </w:rPr>
              <w:t>根据</w:t>
            </w:r>
            <w:r>
              <w:rPr>
                <w:rFonts w:hint="eastAsia"/>
                <w:color w:val="0000FF"/>
                <w:sz w:val="24"/>
                <w:szCs w:val="24"/>
                <w:highlight w:val="none"/>
              </w:rPr>
              <w:t>《排放源统计调查产排污核算方法和系数手册-</w:t>
            </w:r>
            <w:r>
              <w:rPr>
                <w:rFonts w:hint="eastAsia"/>
                <w:color w:val="0000FF"/>
                <w:sz w:val="24"/>
                <w:szCs w:val="24"/>
                <w:highlight w:val="none"/>
                <w:lang w:val="en-US" w:eastAsia="zh-CN"/>
              </w:rPr>
              <w:t>2924 泡沫塑料制造行业</w:t>
            </w:r>
            <w:r>
              <w:rPr>
                <w:rFonts w:hint="eastAsia"/>
                <w:color w:val="0000FF"/>
                <w:sz w:val="24"/>
                <w:szCs w:val="24"/>
                <w:highlight w:val="none"/>
              </w:rPr>
              <w:t>系数手册》</w:t>
            </w:r>
            <w:r>
              <w:rPr>
                <w:rFonts w:hint="eastAsia"/>
                <w:color w:val="0000FF"/>
                <w:sz w:val="24"/>
                <w:szCs w:val="24"/>
                <w:highlight w:val="none"/>
                <w:lang w:val="en-US" w:eastAsia="zh-CN"/>
              </w:rPr>
              <w:t>末端治理技术平均去除效率（%）光催化+活性炭吸附效率为24%，</w:t>
            </w:r>
            <w:r>
              <w:rPr>
                <w:rFonts w:cs="Times New Roman"/>
              </w:rPr>
              <w:t>风量为8000m</w:t>
            </w:r>
            <w:r>
              <w:rPr>
                <w:rFonts w:cs="Times New Roman"/>
                <w:vertAlign w:val="superscript"/>
              </w:rPr>
              <w:t>3</w:t>
            </w:r>
            <w:r>
              <w:rPr>
                <w:rFonts w:cs="Times New Roman"/>
              </w:rPr>
              <w:t>/h。</w:t>
            </w:r>
            <w:r>
              <w:rPr>
                <w:rFonts w:hint="eastAsia" w:cs="Times New Roman"/>
              </w:rPr>
              <w:t>EPS切割废气产排情况一览表见表4-3。</w:t>
            </w:r>
          </w:p>
          <w:p>
            <w:pPr>
              <w:pStyle w:val="32"/>
            </w:pPr>
            <w:r>
              <w:rPr>
                <w:rFonts w:hint="eastAsia"/>
              </w:rPr>
              <w:t xml:space="preserve">表4-3    </w:t>
            </w:r>
            <w:r>
              <w:rPr>
                <w:rFonts w:hint="eastAsia" w:cs="Times New Roman"/>
              </w:rPr>
              <w:t>EPS</w:t>
            </w:r>
            <w:r>
              <w:rPr>
                <w:rFonts w:hint="eastAsia"/>
              </w:rPr>
              <w:t>切割工序废气产排情况一览表</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75"/>
              <w:gridCol w:w="775"/>
              <w:gridCol w:w="972"/>
              <w:gridCol w:w="874"/>
              <w:gridCol w:w="776"/>
              <w:gridCol w:w="892"/>
              <w:gridCol w:w="985"/>
              <w:gridCol w:w="8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pStyle w:val="33"/>
                    <w:widowControl w:val="0"/>
                    <w:rPr>
                      <w:b/>
                      <w:bCs/>
                      <w:lang w:val="en-US" w:eastAsia="zh-CN"/>
                    </w:rPr>
                  </w:pPr>
                  <w:r>
                    <w:rPr>
                      <w:rFonts w:hint="eastAsia"/>
                      <w:b/>
                      <w:bCs/>
                      <w:lang w:val="en-US" w:eastAsia="zh-CN"/>
                    </w:rPr>
                    <w:t>污染物名称</w:t>
                  </w:r>
                </w:p>
              </w:tc>
              <w:tc>
                <w:tcPr>
                  <w:tcW w:w="555" w:type="pct"/>
                  <w:tcBorders>
                    <w:tl2br w:val="nil"/>
                    <w:tr2bl w:val="nil"/>
                  </w:tcBorders>
                  <w:vAlign w:val="center"/>
                </w:tcPr>
                <w:p>
                  <w:pPr>
                    <w:pStyle w:val="33"/>
                    <w:widowControl w:val="0"/>
                    <w:rPr>
                      <w:b/>
                      <w:bCs/>
                      <w:lang w:val="en-US" w:eastAsia="zh-CN"/>
                    </w:rPr>
                  </w:pPr>
                  <w:r>
                    <w:rPr>
                      <w:rFonts w:hint="eastAsia"/>
                      <w:b/>
                      <w:bCs/>
                      <w:lang w:val="en-US" w:eastAsia="zh-CN"/>
                    </w:rPr>
                    <w:t>产生量t/a</w:t>
                  </w:r>
                </w:p>
              </w:tc>
              <w:tc>
                <w:tcPr>
                  <w:tcW w:w="492" w:type="pct"/>
                  <w:tcBorders>
                    <w:tl2br w:val="nil"/>
                    <w:tr2bl w:val="nil"/>
                  </w:tcBorders>
                  <w:vAlign w:val="center"/>
                </w:tcPr>
                <w:p>
                  <w:pPr>
                    <w:pStyle w:val="33"/>
                    <w:widowControl w:val="0"/>
                    <w:rPr>
                      <w:b/>
                      <w:bCs/>
                      <w:lang w:val="en-US" w:eastAsia="zh-CN"/>
                    </w:rPr>
                  </w:pPr>
                  <w:r>
                    <w:rPr>
                      <w:rFonts w:hint="eastAsia"/>
                      <w:b/>
                      <w:bCs/>
                      <w:lang w:val="en-US" w:eastAsia="zh-CN"/>
                    </w:rPr>
                    <w:t>风机风量</w:t>
                  </w:r>
                  <w:r>
                    <w:rPr>
                      <w:b/>
                      <w:bCs/>
                      <w:sz w:val="24"/>
                    </w:rPr>
                    <w:t>m</w:t>
                  </w:r>
                  <w:r>
                    <w:rPr>
                      <w:b/>
                      <w:bCs/>
                      <w:sz w:val="24"/>
                      <w:vertAlign w:val="superscript"/>
                    </w:rPr>
                    <w:t>3</w:t>
                  </w:r>
                  <w:r>
                    <w:rPr>
                      <w:b/>
                      <w:bCs/>
                      <w:sz w:val="24"/>
                    </w:rPr>
                    <w:t>/h</w:t>
                  </w:r>
                </w:p>
              </w:tc>
              <w:tc>
                <w:tcPr>
                  <w:tcW w:w="617" w:type="pct"/>
                  <w:tcBorders>
                    <w:tl2br w:val="nil"/>
                    <w:tr2bl w:val="nil"/>
                  </w:tcBorders>
                  <w:vAlign w:val="center"/>
                </w:tcPr>
                <w:p>
                  <w:pPr>
                    <w:pStyle w:val="33"/>
                    <w:widowControl w:val="0"/>
                    <w:rPr>
                      <w:b/>
                      <w:bCs/>
                      <w:lang w:val="en-US" w:eastAsia="zh-CN"/>
                    </w:rPr>
                  </w:pPr>
                  <w:r>
                    <w:rPr>
                      <w:rFonts w:hint="eastAsia"/>
                      <w:b/>
                      <w:bCs/>
                      <w:lang w:val="en-US" w:eastAsia="zh-CN"/>
                    </w:rPr>
                    <w:t>集气罩收集效率</w:t>
                  </w:r>
                  <w:r>
                    <w:rPr>
                      <w:b/>
                      <w:bCs/>
                      <w:sz w:val="24"/>
                    </w:rPr>
                    <w:t>%</w:t>
                  </w:r>
                </w:p>
              </w:tc>
              <w:tc>
                <w:tcPr>
                  <w:tcW w:w="555" w:type="pct"/>
                  <w:tcBorders>
                    <w:tl2br w:val="nil"/>
                    <w:tr2bl w:val="nil"/>
                  </w:tcBorders>
                  <w:vAlign w:val="center"/>
                </w:tcPr>
                <w:p>
                  <w:pPr>
                    <w:pStyle w:val="33"/>
                    <w:widowControl w:val="0"/>
                    <w:rPr>
                      <w:b/>
                      <w:bCs/>
                      <w:lang w:val="en-US" w:eastAsia="zh-CN"/>
                    </w:rPr>
                  </w:pPr>
                  <w:r>
                    <w:rPr>
                      <w:rFonts w:hint="eastAsia"/>
                      <w:b/>
                      <w:bCs/>
                      <w:lang w:val="en-US" w:eastAsia="zh-CN"/>
                    </w:rPr>
                    <w:t>排放量t/a</w:t>
                  </w:r>
                </w:p>
              </w:tc>
              <w:tc>
                <w:tcPr>
                  <w:tcW w:w="493" w:type="pct"/>
                  <w:tcBorders>
                    <w:tl2br w:val="nil"/>
                    <w:tr2bl w:val="nil"/>
                  </w:tcBorders>
                  <w:vAlign w:val="center"/>
                </w:tcPr>
                <w:p>
                  <w:pPr>
                    <w:pStyle w:val="33"/>
                    <w:widowControl w:val="0"/>
                    <w:rPr>
                      <w:b/>
                      <w:bCs/>
                      <w:lang w:val="en-US" w:eastAsia="zh-CN"/>
                    </w:rPr>
                  </w:pPr>
                  <w:r>
                    <w:rPr>
                      <w:rFonts w:hint="eastAsia"/>
                      <w:b/>
                      <w:bCs/>
                      <w:lang w:val="en-US" w:eastAsia="zh-CN"/>
                    </w:rPr>
                    <w:t>处理效率</w:t>
                  </w:r>
                  <w:r>
                    <w:rPr>
                      <w:b/>
                      <w:bCs/>
                      <w:sz w:val="24"/>
                    </w:rPr>
                    <w:t>%</w:t>
                  </w:r>
                </w:p>
              </w:tc>
              <w:tc>
                <w:tcPr>
                  <w:tcW w:w="566" w:type="pct"/>
                  <w:tcBorders>
                    <w:tl2br w:val="nil"/>
                    <w:tr2bl w:val="nil"/>
                  </w:tcBorders>
                  <w:vAlign w:val="center"/>
                </w:tcPr>
                <w:p>
                  <w:pPr>
                    <w:pStyle w:val="33"/>
                    <w:widowControl w:val="0"/>
                    <w:rPr>
                      <w:b/>
                      <w:bCs/>
                      <w:lang w:val="en-US" w:eastAsia="zh-CN"/>
                    </w:rPr>
                  </w:pPr>
                  <w:r>
                    <w:rPr>
                      <w:rFonts w:hint="eastAsia"/>
                      <w:b/>
                      <w:bCs/>
                      <w:lang w:val="en-US" w:eastAsia="zh-CN"/>
                    </w:rPr>
                    <w:t>排放量t/a</w:t>
                  </w:r>
                </w:p>
              </w:tc>
              <w:tc>
                <w:tcPr>
                  <w:tcW w:w="625" w:type="pct"/>
                  <w:tcBorders>
                    <w:tl2br w:val="nil"/>
                    <w:tr2bl w:val="nil"/>
                  </w:tcBorders>
                  <w:vAlign w:val="center"/>
                </w:tcPr>
                <w:p>
                  <w:pPr>
                    <w:pStyle w:val="33"/>
                    <w:widowControl w:val="0"/>
                    <w:rPr>
                      <w:b/>
                      <w:bCs/>
                      <w:lang w:val="en-US" w:eastAsia="zh-CN"/>
                    </w:rPr>
                  </w:pPr>
                  <w:r>
                    <w:rPr>
                      <w:rFonts w:hint="eastAsia"/>
                      <w:b/>
                      <w:bCs/>
                      <w:lang w:val="en-US" w:eastAsia="zh-CN"/>
                    </w:rPr>
                    <w:t>排放速率kg/h</w:t>
                  </w:r>
                </w:p>
              </w:tc>
              <w:tc>
                <w:tcPr>
                  <w:tcW w:w="538" w:type="pct"/>
                  <w:tcBorders>
                    <w:tl2br w:val="nil"/>
                    <w:tr2bl w:val="nil"/>
                  </w:tcBorders>
                  <w:vAlign w:val="center"/>
                </w:tcPr>
                <w:p>
                  <w:pPr>
                    <w:pStyle w:val="33"/>
                    <w:widowControl w:val="0"/>
                    <w:rPr>
                      <w:b/>
                      <w:bCs/>
                      <w:lang w:val="en-US" w:eastAsia="zh-CN"/>
                    </w:rPr>
                  </w:pPr>
                  <w:r>
                    <w:rPr>
                      <w:rFonts w:hint="eastAsia"/>
                      <w:b/>
                      <w:bCs/>
                      <w:lang w:val="en-US" w:eastAsia="zh-CN"/>
                    </w:rPr>
                    <w:t>排放浓度mg/m</w:t>
                  </w:r>
                  <w:r>
                    <w:rPr>
                      <w:rFonts w:hint="eastAsia"/>
                      <w:b/>
                      <w:bCs/>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554" w:type="pct"/>
                  <w:tcBorders>
                    <w:tl2br w:val="nil"/>
                    <w:tr2bl w:val="nil"/>
                  </w:tcBorders>
                  <w:vAlign w:val="center"/>
                </w:tcPr>
                <w:p>
                  <w:pPr>
                    <w:pStyle w:val="33"/>
                    <w:widowControl w:val="0"/>
                    <w:rPr>
                      <w:lang w:eastAsia="zh-CN"/>
                    </w:rPr>
                  </w:pPr>
                  <w:r>
                    <w:rPr>
                      <w:rFonts w:hint="eastAsia"/>
                      <w:lang w:val="en-US" w:eastAsia="zh-CN"/>
                    </w:rPr>
                    <w:t>VOCs</w:t>
                  </w:r>
                </w:p>
              </w:tc>
              <w:tc>
                <w:tcPr>
                  <w:tcW w:w="555" w:type="pct"/>
                  <w:tcBorders>
                    <w:tl2br w:val="nil"/>
                    <w:tr2bl w:val="nil"/>
                  </w:tcBorders>
                  <w:vAlign w:val="center"/>
                </w:tcPr>
                <w:p>
                  <w:pPr>
                    <w:pStyle w:val="33"/>
                    <w:widowControl w:val="0"/>
                    <w:rPr>
                      <w:rFonts w:hint="default"/>
                      <w:lang w:val="en-US" w:eastAsia="zh-CN"/>
                    </w:rPr>
                  </w:pPr>
                  <w:r>
                    <w:rPr>
                      <w:rFonts w:hint="eastAsia"/>
                      <w:lang w:val="en-US" w:eastAsia="zh-CN"/>
                    </w:rPr>
                    <w:t>0.099</w:t>
                  </w:r>
                </w:p>
              </w:tc>
              <w:tc>
                <w:tcPr>
                  <w:tcW w:w="492" w:type="pct"/>
                  <w:tcBorders>
                    <w:tl2br w:val="nil"/>
                    <w:tr2bl w:val="nil"/>
                  </w:tcBorders>
                  <w:vAlign w:val="center"/>
                </w:tcPr>
                <w:p>
                  <w:pPr>
                    <w:pStyle w:val="33"/>
                    <w:widowControl w:val="0"/>
                    <w:rPr>
                      <w:lang w:eastAsia="zh-CN"/>
                    </w:rPr>
                  </w:pPr>
                  <w:r>
                    <w:t>8000</w:t>
                  </w:r>
                </w:p>
              </w:tc>
              <w:tc>
                <w:tcPr>
                  <w:tcW w:w="617" w:type="pct"/>
                  <w:tcBorders>
                    <w:tl2br w:val="nil"/>
                    <w:tr2bl w:val="nil"/>
                  </w:tcBorders>
                  <w:vAlign w:val="center"/>
                </w:tcPr>
                <w:p>
                  <w:pPr>
                    <w:pStyle w:val="33"/>
                    <w:widowControl w:val="0"/>
                    <w:rPr>
                      <w:lang w:eastAsia="zh-CN"/>
                    </w:rPr>
                  </w:pPr>
                  <w:r>
                    <w:t>80</w:t>
                  </w:r>
                </w:p>
              </w:tc>
              <w:tc>
                <w:tcPr>
                  <w:tcW w:w="555" w:type="pct"/>
                  <w:tcBorders>
                    <w:tl2br w:val="nil"/>
                    <w:tr2bl w:val="nil"/>
                  </w:tcBorders>
                  <w:vAlign w:val="center"/>
                </w:tcPr>
                <w:p>
                  <w:pPr>
                    <w:pStyle w:val="33"/>
                    <w:widowControl w:val="0"/>
                    <w:rPr>
                      <w:rFonts w:hint="default"/>
                      <w:lang w:val="en-US" w:eastAsia="zh-CN"/>
                    </w:rPr>
                  </w:pPr>
                  <w:r>
                    <w:rPr>
                      <w:rFonts w:hint="eastAsia"/>
                      <w:lang w:val="en-US" w:eastAsia="zh-CN"/>
                    </w:rPr>
                    <w:t>0.0792</w:t>
                  </w:r>
                </w:p>
              </w:tc>
              <w:tc>
                <w:tcPr>
                  <w:tcW w:w="493" w:type="pct"/>
                  <w:tcBorders>
                    <w:tl2br w:val="nil"/>
                    <w:tr2bl w:val="nil"/>
                  </w:tcBorders>
                  <w:vAlign w:val="center"/>
                </w:tcPr>
                <w:p>
                  <w:pPr>
                    <w:pStyle w:val="33"/>
                    <w:widowControl w:val="0"/>
                    <w:rPr>
                      <w:rFonts w:hint="default" w:eastAsia="宋体"/>
                      <w:lang w:val="en-US" w:eastAsia="zh-CN"/>
                    </w:rPr>
                  </w:pPr>
                  <w:r>
                    <w:rPr>
                      <w:rFonts w:hint="eastAsia"/>
                      <w:lang w:val="en-US" w:eastAsia="zh-CN"/>
                    </w:rPr>
                    <w:t>24</w:t>
                  </w:r>
                </w:p>
              </w:tc>
              <w:tc>
                <w:tcPr>
                  <w:tcW w:w="566" w:type="pct"/>
                  <w:tcBorders>
                    <w:tl2br w:val="nil"/>
                    <w:tr2bl w:val="nil"/>
                  </w:tcBorders>
                  <w:vAlign w:val="center"/>
                </w:tcPr>
                <w:p>
                  <w:pPr>
                    <w:pStyle w:val="33"/>
                    <w:widowControl w:val="0"/>
                    <w:rPr>
                      <w:rFonts w:hint="default"/>
                      <w:lang w:val="en-US" w:eastAsia="zh-CN"/>
                    </w:rPr>
                  </w:pPr>
                  <w:r>
                    <w:rPr>
                      <w:rFonts w:hint="eastAsia"/>
                      <w:lang w:val="en-US" w:eastAsia="zh-CN"/>
                    </w:rPr>
                    <w:t>0.0602</w:t>
                  </w:r>
                </w:p>
              </w:tc>
              <w:tc>
                <w:tcPr>
                  <w:tcW w:w="625" w:type="pct"/>
                  <w:tcBorders>
                    <w:tl2br w:val="nil"/>
                    <w:tr2bl w:val="nil"/>
                  </w:tcBorders>
                  <w:vAlign w:val="center"/>
                </w:tcPr>
                <w:p>
                  <w:pPr>
                    <w:pStyle w:val="33"/>
                    <w:widowControl w:val="0"/>
                    <w:rPr>
                      <w:rFonts w:hint="default"/>
                      <w:lang w:val="en-US" w:eastAsia="zh-CN"/>
                    </w:rPr>
                  </w:pPr>
                  <w:r>
                    <w:rPr>
                      <w:rFonts w:hint="eastAsia"/>
                      <w:lang w:val="en-US" w:eastAsia="zh-CN"/>
                    </w:rPr>
                    <w:t>0.0287</w:t>
                  </w:r>
                </w:p>
              </w:tc>
              <w:tc>
                <w:tcPr>
                  <w:tcW w:w="538" w:type="pct"/>
                  <w:tcBorders>
                    <w:tl2br w:val="nil"/>
                    <w:tr2bl w:val="nil"/>
                  </w:tcBorders>
                  <w:vAlign w:val="center"/>
                </w:tcPr>
                <w:p>
                  <w:pPr>
                    <w:pStyle w:val="33"/>
                    <w:widowControl w:val="0"/>
                    <w:rPr>
                      <w:rFonts w:hint="default"/>
                      <w:lang w:val="en-US" w:eastAsia="zh-CN"/>
                    </w:rPr>
                  </w:pPr>
                  <w:r>
                    <w:rPr>
                      <w:rFonts w:hint="eastAsia"/>
                      <w:lang w:val="en-US" w:eastAsia="zh-CN"/>
                    </w:rPr>
                    <w:t>3.583</w:t>
                  </w:r>
                </w:p>
              </w:tc>
            </w:tr>
          </w:tbl>
          <w:p>
            <w:pPr>
              <w:pStyle w:val="20"/>
              <w:overflowPunct w:val="0"/>
              <w:autoSpaceDE w:val="0"/>
              <w:autoSpaceDN w:val="0"/>
              <w:ind w:firstLine="480"/>
              <w:jc w:val="both"/>
            </w:pPr>
            <w:r>
              <w:rPr>
                <w:rFonts w:hint="eastAsia"/>
              </w:rPr>
              <w:t xml:space="preserve">② </w:t>
            </w:r>
            <w:r>
              <w:t>乳液挥发</w:t>
            </w:r>
          </w:p>
          <w:p>
            <w:pPr>
              <w:pStyle w:val="20"/>
              <w:overflowPunct w:val="0"/>
              <w:autoSpaceDE w:val="0"/>
              <w:autoSpaceDN w:val="0"/>
              <w:ind w:firstLine="480"/>
              <w:jc w:val="both"/>
              <w:rPr>
                <w:rFonts w:cs="Times New Roman"/>
              </w:rPr>
            </w:pPr>
            <w:r>
              <w:rPr>
                <w:rFonts w:cs="Times New Roman"/>
              </w:rPr>
              <w:t>本项目EPS线条湿料搅拌过程中会添加少量乳液以提高EPS线条浆料成膜强度和韧性，由于本项目原料包装桶较小，建设单位专门设置一个乳液投加桶，人工将乳液添加到乳液添加桶中，通过密闭管道输送到湿料搅拌机中</w:t>
            </w:r>
            <w:r>
              <w:rPr>
                <w:rFonts w:hint="eastAsia" w:cs="Times New Roman"/>
              </w:rPr>
              <w:t>。</w:t>
            </w:r>
          </w:p>
          <w:p>
            <w:pPr>
              <w:pStyle w:val="20"/>
              <w:overflowPunct w:val="0"/>
              <w:autoSpaceDE w:val="0"/>
              <w:autoSpaceDN w:val="0"/>
              <w:ind w:firstLine="480"/>
              <w:jc w:val="both"/>
              <w:rPr>
                <w:rFonts w:cs="Times New Roman"/>
              </w:rPr>
            </w:pPr>
            <w:r>
              <w:rPr>
                <w:rFonts w:cs="Times New Roman"/>
              </w:rPr>
              <w:t>根据建设单位提供资料，本项目乳液为EPS线条专用乳液，为丙烯酸共聚乳液，主要成分为丁酯、甲酯、丙烯酸共聚物、水。常温下，乳液挥发量约为原料用量的0.5%，主要为未聚合的丙烯酸（以非甲烷总烃计）。本项目年用乳液</w:t>
            </w:r>
            <w:r>
              <w:rPr>
                <w:rFonts w:hint="eastAsia" w:cs="Times New Roman"/>
              </w:rPr>
              <w:t>3</w:t>
            </w:r>
            <w:r>
              <w:rPr>
                <w:rFonts w:cs="Times New Roman"/>
              </w:rPr>
              <w:t>t，则非甲烷总烃产生量为0.</w:t>
            </w:r>
            <w:r>
              <w:rPr>
                <w:rFonts w:hint="eastAsia" w:cs="Times New Roman"/>
              </w:rPr>
              <w:t>015</w:t>
            </w:r>
            <w:r>
              <w:rPr>
                <w:rFonts w:cs="Times New Roman"/>
              </w:rPr>
              <w:t>t/a，本项目拟在专用乳液搅拌桶上和湿料搅拌机出口处分别设置1个集气罩（收集效率为80%）对乳液挥发的非甲烷总烃进行收集，收集的非甲烷总烃</w:t>
            </w:r>
            <w:r>
              <w:rPr>
                <w:rFonts w:hint="eastAsia"/>
              </w:rPr>
              <w:t>经光氧催化+</w:t>
            </w:r>
            <w:r>
              <w:rPr>
                <w:rFonts w:cs="Times New Roman"/>
              </w:rPr>
              <w:t>活性炭吸附装置（处理效率为</w:t>
            </w:r>
            <w:r>
              <w:rPr>
                <w:rFonts w:hint="eastAsia" w:cs="Times New Roman"/>
                <w:lang w:val="en-US" w:eastAsia="zh-CN"/>
              </w:rPr>
              <w:t>24</w:t>
            </w:r>
            <w:r>
              <w:rPr>
                <w:rFonts w:cs="Times New Roman"/>
              </w:rPr>
              <w:t>%，风机风量为8000m</w:t>
            </w:r>
            <w:r>
              <w:rPr>
                <w:rFonts w:cs="Times New Roman"/>
                <w:vertAlign w:val="superscript"/>
              </w:rPr>
              <w:t>3</w:t>
            </w:r>
            <w:r>
              <w:rPr>
                <w:rFonts w:cs="Times New Roman"/>
              </w:rPr>
              <w:t>/h）处理后通过15m高排气筒排放。</w:t>
            </w:r>
            <w:r>
              <w:rPr>
                <w:rFonts w:hint="eastAsia" w:cs="Times New Roman"/>
              </w:rPr>
              <w:t>乳液挥发工序废气产排情况一览表见表4-4。</w:t>
            </w:r>
          </w:p>
          <w:p>
            <w:pPr>
              <w:pStyle w:val="32"/>
            </w:pPr>
            <w:r>
              <w:rPr>
                <w:rFonts w:hint="eastAsia"/>
              </w:rPr>
              <w:t>表4-4    乳液挥发工序废气产排情况一览表</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75"/>
              <w:gridCol w:w="775"/>
              <w:gridCol w:w="972"/>
              <w:gridCol w:w="874"/>
              <w:gridCol w:w="875"/>
              <w:gridCol w:w="875"/>
              <w:gridCol w:w="966"/>
              <w:gridCol w:w="7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pStyle w:val="33"/>
                    <w:widowControl w:val="0"/>
                    <w:rPr>
                      <w:b/>
                      <w:bCs/>
                      <w:lang w:val="en-US" w:eastAsia="zh-CN"/>
                    </w:rPr>
                  </w:pPr>
                  <w:r>
                    <w:rPr>
                      <w:rFonts w:hint="eastAsia"/>
                      <w:b/>
                      <w:bCs/>
                      <w:lang w:val="en-US" w:eastAsia="zh-CN"/>
                    </w:rPr>
                    <w:t>污染物名称</w:t>
                  </w:r>
                </w:p>
              </w:tc>
              <w:tc>
                <w:tcPr>
                  <w:tcW w:w="555" w:type="pct"/>
                  <w:tcBorders>
                    <w:tl2br w:val="nil"/>
                    <w:tr2bl w:val="nil"/>
                  </w:tcBorders>
                  <w:vAlign w:val="center"/>
                </w:tcPr>
                <w:p>
                  <w:pPr>
                    <w:pStyle w:val="33"/>
                    <w:widowControl w:val="0"/>
                    <w:rPr>
                      <w:b/>
                      <w:bCs/>
                      <w:lang w:val="en-US" w:eastAsia="zh-CN"/>
                    </w:rPr>
                  </w:pPr>
                  <w:r>
                    <w:rPr>
                      <w:rFonts w:hint="eastAsia"/>
                      <w:b/>
                      <w:bCs/>
                      <w:lang w:val="en-US" w:eastAsia="zh-CN"/>
                    </w:rPr>
                    <w:t>产生量t/a</w:t>
                  </w:r>
                </w:p>
              </w:tc>
              <w:tc>
                <w:tcPr>
                  <w:tcW w:w="492" w:type="pct"/>
                  <w:tcBorders>
                    <w:tl2br w:val="nil"/>
                    <w:tr2bl w:val="nil"/>
                  </w:tcBorders>
                  <w:vAlign w:val="center"/>
                </w:tcPr>
                <w:p>
                  <w:pPr>
                    <w:pStyle w:val="33"/>
                    <w:widowControl w:val="0"/>
                    <w:rPr>
                      <w:b/>
                      <w:bCs/>
                      <w:lang w:val="en-US" w:eastAsia="zh-CN"/>
                    </w:rPr>
                  </w:pPr>
                  <w:r>
                    <w:rPr>
                      <w:rFonts w:hint="eastAsia"/>
                      <w:b/>
                      <w:bCs/>
                      <w:lang w:val="en-US" w:eastAsia="zh-CN"/>
                    </w:rPr>
                    <w:t>风机风量</w:t>
                  </w:r>
                  <w:r>
                    <w:rPr>
                      <w:b/>
                      <w:bCs/>
                      <w:sz w:val="24"/>
                    </w:rPr>
                    <w:t>m</w:t>
                  </w:r>
                  <w:r>
                    <w:rPr>
                      <w:b/>
                      <w:bCs/>
                      <w:sz w:val="24"/>
                      <w:vertAlign w:val="superscript"/>
                    </w:rPr>
                    <w:t>3</w:t>
                  </w:r>
                  <w:r>
                    <w:rPr>
                      <w:b/>
                      <w:bCs/>
                      <w:sz w:val="24"/>
                    </w:rPr>
                    <w:t>/h</w:t>
                  </w:r>
                </w:p>
              </w:tc>
              <w:tc>
                <w:tcPr>
                  <w:tcW w:w="617" w:type="pct"/>
                  <w:tcBorders>
                    <w:tl2br w:val="nil"/>
                    <w:tr2bl w:val="nil"/>
                  </w:tcBorders>
                  <w:vAlign w:val="center"/>
                </w:tcPr>
                <w:p>
                  <w:pPr>
                    <w:pStyle w:val="33"/>
                    <w:widowControl w:val="0"/>
                    <w:rPr>
                      <w:b/>
                      <w:bCs/>
                      <w:lang w:val="en-US" w:eastAsia="zh-CN"/>
                    </w:rPr>
                  </w:pPr>
                  <w:r>
                    <w:rPr>
                      <w:rFonts w:hint="eastAsia"/>
                      <w:b/>
                      <w:bCs/>
                      <w:lang w:val="en-US" w:eastAsia="zh-CN"/>
                    </w:rPr>
                    <w:t>集气罩收集效率</w:t>
                  </w:r>
                  <w:r>
                    <w:rPr>
                      <w:b/>
                      <w:bCs/>
                      <w:sz w:val="24"/>
                    </w:rPr>
                    <w:t>%</w:t>
                  </w:r>
                </w:p>
              </w:tc>
              <w:tc>
                <w:tcPr>
                  <w:tcW w:w="555" w:type="pct"/>
                  <w:tcBorders>
                    <w:tl2br w:val="nil"/>
                    <w:tr2bl w:val="nil"/>
                  </w:tcBorders>
                  <w:vAlign w:val="center"/>
                </w:tcPr>
                <w:p>
                  <w:pPr>
                    <w:pStyle w:val="33"/>
                    <w:widowControl w:val="0"/>
                    <w:rPr>
                      <w:b/>
                      <w:bCs/>
                      <w:lang w:val="en-US" w:eastAsia="zh-CN"/>
                    </w:rPr>
                  </w:pPr>
                  <w:r>
                    <w:rPr>
                      <w:rFonts w:hint="eastAsia"/>
                      <w:b/>
                      <w:bCs/>
                      <w:lang w:val="en-US" w:eastAsia="zh-CN"/>
                    </w:rPr>
                    <w:t>排放量t/a</w:t>
                  </w:r>
                </w:p>
              </w:tc>
              <w:tc>
                <w:tcPr>
                  <w:tcW w:w="556" w:type="pct"/>
                  <w:tcBorders>
                    <w:tl2br w:val="nil"/>
                    <w:tr2bl w:val="nil"/>
                  </w:tcBorders>
                  <w:vAlign w:val="center"/>
                </w:tcPr>
                <w:p>
                  <w:pPr>
                    <w:pStyle w:val="33"/>
                    <w:widowControl w:val="0"/>
                    <w:rPr>
                      <w:b/>
                      <w:bCs/>
                      <w:lang w:val="en-US" w:eastAsia="zh-CN"/>
                    </w:rPr>
                  </w:pPr>
                  <w:r>
                    <w:rPr>
                      <w:rFonts w:hint="eastAsia"/>
                      <w:b/>
                      <w:bCs/>
                      <w:lang w:val="en-US" w:eastAsia="zh-CN"/>
                    </w:rPr>
                    <w:t>处理效率</w:t>
                  </w:r>
                  <w:r>
                    <w:rPr>
                      <w:b/>
                      <w:bCs/>
                      <w:sz w:val="24"/>
                    </w:rPr>
                    <w:t>%</w:t>
                  </w:r>
                </w:p>
              </w:tc>
              <w:tc>
                <w:tcPr>
                  <w:tcW w:w="556" w:type="pct"/>
                  <w:tcBorders>
                    <w:tl2br w:val="nil"/>
                    <w:tr2bl w:val="nil"/>
                  </w:tcBorders>
                  <w:vAlign w:val="center"/>
                </w:tcPr>
                <w:p>
                  <w:pPr>
                    <w:pStyle w:val="33"/>
                    <w:widowControl w:val="0"/>
                    <w:rPr>
                      <w:b/>
                      <w:bCs/>
                      <w:lang w:val="en-US" w:eastAsia="zh-CN"/>
                    </w:rPr>
                  </w:pPr>
                  <w:r>
                    <w:rPr>
                      <w:rFonts w:hint="eastAsia"/>
                      <w:b/>
                      <w:bCs/>
                      <w:lang w:val="en-US" w:eastAsia="zh-CN"/>
                    </w:rPr>
                    <w:t>排放量t/a</w:t>
                  </w:r>
                </w:p>
              </w:tc>
              <w:tc>
                <w:tcPr>
                  <w:tcW w:w="614" w:type="pct"/>
                  <w:tcBorders>
                    <w:tl2br w:val="nil"/>
                    <w:tr2bl w:val="nil"/>
                  </w:tcBorders>
                  <w:vAlign w:val="center"/>
                </w:tcPr>
                <w:p>
                  <w:pPr>
                    <w:pStyle w:val="33"/>
                    <w:widowControl w:val="0"/>
                    <w:rPr>
                      <w:b/>
                      <w:bCs/>
                      <w:lang w:val="en-US" w:eastAsia="zh-CN"/>
                    </w:rPr>
                  </w:pPr>
                  <w:r>
                    <w:rPr>
                      <w:rFonts w:hint="eastAsia"/>
                      <w:b/>
                      <w:bCs/>
                      <w:lang w:val="en-US" w:eastAsia="zh-CN"/>
                    </w:rPr>
                    <w:t>排放速率kg/h</w:t>
                  </w:r>
                </w:p>
              </w:tc>
              <w:tc>
                <w:tcPr>
                  <w:tcW w:w="499" w:type="pct"/>
                  <w:tcBorders>
                    <w:tl2br w:val="nil"/>
                    <w:tr2bl w:val="nil"/>
                  </w:tcBorders>
                  <w:vAlign w:val="center"/>
                </w:tcPr>
                <w:p>
                  <w:pPr>
                    <w:pStyle w:val="33"/>
                    <w:widowControl w:val="0"/>
                    <w:rPr>
                      <w:b/>
                      <w:bCs/>
                      <w:lang w:val="en-US" w:eastAsia="zh-CN"/>
                    </w:rPr>
                  </w:pPr>
                  <w:r>
                    <w:rPr>
                      <w:rFonts w:hint="eastAsia"/>
                      <w:b/>
                      <w:bCs/>
                      <w:lang w:val="en-US" w:eastAsia="zh-CN"/>
                    </w:rPr>
                    <w:t>排放浓度mg/m</w:t>
                  </w:r>
                  <w:r>
                    <w:rPr>
                      <w:rFonts w:hint="eastAsia"/>
                      <w:b/>
                      <w:bCs/>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pStyle w:val="33"/>
                    <w:widowControl w:val="0"/>
                    <w:rPr>
                      <w:lang w:eastAsia="zh-CN"/>
                    </w:rPr>
                  </w:pPr>
                  <w:r>
                    <w:rPr>
                      <w:rFonts w:hint="eastAsia"/>
                      <w:lang w:val="en-US" w:eastAsia="zh-CN"/>
                    </w:rPr>
                    <w:t>VOCs</w:t>
                  </w:r>
                </w:p>
              </w:tc>
              <w:tc>
                <w:tcPr>
                  <w:tcW w:w="555" w:type="pct"/>
                  <w:tcBorders>
                    <w:tl2br w:val="nil"/>
                    <w:tr2bl w:val="nil"/>
                  </w:tcBorders>
                  <w:vAlign w:val="center"/>
                </w:tcPr>
                <w:p>
                  <w:pPr>
                    <w:pStyle w:val="33"/>
                    <w:widowControl w:val="0"/>
                    <w:rPr>
                      <w:lang w:eastAsia="zh-CN"/>
                    </w:rPr>
                  </w:pPr>
                  <w:r>
                    <w:t>0.</w:t>
                  </w:r>
                  <w:r>
                    <w:rPr>
                      <w:rFonts w:hint="eastAsia"/>
                      <w:lang w:val="en-US" w:eastAsia="zh-CN"/>
                    </w:rPr>
                    <w:t>015</w:t>
                  </w:r>
                </w:p>
              </w:tc>
              <w:tc>
                <w:tcPr>
                  <w:tcW w:w="492" w:type="pct"/>
                  <w:tcBorders>
                    <w:tl2br w:val="nil"/>
                    <w:tr2bl w:val="nil"/>
                  </w:tcBorders>
                  <w:vAlign w:val="center"/>
                </w:tcPr>
                <w:p>
                  <w:pPr>
                    <w:pStyle w:val="33"/>
                    <w:widowControl w:val="0"/>
                    <w:rPr>
                      <w:lang w:eastAsia="zh-CN"/>
                    </w:rPr>
                  </w:pPr>
                  <w:r>
                    <w:t>8000</w:t>
                  </w:r>
                </w:p>
              </w:tc>
              <w:tc>
                <w:tcPr>
                  <w:tcW w:w="617" w:type="pct"/>
                  <w:tcBorders>
                    <w:tl2br w:val="nil"/>
                    <w:tr2bl w:val="nil"/>
                  </w:tcBorders>
                  <w:vAlign w:val="center"/>
                </w:tcPr>
                <w:p>
                  <w:pPr>
                    <w:pStyle w:val="33"/>
                    <w:widowControl w:val="0"/>
                    <w:rPr>
                      <w:lang w:eastAsia="zh-CN"/>
                    </w:rPr>
                  </w:pPr>
                  <w:r>
                    <w:t>80</w:t>
                  </w:r>
                </w:p>
              </w:tc>
              <w:tc>
                <w:tcPr>
                  <w:tcW w:w="555" w:type="pct"/>
                  <w:tcBorders>
                    <w:tl2br w:val="nil"/>
                    <w:tr2bl w:val="nil"/>
                  </w:tcBorders>
                  <w:vAlign w:val="center"/>
                </w:tcPr>
                <w:p>
                  <w:pPr>
                    <w:pStyle w:val="33"/>
                    <w:widowControl w:val="0"/>
                    <w:rPr>
                      <w:lang w:val="en-US" w:eastAsia="zh-CN"/>
                    </w:rPr>
                  </w:pPr>
                  <w:r>
                    <w:rPr>
                      <w:rFonts w:hint="eastAsia"/>
                      <w:lang w:val="en-US" w:eastAsia="zh-CN"/>
                    </w:rPr>
                    <w:t>0.012</w:t>
                  </w:r>
                </w:p>
              </w:tc>
              <w:tc>
                <w:tcPr>
                  <w:tcW w:w="556" w:type="pct"/>
                  <w:tcBorders>
                    <w:tl2br w:val="nil"/>
                    <w:tr2bl w:val="nil"/>
                  </w:tcBorders>
                  <w:vAlign w:val="center"/>
                </w:tcPr>
                <w:p>
                  <w:pPr>
                    <w:pStyle w:val="33"/>
                    <w:widowControl w:val="0"/>
                    <w:rPr>
                      <w:rFonts w:hint="default" w:eastAsia="宋体"/>
                      <w:lang w:val="en-US" w:eastAsia="zh-CN"/>
                    </w:rPr>
                  </w:pPr>
                  <w:r>
                    <w:rPr>
                      <w:rFonts w:hint="eastAsia"/>
                      <w:lang w:val="en-US" w:eastAsia="zh-CN"/>
                    </w:rPr>
                    <w:t>24</w:t>
                  </w:r>
                </w:p>
              </w:tc>
              <w:tc>
                <w:tcPr>
                  <w:tcW w:w="556" w:type="pct"/>
                  <w:tcBorders>
                    <w:tl2br w:val="nil"/>
                    <w:tr2bl w:val="nil"/>
                  </w:tcBorders>
                  <w:vAlign w:val="center"/>
                </w:tcPr>
                <w:p>
                  <w:pPr>
                    <w:pStyle w:val="33"/>
                    <w:widowControl w:val="0"/>
                    <w:rPr>
                      <w:lang w:val="en-US" w:eastAsia="zh-CN"/>
                    </w:rPr>
                  </w:pPr>
                  <w:r>
                    <w:rPr>
                      <w:rFonts w:hint="eastAsia"/>
                      <w:lang w:val="en-US" w:eastAsia="zh-CN"/>
                    </w:rPr>
                    <w:t>0.009</w:t>
                  </w:r>
                </w:p>
              </w:tc>
              <w:tc>
                <w:tcPr>
                  <w:tcW w:w="614" w:type="pct"/>
                  <w:tcBorders>
                    <w:tl2br w:val="nil"/>
                    <w:tr2bl w:val="nil"/>
                  </w:tcBorders>
                  <w:vAlign w:val="center"/>
                </w:tcPr>
                <w:p>
                  <w:pPr>
                    <w:pStyle w:val="33"/>
                    <w:widowControl w:val="0"/>
                    <w:rPr>
                      <w:rFonts w:hint="default"/>
                      <w:lang w:val="en-US" w:eastAsia="zh-CN"/>
                    </w:rPr>
                  </w:pPr>
                  <w:r>
                    <w:rPr>
                      <w:rFonts w:hint="eastAsia"/>
                      <w:lang w:val="en-US" w:eastAsia="zh-CN"/>
                    </w:rPr>
                    <w:t>0.004</w:t>
                  </w:r>
                </w:p>
              </w:tc>
              <w:tc>
                <w:tcPr>
                  <w:tcW w:w="499" w:type="pct"/>
                  <w:tcBorders>
                    <w:tl2br w:val="nil"/>
                    <w:tr2bl w:val="nil"/>
                  </w:tcBorders>
                  <w:vAlign w:val="center"/>
                </w:tcPr>
                <w:p>
                  <w:pPr>
                    <w:pStyle w:val="33"/>
                    <w:widowControl w:val="0"/>
                    <w:rPr>
                      <w:rFonts w:hint="default"/>
                      <w:lang w:val="en-US" w:eastAsia="zh-CN"/>
                    </w:rPr>
                  </w:pPr>
                  <w:r>
                    <w:rPr>
                      <w:rFonts w:hint="eastAsia"/>
                      <w:lang w:val="en-US" w:eastAsia="zh-CN"/>
                    </w:rPr>
                    <w:t>0.536</w:t>
                  </w:r>
                </w:p>
              </w:tc>
            </w:tr>
          </w:tbl>
          <w:p>
            <w:pPr>
              <w:pStyle w:val="20"/>
              <w:overflowPunct w:val="0"/>
              <w:autoSpaceDE w:val="0"/>
              <w:autoSpaceDN w:val="0"/>
              <w:ind w:firstLine="480"/>
              <w:jc w:val="both"/>
              <w:rPr>
                <w:rFonts w:cs="Times New Roman"/>
              </w:rPr>
            </w:pPr>
            <w:r>
              <w:rPr>
                <w:rFonts w:cs="Times New Roman"/>
              </w:rPr>
              <w:t>建设单位对</w:t>
            </w:r>
            <w:r>
              <w:t>EPS</w:t>
            </w:r>
            <w:r>
              <w:rPr>
                <w:rFonts w:cs="Times New Roman"/>
              </w:rPr>
              <w:t>线条切割工序产生的</w:t>
            </w:r>
            <w:r>
              <w:rPr>
                <w:rFonts w:hint="eastAsia" w:cs="Times New Roman"/>
              </w:rPr>
              <w:t>非甲烷总烃</w:t>
            </w:r>
            <w:r>
              <w:rPr>
                <w:rFonts w:cs="Times New Roman"/>
              </w:rPr>
              <w:t>同乳液挥发</w:t>
            </w:r>
            <w:r>
              <w:rPr>
                <w:rFonts w:hint="eastAsia" w:cs="Times New Roman"/>
              </w:rPr>
              <w:t>产生</w:t>
            </w:r>
            <w:r>
              <w:rPr>
                <w:rFonts w:cs="Times New Roman"/>
              </w:rPr>
              <w:t>的非甲烷总烃共用一套处理系统处理</w:t>
            </w:r>
            <w:r>
              <w:rPr>
                <w:rFonts w:hint="eastAsia" w:cs="Times New Roman"/>
              </w:rPr>
              <w:t>。</w:t>
            </w:r>
          </w:p>
          <w:p>
            <w:pPr>
              <w:pStyle w:val="20"/>
              <w:overflowPunct w:val="0"/>
              <w:autoSpaceDE w:val="0"/>
              <w:autoSpaceDN w:val="0"/>
              <w:ind w:firstLine="480"/>
              <w:jc w:val="both"/>
              <w:rPr>
                <w:rFonts w:cs="Times New Roman"/>
              </w:rPr>
            </w:pPr>
            <w:r>
              <w:rPr>
                <w:rFonts w:hint="eastAsia"/>
              </w:rPr>
              <w:t xml:space="preserve">③ </w:t>
            </w:r>
            <w:r>
              <w:rPr>
                <w:rFonts w:cs="Times New Roman"/>
              </w:rPr>
              <w:t>EPS线条混料粉尘</w:t>
            </w:r>
          </w:p>
          <w:p>
            <w:pPr>
              <w:pStyle w:val="20"/>
              <w:overflowPunct w:val="0"/>
              <w:autoSpaceDE w:val="0"/>
              <w:autoSpaceDN w:val="0"/>
              <w:ind w:firstLine="480"/>
              <w:jc w:val="both"/>
              <w:rPr>
                <w:rFonts w:cs="Times New Roman"/>
              </w:rPr>
            </w:pPr>
            <w:r>
              <w:rPr>
                <w:rFonts w:cs="Times New Roman"/>
              </w:rPr>
              <w:t>EPS线条原料均为袋装，混料工序在密闭的搅拌机内进行，为减少粉尘产生和方便投料，建设单位拟在地下设有一个硬化的“凹槽”，凹槽上方仅留由20cm×20cm的投料口，投料口与地面持平，并在投料口上设置有盖板，投料时，打开盖板，人工将原料投加到凹槽中，然后盖住盖板，通过泵和密闭的管道将原料打入干料搅拌机中进行混合，混合均匀后由密闭管道将干料泵入湿料搅拌机中。则EPS线条混料粉尘主要为投料过程中产生</w:t>
            </w:r>
            <w:r>
              <w:rPr>
                <w:rFonts w:hint="eastAsia" w:cs="Times New Roman"/>
              </w:rPr>
              <w:t>。</w:t>
            </w:r>
          </w:p>
          <w:p>
            <w:pPr>
              <w:pStyle w:val="20"/>
              <w:overflowPunct w:val="0"/>
              <w:autoSpaceDE w:val="0"/>
              <w:autoSpaceDN w:val="0"/>
              <w:ind w:firstLine="480"/>
              <w:jc w:val="both"/>
              <w:rPr>
                <w:rFonts w:cs="Times New Roman"/>
              </w:rPr>
            </w:pPr>
            <w:r>
              <w:rPr>
                <w:rFonts w:hint="eastAsia" w:cs="Times New Roman"/>
              </w:rPr>
              <w:t>参考</w:t>
            </w:r>
            <w:r>
              <w:rPr>
                <w:rFonts w:hint="eastAsia"/>
              </w:rPr>
              <w:t>《</w:t>
            </w:r>
            <w:r>
              <w:rPr>
                <w:rFonts w:hint="eastAsia" w:cs="Times New Roman"/>
                <w:kern w:val="0"/>
              </w:rPr>
              <w:t>排放源统计调查产排污核算方法和系数手册-303 砖瓦石材等建筑材料制造行业系数手册</w:t>
            </w:r>
            <w:r>
              <w:rPr>
                <w:rFonts w:hint="eastAsia"/>
              </w:rPr>
              <w:t>》</w:t>
            </w:r>
            <w:r>
              <w:rPr>
                <w:rFonts w:hint="eastAsia" w:cs="Times New Roman"/>
              </w:rPr>
              <w:t>，3121水泥制品制造业，项目</w:t>
            </w:r>
            <w:r>
              <w:rPr>
                <w:rFonts w:cs="Times New Roman"/>
              </w:rPr>
              <w:t>EPS</w:t>
            </w:r>
            <w:r>
              <w:rPr>
                <w:rFonts w:hint="eastAsia" w:cs="Times New Roman"/>
              </w:rPr>
              <w:t>原料为</w:t>
            </w:r>
            <w:r>
              <w:rPr>
                <w:rFonts w:cs="Times New Roman"/>
              </w:rPr>
              <w:t>水泥、沙子</w:t>
            </w:r>
            <w:r>
              <w:rPr>
                <w:rFonts w:hint="eastAsia" w:cs="Times New Roman"/>
              </w:rPr>
              <w:t>，用量为400t/a，物料混合搅拌工序中工业粉尘产污系数为0.523kg/t，则粉尘产生量为0.209t/a。</w:t>
            </w:r>
          </w:p>
          <w:p>
            <w:pPr>
              <w:pStyle w:val="20"/>
              <w:overflowPunct w:val="0"/>
              <w:autoSpaceDE w:val="0"/>
              <w:autoSpaceDN w:val="0"/>
              <w:ind w:firstLine="480"/>
              <w:jc w:val="both"/>
              <w:rPr>
                <w:rFonts w:cs="Times New Roman"/>
              </w:rPr>
            </w:pPr>
            <w:r>
              <w:rPr>
                <w:rFonts w:hint="eastAsia" w:cs="Times New Roman"/>
              </w:rPr>
              <w:t>项目拟采用在</w:t>
            </w:r>
            <w:r>
              <w:rPr>
                <w:rFonts w:cs="Times New Roman"/>
              </w:rPr>
              <w:t>投料</w:t>
            </w:r>
            <w:r>
              <w:rPr>
                <w:rFonts w:hint="eastAsia" w:cs="Times New Roman"/>
              </w:rPr>
              <w:t>口上方设1个集气罩</w:t>
            </w:r>
            <w:r>
              <w:rPr>
                <w:rFonts w:cs="Times New Roman"/>
              </w:rPr>
              <w:t>（收集效率取</w:t>
            </w:r>
            <w:r>
              <w:rPr>
                <w:rFonts w:hint="eastAsia" w:cs="Times New Roman"/>
              </w:rPr>
              <w:t>80</w:t>
            </w:r>
            <w:r>
              <w:rPr>
                <w:rFonts w:cs="Times New Roman"/>
              </w:rPr>
              <w:t>%），风机风量为</w:t>
            </w:r>
            <w:r>
              <w:rPr>
                <w:rFonts w:hint="eastAsia" w:cs="Times New Roman"/>
              </w:rPr>
              <w:t>8</w:t>
            </w:r>
            <w:r>
              <w:rPr>
                <w:rFonts w:cs="Times New Roman"/>
              </w:rPr>
              <w:t>000m</w:t>
            </w:r>
            <w:r>
              <w:rPr>
                <w:rFonts w:cs="Times New Roman"/>
                <w:vertAlign w:val="superscript"/>
              </w:rPr>
              <w:t>3</w:t>
            </w:r>
            <w:r>
              <w:rPr>
                <w:rFonts w:cs="Times New Roman"/>
              </w:rPr>
              <w:t>/h，经袋式除尘器（处理效率99%）处理后，</w:t>
            </w:r>
            <w:r>
              <w:rPr>
                <w:rFonts w:hint="eastAsia" w:cs="Times New Roman"/>
              </w:rPr>
              <w:t>引入15m排气筒排放。</w:t>
            </w:r>
            <w:r>
              <w:rPr>
                <w:rFonts w:cs="Times New Roman"/>
              </w:rPr>
              <w:t>则EPS线条混料粉尘主要为投料过程</w:t>
            </w:r>
            <w:r>
              <w:rPr>
                <w:rFonts w:hint="eastAsia" w:cs="Times New Roman"/>
              </w:rPr>
              <w:t>中粉尘产排情况一览表见表4-5。</w:t>
            </w:r>
          </w:p>
          <w:p>
            <w:pPr>
              <w:pStyle w:val="32"/>
              <w:rPr>
                <w:rFonts w:hint="eastAsia"/>
              </w:rPr>
            </w:pPr>
          </w:p>
          <w:p>
            <w:pPr>
              <w:pStyle w:val="32"/>
              <w:rPr>
                <w:rFonts w:hint="eastAsia"/>
              </w:rPr>
            </w:pPr>
          </w:p>
          <w:p>
            <w:pPr>
              <w:pStyle w:val="32"/>
            </w:pPr>
            <w:r>
              <w:rPr>
                <w:rFonts w:hint="eastAsia"/>
              </w:rPr>
              <w:t>表4-5    粉尘产排情况一览表</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75"/>
              <w:gridCol w:w="775"/>
              <w:gridCol w:w="972"/>
              <w:gridCol w:w="874"/>
              <w:gridCol w:w="875"/>
              <w:gridCol w:w="875"/>
              <w:gridCol w:w="966"/>
              <w:gridCol w:w="7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pStyle w:val="33"/>
                    <w:widowControl w:val="0"/>
                    <w:rPr>
                      <w:b/>
                      <w:bCs/>
                      <w:lang w:val="en-US" w:eastAsia="zh-CN"/>
                    </w:rPr>
                  </w:pPr>
                  <w:r>
                    <w:rPr>
                      <w:rFonts w:hint="eastAsia"/>
                      <w:b/>
                      <w:bCs/>
                      <w:lang w:val="en-US" w:eastAsia="zh-CN"/>
                    </w:rPr>
                    <w:t>污染物名称</w:t>
                  </w:r>
                </w:p>
              </w:tc>
              <w:tc>
                <w:tcPr>
                  <w:tcW w:w="555" w:type="pct"/>
                  <w:tcBorders>
                    <w:tl2br w:val="nil"/>
                    <w:tr2bl w:val="nil"/>
                  </w:tcBorders>
                  <w:vAlign w:val="center"/>
                </w:tcPr>
                <w:p>
                  <w:pPr>
                    <w:pStyle w:val="33"/>
                    <w:widowControl w:val="0"/>
                    <w:rPr>
                      <w:b/>
                      <w:bCs/>
                      <w:lang w:val="en-US" w:eastAsia="zh-CN"/>
                    </w:rPr>
                  </w:pPr>
                  <w:r>
                    <w:rPr>
                      <w:rFonts w:hint="eastAsia"/>
                      <w:b/>
                      <w:bCs/>
                      <w:lang w:val="en-US" w:eastAsia="zh-CN"/>
                    </w:rPr>
                    <w:t>产生量t/a</w:t>
                  </w:r>
                </w:p>
              </w:tc>
              <w:tc>
                <w:tcPr>
                  <w:tcW w:w="492" w:type="pct"/>
                  <w:tcBorders>
                    <w:tl2br w:val="nil"/>
                    <w:tr2bl w:val="nil"/>
                  </w:tcBorders>
                  <w:vAlign w:val="center"/>
                </w:tcPr>
                <w:p>
                  <w:pPr>
                    <w:pStyle w:val="33"/>
                    <w:widowControl w:val="0"/>
                    <w:rPr>
                      <w:b/>
                      <w:bCs/>
                      <w:lang w:val="en-US" w:eastAsia="zh-CN"/>
                    </w:rPr>
                  </w:pPr>
                  <w:r>
                    <w:rPr>
                      <w:rFonts w:hint="eastAsia"/>
                      <w:b/>
                      <w:bCs/>
                      <w:lang w:val="en-US" w:eastAsia="zh-CN"/>
                    </w:rPr>
                    <w:t>风机风量</w:t>
                  </w:r>
                  <w:r>
                    <w:rPr>
                      <w:b/>
                      <w:bCs/>
                      <w:sz w:val="24"/>
                    </w:rPr>
                    <w:t>m</w:t>
                  </w:r>
                  <w:r>
                    <w:rPr>
                      <w:b/>
                      <w:bCs/>
                      <w:sz w:val="24"/>
                      <w:vertAlign w:val="superscript"/>
                    </w:rPr>
                    <w:t>3</w:t>
                  </w:r>
                  <w:r>
                    <w:rPr>
                      <w:b/>
                      <w:bCs/>
                      <w:sz w:val="24"/>
                    </w:rPr>
                    <w:t>/h</w:t>
                  </w:r>
                </w:p>
              </w:tc>
              <w:tc>
                <w:tcPr>
                  <w:tcW w:w="617" w:type="pct"/>
                  <w:tcBorders>
                    <w:tl2br w:val="nil"/>
                    <w:tr2bl w:val="nil"/>
                  </w:tcBorders>
                  <w:vAlign w:val="center"/>
                </w:tcPr>
                <w:p>
                  <w:pPr>
                    <w:pStyle w:val="33"/>
                    <w:widowControl w:val="0"/>
                    <w:rPr>
                      <w:b/>
                      <w:bCs/>
                      <w:lang w:val="en-US" w:eastAsia="zh-CN"/>
                    </w:rPr>
                  </w:pPr>
                  <w:r>
                    <w:rPr>
                      <w:rFonts w:hint="eastAsia"/>
                      <w:b/>
                      <w:bCs/>
                      <w:lang w:val="en-US" w:eastAsia="zh-CN"/>
                    </w:rPr>
                    <w:t>集气罩收集效率</w:t>
                  </w:r>
                  <w:r>
                    <w:rPr>
                      <w:b/>
                      <w:bCs/>
                      <w:sz w:val="24"/>
                    </w:rPr>
                    <w:t>%</w:t>
                  </w:r>
                </w:p>
              </w:tc>
              <w:tc>
                <w:tcPr>
                  <w:tcW w:w="555" w:type="pct"/>
                  <w:tcBorders>
                    <w:tl2br w:val="nil"/>
                    <w:tr2bl w:val="nil"/>
                  </w:tcBorders>
                  <w:vAlign w:val="center"/>
                </w:tcPr>
                <w:p>
                  <w:pPr>
                    <w:pStyle w:val="33"/>
                    <w:widowControl w:val="0"/>
                    <w:rPr>
                      <w:b/>
                      <w:bCs/>
                      <w:lang w:val="en-US" w:eastAsia="zh-CN"/>
                    </w:rPr>
                  </w:pPr>
                  <w:r>
                    <w:rPr>
                      <w:rFonts w:hint="eastAsia"/>
                      <w:b/>
                      <w:bCs/>
                      <w:lang w:val="en-US" w:eastAsia="zh-CN"/>
                    </w:rPr>
                    <w:t>排放量t/a</w:t>
                  </w:r>
                </w:p>
              </w:tc>
              <w:tc>
                <w:tcPr>
                  <w:tcW w:w="556" w:type="pct"/>
                  <w:tcBorders>
                    <w:tl2br w:val="nil"/>
                    <w:tr2bl w:val="nil"/>
                  </w:tcBorders>
                  <w:vAlign w:val="center"/>
                </w:tcPr>
                <w:p>
                  <w:pPr>
                    <w:pStyle w:val="33"/>
                    <w:widowControl w:val="0"/>
                    <w:rPr>
                      <w:b/>
                      <w:bCs/>
                      <w:lang w:val="en-US" w:eastAsia="zh-CN"/>
                    </w:rPr>
                  </w:pPr>
                  <w:r>
                    <w:rPr>
                      <w:rFonts w:hint="eastAsia"/>
                      <w:b/>
                      <w:bCs/>
                      <w:lang w:val="en-US" w:eastAsia="zh-CN"/>
                    </w:rPr>
                    <w:t>处理效率</w:t>
                  </w:r>
                  <w:r>
                    <w:rPr>
                      <w:b/>
                      <w:bCs/>
                      <w:sz w:val="24"/>
                    </w:rPr>
                    <w:t>%</w:t>
                  </w:r>
                </w:p>
              </w:tc>
              <w:tc>
                <w:tcPr>
                  <w:tcW w:w="556" w:type="pct"/>
                  <w:tcBorders>
                    <w:tl2br w:val="nil"/>
                    <w:tr2bl w:val="nil"/>
                  </w:tcBorders>
                  <w:vAlign w:val="center"/>
                </w:tcPr>
                <w:p>
                  <w:pPr>
                    <w:pStyle w:val="33"/>
                    <w:widowControl w:val="0"/>
                    <w:rPr>
                      <w:b/>
                      <w:bCs/>
                      <w:lang w:val="en-US" w:eastAsia="zh-CN"/>
                    </w:rPr>
                  </w:pPr>
                  <w:r>
                    <w:rPr>
                      <w:rFonts w:hint="eastAsia"/>
                      <w:b/>
                      <w:bCs/>
                      <w:lang w:val="en-US" w:eastAsia="zh-CN"/>
                    </w:rPr>
                    <w:t>排放量t/a</w:t>
                  </w:r>
                </w:p>
              </w:tc>
              <w:tc>
                <w:tcPr>
                  <w:tcW w:w="614" w:type="pct"/>
                  <w:tcBorders>
                    <w:tl2br w:val="nil"/>
                    <w:tr2bl w:val="nil"/>
                  </w:tcBorders>
                  <w:vAlign w:val="center"/>
                </w:tcPr>
                <w:p>
                  <w:pPr>
                    <w:pStyle w:val="33"/>
                    <w:widowControl w:val="0"/>
                    <w:rPr>
                      <w:b/>
                      <w:bCs/>
                      <w:lang w:val="en-US" w:eastAsia="zh-CN"/>
                    </w:rPr>
                  </w:pPr>
                  <w:r>
                    <w:rPr>
                      <w:rFonts w:hint="eastAsia"/>
                      <w:b/>
                      <w:bCs/>
                      <w:lang w:val="en-US" w:eastAsia="zh-CN"/>
                    </w:rPr>
                    <w:t>排放速率kg/h</w:t>
                  </w:r>
                </w:p>
              </w:tc>
              <w:tc>
                <w:tcPr>
                  <w:tcW w:w="499" w:type="pct"/>
                  <w:tcBorders>
                    <w:tl2br w:val="nil"/>
                    <w:tr2bl w:val="nil"/>
                  </w:tcBorders>
                  <w:vAlign w:val="center"/>
                </w:tcPr>
                <w:p>
                  <w:pPr>
                    <w:pStyle w:val="33"/>
                    <w:widowControl w:val="0"/>
                    <w:rPr>
                      <w:b/>
                      <w:bCs/>
                      <w:lang w:val="en-US" w:eastAsia="zh-CN"/>
                    </w:rPr>
                  </w:pPr>
                  <w:r>
                    <w:rPr>
                      <w:rFonts w:hint="eastAsia"/>
                      <w:b/>
                      <w:bCs/>
                      <w:lang w:val="en-US" w:eastAsia="zh-CN"/>
                    </w:rPr>
                    <w:t>排放浓度mg/m</w:t>
                  </w:r>
                  <w:r>
                    <w:rPr>
                      <w:rFonts w:hint="eastAsia"/>
                      <w:b/>
                      <w:bCs/>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pStyle w:val="33"/>
                    <w:widowControl w:val="0"/>
                    <w:rPr>
                      <w:lang w:val="en-US" w:eastAsia="zh-CN"/>
                    </w:rPr>
                  </w:pPr>
                  <w:r>
                    <w:rPr>
                      <w:rFonts w:hint="eastAsia"/>
                      <w:lang w:val="en-US" w:eastAsia="zh-CN"/>
                    </w:rPr>
                    <w:t>颗粒物</w:t>
                  </w:r>
                </w:p>
              </w:tc>
              <w:tc>
                <w:tcPr>
                  <w:tcW w:w="555" w:type="pct"/>
                  <w:tcBorders>
                    <w:tl2br w:val="nil"/>
                    <w:tr2bl w:val="nil"/>
                  </w:tcBorders>
                  <w:vAlign w:val="center"/>
                </w:tcPr>
                <w:p>
                  <w:pPr>
                    <w:pStyle w:val="33"/>
                    <w:widowControl w:val="0"/>
                    <w:rPr>
                      <w:lang w:eastAsia="zh-CN"/>
                    </w:rPr>
                  </w:pPr>
                  <w:r>
                    <w:rPr>
                      <w:rFonts w:hint="eastAsia"/>
                      <w:lang w:val="en-US" w:eastAsia="zh-CN"/>
                    </w:rPr>
                    <w:t>0.209</w:t>
                  </w:r>
                </w:p>
              </w:tc>
              <w:tc>
                <w:tcPr>
                  <w:tcW w:w="492" w:type="pct"/>
                  <w:tcBorders>
                    <w:tl2br w:val="nil"/>
                    <w:tr2bl w:val="nil"/>
                  </w:tcBorders>
                  <w:vAlign w:val="center"/>
                </w:tcPr>
                <w:p>
                  <w:pPr>
                    <w:pStyle w:val="33"/>
                    <w:widowControl w:val="0"/>
                    <w:rPr>
                      <w:lang w:eastAsia="zh-CN"/>
                    </w:rPr>
                  </w:pPr>
                  <w:r>
                    <w:t>8000</w:t>
                  </w:r>
                </w:p>
              </w:tc>
              <w:tc>
                <w:tcPr>
                  <w:tcW w:w="617" w:type="pct"/>
                  <w:tcBorders>
                    <w:tl2br w:val="nil"/>
                    <w:tr2bl w:val="nil"/>
                  </w:tcBorders>
                  <w:vAlign w:val="center"/>
                </w:tcPr>
                <w:p>
                  <w:pPr>
                    <w:pStyle w:val="33"/>
                    <w:widowControl w:val="0"/>
                    <w:rPr>
                      <w:lang w:eastAsia="zh-CN"/>
                    </w:rPr>
                  </w:pPr>
                  <w:r>
                    <w:t>80</w:t>
                  </w:r>
                </w:p>
              </w:tc>
              <w:tc>
                <w:tcPr>
                  <w:tcW w:w="555" w:type="pct"/>
                  <w:tcBorders>
                    <w:tl2br w:val="nil"/>
                    <w:tr2bl w:val="nil"/>
                  </w:tcBorders>
                  <w:vAlign w:val="center"/>
                </w:tcPr>
                <w:p>
                  <w:pPr>
                    <w:pStyle w:val="33"/>
                    <w:widowControl w:val="0"/>
                    <w:rPr>
                      <w:lang w:val="en-US" w:eastAsia="zh-CN"/>
                    </w:rPr>
                  </w:pPr>
                  <w:r>
                    <w:rPr>
                      <w:rFonts w:hint="eastAsia"/>
                      <w:lang w:val="en-US" w:eastAsia="zh-CN"/>
                    </w:rPr>
                    <w:t>0.1672</w:t>
                  </w:r>
                </w:p>
              </w:tc>
              <w:tc>
                <w:tcPr>
                  <w:tcW w:w="556" w:type="pct"/>
                  <w:tcBorders>
                    <w:tl2br w:val="nil"/>
                    <w:tr2bl w:val="nil"/>
                  </w:tcBorders>
                  <w:vAlign w:val="center"/>
                </w:tcPr>
                <w:p>
                  <w:pPr>
                    <w:pStyle w:val="33"/>
                    <w:widowControl w:val="0"/>
                    <w:rPr>
                      <w:lang w:val="en-US" w:eastAsia="zh-CN"/>
                    </w:rPr>
                  </w:pPr>
                  <w:r>
                    <w:rPr>
                      <w:rFonts w:hint="eastAsia"/>
                      <w:lang w:val="en-US" w:eastAsia="zh-CN"/>
                    </w:rPr>
                    <w:t>99</w:t>
                  </w:r>
                </w:p>
              </w:tc>
              <w:tc>
                <w:tcPr>
                  <w:tcW w:w="556" w:type="pct"/>
                  <w:tcBorders>
                    <w:tl2br w:val="nil"/>
                    <w:tr2bl w:val="nil"/>
                  </w:tcBorders>
                  <w:vAlign w:val="center"/>
                </w:tcPr>
                <w:p>
                  <w:pPr>
                    <w:pStyle w:val="33"/>
                    <w:widowControl w:val="0"/>
                    <w:rPr>
                      <w:lang w:val="en-US" w:eastAsia="zh-CN"/>
                    </w:rPr>
                  </w:pPr>
                  <w:r>
                    <w:rPr>
                      <w:rFonts w:hint="eastAsia"/>
                      <w:lang w:val="en-US" w:eastAsia="zh-CN"/>
                    </w:rPr>
                    <w:t>0.001672</w:t>
                  </w:r>
                </w:p>
              </w:tc>
              <w:tc>
                <w:tcPr>
                  <w:tcW w:w="614" w:type="pct"/>
                  <w:tcBorders>
                    <w:tl2br w:val="nil"/>
                    <w:tr2bl w:val="nil"/>
                  </w:tcBorders>
                  <w:vAlign w:val="center"/>
                </w:tcPr>
                <w:p>
                  <w:pPr>
                    <w:pStyle w:val="33"/>
                    <w:widowControl w:val="0"/>
                    <w:rPr>
                      <w:lang w:val="en-US" w:eastAsia="zh-CN"/>
                    </w:rPr>
                  </w:pPr>
                  <w:r>
                    <w:rPr>
                      <w:rFonts w:hint="eastAsia"/>
                      <w:lang w:val="en-US" w:eastAsia="zh-CN"/>
                    </w:rPr>
                    <w:t>0.0008</w:t>
                  </w:r>
                </w:p>
              </w:tc>
              <w:tc>
                <w:tcPr>
                  <w:tcW w:w="499" w:type="pct"/>
                  <w:tcBorders>
                    <w:tl2br w:val="nil"/>
                    <w:tr2bl w:val="nil"/>
                  </w:tcBorders>
                  <w:vAlign w:val="center"/>
                </w:tcPr>
                <w:p>
                  <w:pPr>
                    <w:pStyle w:val="33"/>
                    <w:widowControl w:val="0"/>
                    <w:rPr>
                      <w:lang w:val="en-US" w:eastAsia="zh-CN"/>
                    </w:rPr>
                  </w:pPr>
                  <w:r>
                    <w:rPr>
                      <w:rFonts w:hint="eastAsia"/>
                      <w:lang w:val="en-US" w:eastAsia="zh-CN"/>
                    </w:rPr>
                    <w:t>0.01</w:t>
                  </w:r>
                </w:p>
              </w:tc>
            </w:tr>
          </w:tbl>
          <w:p>
            <w:pPr>
              <w:pStyle w:val="20"/>
              <w:overflowPunct w:val="0"/>
              <w:autoSpaceDE w:val="0"/>
              <w:autoSpaceDN w:val="0"/>
              <w:ind w:firstLine="480"/>
              <w:jc w:val="both"/>
              <w:rPr>
                <w:rFonts w:cs="Times New Roman"/>
              </w:rPr>
            </w:pPr>
            <w:r>
              <w:rPr>
                <w:rFonts w:hint="eastAsia" w:cs="Times New Roman"/>
              </w:rPr>
              <w:t xml:space="preserve">④ </w:t>
            </w:r>
            <w:r>
              <w:rPr>
                <w:rFonts w:cs="Times New Roman"/>
              </w:rPr>
              <w:t>GRC构件混料粉尘</w:t>
            </w:r>
          </w:p>
          <w:p>
            <w:pPr>
              <w:pStyle w:val="20"/>
              <w:overflowPunct w:val="0"/>
              <w:autoSpaceDE w:val="0"/>
              <w:autoSpaceDN w:val="0"/>
              <w:ind w:firstLine="480"/>
              <w:jc w:val="both"/>
              <w:rPr>
                <w:rFonts w:cs="Times New Roman"/>
              </w:rPr>
            </w:pPr>
            <w:r>
              <w:rPr>
                <w:rFonts w:cs="Times New Roman"/>
              </w:rPr>
              <w:t>项目原料储存</w:t>
            </w:r>
            <w:r>
              <w:rPr>
                <w:rFonts w:hint="eastAsia" w:cs="Times New Roman"/>
              </w:rPr>
              <w:t>于密闭厂房内</w:t>
            </w:r>
            <w:r>
              <w:rPr>
                <w:rFonts w:cs="Times New Roman"/>
              </w:rPr>
              <w:t>，混料工序在密闭的</w:t>
            </w:r>
            <w:r>
              <w:rPr>
                <w:rFonts w:hint="eastAsia" w:cs="Times New Roman"/>
              </w:rPr>
              <w:t>厂房</w:t>
            </w:r>
            <w:r>
              <w:rPr>
                <w:rFonts w:cs="Times New Roman"/>
              </w:rPr>
              <w:t>内进行，混料工序粉尘主要为原料投加和混合过程中所产生，混料粉尘经</w:t>
            </w:r>
            <w:r>
              <w:rPr>
                <w:rFonts w:hint="eastAsia" w:cs="Times New Roman"/>
              </w:rPr>
              <w:t>集气罩</w:t>
            </w:r>
            <w:r>
              <w:rPr>
                <w:rFonts w:cs="Times New Roman"/>
              </w:rPr>
              <w:t>收集后，</w:t>
            </w:r>
            <w:r>
              <w:rPr>
                <w:rFonts w:hint="eastAsia" w:cs="Times New Roman"/>
              </w:rPr>
              <w:t>由</w:t>
            </w:r>
            <w:r>
              <w:rPr>
                <w:rFonts w:cs="Times New Roman"/>
              </w:rPr>
              <w:t>袋式除尘器处理后通过</w:t>
            </w:r>
            <w:r>
              <w:rPr>
                <w:rFonts w:hint="eastAsia" w:cs="Times New Roman"/>
              </w:rPr>
              <w:t>15m</w:t>
            </w:r>
            <w:r>
              <w:rPr>
                <w:rFonts w:cs="Times New Roman"/>
              </w:rPr>
              <w:t>排气筒排放。参考</w:t>
            </w:r>
            <w:r>
              <w:rPr>
                <w:rFonts w:hint="eastAsia"/>
              </w:rPr>
              <w:t>《</w:t>
            </w:r>
            <w:r>
              <w:rPr>
                <w:rFonts w:hint="eastAsia" w:cs="Times New Roman"/>
                <w:kern w:val="0"/>
              </w:rPr>
              <w:t>排放源统计调查产排污核算方法和系数手册-303 砖瓦石材等建筑材料制造行业系数手册</w:t>
            </w:r>
            <w:r>
              <w:rPr>
                <w:rFonts w:hint="eastAsia"/>
              </w:rPr>
              <w:t>》</w:t>
            </w:r>
            <w:r>
              <w:rPr>
                <w:rFonts w:hint="eastAsia" w:cs="Times New Roman"/>
              </w:rPr>
              <w:t>，3121水泥制品制造业，</w:t>
            </w:r>
            <w:r>
              <w:rPr>
                <w:rFonts w:cs="Times New Roman"/>
              </w:rPr>
              <w:t>物料拌合工序中工业粉尘产污系数为</w:t>
            </w:r>
            <w:r>
              <w:rPr>
                <w:rFonts w:hint="eastAsia" w:cs="Times New Roman"/>
              </w:rPr>
              <w:t>0.523</w:t>
            </w:r>
            <w:r>
              <w:rPr>
                <w:rFonts w:cs="Times New Roman"/>
              </w:rPr>
              <w:t>kg/t-水泥，项目GRC原料主要为水泥、沙子和滑石粉，项目原料用量为</w:t>
            </w:r>
            <w:r>
              <w:rPr>
                <w:rFonts w:hint="eastAsia" w:cs="Times New Roman"/>
              </w:rPr>
              <w:t>362</w:t>
            </w:r>
            <w:r>
              <w:rPr>
                <w:rFonts w:cs="Times New Roman"/>
              </w:rPr>
              <w:t>t/a，则粉尘产生量为</w:t>
            </w:r>
            <w:r>
              <w:rPr>
                <w:rFonts w:hint="eastAsia" w:cs="Times New Roman"/>
              </w:rPr>
              <w:t>0.189</w:t>
            </w:r>
            <w:r>
              <w:rPr>
                <w:rFonts w:cs="Times New Roman"/>
              </w:rPr>
              <w:t>t/a，粉尘经混料间排风系统收集（收集效率取</w:t>
            </w:r>
            <w:r>
              <w:rPr>
                <w:rFonts w:hint="eastAsia" w:cs="Times New Roman"/>
              </w:rPr>
              <w:t>80</w:t>
            </w:r>
            <w:r>
              <w:rPr>
                <w:rFonts w:cs="Times New Roman"/>
              </w:rPr>
              <w:t>%），风机风量为</w:t>
            </w:r>
            <w:r>
              <w:rPr>
                <w:rFonts w:hint="eastAsia" w:cs="Times New Roman"/>
              </w:rPr>
              <w:t>8</w:t>
            </w:r>
            <w:r>
              <w:rPr>
                <w:rFonts w:cs="Times New Roman"/>
              </w:rPr>
              <w:t>000m</w:t>
            </w:r>
            <w:r>
              <w:rPr>
                <w:rFonts w:cs="Times New Roman"/>
                <w:vertAlign w:val="superscript"/>
              </w:rPr>
              <w:t>3</w:t>
            </w:r>
            <w:r>
              <w:rPr>
                <w:rFonts w:cs="Times New Roman"/>
              </w:rPr>
              <w:t>/h，则项目有组织粉尘</w:t>
            </w:r>
            <w:r>
              <w:rPr>
                <w:rFonts w:hint="eastAsia" w:cs="Times New Roman"/>
              </w:rPr>
              <w:t>排情况一览表见表4-6。</w:t>
            </w:r>
          </w:p>
          <w:p>
            <w:pPr>
              <w:pStyle w:val="32"/>
            </w:pPr>
            <w:r>
              <w:rPr>
                <w:rFonts w:hint="eastAsia"/>
              </w:rPr>
              <w:t>表4-6    GRC构件混料粉尘</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74"/>
              <w:gridCol w:w="773"/>
              <w:gridCol w:w="972"/>
              <w:gridCol w:w="875"/>
              <w:gridCol w:w="875"/>
              <w:gridCol w:w="875"/>
              <w:gridCol w:w="930"/>
              <w:gridCol w:w="8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pStyle w:val="33"/>
                    <w:widowControl w:val="0"/>
                    <w:rPr>
                      <w:b/>
                      <w:bCs/>
                      <w:lang w:val="en-US" w:eastAsia="zh-CN"/>
                    </w:rPr>
                  </w:pPr>
                  <w:r>
                    <w:rPr>
                      <w:rFonts w:hint="eastAsia"/>
                      <w:b/>
                      <w:bCs/>
                      <w:lang w:val="en-US" w:eastAsia="zh-CN"/>
                    </w:rPr>
                    <w:t>污染物名称</w:t>
                  </w:r>
                </w:p>
              </w:tc>
              <w:tc>
                <w:tcPr>
                  <w:tcW w:w="555" w:type="pct"/>
                  <w:tcBorders>
                    <w:tl2br w:val="nil"/>
                    <w:tr2bl w:val="nil"/>
                  </w:tcBorders>
                  <w:vAlign w:val="center"/>
                </w:tcPr>
                <w:p>
                  <w:pPr>
                    <w:pStyle w:val="33"/>
                    <w:widowControl w:val="0"/>
                    <w:rPr>
                      <w:b/>
                      <w:bCs/>
                      <w:lang w:val="en-US" w:eastAsia="zh-CN"/>
                    </w:rPr>
                  </w:pPr>
                  <w:r>
                    <w:rPr>
                      <w:rFonts w:hint="eastAsia"/>
                      <w:b/>
                      <w:bCs/>
                      <w:lang w:val="en-US" w:eastAsia="zh-CN"/>
                    </w:rPr>
                    <w:t>产生量t/a</w:t>
                  </w:r>
                </w:p>
              </w:tc>
              <w:tc>
                <w:tcPr>
                  <w:tcW w:w="492" w:type="pct"/>
                  <w:tcBorders>
                    <w:tl2br w:val="nil"/>
                    <w:tr2bl w:val="nil"/>
                  </w:tcBorders>
                  <w:vAlign w:val="center"/>
                </w:tcPr>
                <w:p>
                  <w:pPr>
                    <w:pStyle w:val="33"/>
                    <w:widowControl w:val="0"/>
                    <w:rPr>
                      <w:b/>
                      <w:bCs/>
                      <w:lang w:val="en-US" w:eastAsia="zh-CN"/>
                    </w:rPr>
                  </w:pPr>
                  <w:r>
                    <w:rPr>
                      <w:rFonts w:hint="eastAsia"/>
                      <w:b/>
                      <w:bCs/>
                      <w:lang w:val="en-US" w:eastAsia="zh-CN"/>
                    </w:rPr>
                    <w:t>风机风量</w:t>
                  </w:r>
                  <w:r>
                    <w:rPr>
                      <w:b/>
                      <w:bCs/>
                      <w:sz w:val="24"/>
                    </w:rPr>
                    <w:t>m</w:t>
                  </w:r>
                  <w:r>
                    <w:rPr>
                      <w:b/>
                      <w:bCs/>
                      <w:sz w:val="24"/>
                      <w:vertAlign w:val="superscript"/>
                    </w:rPr>
                    <w:t>3</w:t>
                  </w:r>
                  <w:r>
                    <w:rPr>
                      <w:b/>
                      <w:bCs/>
                      <w:sz w:val="24"/>
                    </w:rPr>
                    <w:t>/h</w:t>
                  </w:r>
                </w:p>
              </w:tc>
              <w:tc>
                <w:tcPr>
                  <w:tcW w:w="617" w:type="pct"/>
                  <w:tcBorders>
                    <w:tl2br w:val="nil"/>
                    <w:tr2bl w:val="nil"/>
                  </w:tcBorders>
                  <w:vAlign w:val="center"/>
                </w:tcPr>
                <w:p>
                  <w:pPr>
                    <w:pStyle w:val="33"/>
                    <w:widowControl w:val="0"/>
                    <w:rPr>
                      <w:b/>
                      <w:bCs/>
                      <w:lang w:val="en-US" w:eastAsia="zh-CN"/>
                    </w:rPr>
                  </w:pPr>
                  <w:r>
                    <w:rPr>
                      <w:rFonts w:hint="eastAsia"/>
                      <w:b/>
                      <w:bCs/>
                      <w:lang w:val="en-US" w:eastAsia="zh-CN"/>
                    </w:rPr>
                    <w:t>集气罩收集效率</w:t>
                  </w:r>
                  <w:r>
                    <w:rPr>
                      <w:b/>
                      <w:bCs/>
                      <w:sz w:val="24"/>
                    </w:rPr>
                    <w:t>%</w:t>
                  </w:r>
                </w:p>
              </w:tc>
              <w:tc>
                <w:tcPr>
                  <w:tcW w:w="555" w:type="pct"/>
                  <w:tcBorders>
                    <w:tl2br w:val="nil"/>
                    <w:tr2bl w:val="nil"/>
                  </w:tcBorders>
                  <w:vAlign w:val="center"/>
                </w:tcPr>
                <w:p>
                  <w:pPr>
                    <w:pStyle w:val="33"/>
                    <w:widowControl w:val="0"/>
                    <w:rPr>
                      <w:b/>
                      <w:bCs/>
                      <w:lang w:val="en-US" w:eastAsia="zh-CN"/>
                    </w:rPr>
                  </w:pPr>
                  <w:r>
                    <w:rPr>
                      <w:rFonts w:hint="eastAsia"/>
                      <w:b/>
                      <w:bCs/>
                      <w:lang w:val="en-US" w:eastAsia="zh-CN"/>
                    </w:rPr>
                    <w:t>排放量t/a</w:t>
                  </w:r>
                </w:p>
              </w:tc>
              <w:tc>
                <w:tcPr>
                  <w:tcW w:w="555" w:type="pct"/>
                  <w:tcBorders>
                    <w:tl2br w:val="nil"/>
                    <w:tr2bl w:val="nil"/>
                  </w:tcBorders>
                  <w:vAlign w:val="center"/>
                </w:tcPr>
                <w:p>
                  <w:pPr>
                    <w:pStyle w:val="33"/>
                    <w:widowControl w:val="0"/>
                    <w:rPr>
                      <w:b/>
                      <w:bCs/>
                      <w:lang w:val="en-US" w:eastAsia="zh-CN"/>
                    </w:rPr>
                  </w:pPr>
                  <w:r>
                    <w:rPr>
                      <w:rFonts w:hint="eastAsia"/>
                      <w:b/>
                      <w:bCs/>
                      <w:lang w:val="en-US" w:eastAsia="zh-CN"/>
                    </w:rPr>
                    <w:t>处理效率</w:t>
                  </w:r>
                  <w:r>
                    <w:rPr>
                      <w:b/>
                      <w:bCs/>
                      <w:sz w:val="24"/>
                    </w:rPr>
                    <w:t>%</w:t>
                  </w:r>
                </w:p>
              </w:tc>
              <w:tc>
                <w:tcPr>
                  <w:tcW w:w="555" w:type="pct"/>
                  <w:tcBorders>
                    <w:tl2br w:val="nil"/>
                    <w:tr2bl w:val="nil"/>
                  </w:tcBorders>
                  <w:vAlign w:val="center"/>
                </w:tcPr>
                <w:p>
                  <w:pPr>
                    <w:pStyle w:val="33"/>
                    <w:widowControl w:val="0"/>
                    <w:rPr>
                      <w:b/>
                      <w:bCs/>
                      <w:lang w:val="en-US" w:eastAsia="zh-CN"/>
                    </w:rPr>
                  </w:pPr>
                  <w:r>
                    <w:rPr>
                      <w:rFonts w:hint="eastAsia"/>
                      <w:b/>
                      <w:bCs/>
                      <w:lang w:val="en-US" w:eastAsia="zh-CN"/>
                    </w:rPr>
                    <w:t>排放量t/a</w:t>
                  </w:r>
                </w:p>
              </w:tc>
              <w:tc>
                <w:tcPr>
                  <w:tcW w:w="590" w:type="pct"/>
                  <w:tcBorders>
                    <w:tl2br w:val="nil"/>
                    <w:tr2bl w:val="nil"/>
                  </w:tcBorders>
                  <w:vAlign w:val="center"/>
                </w:tcPr>
                <w:p>
                  <w:pPr>
                    <w:pStyle w:val="33"/>
                    <w:widowControl w:val="0"/>
                    <w:rPr>
                      <w:b/>
                      <w:bCs/>
                      <w:lang w:val="en-US" w:eastAsia="zh-CN"/>
                    </w:rPr>
                  </w:pPr>
                  <w:r>
                    <w:rPr>
                      <w:rFonts w:hint="eastAsia"/>
                      <w:b/>
                      <w:bCs/>
                      <w:lang w:val="en-US" w:eastAsia="zh-CN"/>
                    </w:rPr>
                    <w:t>排放速率kg/h</w:t>
                  </w:r>
                </w:p>
              </w:tc>
              <w:tc>
                <w:tcPr>
                  <w:tcW w:w="522" w:type="pct"/>
                  <w:tcBorders>
                    <w:tl2br w:val="nil"/>
                    <w:tr2bl w:val="nil"/>
                  </w:tcBorders>
                  <w:vAlign w:val="center"/>
                </w:tcPr>
                <w:p>
                  <w:pPr>
                    <w:pStyle w:val="33"/>
                    <w:widowControl w:val="0"/>
                    <w:rPr>
                      <w:b/>
                      <w:bCs/>
                      <w:lang w:val="en-US" w:eastAsia="zh-CN"/>
                    </w:rPr>
                  </w:pPr>
                  <w:r>
                    <w:rPr>
                      <w:rFonts w:hint="eastAsia"/>
                      <w:b/>
                      <w:bCs/>
                      <w:lang w:val="en-US" w:eastAsia="zh-CN"/>
                    </w:rPr>
                    <w:t>排放浓度mg/m</w:t>
                  </w:r>
                  <w:r>
                    <w:rPr>
                      <w:rFonts w:hint="eastAsia"/>
                      <w:b/>
                      <w:bCs/>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pStyle w:val="33"/>
                    <w:widowControl w:val="0"/>
                    <w:rPr>
                      <w:lang w:val="en-US" w:eastAsia="zh-CN"/>
                    </w:rPr>
                  </w:pPr>
                  <w:r>
                    <w:rPr>
                      <w:rFonts w:hint="eastAsia"/>
                      <w:lang w:val="en-US" w:eastAsia="zh-CN"/>
                    </w:rPr>
                    <w:t>颗粒物</w:t>
                  </w:r>
                </w:p>
              </w:tc>
              <w:tc>
                <w:tcPr>
                  <w:tcW w:w="555" w:type="pct"/>
                  <w:tcBorders>
                    <w:tl2br w:val="nil"/>
                    <w:tr2bl w:val="nil"/>
                  </w:tcBorders>
                  <w:vAlign w:val="center"/>
                </w:tcPr>
                <w:p>
                  <w:pPr>
                    <w:pStyle w:val="33"/>
                    <w:widowControl w:val="0"/>
                    <w:rPr>
                      <w:lang w:eastAsia="zh-CN"/>
                    </w:rPr>
                  </w:pPr>
                  <w:r>
                    <w:rPr>
                      <w:rFonts w:hint="eastAsia"/>
                      <w:lang w:val="en-US" w:eastAsia="zh-CN"/>
                    </w:rPr>
                    <w:t>0.189</w:t>
                  </w:r>
                </w:p>
              </w:tc>
              <w:tc>
                <w:tcPr>
                  <w:tcW w:w="492" w:type="pct"/>
                  <w:tcBorders>
                    <w:tl2br w:val="nil"/>
                    <w:tr2bl w:val="nil"/>
                  </w:tcBorders>
                  <w:vAlign w:val="center"/>
                </w:tcPr>
                <w:p>
                  <w:pPr>
                    <w:pStyle w:val="33"/>
                    <w:widowControl w:val="0"/>
                    <w:rPr>
                      <w:lang w:eastAsia="zh-CN"/>
                    </w:rPr>
                  </w:pPr>
                  <w:r>
                    <w:rPr>
                      <w:rFonts w:hint="eastAsia"/>
                      <w:lang w:val="en-US" w:eastAsia="zh-CN"/>
                    </w:rPr>
                    <w:t>8</w:t>
                  </w:r>
                  <w:r>
                    <w:t>000</w:t>
                  </w:r>
                </w:p>
              </w:tc>
              <w:tc>
                <w:tcPr>
                  <w:tcW w:w="617" w:type="pct"/>
                  <w:tcBorders>
                    <w:tl2br w:val="nil"/>
                    <w:tr2bl w:val="nil"/>
                  </w:tcBorders>
                  <w:vAlign w:val="center"/>
                </w:tcPr>
                <w:p>
                  <w:pPr>
                    <w:pStyle w:val="33"/>
                    <w:widowControl w:val="0"/>
                    <w:rPr>
                      <w:lang w:val="en-US" w:eastAsia="zh-CN"/>
                    </w:rPr>
                  </w:pPr>
                  <w:r>
                    <w:rPr>
                      <w:rFonts w:hint="eastAsia"/>
                      <w:lang w:val="en-US" w:eastAsia="zh-CN"/>
                    </w:rPr>
                    <w:t>80</w:t>
                  </w:r>
                </w:p>
              </w:tc>
              <w:tc>
                <w:tcPr>
                  <w:tcW w:w="555" w:type="pct"/>
                  <w:tcBorders>
                    <w:tl2br w:val="nil"/>
                    <w:tr2bl w:val="nil"/>
                  </w:tcBorders>
                  <w:vAlign w:val="center"/>
                </w:tcPr>
                <w:p>
                  <w:pPr>
                    <w:pStyle w:val="33"/>
                    <w:widowControl w:val="0"/>
                    <w:rPr>
                      <w:lang w:val="en-US" w:eastAsia="zh-CN"/>
                    </w:rPr>
                  </w:pPr>
                  <w:r>
                    <w:rPr>
                      <w:rFonts w:hint="eastAsia"/>
                      <w:lang w:val="en-US" w:eastAsia="zh-CN"/>
                    </w:rPr>
                    <w:t>0.1512</w:t>
                  </w:r>
                </w:p>
              </w:tc>
              <w:tc>
                <w:tcPr>
                  <w:tcW w:w="555" w:type="pct"/>
                  <w:tcBorders>
                    <w:tl2br w:val="nil"/>
                    <w:tr2bl w:val="nil"/>
                  </w:tcBorders>
                  <w:vAlign w:val="center"/>
                </w:tcPr>
                <w:p>
                  <w:pPr>
                    <w:pStyle w:val="33"/>
                    <w:widowControl w:val="0"/>
                    <w:rPr>
                      <w:lang w:val="en-US" w:eastAsia="zh-CN"/>
                    </w:rPr>
                  </w:pPr>
                  <w:r>
                    <w:rPr>
                      <w:rFonts w:hint="eastAsia"/>
                      <w:lang w:val="en-US" w:eastAsia="zh-CN"/>
                    </w:rPr>
                    <w:t>99</w:t>
                  </w:r>
                </w:p>
              </w:tc>
              <w:tc>
                <w:tcPr>
                  <w:tcW w:w="555" w:type="pct"/>
                  <w:tcBorders>
                    <w:tl2br w:val="nil"/>
                    <w:tr2bl w:val="nil"/>
                  </w:tcBorders>
                  <w:vAlign w:val="center"/>
                </w:tcPr>
                <w:p>
                  <w:pPr>
                    <w:pStyle w:val="33"/>
                    <w:widowControl w:val="0"/>
                    <w:rPr>
                      <w:lang w:val="en-US" w:eastAsia="zh-CN"/>
                    </w:rPr>
                  </w:pPr>
                  <w:r>
                    <w:rPr>
                      <w:rFonts w:hint="eastAsia"/>
                      <w:lang w:val="en-US" w:eastAsia="zh-CN"/>
                    </w:rPr>
                    <w:t>0.0015</w:t>
                  </w:r>
                </w:p>
              </w:tc>
              <w:tc>
                <w:tcPr>
                  <w:tcW w:w="590" w:type="pct"/>
                  <w:tcBorders>
                    <w:tl2br w:val="nil"/>
                    <w:tr2bl w:val="nil"/>
                  </w:tcBorders>
                  <w:vAlign w:val="center"/>
                </w:tcPr>
                <w:p>
                  <w:pPr>
                    <w:pStyle w:val="33"/>
                    <w:widowControl w:val="0"/>
                    <w:rPr>
                      <w:lang w:val="en-US" w:eastAsia="zh-CN"/>
                    </w:rPr>
                  </w:pPr>
                  <w:r>
                    <w:rPr>
                      <w:rFonts w:hint="eastAsia"/>
                      <w:lang w:val="en-US" w:eastAsia="zh-CN"/>
                    </w:rPr>
                    <w:t>0.0007</w:t>
                  </w:r>
                </w:p>
              </w:tc>
              <w:tc>
                <w:tcPr>
                  <w:tcW w:w="522" w:type="pct"/>
                  <w:tcBorders>
                    <w:tl2br w:val="nil"/>
                    <w:tr2bl w:val="nil"/>
                  </w:tcBorders>
                  <w:vAlign w:val="center"/>
                </w:tcPr>
                <w:p>
                  <w:pPr>
                    <w:pStyle w:val="33"/>
                    <w:widowControl w:val="0"/>
                    <w:rPr>
                      <w:lang w:val="en-US" w:eastAsia="zh-CN"/>
                    </w:rPr>
                  </w:pPr>
                  <w:r>
                    <w:rPr>
                      <w:rFonts w:hint="eastAsia"/>
                      <w:lang w:val="en-US" w:eastAsia="zh-CN"/>
                    </w:rPr>
                    <w:t>0.09</w:t>
                  </w:r>
                </w:p>
              </w:tc>
            </w:tr>
          </w:tbl>
          <w:p>
            <w:pPr>
              <w:pStyle w:val="20"/>
              <w:numPr>
                <w:ilvl w:val="0"/>
                <w:numId w:val="21"/>
              </w:numPr>
              <w:ind w:firstLine="480"/>
              <w:jc w:val="both"/>
            </w:pPr>
            <w:r>
              <w:rPr>
                <w:rFonts w:hint="eastAsia"/>
              </w:rPr>
              <w:t>无组织粉尘</w:t>
            </w:r>
          </w:p>
          <w:p>
            <w:pPr>
              <w:pStyle w:val="20"/>
              <w:ind w:firstLine="480"/>
              <w:jc w:val="both"/>
            </w:pPr>
            <w:r>
              <w:rPr>
                <w:rFonts w:hint="eastAsia"/>
              </w:rPr>
              <w:t>① 装卸扬尘</w:t>
            </w:r>
          </w:p>
          <w:p>
            <w:pPr>
              <w:pStyle w:val="20"/>
              <w:ind w:firstLine="480"/>
              <w:jc w:val="both"/>
            </w:pPr>
            <w:r>
              <w:t>项目运营期有大量原料堆放，在气候干燥又有风的情况下，容易产生扬尘。为有效降低原料堆放扬尘对周围环境的影响，项目整个生产及原料均于封闭车间内，采用地面硬化，并不定期对物料洒水抑尘等。</w:t>
            </w:r>
          </w:p>
          <w:p>
            <w:pPr>
              <w:pStyle w:val="20"/>
              <w:ind w:firstLine="480"/>
              <w:jc w:val="both"/>
            </w:pPr>
            <w:r>
              <w:t>原料使用</w:t>
            </w:r>
            <w:r>
              <w:rPr>
                <w:rFonts w:hint="eastAsia"/>
              </w:rPr>
              <w:t>汽车</w:t>
            </w:r>
            <w:r>
              <w:t>运输进入厂区，在原料及成品装卸过程中会产生一定量的粉尘。其中水泥、</w:t>
            </w:r>
            <w:r>
              <w:rPr>
                <w:rFonts w:hint="eastAsia"/>
              </w:rPr>
              <w:t>沙子、</w:t>
            </w:r>
            <w:r>
              <w:t>滑石粉均为袋装，人工装卸，粉尘产生量按其装卸量的0.005%计</w:t>
            </w:r>
            <w:r>
              <w:rPr>
                <w:rFonts w:hint="eastAsia"/>
              </w:rPr>
              <w:t>，GRC</w:t>
            </w:r>
            <w:r>
              <w:t>沙子为散装，其起尘量与装卸高度H、原料含水率W、风速V等有关。根据《逸散性尘工业粉尘控制技术》（中国环境科学出版社）中，粒料加工厂逸散尘的排放因子，卡车卸料砾石粉尘排放因子（0.01kg/t（卸料）），项目</w:t>
            </w:r>
            <w:r>
              <w:rPr>
                <w:rFonts w:hint="eastAsia"/>
              </w:rPr>
              <w:t>袋装</w:t>
            </w:r>
            <w:r>
              <w:t>水泥、</w:t>
            </w:r>
            <w:r>
              <w:rPr>
                <w:rFonts w:hint="eastAsia"/>
              </w:rPr>
              <w:t>沙子、</w:t>
            </w:r>
            <w:r>
              <w:t>滑石粉用量为5</w:t>
            </w:r>
            <w:r>
              <w:rPr>
                <w:rFonts w:hint="eastAsia"/>
              </w:rPr>
              <w:t>22</w:t>
            </w:r>
            <w:r>
              <w:t>t/a，</w:t>
            </w:r>
            <w:r>
              <w:rPr>
                <w:rFonts w:hint="eastAsia"/>
              </w:rPr>
              <w:t>散装</w:t>
            </w:r>
            <w:r>
              <w:t>沙子用量为</w:t>
            </w:r>
            <w:r>
              <w:rPr>
                <w:rFonts w:hint="eastAsia"/>
              </w:rPr>
              <w:t>240</w:t>
            </w:r>
            <w:r>
              <w:t>t/a，则</w:t>
            </w:r>
            <w:r>
              <w:rPr>
                <w:rFonts w:hint="eastAsia"/>
              </w:rPr>
              <w:t>袋装</w:t>
            </w:r>
            <w:r>
              <w:t>原料在未采取措施的情况下，装卸粉尘产生量为0.0</w:t>
            </w:r>
            <w:r>
              <w:rPr>
                <w:rFonts w:hint="eastAsia"/>
              </w:rPr>
              <w:t>26</w:t>
            </w:r>
            <w:r>
              <w:t>t/a。则</w:t>
            </w:r>
            <w:r>
              <w:rPr>
                <w:rFonts w:hint="eastAsia"/>
              </w:rPr>
              <w:t>散装沙子</w:t>
            </w:r>
            <w:r>
              <w:t>在未采取措施的情况下，装卸粉尘产生量为0.0</w:t>
            </w:r>
            <w:r>
              <w:rPr>
                <w:rFonts w:hint="eastAsia"/>
              </w:rPr>
              <w:t>024</w:t>
            </w:r>
            <w:r>
              <w:t>t/a。</w:t>
            </w:r>
          </w:p>
          <w:p>
            <w:pPr>
              <w:pStyle w:val="20"/>
              <w:ind w:firstLine="480"/>
              <w:jc w:val="both"/>
            </w:pPr>
            <w:r>
              <w:t>项目运输车辆覆盖</w:t>
            </w:r>
            <w:r>
              <w:rPr>
                <w:rFonts w:hint="eastAsia"/>
              </w:rPr>
              <w:t>篷布</w:t>
            </w:r>
            <w:r>
              <w:t>，原料存放于封闭车间内，并对物料不定期洒水等，可减少粉尘排放，按减少量</w:t>
            </w:r>
            <w:r>
              <w:rPr>
                <w:rFonts w:hint="eastAsia"/>
              </w:rPr>
              <w:t>7</w:t>
            </w:r>
            <w:r>
              <w:t>0%计算。因此，原料在采取上述措施基础上，</w:t>
            </w:r>
            <w:r>
              <w:rPr>
                <w:rFonts w:hint="eastAsia"/>
              </w:rPr>
              <w:t>袋装</w:t>
            </w:r>
            <w:r>
              <w:t>装卸粉尘排放量为0.007</w:t>
            </w:r>
            <w:r>
              <w:rPr>
                <w:rFonts w:hint="eastAsia"/>
              </w:rPr>
              <w:t>8</w:t>
            </w:r>
            <w:r>
              <w:t>t/a，</w:t>
            </w:r>
            <w:r>
              <w:rPr>
                <w:rFonts w:hint="eastAsia"/>
              </w:rPr>
              <w:t>散装</w:t>
            </w:r>
            <w:r>
              <w:t>装卸粉尘排放量为0.</w:t>
            </w:r>
            <w:r>
              <w:rPr>
                <w:rFonts w:hint="eastAsia"/>
              </w:rPr>
              <w:t>0007</w:t>
            </w:r>
            <w:r>
              <w:t>t/a。装卸粉尘以无组织的形式排放。</w:t>
            </w:r>
          </w:p>
          <w:p>
            <w:pPr>
              <w:pStyle w:val="20"/>
              <w:ind w:firstLine="480"/>
              <w:jc w:val="both"/>
            </w:pPr>
            <w:r>
              <w:rPr>
                <w:rFonts w:hint="eastAsia"/>
                <w:lang w:val="en-US" w:eastAsia="zh-CN"/>
              </w:rPr>
              <w:t>②</w:t>
            </w:r>
            <w:r>
              <w:rPr>
                <w:rFonts w:hint="eastAsia"/>
              </w:rPr>
              <w:t xml:space="preserve"> 混料粉尘</w:t>
            </w:r>
          </w:p>
          <w:p>
            <w:pPr>
              <w:pStyle w:val="20"/>
              <w:ind w:firstLine="480"/>
              <w:jc w:val="both"/>
              <w:rPr>
                <w:rFonts w:cs="Times New Roman"/>
              </w:rPr>
            </w:pPr>
            <w:r>
              <w:rPr>
                <w:rFonts w:hint="eastAsia"/>
              </w:rPr>
              <w:t>项目EPS混料工序</w:t>
            </w:r>
            <w:r>
              <w:rPr>
                <w:rFonts w:hint="eastAsia" w:cs="Times New Roman"/>
              </w:rPr>
              <w:t>粉尘产生量为0.209t/a</w:t>
            </w:r>
            <w:r>
              <w:rPr>
                <w:rFonts w:hint="eastAsia"/>
              </w:rPr>
              <w:t>，经集气罩+布袋除尘器处理，集气罩收集率80%，0.0418</w:t>
            </w:r>
            <w:r>
              <w:rPr>
                <w:rFonts w:hint="eastAsia" w:cs="Times New Roman"/>
              </w:rPr>
              <w:t>t/a以无组织形式排放于车间内，经洒水降尘，封闭式厂房，粉尘可减少70%，则粉尘排放量为0.01254t/a。</w:t>
            </w:r>
          </w:p>
          <w:p>
            <w:pPr>
              <w:pStyle w:val="20"/>
              <w:ind w:firstLine="480"/>
              <w:jc w:val="both"/>
            </w:pPr>
            <w:r>
              <w:rPr>
                <w:rFonts w:hint="eastAsia" w:cs="Times New Roman"/>
              </w:rPr>
              <w:t>GRC构件混料工序粉尘产生量为0.189t/a，粉尘经</w:t>
            </w:r>
            <w:r>
              <w:rPr>
                <w:rFonts w:hint="eastAsia"/>
              </w:rPr>
              <w:t>集气罩+布袋除尘器处理</w:t>
            </w:r>
            <w:r>
              <w:rPr>
                <w:rFonts w:hint="eastAsia" w:cs="Times New Roman"/>
              </w:rPr>
              <w:t>，</w:t>
            </w:r>
            <w:r>
              <w:rPr>
                <w:rFonts w:hint="eastAsia"/>
              </w:rPr>
              <w:t>集气罩收集率80%，0.0378</w:t>
            </w:r>
            <w:r>
              <w:rPr>
                <w:rFonts w:hint="eastAsia" w:cs="Times New Roman"/>
              </w:rPr>
              <w:t>t/a以无组织形式排放于车间内，经洒水降尘，封闭式厂房，粉尘可减少70%，则粉尘排放量为0.01134t/a。</w:t>
            </w:r>
          </w:p>
          <w:p>
            <w:pPr>
              <w:pStyle w:val="32"/>
            </w:pPr>
            <w:r>
              <w:rPr>
                <w:rFonts w:hint="eastAsia"/>
              </w:rPr>
              <w:t>表4-7    项目营运期大气污染物产排一览表  单位：kg/a</w:t>
            </w:r>
          </w:p>
          <w:tbl>
            <w:tblPr>
              <w:tblStyle w:val="24"/>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083"/>
              <w:gridCol w:w="746"/>
              <w:gridCol w:w="815"/>
              <w:gridCol w:w="1276"/>
              <w:gridCol w:w="640"/>
              <w:gridCol w:w="754"/>
              <w:gridCol w:w="768"/>
              <w:gridCol w:w="7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60" w:type="pct"/>
                  <w:tcBorders>
                    <w:bottom w:val="single" w:color="000000" w:sz="12" w:space="0"/>
                    <w:tl2br w:val="nil"/>
                    <w:tr2bl w:val="nil"/>
                  </w:tcBorders>
                  <w:vAlign w:val="center"/>
                </w:tcPr>
                <w:p>
                  <w:pPr>
                    <w:pStyle w:val="33"/>
                    <w:rPr>
                      <w:b/>
                      <w:bCs/>
                      <w:sz w:val="18"/>
                      <w:szCs w:val="18"/>
                      <w:lang w:val="en-US" w:eastAsia="zh-CN"/>
                    </w:rPr>
                  </w:pPr>
                  <w:r>
                    <w:rPr>
                      <w:rFonts w:hint="eastAsia"/>
                      <w:b/>
                      <w:bCs/>
                      <w:sz w:val="18"/>
                      <w:szCs w:val="18"/>
                      <w:lang w:val="en-US" w:eastAsia="zh-CN"/>
                    </w:rPr>
                    <w:t>工序</w:t>
                  </w:r>
                </w:p>
              </w:tc>
              <w:tc>
                <w:tcPr>
                  <w:tcW w:w="688" w:type="pct"/>
                  <w:tcBorders>
                    <w:bottom w:val="single" w:color="000000" w:sz="12" w:space="0"/>
                    <w:tl2br w:val="nil"/>
                    <w:tr2bl w:val="nil"/>
                  </w:tcBorders>
                  <w:vAlign w:val="center"/>
                </w:tcPr>
                <w:p>
                  <w:pPr>
                    <w:pStyle w:val="33"/>
                    <w:rPr>
                      <w:b/>
                      <w:bCs/>
                      <w:sz w:val="18"/>
                      <w:szCs w:val="18"/>
                      <w:lang w:val="en-US" w:eastAsia="zh-CN"/>
                    </w:rPr>
                  </w:pPr>
                  <w:r>
                    <w:rPr>
                      <w:rFonts w:hint="eastAsia"/>
                      <w:b/>
                      <w:bCs/>
                      <w:sz w:val="18"/>
                      <w:szCs w:val="18"/>
                      <w:lang w:val="en-US" w:eastAsia="zh-CN"/>
                    </w:rPr>
                    <w:t>污染源</w:t>
                  </w:r>
                </w:p>
              </w:tc>
              <w:tc>
                <w:tcPr>
                  <w:tcW w:w="474" w:type="pct"/>
                  <w:tcBorders>
                    <w:bottom w:val="single" w:color="000000" w:sz="12" w:space="0"/>
                    <w:tl2br w:val="nil"/>
                    <w:tr2bl w:val="nil"/>
                  </w:tcBorders>
                  <w:vAlign w:val="center"/>
                </w:tcPr>
                <w:p>
                  <w:pPr>
                    <w:pStyle w:val="33"/>
                    <w:rPr>
                      <w:b/>
                      <w:bCs/>
                      <w:sz w:val="18"/>
                      <w:szCs w:val="18"/>
                      <w:lang w:val="en-US" w:eastAsia="zh-CN"/>
                    </w:rPr>
                  </w:pPr>
                  <w:r>
                    <w:rPr>
                      <w:rFonts w:hint="eastAsia"/>
                      <w:b/>
                      <w:bCs/>
                      <w:sz w:val="18"/>
                      <w:szCs w:val="18"/>
                      <w:lang w:val="en-US" w:eastAsia="zh-CN"/>
                    </w:rPr>
                    <w:t>污染物</w:t>
                  </w:r>
                </w:p>
              </w:tc>
              <w:tc>
                <w:tcPr>
                  <w:tcW w:w="517" w:type="pct"/>
                  <w:tcBorders>
                    <w:bottom w:val="single" w:color="000000" w:sz="12" w:space="0"/>
                    <w:tl2br w:val="nil"/>
                    <w:tr2bl w:val="nil"/>
                  </w:tcBorders>
                  <w:vAlign w:val="center"/>
                </w:tcPr>
                <w:p>
                  <w:pPr>
                    <w:pStyle w:val="33"/>
                    <w:rPr>
                      <w:b/>
                      <w:bCs/>
                      <w:sz w:val="18"/>
                      <w:szCs w:val="18"/>
                    </w:rPr>
                  </w:pPr>
                  <w:r>
                    <w:rPr>
                      <w:rFonts w:hint="eastAsia"/>
                      <w:b/>
                      <w:bCs/>
                      <w:sz w:val="18"/>
                      <w:szCs w:val="18"/>
                    </w:rPr>
                    <w:t>产生量</w:t>
                  </w:r>
                  <w:r>
                    <w:rPr>
                      <w:rFonts w:hint="eastAsia"/>
                      <w:b/>
                      <w:bCs/>
                      <w:sz w:val="18"/>
                      <w:szCs w:val="18"/>
                      <w:lang w:val="en-US" w:eastAsia="zh-CN"/>
                    </w:rPr>
                    <w:t>t</w:t>
                  </w:r>
                  <w:r>
                    <w:rPr>
                      <w:b/>
                      <w:bCs/>
                      <w:sz w:val="18"/>
                      <w:szCs w:val="18"/>
                      <w:lang w:val="en-US" w:eastAsia="zh-CN"/>
                    </w:rPr>
                    <w:t>/a</w:t>
                  </w:r>
                </w:p>
              </w:tc>
              <w:tc>
                <w:tcPr>
                  <w:tcW w:w="810" w:type="pct"/>
                  <w:tcBorders>
                    <w:bottom w:val="single" w:color="000000" w:sz="12" w:space="0"/>
                    <w:tl2br w:val="nil"/>
                    <w:tr2bl w:val="nil"/>
                  </w:tcBorders>
                  <w:vAlign w:val="center"/>
                </w:tcPr>
                <w:p>
                  <w:pPr>
                    <w:pStyle w:val="33"/>
                    <w:rPr>
                      <w:b/>
                      <w:bCs/>
                      <w:sz w:val="18"/>
                      <w:szCs w:val="18"/>
                    </w:rPr>
                  </w:pPr>
                  <w:r>
                    <w:rPr>
                      <w:rFonts w:hint="eastAsia"/>
                      <w:b/>
                      <w:bCs/>
                      <w:sz w:val="18"/>
                      <w:szCs w:val="18"/>
                    </w:rPr>
                    <w:t>治理措施</w:t>
                  </w:r>
                </w:p>
              </w:tc>
              <w:tc>
                <w:tcPr>
                  <w:tcW w:w="406" w:type="pct"/>
                  <w:tcBorders>
                    <w:bottom w:val="single" w:color="000000" w:sz="12" w:space="0"/>
                    <w:tl2br w:val="nil"/>
                    <w:tr2bl w:val="nil"/>
                  </w:tcBorders>
                  <w:vAlign w:val="center"/>
                </w:tcPr>
                <w:p>
                  <w:pPr>
                    <w:pStyle w:val="33"/>
                    <w:jc w:val="both"/>
                    <w:rPr>
                      <w:b/>
                      <w:bCs/>
                      <w:sz w:val="18"/>
                      <w:szCs w:val="18"/>
                      <w:lang w:val="en-US" w:eastAsia="zh-CN"/>
                    </w:rPr>
                  </w:pPr>
                  <w:r>
                    <w:rPr>
                      <w:rFonts w:hint="eastAsia"/>
                      <w:b/>
                      <w:bCs/>
                      <w:sz w:val="18"/>
                      <w:szCs w:val="18"/>
                      <w:lang w:val="en-US" w:eastAsia="zh-CN"/>
                    </w:rPr>
                    <w:t>效率</w:t>
                  </w:r>
                </w:p>
                <w:p>
                  <w:pPr>
                    <w:pStyle w:val="33"/>
                    <w:jc w:val="both"/>
                    <w:rPr>
                      <w:b/>
                      <w:bCs/>
                      <w:sz w:val="18"/>
                      <w:szCs w:val="18"/>
                      <w:lang w:val="en-US" w:eastAsia="zh-CN"/>
                    </w:rPr>
                  </w:pPr>
                  <w:r>
                    <w:rPr>
                      <w:rFonts w:hint="eastAsia"/>
                      <w:b/>
                      <w:bCs/>
                      <w:sz w:val="18"/>
                      <w:szCs w:val="18"/>
                      <w:lang w:val="en-US" w:eastAsia="zh-CN"/>
                    </w:rPr>
                    <w:t>%</w:t>
                  </w:r>
                </w:p>
              </w:tc>
              <w:tc>
                <w:tcPr>
                  <w:tcW w:w="479" w:type="pct"/>
                  <w:tcBorders>
                    <w:bottom w:val="single" w:color="000000" w:sz="12" w:space="0"/>
                    <w:tl2br w:val="nil"/>
                    <w:tr2bl w:val="nil"/>
                  </w:tcBorders>
                  <w:vAlign w:val="center"/>
                </w:tcPr>
                <w:p>
                  <w:pPr>
                    <w:pStyle w:val="33"/>
                    <w:rPr>
                      <w:b/>
                      <w:bCs/>
                      <w:sz w:val="18"/>
                      <w:szCs w:val="18"/>
                    </w:rPr>
                  </w:pPr>
                  <w:r>
                    <w:rPr>
                      <w:rFonts w:hint="eastAsia"/>
                      <w:b/>
                      <w:bCs/>
                      <w:sz w:val="18"/>
                      <w:szCs w:val="18"/>
                    </w:rPr>
                    <w:t>排放量</w:t>
                  </w:r>
                  <w:r>
                    <w:rPr>
                      <w:rFonts w:hint="eastAsia"/>
                      <w:b/>
                      <w:bCs/>
                      <w:sz w:val="18"/>
                      <w:szCs w:val="18"/>
                      <w:lang w:val="en-US" w:eastAsia="zh-CN"/>
                    </w:rPr>
                    <w:t>t/a</w:t>
                  </w:r>
                </w:p>
              </w:tc>
              <w:tc>
                <w:tcPr>
                  <w:tcW w:w="488" w:type="pct"/>
                  <w:tcBorders>
                    <w:bottom w:val="single" w:color="000000" w:sz="12" w:space="0"/>
                    <w:tl2br w:val="nil"/>
                    <w:tr2bl w:val="nil"/>
                  </w:tcBorders>
                  <w:vAlign w:val="center"/>
                </w:tcPr>
                <w:p>
                  <w:pPr>
                    <w:pStyle w:val="33"/>
                    <w:rPr>
                      <w:b/>
                      <w:bCs/>
                      <w:sz w:val="18"/>
                      <w:szCs w:val="18"/>
                      <w:lang w:val="en-US" w:eastAsia="zh-CN"/>
                    </w:rPr>
                  </w:pPr>
                  <w:r>
                    <w:rPr>
                      <w:rFonts w:hint="eastAsia"/>
                      <w:b/>
                      <w:bCs/>
                      <w:sz w:val="18"/>
                      <w:szCs w:val="18"/>
                      <w:lang w:val="en-US" w:eastAsia="zh-CN"/>
                    </w:rPr>
                    <w:t>排放速率kg/h</w:t>
                  </w:r>
                </w:p>
              </w:tc>
              <w:tc>
                <w:tcPr>
                  <w:tcW w:w="474" w:type="pct"/>
                  <w:tcBorders>
                    <w:bottom w:val="single" w:color="000000" w:sz="12" w:space="0"/>
                    <w:tl2br w:val="nil"/>
                    <w:tr2bl w:val="nil"/>
                  </w:tcBorders>
                  <w:vAlign w:val="center"/>
                </w:tcPr>
                <w:p>
                  <w:pPr>
                    <w:pStyle w:val="33"/>
                    <w:rPr>
                      <w:b/>
                      <w:bCs/>
                      <w:sz w:val="18"/>
                      <w:szCs w:val="18"/>
                      <w:lang w:val="en-US" w:eastAsia="zh-CN"/>
                    </w:rPr>
                  </w:pPr>
                  <w:r>
                    <w:rPr>
                      <w:rFonts w:hint="eastAsia"/>
                      <w:b/>
                      <w:bCs/>
                      <w:sz w:val="18"/>
                      <w:szCs w:val="18"/>
                      <w:lang w:val="en-US" w:eastAsia="zh-CN"/>
                    </w:rPr>
                    <w:t>排放浓度mg/m</w:t>
                  </w:r>
                  <w:r>
                    <w:rPr>
                      <w:rFonts w:hint="eastAsia"/>
                      <w:b/>
                      <w:bCs/>
                      <w:sz w:val="18"/>
                      <w:szCs w:val="18"/>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0" w:type="pct"/>
                  <w:tcBorders>
                    <w:top w:val="single" w:color="000000" w:sz="12" w:space="0"/>
                    <w:tl2br w:val="nil"/>
                    <w:tr2bl w:val="nil"/>
                  </w:tcBorders>
                  <w:vAlign w:val="center"/>
                </w:tcPr>
                <w:p>
                  <w:pPr>
                    <w:pStyle w:val="33"/>
                    <w:rPr>
                      <w:color w:val="0000FF"/>
                      <w:sz w:val="18"/>
                      <w:szCs w:val="18"/>
                      <w:lang w:val="en-US" w:eastAsia="zh-CN"/>
                    </w:rPr>
                  </w:pPr>
                  <w:r>
                    <w:rPr>
                      <w:color w:val="0000FF"/>
                      <w:sz w:val="18"/>
                      <w:szCs w:val="18"/>
                      <w:lang w:val="en-US" w:eastAsia="zh-CN"/>
                    </w:rPr>
                    <w:t>EPS线</w:t>
                  </w:r>
                </w:p>
                <w:p>
                  <w:pPr>
                    <w:pStyle w:val="33"/>
                    <w:rPr>
                      <w:color w:val="0000FF"/>
                      <w:sz w:val="18"/>
                      <w:szCs w:val="18"/>
                      <w:lang w:val="en-US" w:eastAsia="zh-CN"/>
                    </w:rPr>
                  </w:pPr>
                  <w:r>
                    <w:rPr>
                      <w:color w:val="0000FF"/>
                      <w:sz w:val="18"/>
                      <w:szCs w:val="18"/>
                      <w:lang w:val="en-US" w:eastAsia="zh-CN"/>
                    </w:rPr>
                    <w:t>条切割</w:t>
                  </w:r>
                </w:p>
              </w:tc>
              <w:tc>
                <w:tcPr>
                  <w:tcW w:w="688" w:type="pct"/>
                  <w:vMerge w:val="restart"/>
                  <w:tcBorders>
                    <w:top w:val="single" w:color="000000" w:sz="12" w:space="0"/>
                  </w:tcBorders>
                  <w:vAlign w:val="center"/>
                </w:tcPr>
                <w:p>
                  <w:pPr>
                    <w:pStyle w:val="33"/>
                    <w:rPr>
                      <w:color w:val="0000FF"/>
                      <w:sz w:val="18"/>
                      <w:szCs w:val="18"/>
                      <w:lang w:val="en-US" w:eastAsia="zh-CN"/>
                    </w:rPr>
                  </w:pPr>
                  <w:r>
                    <w:rPr>
                      <w:rFonts w:hint="eastAsia"/>
                      <w:color w:val="0000FF"/>
                      <w:sz w:val="18"/>
                      <w:szCs w:val="18"/>
                      <w:lang w:val="en-US" w:eastAsia="zh-CN"/>
                    </w:rPr>
                    <w:t>有组织（DA001）</w:t>
                  </w:r>
                </w:p>
              </w:tc>
              <w:tc>
                <w:tcPr>
                  <w:tcW w:w="474" w:type="pct"/>
                  <w:vMerge w:val="restart"/>
                  <w:tcBorders>
                    <w:top w:val="single" w:color="000000" w:sz="12" w:space="0"/>
                  </w:tcBorders>
                  <w:vAlign w:val="center"/>
                </w:tcPr>
                <w:p>
                  <w:pPr>
                    <w:pStyle w:val="33"/>
                    <w:rPr>
                      <w:color w:val="0000FF"/>
                      <w:sz w:val="18"/>
                      <w:szCs w:val="18"/>
                      <w:lang w:val="en-US" w:eastAsia="zh-CN"/>
                    </w:rPr>
                  </w:pPr>
                  <w:r>
                    <w:rPr>
                      <w:rFonts w:hint="eastAsia"/>
                      <w:color w:val="0000FF"/>
                      <w:sz w:val="18"/>
                      <w:szCs w:val="18"/>
                      <w:lang w:val="en-US" w:eastAsia="zh-CN"/>
                    </w:rPr>
                    <w:t>非甲烷总烃</w:t>
                  </w:r>
                </w:p>
              </w:tc>
              <w:tc>
                <w:tcPr>
                  <w:tcW w:w="517" w:type="pct"/>
                  <w:tcBorders>
                    <w:top w:val="single" w:color="000000" w:sz="12" w:space="0"/>
                    <w:bottom w:val="single" w:color="000000" w:sz="4" w:space="0"/>
                  </w:tcBorders>
                  <w:vAlign w:val="center"/>
                </w:tcPr>
                <w:p>
                  <w:pPr>
                    <w:pStyle w:val="33"/>
                    <w:rPr>
                      <w:rFonts w:hint="default"/>
                      <w:color w:val="0000FF"/>
                      <w:sz w:val="18"/>
                      <w:szCs w:val="18"/>
                      <w:lang w:val="en-US" w:eastAsia="zh-CN"/>
                    </w:rPr>
                  </w:pPr>
                  <w:r>
                    <w:rPr>
                      <w:rFonts w:hint="eastAsia"/>
                      <w:color w:val="0000FF"/>
                      <w:sz w:val="18"/>
                      <w:szCs w:val="18"/>
                      <w:lang w:val="en-US" w:eastAsia="zh-CN"/>
                    </w:rPr>
                    <w:t>0.099</w:t>
                  </w:r>
                </w:p>
              </w:tc>
              <w:tc>
                <w:tcPr>
                  <w:tcW w:w="810" w:type="pct"/>
                  <w:vMerge w:val="restart"/>
                  <w:tcBorders>
                    <w:top w:val="single" w:color="000000" w:sz="12" w:space="0"/>
                  </w:tcBorders>
                  <w:vAlign w:val="center"/>
                </w:tcPr>
                <w:p>
                  <w:pPr>
                    <w:pStyle w:val="33"/>
                    <w:rPr>
                      <w:color w:val="0000FF"/>
                      <w:sz w:val="18"/>
                      <w:szCs w:val="18"/>
                      <w:lang w:val="en-US" w:eastAsia="zh-CN"/>
                    </w:rPr>
                  </w:pPr>
                  <w:r>
                    <w:rPr>
                      <w:rFonts w:hint="eastAsia"/>
                      <w:color w:val="0000FF"/>
                      <w:sz w:val="18"/>
                      <w:szCs w:val="18"/>
                      <w:lang w:val="en-US" w:eastAsia="zh-CN"/>
                    </w:rPr>
                    <w:t>集气罩+经光氧催化+活性炭吸附15m排气筒</w:t>
                  </w:r>
                </w:p>
              </w:tc>
              <w:tc>
                <w:tcPr>
                  <w:tcW w:w="406" w:type="pct"/>
                  <w:vMerge w:val="restart"/>
                  <w:tcBorders>
                    <w:top w:val="single" w:color="000000" w:sz="12" w:space="0"/>
                  </w:tcBorders>
                  <w:vAlign w:val="center"/>
                </w:tcPr>
                <w:p>
                  <w:pPr>
                    <w:pStyle w:val="33"/>
                    <w:rPr>
                      <w:rFonts w:hint="default"/>
                      <w:color w:val="0000FF"/>
                      <w:sz w:val="18"/>
                      <w:szCs w:val="18"/>
                      <w:lang w:val="en-US" w:eastAsia="zh-CN"/>
                    </w:rPr>
                  </w:pPr>
                  <w:r>
                    <w:rPr>
                      <w:rFonts w:hint="eastAsia"/>
                      <w:color w:val="0000FF"/>
                      <w:sz w:val="18"/>
                      <w:szCs w:val="18"/>
                      <w:lang w:val="en-US" w:eastAsia="zh-CN"/>
                    </w:rPr>
                    <w:t>24</w:t>
                  </w:r>
                </w:p>
              </w:tc>
              <w:tc>
                <w:tcPr>
                  <w:tcW w:w="479" w:type="pct"/>
                  <w:tcBorders>
                    <w:top w:val="single" w:color="000000" w:sz="12" w:space="0"/>
                    <w:bottom w:val="single" w:color="000000" w:sz="4" w:space="0"/>
                  </w:tcBorders>
                  <w:vAlign w:val="center"/>
                </w:tcPr>
                <w:p>
                  <w:pPr>
                    <w:pStyle w:val="33"/>
                    <w:rPr>
                      <w:rFonts w:hint="default"/>
                      <w:color w:val="0000FF"/>
                      <w:sz w:val="18"/>
                      <w:szCs w:val="18"/>
                      <w:lang w:val="en-US" w:eastAsia="zh-CN"/>
                    </w:rPr>
                  </w:pPr>
                  <w:r>
                    <w:rPr>
                      <w:rFonts w:hint="eastAsia"/>
                      <w:color w:val="0000FF"/>
                      <w:sz w:val="18"/>
                      <w:szCs w:val="18"/>
                      <w:lang w:val="en-US" w:eastAsia="zh-CN"/>
                    </w:rPr>
                    <w:t>0.0602</w:t>
                  </w:r>
                </w:p>
              </w:tc>
              <w:tc>
                <w:tcPr>
                  <w:tcW w:w="488" w:type="pct"/>
                  <w:tcBorders>
                    <w:top w:val="single" w:color="000000" w:sz="12" w:space="0"/>
                    <w:bottom w:val="single" w:color="000000" w:sz="4" w:space="0"/>
                  </w:tcBorders>
                  <w:vAlign w:val="center"/>
                </w:tcPr>
                <w:p>
                  <w:pPr>
                    <w:pStyle w:val="33"/>
                    <w:rPr>
                      <w:rFonts w:hint="default"/>
                      <w:color w:val="0000FF"/>
                      <w:sz w:val="18"/>
                      <w:szCs w:val="18"/>
                      <w:lang w:val="en-US" w:eastAsia="zh-CN"/>
                    </w:rPr>
                  </w:pPr>
                  <w:r>
                    <w:rPr>
                      <w:rFonts w:hint="eastAsia"/>
                      <w:color w:val="0000FF"/>
                      <w:sz w:val="18"/>
                      <w:szCs w:val="18"/>
                      <w:lang w:val="en-US" w:eastAsia="zh-CN"/>
                    </w:rPr>
                    <w:t>0.0287</w:t>
                  </w:r>
                </w:p>
              </w:tc>
              <w:tc>
                <w:tcPr>
                  <w:tcW w:w="474" w:type="pct"/>
                  <w:tcBorders>
                    <w:top w:val="single" w:color="000000" w:sz="12" w:space="0"/>
                    <w:bottom w:val="single" w:color="000000" w:sz="4" w:space="0"/>
                  </w:tcBorders>
                  <w:vAlign w:val="center"/>
                </w:tcPr>
                <w:p>
                  <w:pPr>
                    <w:pStyle w:val="33"/>
                    <w:rPr>
                      <w:rFonts w:hint="default"/>
                      <w:color w:val="0000FF"/>
                      <w:sz w:val="18"/>
                      <w:szCs w:val="18"/>
                      <w:lang w:val="en-US" w:eastAsia="zh-CN"/>
                    </w:rPr>
                  </w:pPr>
                  <w:r>
                    <w:rPr>
                      <w:rFonts w:hint="eastAsia"/>
                      <w:color w:val="0000FF"/>
                      <w:sz w:val="18"/>
                      <w:szCs w:val="18"/>
                      <w:lang w:val="en-US" w:eastAsia="zh-CN"/>
                    </w:rPr>
                    <w:t>3.583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0" w:type="pct"/>
                  <w:tcBorders>
                    <w:tl2br w:val="nil"/>
                    <w:tr2bl w:val="nil"/>
                  </w:tcBorders>
                  <w:vAlign w:val="center"/>
                </w:tcPr>
                <w:p>
                  <w:pPr>
                    <w:pStyle w:val="33"/>
                    <w:rPr>
                      <w:sz w:val="18"/>
                      <w:szCs w:val="18"/>
                      <w:lang w:val="en-US" w:eastAsia="zh-CN"/>
                    </w:rPr>
                  </w:pPr>
                  <w:r>
                    <w:rPr>
                      <w:rFonts w:hint="eastAsia"/>
                      <w:sz w:val="18"/>
                      <w:szCs w:val="18"/>
                      <w:lang w:val="en-US" w:eastAsia="zh-CN"/>
                    </w:rPr>
                    <w:t>乳液挥发</w:t>
                  </w:r>
                </w:p>
              </w:tc>
              <w:tc>
                <w:tcPr>
                  <w:tcW w:w="688" w:type="pct"/>
                  <w:vMerge w:val="continue"/>
                  <w:tcBorders>
                    <w:tl2br w:val="nil"/>
                    <w:tr2bl w:val="nil"/>
                  </w:tcBorders>
                  <w:vAlign w:val="center"/>
                </w:tcPr>
                <w:p>
                  <w:pPr>
                    <w:pStyle w:val="33"/>
                    <w:rPr>
                      <w:sz w:val="18"/>
                      <w:szCs w:val="18"/>
                      <w:lang w:val="en-US" w:eastAsia="zh-CN"/>
                    </w:rPr>
                  </w:pPr>
                </w:p>
              </w:tc>
              <w:tc>
                <w:tcPr>
                  <w:tcW w:w="474" w:type="pct"/>
                  <w:vMerge w:val="continue"/>
                  <w:tcBorders>
                    <w:tl2br w:val="nil"/>
                    <w:tr2bl w:val="nil"/>
                  </w:tcBorders>
                  <w:vAlign w:val="center"/>
                </w:tcPr>
                <w:p>
                  <w:pPr>
                    <w:pStyle w:val="33"/>
                    <w:rPr>
                      <w:sz w:val="18"/>
                      <w:szCs w:val="18"/>
                      <w:lang w:val="en-US" w:eastAsia="zh-CN"/>
                    </w:rPr>
                  </w:pPr>
                </w:p>
              </w:tc>
              <w:tc>
                <w:tcPr>
                  <w:tcW w:w="517" w:type="pc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0.015</w:t>
                  </w:r>
                </w:p>
              </w:tc>
              <w:tc>
                <w:tcPr>
                  <w:tcW w:w="810" w:type="pct"/>
                  <w:vMerge w:val="continue"/>
                  <w:tcBorders>
                    <w:tl2br w:val="nil"/>
                    <w:tr2bl w:val="nil"/>
                  </w:tcBorders>
                  <w:vAlign w:val="center"/>
                </w:tcPr>
                <w:p>
                  <w:pPr>
                    <w:pStyle w:val="33"/>
                    <w:rPr>
                      <w:sz w:val="18"/>
                      <w:szCs w:val="18"/>
                      <w:lang w:val="en-US" w:eastAsia="zh-CN"/>
                    </w:rPr>
                  </w:pPr>
                </w:p>
              </w:tc>
              <w:tc>
                <w:tcPr>
                  <w:tcW w:w="406" w:type="pct"/>
                  <w:vMerge w:val="continue"/>
                  <w:tcBorders>
                    <w:tl2br w:val="nil"/>
                    <w:tr2bl w:val="nil"/>
                  </w:tcBorders>
                  <w:vAlign w:val="center"/>
                </w:tcPr>
                <w:p>
                  <w:pPr>
                    <w:pStyle w:val="33"/>
                    <w:rPr>
                      <w:sz w:val="18"/>
                      <w:szCs w:val="18"/>
                      <w:lang w:val="en-US" w:eastAsia="zh-CN"/>
                    </w:rPr>
                  </w:pPr>
                </w:p>
              </w:tc>
              <w:tc>
                <w:tcPr>
                  <w:tcW w:w="479" w:type="pct"/>
                  <w:tcBorders>
                    <w:top w:val="single" w:color="000000" w:sz="4" w:space="0"/>
                    <w:tl2br w:val="nil"/>
                    <w:tr2bl w:val="nil"/>
                  </w:tcBorders>
                  <w:vAlign w:val="center"/>
                </w:tcPr>
                <w:p>
                  <w:pPr>
                    <w:pStyle w:val="33"/>
                    <w:rPr>
                      <w:rFonts w:hint="default"/>
                      <w:color w:val="0000FF"/>
                      <w:sz w:val="18"/>
                      <w:szCs w:val="18"/>
                      <w:lang w:val="en-US" w:eastAsia="zh-CN"/>
                    </w:rPr>
                  </w:pPr>
                  <w:r>
                    <w:rPr>
                      <w:rFonts w:hint="eastAsia"/>
                      <w:color w:val="0000FF"/>
                      <w:sz w:val="18"/>
                      <w:szCs w:val="18"/>
                      <w:lang w:val="en-US" w:eastAsia="zh-CN"/>
                    </w:rPr>
                    <w:t>0.009</w:t>
                  </w:r>
                </w:p>
              </w:tc>
              <w:tc>
                <w:tcPr>
                  <w:tcW w:w="488" w:type="pct"/>
                  <w:tcBorders>
                    <w:tl2br w:val="nil"/>
                    <w:tr2bl w:val="nil"/>
                  </w:tcBorders>
                  <w:vAlign w:val="center"/>
                </w:tcPr>
                <w:p>
                  <w:pPr>
                    <w:pStyle w:val="33"/>
                    <w:rPr>
                      <w:color w:val="0000FF"/>
                      <w:sz w:val="18"/>
                      <w:szCs w:val="18"/>
                      <w:lang w:val="en-US" w:eastAsia="zh-CN"/>
                    </w:rPr>
                  </w:pPr>
                  <w:r>
                    <w:rPr>
                      <w:rFonts w:hint="eastAsia"/>
                      <w:color w:val="0000FF"/>
                      <w:sz w:val="18"/>
                      <w:szCs w:val="18"/>
                      <w:lang w:val="en-US" w:eastAsia="zh-CN"/>
                    </w:rPr>
                    <w:t>0.004</w:t>
                  </w:r>
                </w:p>
              </w:tc>
              <w:tc>
                <w:tcPr>
                  <w:tcW w:w="474" w:type="pct"/>
                  <w:tcBorders>
                    <w:tl2br w:val="nil"/>
                    <w:tr2bl w:val="nil"/>
                  </w:tcBorders>
                  <w:vAlign w:val="center"/>
                </w:tcPr>
                <w:p>
                  <w:pPr>
                    <w:pStyle w:val="33"/>
                    <w:rPr>
                      <w:rFonts w:hint="default"/>
                      <w:color w:val="0000FF"/>
                      <w:sz w:val="18"/>
                      <w:szCs w:val="18"/>
                      <w:lang w:val="en-US" w:eastAsia="zh-CN"/>
                    </w:rPr>
                  </w:pPr>
                  <w:r>
                    <w:rPr>
                      <w:rFonts w:hint="eastAsia"/>
                      <w:color w:val="0000FF"/>
                      <w:sz w:val="18"/>
                      <w:szCs w:val="18"/>
                      <w:lang w:val="en-US" w:eastAsia="zh-CN"/>
                    </w:rPr>
                    <w:t>0.536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0" w:type="pct"/>
                  <w:tcBorders>
                    <w:tl2br w:val="nil"/>
                    <w:tr2bl w:val="nil"/>
                  </w:tcBorders>
                  <w:vAlign w:val="center"/>
                </w:tcPr>
                <w:p>
                  <w:pPr>
                    <w:pStyle w:val="33"/>
                    <w:rPr>
                      <w:sz w:val="18"/>
                      <w:szCs w:val="18"/>
                      <w:lang w:val="en-US" w:eastAsia="zh-CN"/>
                    </w:rPr>
                  </w:pPr>
                  <w:r>
                    <w:rPr>
                      <w:sz w:val="18"/>
                      <w:szCs w:val="18"/>
                      <w:lang w:val="en-US" w:eastAsia="zh-CN"/>
                    </w:rPr>
                    <w:t>EPS线</w:t>
                  </w:r>
                </w:p>
                <w:p>
                  <w:pPr>
                    <w:pStyle w:val="33"/>
                    <w:rPr>
                      <w:sz w:val="18"/>
                      <w:szCs w:val="18"/>
                      <w:lang w:val="en-US" w:eastAsia="zh-CN"/>
                    </w:rPr>
                  </w:pPr>
                  <w:r>
                    <w:rPr>
                      <w:sz w:val="18"/>
                      <w:szCs w:val="18"/>
                      <w:lang w:val="en-US" w:eastAsia="zh-CN"/>
                    </w:rPr>
                    <w:t>条</w:t>
                  </w:r>
                  <w:r>
                    <w:rPr>
                      <w:rFonts w:hint="eastAsia"/>
                      <w:sz w:val="18"/>
                      <w:szCs w:val="18"/>
                      <w:lang w:val="en-US" w:eastAsia="zh-CN"/>
                    </w:rPr>
                    <w:t>混料</w:t>
                  </w:r>
                </w:p>
              </w:tc>
              <w:tc>
                <w:tcPr>
                  <w:tcW w:w="688" w:type="pct"/>
                  <w:vMerge w:val="restar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有组织（DA002）</w:t>
                  </w:r>
                </w:p>
              </w:tc>
              <w:tc>
                <w:tcPr>
                  <w:tcW w:w="474" w:type="pct"/>
                  <w:vMerge w:val="restar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粉尘</w:t>
                  </w:r>
                </w:p>
              </w:tc>
              <w:tc>
                <w:tcPr>
                  <w:tcW w:w="517" w:type="pc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0.209</w:t>
                  </w:r>
                </w:p>
              </w:tc>
              <w:tc>
                <w:tcPr>
                  <w:tcW w:w="810" w:type="pct"/>
                  <w:vMerge w:val="restar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集气罩+布袋除尘器+15m排气筒</w:t>
                  </w:r>
                </w:p>
              </w:tc>
              <w:tc>
                <w:tcPr>
                  <w:tcW w:w="406" w:type="pct"/>
                  <w:vMerge w:val="restar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99</w:t>
                  </w:r>
                </w:p>
              </w:tc>
              <w:tc>
                <w:tcPr>
                  <w:tcW w:w="479" w:type="pc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0.0017</w:t>
                  </w:r>
                </w:p>
              </w:tc>
              <w:tc>
                <w:tcPr>
                  <w:tcW w:w="488" w:type="pct"/>
                  <w:tcBorders>
                    <w:tl2br w:val="nil"/>
                    <w:tr2bl w:val="nil"/>
                  </w:tcBorders>
                  <w:vAlign w:val="center"/>
                </w:tcPr>
                <w:p>
                  <w:pPr>
                    <w:pStyle w:val="33"/>
                    <w:rPr>
                      <w:sz w:val="18"/>
                      <w:szCs w:val="18"/>
                      <w:lang w:val="en-US" w:eastAsia="zh-CN"/>
                    </w:rPr>
                  </w:pPr>
                  <w:r>
                    <w:rPr>
                      <w:rFonts w:hint="eastAsia"/>
                      <w:sz w:val="18"/>
                      <w:szCs w:val="18"/>
                      <w:lang w:val="en-US" w:eastAsia="zh-CN"/>
                    </w:rPr>
                    <w:t>0.0008</w:t>
                  </w:r>
                </w:p>
              </w:tc>
              <w:tc>
                <w:tcPr>
                  <w:tcW w:w="474" w:type="pct"/>
                  <w:tcBorders>
                    <w:tl2br w:val="nil"/>
                    <w:tr2bl w:val="nil"/>
                  </w:tcBorders>
                  <w:vAlign w:val="center"/>
                </w:tcPr>
                <w:p>
                  <w:pPr>
                    <w:pStyle w:val="33"/>
                    <w:rPr>
                      <w:sz w:val="18"/>
                      <w:szCs w:val="18"/>
                      <w:lang w:val="en-US" w:eastAsia="zh-CN"/>
                    </w:rPr>
                  </w:pPr>
                  <w:r>
                    <w:rPr>
                      <w:rFonts w:hint="eastAsia"/>
                      <w:sz w:val="18"/>
                      <w:szCs w:val="18"/>
                      <w:lang w:val="en-US" w:eastAsia="zh-CN"/>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0" w:type="pct"/>
                  <w:tcBorders>
                    <w:tl2br w:val="nil"/>
                    <w:tr2bl w:val="nil"/>
                  </w:tcBorders>
                  <w:vAlign w:val="center"/>
                </w:tcPr>
                <w:p>
                  <w:pPr>
                    <w:pStyle w:val="33"/>
                    <w:rPr>
                      <w:sz w:val="18"/>
                      <w:szCs w:val="18"/>
                      <w:lang w:val="en-US" w:eastAsia="zh-CN"/>
                    </w:rPr>
                  </w:pPr>
                  <w:r>
                    <w:rPr>
                      <w:rFonts w:hint="eastAsia"/>
                      <w:sz w:val="18"/>
                      <w:szCs w:val="18"/>
                      <w:lang w:val="en-US" w:eastAsia="zh-CN"/>
                    </w:rPr>
                    <w:t>GRC混料</w:t>
                  </w:r>
                </w:p>
              </w:tc>
              <w:tc>
                <w:tcPr>
                  <w:tcW w:w="688" w:type="pct"/>
                  <w:vMerge w:val="continue"/>
                  <w:tcBorders>
                    <w:tl2br w:val="nil"/>
                    <w:tr2bl w:val="nil"/>
                  </w:tcBorders>
                  <w:vAlign w:val="center"/>
                </w:tcPr>
                <w:p>
                  <w:pPr>
                    <w:pStyle w:val="33"/>
                    <w:rPr>
                      <w:sz w:val="18"/>
                      <w:szCs w:val="18"/>
                      <w:lang w:val="en-US" w:eastAsia="zh-CN"/>
                    </w:rPr>
                  </w:pPr>
                </w:p>
              </w:tc>
              <w:tc>
                <w:tcPr>
                  <w:tcW w:w="474" w:type="pct"/>
                  <w:vMerge w:val="continue"/>
                  <w:tcBorders>
                    <w:tl2br w:val="nil"/>
                    <w:tr2bl w:val="nil"/>
                  </w:tcBorders>
                  <w:vAlign w:val="center"/>
                </w:tcPr>
                <w:p>
                  <w:pPr>
                    <w:pStyle w:val="33"/>
                    <w:rPr>
                      <w:sz w:val="18"/>
                      <w:szCs w:val="18"/>
                      <w:lang w:val="en-US" w:eastAsia="zh-CN"/>
                    </w:rPr>
                  </w:pPr>
                </w:p>
              </w:tc>
              <w:tc>
                <w:tcPr>
                  <w:tcW w:w="517" w:type="pc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0.189</w:t>
                  </w:r>
                </w:p>
              </w:tc>
              <w:tc>
                <w:tcPr>
                  <w:tcW w:w="810" w:type="pct"/>
                  <w:vMerge w:val="continue"/>
                  <w:tcBorders>
                    <w:tl2br w:val="nil"/>
                    <w:tr2bl w:val="nil"/>
                  </w:tcBorders>
                  <w:vAlign w:val="center"/>
                </w:tcPr>
                <w:p>
                  <w:pPr>
                    <w:pStyle w:val="33"/>
                    <w:rPr>
                      <w:sz w:val="18"/>
                      <w:szCs w:val="18"/>
                      <w:lang w:val="en-US" w:eastAsia="zh-CN"/>
                    </w:rPr>
                  </w:pPr>
                </w:p>
              </w:tc>
              <w:tc>
                <w:tcPr>
                  <w:tcW w:w="406" w:type="pct"/>
                  <w:vMerge w:val="continue"/>
                  <w:tcBorders>
                    <w:tl2br w:val="nil"/>
                    <w:tr2bl w:val="nil"/>
                  </w:tcBorders>
                  <w:vAlign w:val="center"/>
                </w:tcPr>
                <w:p>
                  <w:pPr>
                    <w:pStyle w:val="33"/>
                    <w:rPr>
                      <w:sz w:val="18"/>
                      <w:szCs w:val="18"/>
                      <w:lang w:val="en-US" w:eastAsia="zh-CN"/>
                    </w:rPr>
                  </w:pPr>
                </w:p>
              </w:tc>
              <w:tc>
                <w:tcPr>
                  <w:tcW w:w="479" w:type="pct"/>
                  <w:tcBorders>
                    <w:tl2br w:val="nil"/>
                    <w:tr2bl w:val="nil"/>
                  </w:tcBorders>
                  <w:vAlign w:val="center"/>
                </w:tcPr>
                <w:p>
                  <w:pPr>
                    <w:pStyle w:val="33"/>
                    <w:rPr>
                      <w:sz w:val="18"/>
                      <w:szCs w:val="18"/>
                      <w:lang w:val="en-US" w:eastAsia="zh-CN"/>
                    </w:rPr>
                  </w:pPr>
                  <w:r>
                    <w:rPr>
                      <w:rFonts w:hint="eastAsia"/>
                      <w:sz w:val="18"/>
                      <w:szCs w:val="18"/>
                      <w:lang w:val="en-US" w:eastAsia="zh-CN"/>
                    </w:rPr>
                    <w:t>0.0015</w:t>
                  </w:r>
                </w:p>
              </w:tc>
              <w:tc>
                <w:tcPr>
                  <w:tcW w:w="488" w:type="pct"/>
                  <w:tcBorders>
                    <w:tl2br w:val="nil"/>
                    <w:tr2bl w:val="nil"/>
                  </w:tcBorders>
                  <w:vAlign w:val="center"/>
                </w:tcPr>
                <w:p>
                  <w:pPr>
                    <w:pStyle w:val="33"/>
                    <w:rPr>
                      <w:sz w:val="18"/>
                      <w:szCs w:val="18"/>
                      <w:lang w:val="en-US" w:eastAsia="zh-CN"/>
                    </w:rPr>
                  </w:pPr>
                  <w:r>
                    <w:rPr>
                      <w:rFonts w:hint="eastAsia"/>
                      <w:sz w:val="18"/>
                      <w:szCs w:val="18"/>
                      <w:lang w:val="en-US" w:eastAsia="zh-CN"/>
                    </w:rPr>
                    <w:t>0.0007</w:t>
                  </w:r>
                </w:p>
              </w:tc>
              <w:tc>
                <w:tcPr>
                  <w:tcW w:w="474" w:type="pct"/>
                  <w:tcBorders>
                    <w:tl2br w:val="nil"/>
                    <w:tr2bl w:val="nil"/>
                  </w:tcBorders>
                  <w:vAlign w:val="center"/>
                </w:tcPr>
                <w:p>
                  <w:pPr>
                    <w:pStyle w:val="33"/>
                    <w:rPr>
                      <w:sz w:val="18"/>
                      <w:szCs w:val="18"/>
                      <w:lang w:val="en-US" w:eastAsia="zh-CN"/>
                    </w:rPr>
                  </w:pPr>
                  <w:r>
                    <w:rPr>
                      <w:rFonts w:hint="eastAsia"/>
                      <w:sz w:val="18"/>
                      <w:szCs w:val="18"/>
                      <w:lang w:val="en-US" w:eastAsia="zh-CN"/>
                    </w:rPr>
                    <w:t>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0" w:type="pct"/>
                  <w:tcBorders>
                    <w:tl2br w:val="nil"/>
                    <w:tr2bl w:val="nil"/>
                  </w:tcBorders>
                  <w:vAlign w:val="center"/>
                </w:tcPr>
                <w:p>
                  <w:pPr>
                    <w:pStyle w:val="33"/>
                    <w:rPr>
                      <w:sz w:val="18"/>
                      <w:szCs w:val="18"/>
                      <w:lang w:val="en-US" w:eastAsia="zh-CN"/>
                    </w:rPr>
                  </w:pPr>
                  <w:r>
                    <w:rPr>
                      <w:rFonts w:hint="eastAsia"/>
                      <w:sz w:val="18"/>
                      <w:szCs w:val="18"/>
                      <w:lang w:val="en-US" w:eastAsia="zh-CN"/>
                    </w:rPr>
                    <w:t>装卸粉尘</w:t>
                  </w:r>
                </w:p>
              </w:tc>
              <w:tc>
                <w:tcPr>
                  <w:tcW w:w="688" w:type="pct"/>
                  <w:vMerge w:val="restart"/>
                  <w:tcBorders>
                    <w:tl2br w:val="nil"/>
                    <w:tr2bl w:val="nil"/>
                  </w:tcBorders>
                  <w:vAlign w:val="center"/>
                </w:tcPr>
                <w:p>
                  <w:pPr>
                    <w:pStyle w:val="33"/>
                    <w:rPr>
                      <w:sz w:val="18"/>
                      <w:szCs w:val="18"/>
                      <w:lang w:val="en-US" w:eastAsia="zh-CN"/>
                    </w:rPr>
                  </w:pPr>
                  <w:r>
                    <w:rPr>
                      <w:rFonts w:hint="eastAsia"/>
                      <w:sz w:val="18"/>
                      <w:szCs w:val="18"/>
                      <w:lang w:val="en-US" w:eastAsia="zh-CN"/>
                    </w:rPr>
                    <w:t>无组织</w:t>
                  </w:r>
                </w:p>
              </w:tc>
              <w:tc>
                <w:tcPr>
                  <w:tcW w:w="474" w:type="pct"/>
                  <w:vMerge w:val="restart"/>
                  <w:tcBorders>
                    <w:tl2br w:val="nil"/>
                    <w:tr2bl w:val="nil"/>
                  </w:tcBorders>
                  <w:vAlign w:val="center"/>
                </w:tcPr>
                <w:p>
                  <w:pPr>
                    <w:pStyle w:val="33"/>
                    <w:rPr>
                      <w:sz w:val="18"/>
                      <w:szCs w:val="18"/>
                      <w:lang w:val="en-US" w:eastAsia="zh-CN"/>
                    </w:rPr>
                  </w:pPr>
                  <w:r>
                    <w:rPr>
                      <w:rFonts w:hint="eastAsia"/>
                      <w:sz w:val="18"/>
                      <w:szCs w:val="18"/>
                      <w:lang w:val="en-US" w:eastAsia="zh-CN"/>
                    </w:rPr>
                    <w:t>粉尘</w:t>
                  </w:r>
                </w:p>
              </w:tc>
              <w:tc>
                <w:tcPr>
                  <w:tcW w:w="517" w:type="pct"/>
                  <w:tcBorders>
                    <w:top w:val="single" w:color="000000" w:sz="4" w:space="0"/>
                    <w:bottom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0.028</w:t>
                  </w:r>
                </w:p>
              </w:tc>
              <w:tc>
                <w:tcPr>
                  <w:tcW w:w="810" w:type="pct"/>
                  <w:vMerge w:val="restar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洒水降尘、厂房密闭</w:t>
                  </w:r>
                </w:p>
              </w:tc>
              <w:tc>
                <w:tcPr>
                  <w:tcW w:w="406" w:type="pct"/>
                  <w:tcBorders>
                    <w:top w:val="single" w:color="000000" w:sz="4" w:space="0"/>
                    <w:bottom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70</w:t>
                  </w:r>
                </w:p>
              </w:tc>
              <w:tc>
                <w:tcPr>
                  <w:tcW w:w="479" w:type="pct"/>
                  <w:tcBorders>
                    <w:top w:val="single" w:color="000000" w:sz="4" w:space="0"/>
                    <w:bottom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0.009</w:t>
                  </w:r>
                </w:p>
              </w:tc>
              <w:tc>
                <w:tcPr>
                  <w:tcW w:w="488" w:type="pct"/>
                  <w:tcBorders>
                    <w:tl2br w:val="nil"/>
                    <w:tr2bl w:val="nil"/>
                  </w:tcBorders>
                  <w:vAlign w:val="center"/>
                </w:tcPr>
                <w:p>
                  <w:pPr>
                    <w:pStyle w:val="33"/>
                    <w:rPr>
                      <w:sz w:val="18"/>
                      <w:szCs w:val="18"/>
                      <w:lang w:val="en-US" w:eastAsia="zh-CN"/>
                    </w:rPr>
                  </w:pPr>
                  <w:r>
                    <w:rPr>
                      <w:rFonts w:hint="eastAsia"/>
                      <w:sz w:val="18"/>
                      <w:szCs w:val="18"/>
                      <w:lang w:val="en-US" w:eastAsia="zh-CN"/>
                    </w:rPr>
                    <w:t>0.004</w:t>
                  </w:r>
                </w:p>
              </w:tc>
              <w:tc>
                <w:tcPr>
                  <w:tcW w:w="474" w:type="pct"/>
                  <w:tcBorders>
                    <w:tl2br w:val="nil"/>
                    <w:tr2bl w:val="nil"/>
                  </w:tcBorders>
                  <w:vAlign w:val="center"/>
                </w:tcPr>
                <w:p>
                  <w:pPr>
                    <w:pStyle w:val="33"/>
                    <w:rPr>
                      <w:sz w:val="18"/>
                      <w:szCs w:val="18"/>
                      <w:lang w:val="en-US" w:eastAsia="zh-CN"/>
                    </w:rPr>
                  </w:pPr>
                  <w:r>
                    <w:rPr>
                      <w:rFonts w:hint="eastAsia"/>
                      <w:sz w:val="18"/>
                      <w:szCs w:val="18"/>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0" w:type="pct"/>
                  <w:tcBorders>
                    <w:tl2br w:val="nil"/>
                    <w:tr2bl w:val="nil"/>
                  </w:tcBorders>
                  <w:vAlign w:val="center"/>
                </w:tcPr>
                <w:p>
                  <w:pPr>
                    <w:pStyle w:val="33"/>
                    <w:rPr>
                      <w:sz w:val="18"/>
                      <w:szCs w:val="18"/>
                      <w:lang w:val="en-US" w:eastAsia="zh-CN"/>
                    </w:rPr>
                  </w:pPr>
                  <w:r>
                    <w:rPr>
                      <w:rFonts w:hint="eastAsia"/>
                      <w:sz w:val="18"/>
                      <w:szCs w:val="18"/>
                      <w:lang w:val="en-US" w:eastAsia="zh-CN"/>
                    </w:rPr>
                    <w:t>混料</w:t>
                  </w:r>
                </w:p>
              </w:tc>
              <w:tc>
                <w:tcPr>
                  <w:tcW w:w="688" w:type="pct"/>
                  <w:vMerge w:val="continue"/>
                  <w:tcBorders>
                    <w:tl2br w:val="nil"/>
                    <w:tr2bl w:val="nil"/>
                  </w:tcBorders>
                  <w:vAlign w:val="center"/>
                </w:tcPr>
                <w:p>
                  <w:pPr>
                    <w:pStyle w:val="33"/>
                    <w:rPr>
                      <w:sz w:val="18"/>
                      <w:szCs w:val="18"/>
                      <w:lang w:val="en-US" w:eastAsia="zh-CN"/>
                    </w:rPr>
                  </w:pPr>
                </w:p>
              </w:tc>
              <w:tc>
                <w:tcPr>
                  <w:tcW w:w="474" w:type="pct"/>
                  <w:vMerge w:val="continue"/>
                  <w:tcBorders>
                    <w:tl2br w:val="nil"/>
                    <w:tr2bl w:val="nil"/>
                  </w:tcBorders>
                  <w:vAlign w:val="center"/>
                </w:tcPr>
                <w:p>
                  <w:pPr>
                    <w:pStyle w:val="33"/>
                    <w:rPr>
                      <w:sz w:val="18"/>
                      <w:szCs w:val="18"/>
                      <w:lang w:val="en-US" w:eastAsia="zh-CN"/>
                    </w:rPr>
                  </w:pPr>
                </w:p>
              </w:tc>
              <w:tc>
                <w:tcPr>
                  <w:tcW w:w="517" w:type="pct"/>
                  <w:tcBorders>
                    <w:top w:val="single" w:color="000000" w:sz="4" w:space="0"/>
                    <w:bottom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0.0796</w:t>
                  </w:r>
                </w:p>
              </w:tc>
              <w:tc>
                <w:tcPr>
                  <w:tcW w:w="810" w:type="pct"/>
                  <w:vMerge w:val="continue"/>
                  <w:tcBorders>
                    <w:bottom w:val="single" w:color="000000" w:sz="4" w:space="0"/>
                    <w:tl2br w:val="nil"/>
                    <w:tr2bl w:val="nil"/>
                  </w:tcBorders>
                  <w:vAlign w:val="center"/>
                </w:tcPr>
                <w:p>
                  <w:pPr>
                    <w:pStyle w:val="33"/>
                    <w:rPr>
                      <w:sz w:val="18"/>
                      <w:szCs w:val="18"/>
                      <w:lang w:val="en-US" w:eastAsia="zh-CN"/>
                    </w:rPr>
                  </w:pPr>
                </w:p>
              </w:tc>
              <w:tc>
                <w:tcPr>
                  <w:tcW w:w="406" w:type="pct"/>
                  <w:tcBorders>
                    <w:top w:val="single" w:color="000000" w:sz="4" w:space="0"/>
                    <w:bottom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70</w:t>
                  </w:r>
                </w:p>
              </w:tc>
              <w:tc>
                <w:tcPr>
                  <w:tcW w:w="479" w:type="pct"/>
                  <w:tcBorders>
                    <w:top w:val="single" w:color="000000" w:sz="4" w:space="0"/>
                    <w:bottom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0.0239</w:t>
                  </w:r>
                </w:p>
              </w:tc>
              <w:tc>
                <w:tcPr>
                  <w:tcW w:w="488" w:type="pct"/>
                  <w:tcBorders>
                    <w:tl2br w:val="nil"/>
                    <w:tr2bl w:val="nil"/>
                  </w:tcBorders>
                  <w:vAlign w:val="center"/>
                </w:tcPr>
                <w:p>
                  <w:pPr>
                    <w:pStyle w:val="33"/>
                    <w:rPr>
                      <w:sz w:val="18"/>
                      <w:szCs w:val="18"/>
                      <w:lang w:val="en-US" w:eastAsia="zh-CN"/>
                    </w:rPr>
                  </w:pPr>
                  <w:r>
                    <w:rPr>
                      <w:rFonts w:hint="eastAsia"/>
                      <w:sz w:val="18"/>
                      <w:szCs w:val="18"/>
                      <w:lang w:val="en-US" w:eastAsia="zh-CN"/>
                    </w:rPr>
                    <w:t>0.0114</w:t>
                  </w:r>
                </w:p>
              </w:tc>
              <w:tc>
                <w:tcPr>
                  <w:tcW w:w="474" w:type="pct"/>
                  <w:tcBorders>
                    <w:tl2br w:val="nil"/>
                    <w:tr2bl w:val="nil"/>
                  </w:tcBorders>
                  <w:vAlign w:val="center"/>
                </w:tcPr>
                <w:p>
                  <w:pPr>
                    <w:pStyle w:val="33"/>
                    <w:rPr>
                      <w:sz w:val="18"/>
                      <w:szCs w:val="18"/>
                      <w:lang w:val="en-US" w:eastAsia="zh-CN"/>
                    </w:rPr>
                  </w:pPr>
                  <w:r>
                    <w:rPr>
                      <w:rFonts w:hint="eastAsia"/>
                      <w:sz w:val="18"/>
                      <w:szCs w:val="18"/>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0" w:type="pct"/>
                  <w:tcBorders>
                    <w:tl2br w:val="nil"/>
                    <w:tr2bl w:val="nil"/>
                  </w:tcBorders>
                  <w:vAlign w:val="center"/>
                </w:tcPr>
                <w:p>
                  <w:pPr>
                    <w:pStyle w:val="33"/>
                    <w:rPr>
                      <w:color w:val="0000FF"/>
                      <w:sz w:val="18"/>
                      <w:szCs w:val="18"/>
                      <w:lang w:val="en-US" w:eastAsia="zh-CN"/>
                    </w:rPr>
                  </w:pPr>
                  <w:r>
                    <w:rPr>
                      <w:color w:val="0000FF"/>
                      <w:sz w:val="18"/>
                      <w:szCs w:val="18"/>
                      <w:lang w:val="en-US" w:eastAsia="zh-CN"/>
                    </w:rPr>
                    <w:t>EPS线</w:t>
                  </w:r>
                </w:p>
                <w:p>
                  <w:pPr>
                    <w:pStyle w:val="33"/>
                    <w:rPr>
                      <w:color w:val="0000FF"/>
                      <w:sz w:val="18"/>
                      <w:szCs w:val="18"/>
                      <w:lang w:val="en-US" w:eastAsia="zh-CN"/>
                    </w:rPr>
                  </w:pPr>
                  <w:r>
                    <w:rPr>
                      <w:color w:val="0000FF"/>
                      <w:sz w:val="18"/>
                      <w:szCs w:val="18"/>
                      <w:lang w:val="en-US" w:eastAsia="zh-CN"/>
                    </w:rPr>
                    <w:t>条切割</w:t>
                  </w:r>
                </w:p>
              </w:tc>
              <w:tc>
                <w:tcPr>
                  <w:tcW w:w="688" w:type="pct"/>
                  <w:vMerge w:val="continue"/>
                  <w:tcBorders>
                    <w:tl2br w:val="nil"/>
                    <w:tr2bl w:val="nil"/>
                  </w:tcBorders>
                  <w:vAlign w:val="center"/>
                </w:tcPr>
                <w:p>
                  <w:pPr>
                    <w:pStyle w:val="33"/>
                    <w:rPr>
                      <w:color w:val="0000FF"/>
                      <w:sz w:val="18"/>
                      <w:szCs w:val="18"/>
                      <w:lang w:val="en-US" w:eastAsia="zh-CN"/>
                    </w:rPr>
                  </w:pPr>
                </w:p>
              </w:tc>
              <w:tc>
                <w:tcPr>
                  <w:tcW w:w="474" w:type="pct"/>
                  <w:vMerge w:val="restart"/>
                  <w:tcBorders>
                    <w:tl2br w:val="nil"/>
                    <w:tr2bl w:val="nil"/>
                  </w:tcBorders>
                  <w:vAlign w:val="center"/>
                </w:tcPr>
                <w:p>
                  <w:pPr>
                    <w:pStyle w:val="33"/>
                    <w:rPr>
                      <w:color w:val="0000FF"/>
                      <w:sz w:val="18"/>
                      <w:szCs w:val="18"/>
                      <w:lang w:val="en-US" w:eastAsia="zh-CN"/>
                    </w:rPr>
                  </w:pPr>
                  <w:r>
                    <w:rPr>
                      <w:rFonts w:hint="eastAsia"/>
                      <w:color w:val="0000FF"/>
                      <w:sz w:val="18"/>
                      <w:szCs w:val="18"/>
                      <w:lang w:val="en-US" w:eastAsia="zh-CN"/>
                    </w:rPr>
                    <w:t>非甲烷总烃</w:t>
                  </w:r>
                </w:p>
              </w:tc>
              <w:tc>
                <w:tcPr>
                  <w:tcW w:w="517" w:type="pct"/>
                  <w:tcBorders>
                    <w:top w:val="single" w:color="000000" w:sz="4" w:space="0"/>
                    <w:bottom w:val="single" w:color="000000" w:sz="4" w:space="0"/>
                    <w:tl2br w:val="nil"/>
                    <w:tr2bl w:val="nil"/>
                  </w:tcBorders>
                  <w:vAlign w:val="center"/>
                </w:tcPr>
                <w:p>
                  <w:pPr>
                    <w:pStyle w:val="33"/>
                    <w:rPr>
                      <w:rFonts w:hint="default"/>
                      <w:color w:val="0000FF"/>
                      <w:sz w:val="18"/>
                      <w:szCs w:val="18"/>
                      <w:lang w:val="en-US" w:eastAsia="zh-CN"/>
                    </w:rPr>
                  </w:pPr>
                  <w:r>
                    <w:rPr>
                      <w:rFonts w:hint="eastAsia"/>
                      <w:color w:val="0000FF"/>
                      <w:sz w:val="18"/>
                      <w:szCs w:val="18"/>
                      <w:lang w:val="en-US" w:eastAsia="zh-CN"/>
                    </w:rPr>
                    <w:t>0.002</w:t>
                  </w:r>
                </w:p>
              </w:tc>
              <w:tc>
                <w:tcPr>
                  <w:tcW w:w="810" w:type="pct"/>
                  <w:tcBorders>
                    <w:top w:val="single" w:color="000000" w:sz="4" w:space="0"/>
                    <w:bottom w:val="single" w:color="000000" w:sz="4" w:space="0"/>
                    <w:tl2br w:val="nil"/>
                    <w:tr2bl w:val="nil"/>
                  </w:tcBorders>
                  <w:vAlign w:val="center"/>
                </w:tcPr>
                <w:p>
                  <w:pPr>
                    <w:pStyle w:val="33"/>
                    <w:rPr>
                      <w:color w:val="0000FF"/>
                      <w:sz w:val="18"/>
                      <w:szCs w:val="18"/>
                      <w:lang w:val="en-US" w:eastAsia="zh-CN"/>
                    </w:rPr>
                  </w:pPr>
                  <w:r>
                    <w:rPr>
                      <w:rFonts w:hint="eastAsia"/>
                      <w:color w:val="0000FF"/>
                      <w:sz w:val="18"/>
                      <w:szCs w:val="18"/>
                      <w:lang w:val="en-US" w:eastAsia="zh-CN"/>
                    </w:rPr>
                    <w:t>/</w:t>
                  </w:r>
                </w:p>
              </w:tc>
              <w:tc>
                <w:tcPr>
                  <w:tcW w:w="406" w:type="pct"/>
                  <w:tcBorders>
                    <w:top w:val="single" w:color="000000" w:sz="4" w:space="0"/>
                    <w:bottom w:val="single" w:color="000000" w:sz="4" w:space="0"/>
                    <w:tl2br w:val="nil"/>
                    <w:tr2bl w:val="nil"/>
                  </w:tcBorders>
                  <w:vAlign w:val="center"/>
                </w:tcPr>
                <w:p>
                  <w:pPr>
                    <w:pStyle w:val="33"/>
                    <w:rPr>
                      <w:color w:val="0000FF"/>
                      <w:sz w:val="18"/>
                      <w:szCs w:val="18"/>
                      <w:lang w:val="en-US" w:eastAsia="zh-CN"/>
                    </w:rPr>
                  </w:pPr>
                  <w:r>
                    <w:rPr>
                      <w:rFonts w:hint="eastAsia"/>
                      <w:color w:val="0000FF"/>
                      <w:sz w:val="18"/>
                      <w:szCs w:val="18"/>
                      <w:lang w:val="en-US" w:eastAsia="zh-CN"/>
                    </w:rPr>
                    <w:t>/</w:t>
                  </w:r>
                </w:p>
              </w:tc>
              <w:tc>
                <w:tcPr>
                  <w:tcW w:w="479" w:type="pct"/>
                  <w:tcBorders>
                    <w:top w:val="single" w:color="000000" w:sz="4" w:space="0"/>
                    <w:bottom w:val="single" w:color="000000" w:sz="4" w:space="0"/>
                    <w:tl2br w:val="nil"/>
                    <w:tr2bl w:val="nil"/>
                  </w:tcBorders>
                  <w:vAlign w:val="center"/>
                </w:tcPr>
                <w:p>
                  <w:pPr>
                    <w:pStyle w:val="33"/>
                    <w:rPr>
                      <w:color w:val="0000FF"/>
                      <w:sz w:val="18"/>
                      <w:szCs w:val="18"/>
                      <w:lang w:val="en-US" w:eastAsia="zh-CN"/>
                    </w:rPr>
                  </w:pPr>
                  <w:r>
                    <w:rPr>
                      <w:rFonts w:hint="eastAsia"/>
                      <w:color w:val="0000FF"/>
                      <w:sz w:val="18"/>
                      <w:szCs w:val="18"/>
                      <w:lang w:val="en-US" w:eastAsia="zh-CN"/>
                    </w:rPr>
                    <w:t>0.002</w:t>
                  </w:r>
                </w:p>
              </w:tc>
              <w:tc>
                <w:tcPr>
                  <w:tcW w:w="488" w:type="pct"/>
                  <w:tcBorders>
                    <w:tl2br w:val="nil"/>
                    <w:tr2bl w:val="nil"/>
                  </w:tcBorders>
                  <w:vAlign w:val="center"/>
                </w:tcPr>
                <w:p>
                  <w:pPr>
                    <w:pStyle w:val="33"/>
                    <w:rPr>
                      <w:rFonts w:hint="default"/>
                      <w:color w:val="0000FF"/>
                      <w:sz w:val="18"/>
                      <w:szCs w:val="18"/>
                      <w:lang w:val="en-US" w:eastAsia="zh-CN"/>
                    </w:rPr>
                  </w:pPr>
                  <w:r>
                    <w:rPr>
                      <w:rFonts w:hint="eastAsia"/>
                      <w:color w:val="0000FF"/>
                      <w:sz w:val="18"/>
                      <w:szCs w:val="18"/>
                      <w:lang w:val="en-US" w:eastAsia="zh-CN"/>
                    </w:rPr>
                    <w:t>0.0094</w:t>
                  </w:r>
                </w:p>
              </w:tc>
              <w:tc>
                <w:tcPr>
                  <w:tcW w:w="474" w:type="pct"/>
                  <w:tcBorders>
                    <w:tl2br w:val="nil"/>
                    <w:tr2bl w:val="nil"/>
                  </w:tcBorders>
                  <w:vAlign w:val="center"/>
                </w:tcPr>
                <w:p>
                  <w:pPr>
                    <w:pStyle w:val="33"/>
                    <w:rPr>
                      <w:sz w:val="18"/>
                      <w:szCs w:val="18"/>
                      <w:lang w:val="en-US" w:eastAsia="zh-CN"/>
                    </w:rPr>
                  </w:pPr>
                  <w:r>
                    <w:rPr>
                      <w:rFonts w:hint="eastAsia"/>
                      <w:sz w:val="18"/>
                      <w:szCs w:val="18"/>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0" w:type="pct"/>
                  <w:tcBorders>
                    <w:tl2br w:val="nil"/>
                    <w:tr2bl w:val="nil"/>
                  </w:tcBorders>
                  <w:vAlign w:val="center"/>
                </w:tcPr>
                <w:p>
                  <w:pPr>
                    <w:pStyle w:val="33"/>
                    <w:rPr>
                      <w:sz w:val="18"/>
                      <w:szCs w:val="18"/>
                      <w:lang w:val="en-US" w:eastAsia="zh-CN"/>
                    </w:rPr>
                  </w:pPr>
                  <w:r>
                    <w:rPr>
                      <w:rFonts w:hint="eastAsia"/>
                      <w:sz w:val="18"/>
                      <w:szCs w:val="18"/>
                      <w:lang w:val="en-US" w:eastAsia="zh-CN"/>
                    </w:rPr>
                    <w:t>乳液挥发</w:t>
                  </w:r>
                </w:p>
              </w:tc>
              <w:tc>
                <w:tcPr>
                  <w:tcW w:w="688" w:type="pct"/>
                  <w:vMerge w:val="continue"/>
                  <w:tcBorders>
                    <w:tl2br w:val="nil"/>
                    <w:tr2bl w:val="nil"/>
                  </w:tcBorders>
                  <w:vAlign w:val="center"/>
                </w:tcPr>
                <w:p>
                  <w:pPr>
                    <w:pStyle w:val="33"/>
                    <w:rPr>
                      <w:sz w:val="18"/>
                      <w:szCs w:val="18"/>
                      <w:lang w:val="en-US" w:eastAsia="zh-CN"/>
                    </w:rPr>
                  </w:pPr>
                </w:p>
              </w:tc>
              <w:tc>
                <w:tcPr>
                  <w:tcW w:w="474" w:type="pct"/>
                  <w:vMerge w:val="continue"/>
                  <w:tcBorders>
                    <w:tl2br w:val="nil"/>
                    <w:tr2bl w:val="nil"/>
                  </w:tcBorders>
                  <w:vAlign w:val="center"/>
                </w:tcPr>
                <w:p>
                  <w:pPr>
                    <w:pStyle w:val="33"/>
                    <w:rPr>
                      <w:sz w:val="18"/>
                      <w:szCs w:val="18"/>
                      <w:lang w:val="en-US" w:eastAsia="zh-CN"/>
                    </w:rPr>
                  </w:pPr>
                </w:p>
              </w:tc>
              <w:tc>
                <w:tcPr>
                  <w:tcW w:w="517" w:type="pc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0.003</w:t>
                  </w:r>
                </w:p>
              </w:tc>
              <w:tc>
                <w:tcPr>
                  <w:tcW w:w="810" w:type="pc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w:t>
                  </w:r>
                </w:p>
              </w:tc>
              <w:tc>
                <w:tcPr>
                  <w:tcW w:w="406" w:type="pc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w:t>
                  </w:r>
                </w:p>
              </w:tc>
              <w:tc>
                <w:tcPr>
                  <w:tcW w:w="479" w:type="pct"/>
                  <w:tcBorders>
                    <w:top w:val="single" w:color="000000" w:sz="4" w:space="0"/>
                    <w:tl2br w:val="nil"/>
                    <w:tr2bl w:val="nil"/>
                  </w:tcBorders>
                  <w:vAlign w:val="center"/>
                </w:tcPr>
                <w:p>
                  <w:pPr>
                    <w:pStyle w:val="33"/>
                    <w:rPr>
                      <w:sz w:val="18"/>
                      <w:szCs w:val="18"/>
                      <w:lang w:val="en-US" w:eastAsia="zh-CN"/>
                    </w:rPr>
                  </w:pPr>
                  <w:r>
                    <w:rPr>
                      <w:rFonts w:hint="eastAsia"/>
                      <w:sz w:val="18"/>
                      <w:szCs w:val="18"/>
                      <w:lang w:val="en-US" w:eastAsia="zh-CN"/>
                    </w:rPr>
                    <w:t>0.003</w:t>
                  </w:r>
                </w:p>
              </w:tc>
              <w:tc>
                <w:tcPr>
                  <w:tcW w:w="488" w:type="pct"/>
                  <w:tcBorders>
                    <w:tl2br w:val="nil"/>
                    <w:tr2bl w:val="nil"/>
                  </w:tcBorders>
                  <w:vAlign w:val="center"/>
                </w:tcPr>
                <w:p>
                  <w:pPr>
                    <w:pStyle w:val="33"/>
                    <w:rPr>
                      <w:sz w:val="18"/>
                      <w:szCs w:val="18"/>
                      <w:lang w:val="en-US" w:eastAsia="zh-CN"/>
                    </w:rPr>
                  </w:pPr>
                  <w:r>
                    <w:rPr>
                      <w:rFonts w:hint="eastAsia"/>
                      <w:sz w:val="18"/>
                      <w:szCs w:val="18"/>
                      <w:lang w:val="en-US" w:eastAsia="zh-CN"/>
                    </w:rPr>
                    <w:t>0.001</w:t>
                  </w:r>
                </w:p>
              </w:tc>
              <w:tc>
                <w:tcPr>
                  <w:tcW w:w="474" w:type="pct"/>
                  <w:tcBorders>
                    <w:tl2br w:val="nil"/>
                    <w:tr2bl w:val="nil"/>
                  </w:tcBorders>
                  <w:vAlign w:val="center"/>
                </w:tcPr>
                <w:p>
                  <w:pPr>
                    <w:pStyle w:val="33"/>
                    <w:rPr>
                      <w:sz w:val="18"/>
                      <w:szCs w:val="18"/>
                      <w:lang w:val="en-US" w:eastAsia="zh-CN"/>
                    </w:rPr>
                  </w:pPr>
                  <w:r>
                    <w:rPr>
                      <w:rFonts w:hint="eastAsia"/>
                      <w:sz w:val="18"/>
                      <w:szCs w:val="18"/>
                      <w:lang w:val="en-US" w:eastAsia="zh-CN"/>
                    </w:rPr>
                    <w:t>/</w:t>
                  </w:r>
                </w:p>
              </w:tc>
            </w:tr>
          </w:tbl>
          <w:p>
            <w:pPr>
              <w:pStyle w:val="6"/>
              <w:numPr>
                <w:ilvl w:val="1"/>
                <w:numId w:val="20"/>
              </w:numPr>
              <w:jc w:val="both"/>
              <w:outlineLvl w:val="2"/>
            </w:pPr>
            <w:r>
              <w:rPr>
                <w:rFonts w:hint="eastAsia"/>
              </w:rPr>
              <w:t>废气治理设施的可行性分析</w:t>
            </w:r>
          </w:p>
          <w:p>
            <w:pPr>
              <w:pStyle w:val="20"/>
              <w:numPr>
                <w:ilvl w:val="0"/>
                <w:numId w:val="22"/>
              </w:numPr>
              <w:ind w:firstLine="480"/>
              <w:jc w:val="both"/>
            </w:pPr>
            <w:r>
              <w:rPr>
                <w:rFonts w:hint="eastAsia"/>
              </w:rPr>
              <w:t xml:space="preserve"> 有组织废气处理工艺的可行性分析</w:t>
            </w:r>
          </w:p>
          <w:p>
            <w:pPr>
              <w:pStyle w:val="20"/>
              <w:ind w:firstLine="480"/>
              <w:jc w:val="both"/>
            </w:pPr>
            <w:r>
              <w:rPr>
                <w:rFonts w:hint="eastAsia"/>
              </w:rPr>
              <w:t>本项目废气主要为粉尘及非甲烷总烃，根据《</w:t>
            </w:r>
            <w:r>
              <w:fldChar w:fldCharType="begin"/>
            </w:r>
            <w:r>
              <w:instrText xml:space="preserve"> HYPERLINK "https://www.eiacloud.com/hpyzs/lawsRegulations/searchDetail?modelName=%E6%8E%92%E6%B1%A1%E5%90%8D%E5%BD%95&amp;id=948cfd6c76e94f1dbc8849d16441e19d" \t "https://www.eiacloud.com/hpyzs/category/_blank" </w:instrText>
            </w:r>
            <w:r>
              <w:fldChar w:fldCharType="separate"/>
            </w:r>
            <w:r>
              <w:rPr>
                <w:rFonts w:hint="eastAsia"/>
              </w:rPr>
              <w:t>排污许可证申请与核发技术规范 总则</w:t>
            </w:r>
            <w:r>
              <w:rPr>
                <w:rFonts w:hint="eastAsia"/>
              </w:rPr>
              <w:fldChar w:fldCharType="end"/>
            </w:r>
            <w:r>
              <w:rPr>
                <w:rFonts w:hint="eastAsia"/>
              </w:rPr>
              <w:t>》（HJ942-2018）《排污单位自行监测技术指南 水泥工业》（</w:t>
            </w:r>
            <w:r>
              <w:t>HJ 848-2017</w:t>
            </w:r>
            <w:r>
              <w:rPr>
                <w:rFonts w:hint="eastAsia"/>
              </w:rPr>
              <w:t>）</w:t>
            </w:r>
            <w:r>
              <w:t>相关规定</w:t>
            </w:r>
            <w:r>
              <w:rPr>
                <w:rFonts w:hint="eastAsia"/>
              </w:rPr>
              <w:t>，项目粉尘设置布袋除尘器对粉尘过滤处理后采用一根15m高排气筒排放，除尘器处理效率为99.7%；非甲烷总烃经UV光氧活性炭一体化处理设施+15m高排气筒排放，处理效率</w:t>
            </w:r>
            <w:r>
              <w:rPr>
                <w:rFonts w:hint="eastAsia"/>
                <w:lang w:val="en-US" w:eastAsia="zh-CN"/>
              </w:rPr>
              <w:t>24</w:t>
            </w:r>
            <w:r>
              <w:rPr>
                <w:rFonts w:hint="eastAsia"/>
              </w:rPr>
              <w:t>%。有组织废气经处理后，满足《水泥工业大气污染物排放标准》（</w:t>
            </w:r>
            <w:r>
              <w:t>GB</w:t>
            </w:r>
            <w:r>
              <w:rPr>
                <w:rFonts w:hint="eastAsia"/>
              </w:rPr>
              <w:t>4915</w:t>
            </w:r>
            <w:r>
              <w:t>-2</w:t>
            </w:r>
            <w:r>
              <w:rPr>
                <w:rFonts w:hint="eastAsia"/>
              </w:rPr>
              <w:t>013）中表2大气污染物特别排放限值（10mg/m³）要求及《大气污染物综合排放标准》（</w:t>
            </w:r>
            <w:r>
              <w:t>GB</w:t>
            </w:r>
            <w:r>
              <w:rPr>
                <w:rFonts w:hint="eastAsia"/>
              </w:rPr>
              <w:t>16297</w:t>
            </w:r>
            <w:r>
              <w:t>-</w:t>
            </w:r>
            <w:r>
              <w:rPr>
                <w:rFonts w:hint="eastAsia"/>
              </w:rPr>
              <w:t>1996）中非甲烷总烃排放限值（120mg/m³）。</w:t>
            </w:r>
          </w:p>
          <w:p>
            <w:pPr>
              <w:pStyle w:val="20"/>
              <w:numPr>
                <w:ilvl w:val="0"/>
                <w:numId w:val="22"/>
              </w:numPr>
              <w:ind w:firstLine="480"/>
              <w:jc w:val="both"/>
            </w:pPr>
            <w:r>
              <w:rPr>
                <w:rFonts w:hint="eastAsia"/>
              </w:rPr>
              <w:t xml:space="preserve"> 无组织废气处理措施的可行性分析</w:t>
            </w:r>
          </w:p>
          <w:p>
            <w:pPr>
              <w:pStyle w:val="20"/>
              <w:ind w:firstLine="480"/>
              <w:jc w:val="both"/>
            </w:pPr>
            <w:r>
              <w:rPr>
                <w:rFonts w:hint="eastAsia"/>
                <w:kern w:val="0"/>
              </w:rPr>
              <w:t>项目区内定期洒水抑尘；严格限制车辆行驶速度；场内运输道路设置水泥硬化；封闭式生产车间；本项目无组织废气采取上述措施后，无组织粉尘排放满足</w:t>
            </w:r>
            <w:r>
              <w:rPr>
                <w:rFonts w:hint="eastAsia"/>
              </w:rPr>
              <w:t>《大气污染物综合排放标准》（</w:t>
            </w:r>
            <w:r>
              <w:t>GB</w:t>
            </w:r>
            <w:r>
              <w:rPr>
                <w:rFonts w:hint="eastAsia"/>
              </w:rPr>
              <w:t>16297</w:t>
            </w:r>
            <w:r>
              <w:t>-</w:t>
            </w:r>
            <w:r>
              <w:rPr>
                <w:rFonts w:hint="eastAsia"/>
              </w:rPr>
              <w:t>1996）无组织排放标准限值（0.5mg/m³），无组织非甲烷总烃排放满足《挥发性有机物无组织排放控制标准》（</w:t>
            </w:r>
            <w:r>
              <w:t>GB</w:t>
            </w:r>
            <w:r>
              <w:rPr>
                <w:rFonts w:hint="eastAsia"/>
              </w:rPr>
              <w:t>37822</w:t>
            </w:r>
            <w:r>
              <w:t>-</w:t>
            </w:r>
            <w:r>
              <w:rPr>
                <w:rFonts w:hint="eastAsia"/>
              </w:rPr>
              <w:t>2019）无组织排放标准限值（10mg/m³）及《大气污染物综合排放标准》（</w:t>
            </w:r>
            <w:r>
              <w:t>GB</w:t>
            </w:r>
            <w:r>
              <w:rPr>
                <w:rFonts w:hint="eastAsia"/>
              </w:rPr>
              <w:t>16297</w:t>
            </w:r>
            <w:r>
              <w:t>-</w:t>
            </w:r>
            <w:r>
              <w:rPr>
                <w:rFonts w:hint="eastAsia"/>
              </w:rPr>
              <w:t>1996）无组织排放标准限值（1.0mg/m³）。</w:t>
            </w:r>
          </w:p>
          <w:p>
            <w:pPr>
              <w:pStyle w:val="20"/>
              <w:ind w:firstLine="480"/>
              <w:jc w:val="both"/>
            </w:pPr>
            <w:r>
              <w:rPr>
                <w:rFonts w:hint="eastAsia"/>
              </w:rPr>
              <w:t>综上，本项目采取的废气治理措施符合《排污单位自行监测技术指南 水泥工业》（</w:t>
            </w:r>
            <w:r>
              <w:t>HJ 848-2017</w:t>
            </w:r>
            <w:r>
              <w:rPr>
                <w:rFonts w:hint="eastAsia"/>
              </w:rPr>
              <w:t>）</w:t>
            </w:r>
            <w:r>
              <w:t>相关规定</w:t>
            </w:r>
            <w:r>
              <w:rPr>
                <w:rFonts w:hint="eastAsia"/>
              </w:rPr>
              <w:t>中的可行技术。</w:t>
            </w:r>
          </w:p>
          <w:p>
            <w:pPr>
              <w:pStyle w:val="6"/>
              <w:jc w:val="both"/>
              <w:outlineLvl w:val="2"/>
            </w:pPr>
            <w:r>
              <w:rPr>
                <w:rFonts w:hint="eastAsia"/>
              </w:rPr>
              <w:t>2.3 排放口设置情况</w:t>
            </w:r>
          </w:p>
          <w:p>
            <w:pPr>
              <w:pStyle w:val="20"/>
              <w:wordWrap w:val="0"/>
              <w:ind w:firstLine="480"/>
              <w:jc w:val="both"/>
              <w:rPr>
                <w:color w:val="0000FF"/>
              </w:rPr>
            </w:pPr>
            <w:r>
              <w:rPr>
                <w:rFonts w:hint="eastAsia"/>
              </w:rPr>
              <w:t>本项目废气共设置2个排放口，项目废气主要为粉尘，非甲烷总烃；有组织</w:t>
            </w:r>
            <w:r>
              <w:rPr>
                <w:rFonts w:hint="eastAsia"/>
                <w:lang w:val="en-US" w:eastAsia="zh-CN"/>
              </w:rPr>
              <w:t>颗粒物</w:t>
            </w:r>
            <w:r>
              <w:rPr>
                <w:rFonts w:hint="eastAsia"/>
              </w:rPr>
              <w:t>经布袋式除尘器处理后达到《水泥工业大气污染物排放标准》（</w:t>
            </w:r>
            <w:r>
              <w:t>GB</w:t>
            </w:r>
            <w:r>
              <w:rPr>
                <w:rFonts w:hint="eastAsia"/>
              </w:rPr>
              <w:t>4915</w:t>
            </w:r>
            <w:r>
              <w:t>-2</w:t>
            </w:r>
            <w:r>
              <w:rPr>
                <w:rFonts w:hint="eastAsia"/>
              </w:rPr>
              <w:t>013）中表2大气污染物特别排放限值</w:t>
            </w:r>
            <w:r>
              <w:rPr>
                <w:rFonts w:hint="eastAsia"/>
                <w:color w:val="0000FF"/>
              </w:rPr>
              <w:t>；非甲烷总烃经UV光氧活性炭一体化处理设施处理</w:t>
            </w:r>
            <w:r>
              <w:rPr>
                <w:rFonts w:hint="eastAsia"/>
                <w:color w:val="0000FF"/>
                <w:lang w:val="en-US" w:eastAsia="zh-CN"/>
              </w:rPr>
              <w:t>后</w:t>
            </w:r>
            <w:r>
              <w:rPr>
                <w:rFonts w:hint="eastAsia"/>
                <w:color w:val="0000FF"/>
              </w:rPr>
              <w:t>，非甲烷总烃排放浓度满足《大气污染物综合排放标准》（</w:t>
            </w:r>
            <w:r>
              <w:rPr>
                <w:color w:val="0000FF"/>
              </w:rPr>
              <w:t>GB</w:t>
            </w:r>
            <w:r>
              <w:rPr>
                <w:rFonts w:hint="eastAsia"/>
                <w:color w:val="0000FF"/>
              </w:rPr>
              <w:t>16297</w:t>
            </w:r>
            <w:r>
              <w:rPr>
                <w:color w:val="0000FF"/>
              </w:rPr>
              <w:t>-</w:t>
            </w:r>
            <w:r>
              <w:rPr>
                <w:rFonts w:hint="eastAsia"/>
                <w:color w:val="0000FF"/>
              </w:rPr>
              <w:t>1996）排放标准限值（</w:t>
            </w:r>
            <w:r>
              <w:rPr>
                <w:rFonts w:hint="eastAsia"/>
                <w:color w:val="0000FF"/>
                <w:lang w:val="en-US" w:eastAsia="zh-CN"/>
              </w:rPr>
              <w:t>120</w:t>
            </w:r>
            <w:r>
              <w:rPr>
                <w:rFonts w:hint="eastAsia"/>
                <w:color w:val="0000FF"/>
              </w:rPr>
              <w:t>mg/m³）。本项目废气治理设施情况见表4-8。</w:t>
            </w:r>
          </w:p>
          <w:p>
            <w:pPr>
              <w:pStyle w:val="32"/>
            </w:pPr>
            <w:r>
              <w:rPr>
                <w:rFonts w:hint="eastAsia"/>
              </w:rPr>
              <w:t>表4-8    废气类别、污染物及污染治理设施一览表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761"/>
              <w:gridCol w:w="977"/>
              <w:gridCol w:w="1199"/>
              <w:gridCol w:w="874"/>
              <w:gridCol w:w="1284"/>
              <w:gridCol w:w="8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restart"/>
                  <w:vAlign w:val="center"/>
                </w:tcPr>
                <w:p>
                  <w:pPr>
                    <w:pStyle w:val="33"/>
                    <w:widowControl w:val="0"/>
                    <w:rPr>
                      <w:b/>
                      <w:bCs/>
                      <w:lang w:val="en-US" w:eastAsia="zh-CN"/>
                    </w:rPr>
                  </w:pPr>
                  <w:r>
                    <w:rPr>
                      <w:b/>
                      <w:bCs/>
                      <w:lang w:val="en-US" w:eastAsia="zh-CN"/>
                    </w:rPr>
                    <w:t>污染源类别</w:t>
                  </w:r>
                </w:p>
              </w:tc>
              <w:tc>
                <w:tcPr>
                  <w:tcW w:w="1118" w:type="pct"/>
                  <w:vMerge w:val="restart"/>
                  <w:vAlign w:val="center"/>
                </w:tcPr>
                <w:p>
                  <w:pPr>
                    <w:pStyle w:val="33"/>
                    <w:widowControl w:val="0"/>
                    <w:rPr>
                      <w:b/>
                      <w:bCs/>
                      <w:lang w:val="en-US" w:eastAsia="zh-CN"/>
                    </w:rPr>
                  </w:pPr>
                  <w:r>
                    <w:rPr>
                      <w:b/>
                      <w:bCs/>
                      <w:lang w:val="en-US" w:eastAsia="zh-CN"/>
                    </w:rPr>
                    <w:t>排放口名称</w:t>
                  </w:r>
                </w:p>
                <w:p>
                  <w:pPr>
                    <w:pStyle w:val="33"/>
                    <w:widowControl w:val="0"/>
                    <w:rPr>
                      <w:b/>
                      <w:bCs/>
                      <w:lang w:val="en-US" w:eastAsia="zh-CN"/>
                    </w:rPr>
                  </w:pPr>
                  <w:r>
                    <w:rPr>
                      <w:b/>
                      <w:bCs/>
                      <w:lang w:val="en-US" w:eastAsia="zh-CN"/>
                    </w:rPr>
                    <w:t>及编号</w:t>
                  </w:r>
                </w:p>
              </w:tc>
              <w:tc>
                <w:tcPr>
                  <w:tcW w:w="3311" w:type="pct"/>
                  <w:gridSpan w:val="5"/>
                  <w:tcBorders>
                    <w:bottom w:val="single" w:color="auto" w:sz="4" w:space="0"/>
                  </w:tcBorders>
                  <w:vAlign w:val="center"/>
                </w:tcPr>
                <w:p>
                  <w:pPr>
                    <w:pStyle w:val="33"/>
                    <w:widowControl w:val="0"/>
                    <w:rPr>
                      <w:b/>
                      <w:bCs/>
                      <w:lang w:val="en-US" w:eastAsia="zh-CN"/>
                    </w:rPr>
                  </w:pPr>
                  <w:r>
                    <w:rPr>
                      <w:b/>
                      <w:bCs/>
                      <w:lang w:val="en-US" w:eastAsia="zh-CN"/>
                    </w:rPr>
                    <w:t>排放口基本情况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bottom w:val="single" w:color="auto" w:sz="12" w:space="0"/>
                  </w:tcBorders>
                  <w:vAlign w:val="center"/>
                </w:tcPr>
                <w:p>
                  <w:pPr>
                    <w:pStyle w:val="33"/>
                    <w:widowControl w:val="0"/>
                    <w:rPr>
                      <w:b/>
                      <w:bCs/>
                      <w:lang w:val="en-US" w:eastAsia="zh-CN"/>
                    </w:rPr>
                  </w:pPr>
                </w:p>
              </w:tc>
              <w:tc>
                <w:tcPr>
                  <w:tcW w:w="1118" w:type="pct"/>
                  <w:vMerge w:val="continue"/>
                  <w:tcBorders>
                    <w:bottom w:val="single" w:color="auto" w:sz="12" w:space="0"/>
                  </w:tcBorders>
                  <w:vAlign w:val="center"/>
                </w:tcPr>
                <w:p>
                  <w:pPr>
                    <w:pStyle w:val="33"/>
                    <w:widowControl w:val="0"/>
                    <w:rPr>
                      <w:b/>
                      <w:bCs/>
                      <w:lang w:val="en-US" w:eastAsia="zh-CN"/>
                    </w:rPr>
                  </w:pPr>
                </w:p>
              </w:tc>
              <w:tc>
                <w:tcPr>
                  <w:tcW w:w="621" w:type="pct"/>
                  <w:tcBorders>
                    <w:top w:val="single" w:color="auto" w:sz="4" w:space="0"/>
                    <w:bottom w:val="single" w:color="auto" w:sz="12" w:space="0"/>
                  </w:tcBorders>
                  <w:vAlign w:val="center"/>
                </w:tcPr>
                <w:p>
                  <w:pPr>
                    <w:pStyle w:val="33"/>
                    <w:widowControl w:val="0"/>
                    <w:rPr>
                      <w:b/>
                      <w:bCs/>
                      <w:lang w:val="en-US" w:eastAsia="zh-CN"/>
                    </w:rPr>
                  </w:pPr>
                  <w:r>
                    <w:rPr>
                      <w:b/>
                      <w:bCs/>
                      <w:lang w:val="en-US" w:eastAsia="zh-CN"/>
                    </w:rPr>
                    <w:t>排气筒高度(m)</w:t>
                  </w:r>
                </w:p>
              </w:tc>
              <w:tc>
                <w:tcPr>
                  <w:tcW w:w="762" w:type="pct"/>
                  <w:tcBorders>
                    <w:top w:val="single" w:color="auto" w:sz="4" w:space="0"/>
                    <w:bottom w:val="single" w:color="auto" w:sz="12" w:space="0"/>
                  </w:tcBorders>
                  <w:vAlign w:val="center"/>
                </w:tcPr>
                <w:p>
                  <w:pPr>
                    <w:pStyle w:val="33"/>
                    <w:widowControl w:val="0"/>
                    <w:rPr>
                      <w:b/>
                      <w:bCs/>
                      <w:lang w:val="en-US" w:eastAsia="zh-CN"/>
                    </w:rPr>
                  </w:pPr>
                  <w:r>
                    <w:rPr>
                      <w:b/>
                      <w:bCs/>
                      <w:lang w:val="en-US" w:eastAsia="zh-CN"/>
                    </w:rPr>
                    <w:t>排气筒出口内经(m)</w:t>
                  </w:r>
                </w:p>
              </w:tc>
              <w:tc>
                <w:tcPr>
                  <w:tcW w:w="555" w:type="pct"/>
                  <w:tcBorders>
                    <w:top w:val="single" w:color="auto" w:sz="4" w:space="0"/>
                    <w:bottom w:val="single" w:color="auto" w:sz="12" w:space="0"/>
                  </w:tcBorders>
                  <w:vAlign w:val="center"/>
                </w:tcPr>
                <w:p>
                  <w:pPr>
                    <w:pStyle w:val="33"/>
                    <w:widowControl w:val="0"/>
                    <w:rPr>
                      <w:b/>
                      <w:bCs/>
                      <w:lang w:val="en-US" w:eastAsia="zh-CN"/>
                    </w:rPr>
                  </w:pPr>
                  <w:r>
                    <w:rPr>
                      <w:b/>
                      <w:bCs/>
                      <w:lang w:val="en-US" w:eastAsia="zh-CN"/>
                    </w:rPr>
                    <w:t>烟气温度(℃)</w:t>
                  </w:r>
                </w:p>
              </w:tc>
              <w:tc>
                <w:tcPr>
                  <w:tcW w:w="816" w:type="pct"/>
                  <w:tcBorders>
                    <w:top w:val="single" w:color="auto" w:sz="4" w:space="0"/>
                    <w:bottom w:val="single" w:color="auto" w:sz="12" w:space="0"/>
                  </w:tcBorders>
                  <w:vAlign w:val="center"/>
                </w:tcPr>
                <w:p>
                  <w:pPr>
                    <w:pStyle w:val="33"/>
                    <w:widowControl w:val="0"/>
                    <w:rPr>
                      <w:b/>
                      <w:bCs/>
                      <w:lang w:val="en-US" w:eastAsia="zh-CN"/>
                    </w:rPr>
                  </w:pPr>
                  <w:r>
                    <w:rPr>
                      <w:b/>
                      <w:bCs/>
                      <w:lang w:val="en-US" w:eastAsia="zh-CN"/>
                    </w:rPr>
                    <w:t>坐标</w:t>
                  </w:r>
                </w:p>
              </w:tc>
              <w:tc>
                <w:tcPr>
                  <w:tcW w:w="555" w:type="pct"/>
                  <w:tcBorders>
                    <w:top w:val="single" w:color="auto" w:sz="4" w:space="0"/>
                    <w:bottom w:val="single" w:color="auto" w:sz="12" w:space="0"/>
                  </w:tcBorders>
                  <w:vAlign w:val="center"/>
                </w:tcPr>
                <w:p>
                  <w:pPr>
                    <w:pStyle w:val="33"/>
                    <w:widowControl w:val="0"/>
                    <w:rPr>
                      <w:b/>
                      <w:bCs/>
                      <w:lang w:val="en-US" w:eastAsia="zh-CN"/>
                    </w:rPr>
                  </w:pPr>
                  <w:r>
                    <w:rPr>
                      <w:b/>
                      <w:bCs/>
                      <w:lang w:val="en-US" w:eastAsia="zh-CN"/>
                    </w:rPr>
                    <w:t>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restart"/>
                  <w:tcBorders>
                    <w:top w:val="single" w:color="auto" w:sz="12" w:space="0"/>
                  </w:tcBorders>
                  <w:vAlign w:val="center"/>
                </w:tcPr>
                <w:p>
                  <w:pPr>
                    <w:pStyle w:val="33"/>
                    <w:widowControl w:val="0"/>
                    <w:rPr>
                      <w:lang w:val="en-US" w:eastAsia="zh-CN"/>
                    </w:rPr>
                  </w:pPr>
                  <w:r>
                    <w:rPr>
                      <w:rFonts w:hint="eastAsia"/>
                      <w:lang w:val="en-US" w:eastAsia="zh-CN"/>
                    </w:rPr>
                    <w:t>有组织</w:t>
                  </w:r>
                </w:p>
              </w:tc>
              <w:tc>
                <w:tcPr>
                  <w:tcW w:w="1118" w:type="pct"/>
                  <w:tcBorders>
                    <w:top w:val="single" w:color="auto" w:sz="12" w:space="0"/>
                    <w:bottom w:val="single" w:color="auto" w:sz="4" w:space="0"/>
                  </w:tcBorders>
                  <w:vAlign w:val="center"/>
                </w:tcPr>
                <w:p>
                  <w:pPr>
                    <w:pStyle w:val="33"/>
                    <w:widowControl w:val="0"/>
                    <w:rPr>
                      <w:lang w:val="en-US" w:eastAsia="zh-CN"/>
                    </w:rPr>
                  </w:pPr>
                  <w:r>
                    <w:rPr>
                      <w:rFonts w:hint="eastAsia"/>
                      <w:lang w:val="en-US" w:eastAsia="zh-CN"/>
                    </w:rPr>
                    <w:t>粉尘废气排放口DA001</w:t>
                  </w:r>
                </w:p>
              </w:tc>
              <w:tc>
                <w:tcPr>
                  <w:tcW w:w="621" w:type="pct"/>
                  <w:tcBorders>
                    <w:top w:val="single" w:color="auto" w:sz="12" w:space="0"/>
                    <w:bottom w:val="single" w:color="auto" w:sz="4" w:space="0"/>
                  </w:tcBorders>
                  <w:vAlign w:val="center"/>
                </w:tcPr>
                <w:p>
                  <w:pPr>
                    <w:pStyle w:val="33"/>
                    <w:widowControl w:val="0"/>
                    <w:rPr>
                      <w:lang w:val="en-US" w:eastAsia="zh-CN"/>
                    </w:rPr>
                  </w:pPr>
                  <w:r>
                    <w:rPr>
                      <w:rFonts w:hint="eastAsia"/>
                      <w:lang w:val="en-US" w:eastAsia="zh-CN"/>
                    </w:rPr>
                    <w:t>15</w:t>
                  </w:r>
                </w:p>
              </w:tc>
              <w:tc>
                <w:tcPr>
                  <w:tcW w:w="762" w:type="pct"/>
                  <w:tcBorders>
                    <w:top w:val="single" w:color="auto" w:sz="12" w:space="0"/>
                    <w:bottom w:val="single" w:color="auto" w:sz="4" w:space="0"/>
                  </w:tcBorders>
                  <w:vAlign w:val="center"/>
                </w:tcPr>
                <w:p>
                  <w:pPr>
                    <w:pStyle w:val="33"/>
                    <w:widowControl w:val="0"/>
                    <w:rPr>
                      <w:lang w:val="en-US" w:eastAsia="zh-CN"/>
                    </w:rPr>
                  </w:pPr>
                  <w:r>
                    <w:rPr>
                      <w:rFonts w:hint="eastAsia"/>
                      <w:lang w:val="en-US" w:eastAsia="zh-CN"/>
                    </w:rPr>
                    <w:t>0.3</w:t>
                  </w:r>
                </w:p>
              </w:tc>
              <w:tc>
                <w:tcPr>
                  <w:tcW w:w="555" w:type="pct"/>
                  <w:tcBorders>
                    <w:top w:val="single" w:color="auto" w:sz="12" w:space="0"/>
                    <w:bottom w:val="single" w:color="auto" w:sz="4" w:space="0"/>
                  </w:tcBorders>
                  <w:vAlign w:val="center"/>
                </w:tcPr>
                <w:p>
                  <w:pPr>
                    <w:pStyle w:val="33"/>
                    <w:widowControl w:val="0"/>
                    <w:rPr>
                      <w:lang w:val="en-US" w:eastAsia="zh-CN"/>
                    </w:rPr>
                  </w:pPr>
                  <w:r>
                    <w:rPr>
                      <w:rFonts w:hint="eastAsia"/>
                      <w:lang w:val="en-US" w:eastAsia="zh-CN"/>
                    </w:rPr>
                    <w:t>15</w:t>
                  </w:r>
                </w:p>
              </w:tc>
              <w:tc>
                <w:tcPr>
                  <w:tcW w:w="816" w:type="pct"/>
                  <w:tcBorders>
                    <w:top w:val="single" w:color="auto" w:sz="12" w:space="0"/>
                    <w:bottom w:val="single" w:color="auto" w:sz="4" w:space="0"/>
                  </w:tcBorders>
                  <w:vAlign w:val="center"/>
                </w:tcPr>
                <w:p>
                  <w:pPr>
                    <w:pStyle w:val="33"/>
                    <w:widowControl w:val="0"/>
                  </w:pPr>
                  <w:r>
                    <w:rPr>
                      <w:lang w:val="en-US" w:eastAsia="zh-CN"/>
                    </w:rPr>
                    <w:t>E87.137164</w:t>
                  </w:r>
                </w:p>
                <w:p>
                  <w:pPr>
                    <w:pStyle w:val="33"/>
                    <w:widowControl w:val="0"/>
                    <w:rPr>
                      <w:lang w:val="en-US" w:eastAsia="zh-CN"/>
                    </w:rPr>
                  </w:pPr>
                  <w:r>
                    <w:rPr>
                      <w:lang w:val="en-US" w:eastAsia="zh-CN"/>
                    </w:rPr>
                    <w:t>N</w:t>
                  </w:r>
                  <w:r>
                    <w:t>44.090293</w:t>
                  </w:r>
                </w:p>
              </w:tc>
              <w:tc>
                <w:tcPr>
                  <w:tcW w:w="555" w:type="pct"/>
                  <w:vMerge w:val="restart"/>
                  <w:tcBorders>
                    <w:top w:val="single" w:color="auto" w:sz="12" w:space="0"/>
                  </w:tcBorders>
                  <w:vAlign w:val="center"/>
                </w:tcPr>
                <w:p>
                  <w:pPr>
                    <w:pStyle w:val="33"/>
                    <w:widowControl w:val="0"/>
                    <w:rPr>
                      <w:lang w:val="en-US" w:eastAsia="zh-CN"/>
                    </w:rPr>
                  </w:pPr>
                  <w:r>
                    <w:rPr>
                      <w:rFonts w:hint="eastAsia"/>
                      <w:lang w:val="en-US" w:eastAsia="zh-CN"/>
                    </w:rPr>
                    <w:t>一般排放口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vAlign w:val="center"/>
                </w:tcPr>
                <w:p>
                  <w:pPr>
                    <w:pStyle w:val="33"/>
                    <w:widowControl w:val="0"/>
                    <w:rPr>
                      <w:lang w:val="en-US" w:eastAsia="zh-CN"/>
                    </w:rPr>
                  </w:pPr>
                </w:p>
              </w:tc>
              <w:tc>
                <w:tcPr>
                  <w:tcW w:w="1118" w:type="pct"/>
                  <w:tcBorders>
                    <w:top w:val="single" w:color="auto" w:sz="4" w:space="0"/>
                  </w:tcBorders>
                  <w:vAlign w:val="center"/>
                </w:tcPr>
                <w:p>
                  <w:pPr>
                    <w:pStyle w:val="33"/>
                    <w:widowControl w:val="0"/>
                    <w:rPr>
                      <w:lang w:val="en-US" w:eastAsia="zh-CN"/>
                    </w:rPr>
                  </w:pPr>
                  <w:r>
                    <w:rPr>
                      <w:rFonts w:hint="eastAsia"/>
                      <w:lang w:val="en-US" w:eastAsia="zh-CN"/>
                    </w:rPr>
                    <w:t>非甲烷总烃排放口DA002</w:t>
                  </w:r>
                </w:p>
              </w:tc>
              <w:tc>
                <w:tcPr>
                  <w:tcW w:w="621" w:type="pct"/>
                  <w:tcBorders>
                    <w:top w:val="single" w:color="auto" w:sz="4" w:space="0"/>
                  </w:tcBorders>
                  <w:vAlign w:val="center"/>
                </w:tcPr>
                <w:p>
                  <w:pPr>
                    <w:pStyle w:val="33"/>
                    <w:widowControl w:val="0"/>
                    <w:rPr>
                      <w:lang w:val="en-US" w:eastAsia="zh-CN"/>
                    </w:rPr>
                  </w:pPr>
                  <w:r>
                    <w:rPr>
                      <w:rFonts w:hint="eastAsia"/>
                      <w:lang w:val="en-US" w:eastAsia="zh-CN"/>
                    </w:rPr>
                    <w:t>15</w:t>
                  </w:r>
                </w:p>
              </w:tc>
              <w:tc>
                <w:tcPr>
                  <w:tcW w:w="762" w:type="pct"/>
                  <w:tcBorders>
                    <w:top w:val="single" w:color="auto" w:sz="4" w:space="0"/>
                  </w:tcBorders>
                  <w:vAlign w:val="center"/>
                </w:tcPr>
                <w:p>
                  <w:pPr>
                    <w:pStyle w:val="33"/>
                    <w:widowControl w:val="0"/>
                    <w:rPr>
                      <w:lang w:val="en-US" w:eastAsia="zh-CN"/>
                    </w:rPr>
                  </w:pPr>
                  <w:r>
                    <w:rPr>
                      <w:rFonts w:hint="eastAsia"/>
                      <w:lang w:val="en-US" w:eastAsia="zh-CN"/>
                    </w:rPr>
                    <w:t>0.3</w:t>
                  </w:r>
                </w:p>
              </w:tc>
              <w:tc>
                <w:tcPr>
                  <w:tcW w:w="555" w:type="pct"/>
                  <w:tcBorders>
                    <w:top w:val="single" w:color="auto" w:sz="4" w:space="0"/>
                  </w:tcBorders>
                  <w:vAlign w:val="center"/>
                </w:tcPr>
                <w:p>
                  <w:pPr>
                    <w:pStyle w:val="33"/>
                    <w:widowControl w:val="0"/>
                    <w:rPr>
                      <w:lang w:val="en-US" w:eastAsia="zh-CN"/>
                    </w:rPr>
                  </w:pPr>
                  <w:r>
                    <w:rPr>
                      <w:rFonts w:hint="eastAsia"/>
                      <w:lang w:val="en-US" w:eastAsia="zh-CN"/>
                    </w:rPr>
                    <w:t>15</w:t>
                  </w:r>
                </w:p>
              </w:tc>
              <w:tc>
                <w:tcPr>
                  <w:tcW w:w="816" w:type="pct"/>
                  <w:tcBorders>
                    <w:top w:val="single" w:color="auto" w:sz="4" w:space="0"/>
                  </w:tcBorders>
                  <w:vAlign w:val="center"/>
                </w:tcPr>
                <w:p>
                  <w:pPr>
                    <w:pStyle w:val="33"/>
                    <w:widowControl w:val="0"/>
                    <w:rPr>
                      <w:lang w:val="en-US" w:eastAsia="zh-CN"/>
                    </w:rPr>
                  </w:pPr>
                  <w:r>
                    <w:rPr>
                      <w:lang w:val="en-US" w:eastAsia="zh-CN"/>
                    </w:rPr>
                    <w:t>E87.137132</w:t>
                  </w:r>
                  <w:r>
                    <w:rPr>
                      <w:rFonts w:hint="eastAsia"/>
                      <w:lang w:val="en-US" w:eastAsia="zh-CN"/>
                    </w:rPr>
                    <w:t>N44.090012</w:t>
                  </w:r>
                </w:p>
              </w:tc>
              <w:tc>
                <w:tcPr>
                  <w:tcW w:w="555" w:type="pct"/>
                  <w:vMerge w:val="continue"/>
                  <w:vAlign w:val="center"/>
                </w:tcPr>
                <w:p>
                  <w:pPr>
                    <w:pStyle w:val="33"/>
                    <w:widowControl w:val="0"/>
                    <w:rPr>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Align w:val="center"/>
                </w:tcPr>
                <w:p>
                  <w:pPr>
                    <w:pStyle w:val="33"/>
                    <w:widowControl w:val="0"/>
                    <w:rPr>
                      <w:lang w:val="en-US" w:eastAsia="zh-CN"/>
                    </w:rPr>
                  </w:pPr>
                  <w:r>
                    <w:rPr>
                      <w:rFonts w:hint="eastAsia"/>
                      <w:lang w:val="en-US" w:eastAsia="zh-CN"/>
                    </w:rPr>
                    <w:t>无组织</w:t>
                  </w:r>
                </w:p>
              </w:tc>
              <w:tc>
                <w:tcPr>
                  <w:tcW w:w="1118" w:type="pct"/>
                  <w:vAlign w:val="center"/>
                </w:tcPr>
                <w:p>
                  <w:pPr>
                    <w:pStyle w:val="33"/>
                    <w:widowControl w:val="0"/>
                    <w:rPr>
                      <w:lang w:val="en-US" w:eastAsia="zh-CN"/>
                    </w:rPr>
                  </w:pPr>
                  <w:r>
                    <w:rPr>
                      <w:rFonts w:hint="eastAsia"/>
                      <w:lang w:val="en-US" w:eastAsia="zh-CN"/>
                    </w:rPr>
                    <w:t>厂界</w:t>
                  </w:r>
                </w:p>
              </w:tc>
              <w:tc>
                <w:tcPr>
                  <w:tcW w:w="621" w:type="pct"/>
                  <w:vAlign w:val="center"/>
                </w:tcPr>
                <w:p>
                  <w:pPr>
                    <w:pStyle w:val="33"/>
                    <w:widowControl w:val="0"/>
                    <w:rPr>
                      <w:lang w:val="en-US" w:eastAsia="zh-CN"/>
                    </w:rPr>
                  </w:pPr>
                  <w:r>
                    <w:rPr>
                      <w:rFonts w:hint="eastAsia"/>
                      <w:lang w:val="en-US" w:eastAsia="zh-CN"/>
                    </w:rPr>
                    <w:t>/</w:t>
                  </w:r>
                </w:p>
              </w:tc>
              <w:tc>
                <w:tcPr>
                  <w:tcW w:w="762" w:type="pct"/>
                  <w:vAlign w:val="center"/>
                </w:tcPr>
                <w:p>
                  <w:pPr>
                    <w:pStyle w:val="33"/>
                    <w:widowControl w:val="0"/>
                    <w:rPr>
                      <w:lang w:val="en-US" w:eastAsia="zh-CN"/>
                    </w:rPr>
                  </w:pPr>
                  <w:r>
                    <w:rPr>
                      <w:rFonts w:hint="eastAsia"/>
                      <w:lang w:val="en-US" w:eastAsia="zh-CN"/>
                    </w:rPr>
                    <w:t>/</w:t>
                  </w:r>
                </w:p>
              </w:tc>
              <w:tc>
                <w:tcPr>
                  <w:tcW w:w="555" w:type="pct"/>
                  <w:vAlign w:val="center"/>
                </w:tcPr>
                <w:p>
                  <w:pPr>
                    <w:pStyle w:val="33"/>
                    <w:widowControl w:val="0"/>
                    <w:rPr>
                      <w:lang w:val="en-US" w:eastAsia="zh-CN"/>
                    </w:rPr>
                  </w:pPr>
                  <w:r>
                    <w:rPr>
                      <w:rFonts w:hint="eastAsia"/>
                      <w:lang w:val="en-US" w:eastAsia="zh-CN"/>
                    </w:rPr>
                    <w:t>/</w:t>
                  </w:r>
                </w:p>
              </w:tc>
              <w:tc>
                <w:tcPr>
                  <w:tcW w:w="816" w:type="pct"/>
                  <w:vAlign w:val="center"/>
                </w:tcPr>
                <w:p>
                  <w:pPr>
                    <w:pStyle w:val="33"/>
                    <w:widowControl w:val="0"/>
                    <w:rPr>
                      <w:lang w:val="en-US" w:eastAsia="zh-CN"/>
                    </w:rPr>
                  </w:pPr>
                  <w:r>
                    <w:rPr>
                      <w:rFonts w:hint="eastAsia"/>
                      <w:lang w:val="en-US" w:eastAsia="zh-CN"/>
                    </w:rPr>
                    <w:t>/</w:t>
                  </w:r>
                </w:p>
              </w:tc>
              <w:tc>
                <w:tcPr>
                  <w:tcW w:w="555" w:type="pct"/>
                  <w:vAlign w:val="center"/>
                </w:tcPr>
                <w:p>
                  <w:pPr>
                    <w:pStyle w:val="33"/>
                    <w:widowControl w:val="0"/>
                    <w:rPr>
                      <w:lang w:val="en-US" w:eastAsia="zh-CN"/>
                    </w:rPr>
                  </w:pPr>
                  <w:r>
                    <w:rPr>
                      <w:rFonts w:hint="eastAsia"/>
                      <w:lang w:val="en-US" w:eastAsia="zh-CN"/>
                    </w:rPr>
                    <w:t>/</w:t>
                  </w:r>
                </w:p>
              </w:tc>
            </w:tr>
          </w:tbl>
          <w:p>
            <w:pPr>
              <w:pStyle w:val="6"/>
              <w:jc w:val="both"/>
              <w:outlineLvl w:val="2"/>
            </w:pPr>
            <w:r>
              <w:rPr>
                <w:rFonts w:hint="eastAsia"/>
              </w:rPr>
              <w:t>2.4 监测计划</w:t>
            </w:r>
          </w:p>
          <w:p>
            <w:pPr>
              <w:pStyle w:val="20"/>
              <w:ind w:firstLine="480"/>
              <w:jc w:val="both"/>
              <w:rPr>
                <w:szCs w:val="32"/>
              </w:rPr>
            </w:pPr>
            <w:r>
              <w:t>根据《排污单位自行监测技术指南</w:t>
            </w:r>
            <w:r>
              <w:rPr>
                <w:rFonts w:hint="eastAsia"/>
              </w:rPr>
              <w:t xml:space="preserve"> </w:t>
            </w:r>
            <w:r>
              <w:t>总则》（HJ 819-2017）</w:t>
            </w:r>
            <w:r>
              <w:rPr>
                <w:rFonts w:hint="eastAsia"/>
              </w:rPr>
              <w:t>及《排污单位自行监测技术指南 水泥工业》（</w:t>
            </w:r>
            <w:r>
              <w:t>HJ 848-2017</w:t>
            </w:r>
            <w:r>
              <w:rPr>
                <w:rFonts w:hint="eastAsia"/>
              </w:rPr>
              <w:t>）</w:t>
            </w:r>
            <w:r>
              <w:t>相关规定，排污单位应按照最新的监测方案开展监测活动，</w:t>
            </w:r>
            <w:r>
              <w:rPr>
                <w:rFonts w:hint="eastAsia"/>
              </w:rPr>
              <w:t>建设单位可委托有资质的环境监测机构进行监测。同时，企业应建立健全污染源监控和环境监测技术档案，并接受当地环境保护主管部门的业务指导、监督和检查。具体监测项目及内容如下：</w:t>
            </w:r>
          </w:p>
          <w:p>
            <w:pPr>
              <w:pStyle w:val="32"/>
            </w:pPr>
            <w:r>
              <w:t>表</w:t>
            </w:r>
            <w:r>
              <w:rPr>
                <w:rFonts w:hint="eastAsia"/>
              </w:rPr>
              <w:t>4-9</w:t>
            </w:r>
            <w:r>
              <w:t xml:space="preserve">   </w:t>
            </w:r>
            <w:r>
              <w:rPr>
                <w:rFonts w:hint="eastAsia"/>
              </w:rPr>
              <w:t xml:space="preserve">  废气</w:t>
            </w:r>
            <w:r>
              <w:t>监测内容及计划</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505"/>
              <w:gridCol w:w="2426"/>
              <w:gridCol w:w="746"/>
              <w:gridCol w:w="1053"/>
              <w:gridCol w:w="12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1" w:type="pct"/>
                  <w:vMerge w:val="restart"/>
                  <w:vAlign w:val="center"/>
                </w:tcPr>
                <w:p>
                  <w:pPr>
                    <w:pStyle w:val="33"/>
                    <w:widowControl w:val="0"/>
                    <w:rPr>
                      <w:b/>
                      <w:bCs/>
                      <w:lang w:val="en-US" w:eastAsia="zh-CN"/>
                    </w:rPr>
                  </w:pPr>
                  <w:r>
                    <w:rPr>
                      <w:b/>
                      <w:bCs/>
                      <w:lang w:val="en-US" w:eastAsia="zh-CN"/>
                    </w:rPr>
                    <w:t>污染源类别</w:t>
                  </w:r>
                </w:p>
              </w:tc>
              <w:tc>
                <w:tcPr>
                  <w:tcW w:w="955" w:type="pct"/>
                  <w:vMerge w:val="restart"/>
                  <w:vAlign w:val="center"/>
                </w:tcPr>
                <w:p>
                  <w:pPr>
                    <w:pStyle w:val="33"/>
                    <w:widowControl w:val="0"/>
                    <w:rPr>
                      <w:b/>
                      <w:bCs/>
                      <w:lang w:val="en-US" w:eastAsia="zh-CN"/>
                    </w:rPr>
                  </w:pPr>
                  <w:r>
                    <w:rPr>
                      <w:b/>
                      <w:bCs/>
                      <w:lang w:val="en-US" w:eastAsia="zh-CN"/>
                    </w:rPr>
                    <w:t>排放口名称</w:t>
                  </w:r>
                </w:p>
                <w:p>
                  <w:pPr>
                    <w:pStyle w:val="33"/>
                    <w:widowControl w:val="0"/>
                    <w:rPr>
                      <w:b/>
                      <w:bCs/>
                      <w:lang w:val="en-US" w:eastAsia="zh-CN"/>
                    </w:rPr>
                  </w:pPr>
                  <w:r>
                    <w:rPr>
                      <w:b/>
                      <w:bCs/>
                      <w:lang w:val="en-US" w:eastAsia="zh-CN"/>
                    </w:rPr>
                    <w:t>及编号</w:t>
                  </w:r>
                </w:p>
              </w:tc>
              <w:tc>
                <w:tcPr>
                  <w:tcW w:w="1540" w:type="pct"/>
                  <w:vMerge w:val="restart"/>
                  <w:tcBorders>
                    <w:bottom w:val="single" w:color="auto" w:sz="12" w:space="0"/>
                  </w:tcBorders>
                  <w:vAlign w:val="center"/>
                </w:tcPr>
                <w:p>
                  <w:pPr>
                    <w:pStyle w:val="33"/>
                    <w:widowControl w:val="0"/>
                    <w:rPr>
                      <w:b/>
                      <w:bCs/>
                      <w:lang w:val="en-US" w:eastAsia="zh-CN"/>
                    </w:rPr>
                  </w:pPr>
                  <w:r>
                    <w:rPr>
                      <w:b/>
                      <w:bCs/>
                      <w:lang w:val="en-US" w:eastAsia="zh-CN"/>
                    </w:rPr>
                    <w:t>监测点位</w:t>
                  </w:r>
                </w:p>
              </w:tc>
              <w:tc>
                <w:tcPr>
                  <w:tcW w:w="474" w:type="pct"/>
                  <w:vMerge w:val="restart"/>
                  <w:tcBorders>
                    <w:bottom w:val="single" w:color="auto" w:sz="12" w:space="0"/>
                  </w:tcBorders>
                  <w:vAlign w:val="center"/>
                </w:tcPr>
                <w:p>
                  <w:pPr>
                    <w:pStyle w:val="33"/>
                    <w:widowControl w:val="0"/>
                    <w:rPr>
                      <w:b/>
                      <w:bCs/>
                      <w:lang w:val="en-US" w:eastAsia="zh-CN"/>
                    </w:rPr>
                  </w:pPr>
                  <w:r>
                    <w:rPr>
                      <w:b/>
                      <w:bCs/>
                      <w:lang w:val="en-US" w:eastAsia="zh-CN"/>
                    </w:rPr>
                    <w:t>监测因子</w:t>
                  </w:r>
                </w:p>
              </w:tc>
              <w:tc>
                <w:tcPr>
                  <w:tcW w:w="669" w:type="pct"/>
                  <w:vMerge w:val="restart"/>
                  <w:tcBorders>
                    <w:bottom w:val="single" w:color="auto" w:sz="12" w:space="0"/>
                  </w:tcBorders>
                  <w:vAlign w:val="center"/>
                </w:tcPr>
                <w:p>
                  <w:pPr>
                    <w:pStyle w:val="33"/>
                    <w:widowControl w:val="0"/>
                    <w:rPr>
                      <w:b/>
                      <w:bCs/>
                      <w:lang w:val="en-US" w:eastAsia="zh-CN"/>
                    </w:rPr>
                  </w:pPr>
                  <w:r>
                    <w:rPr>
                      <w:b/>
                      <w:bCs/>
                      <w:lang w:val="en-US" w:eastAsia="zh-CN"/>
                    </w:rPr>
                    <w:t>监测</w:t>
                  </w:r>
                </w:p>
                <w:p>
                  <w:pPr>
                    <w:pStyle w:val="33"/>
                    <w:widowControl w:val="0"/>
                    <w:rPr>
                      <w:b/>
                      <w:bCs/>
                      <w:lang w:val="en-US" w:eastAsia="zh-CN"/>
                    </w:rPr>
                  </w:pPr>
                  <w:r>
                    <w:rPr>
                      <w:b/>
                      <w:bCs/>
                      <w:lang w:val="en-US" w:eastAsia="zh-CN"/>
                    </w:rPr>
                    <w:t>频次</w:t>
                  </w:r>
                </w:p>
              </w:tc>
              <w:tc>
                <w:tcPr>
                  <w:tcW w:w="798" w:type="pct"/>
                  <w:vMerge w:val="restart"/>
                  <w:tcBorders>
                    <w:bottom w:val="single" w:color="auto" w:sz="12" w:space="0"/>
                  </w:tcBorders>
                  <w:vAlign w:val="center"/>
                </w:tcPr>
                <w:p>
                  <w:pPr>
                    <w:pStyle w:val="33"/>
                    <w:widowControl w:val="0"/>
                    <w:rPr>
                      <w:b/>
                      <w:bCs/>
                      <w:lang w:val="en-US" w:eastAsia="zh-CN"/>
                    </w:rPr>
                  </w:pPr>
                  <w:r>
                    <w:rPr>
                      <w:b/>
                      <w:bCs/>
                      <w:lang w:val="en-US" w:eastAsia="zh-CN"/>
                    </w:rPr>
                    <w:t>排放标准</w:t>
                  </w:r>
                  <w:r>
                    <w:rPr>
                      <w:rFonts w:hint="eastAsia"/>
                      <w:b/>
                      <w:bCs/>
                      <w:lang w:val="en-US" w:eastAsia="zh-CN"/>
                    </w:rPr>
                    <w:t>限值mg/m</w:t>
                  </w:r>
                  <w:r>
                    <w:rPr>
                      <w:rFonts w:hint="eastAsia"/>
                      <w:b/>
                      <w:bCs/>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1" w:type="pct"/>
                  <w:vMerge w:val="continue"/>
                  <w:tcBorders>
                    <w:bottom w:val="single" w:color="auto" w:sz="12" w:space="0"/>
                  </w:tcBorders>
                  <w:vAlign w:val="center"/>
                </w:tcPr>
                <w:p>
                  <w:pPr>
                    <w:pStyle w:val="33"/>
                    <w:widowControl w:val="0"/>
                    <w:rPr>
                      <w:lang w:val="en-US" w:eastAsia="zh-CN"/>
                    </w:rPr>
                  </w:pPr>
                </w:p>
              </w:tc>
              <w:tc>
                <w:tcPr>
                  <w:tcW w:w="955" w:type="pct"/>
                  <w:vMerge w:val="continue"/>
                  <w:tcBorders>
                    <w:bottom w:val="single" w:color="auto" w:sz="12" w:space="0"/>
                  </w:tcBorders>
                  <w:vAlign w:val="center"/>
                </w:tcPr>
                <w:p>
                  <w:pPr>
                    <w:pStyle w:val="33"/>
                    <w:widowControl w:val="0"/>
                    <w:rPr>
                      <w:lang w:val="en-US" w:eastAsia="zh-CN"/>
                    </w:rPr>
                  </w:pPr>
                </w:p>
              </w:tc>
              <w:tc>
                <w:tcPr>
                  <w:tcW w:w="1540" w:type="pct"/>
                  <w:vMerge w:val="continue"/>
                  <w:tcBorders>
                    <w:top w:val="single" w:color="auto" w:sz="12" w:space="0"/>
                    <w:bottom w:val="single" w:color="auto" w:sz="12" w:space="0"/>
                    <w:tl2br w:val="nil"/>
                    <w:tr2bl w:val="nil"/>
                  </w:tcBorders>
                  <w:vAlign w:val="center"/>
                </w:tcPr>
                <w:p>
                  <w:pPr>
                    <w:pStyle w:val="33"/>
                    <w:widowControl w:val="0"/>
                    <w:rPr>
                      <w:lang w:val="en-US" w:eastAsia="zh-CN"/>
                    </w:rPr>
                  </w:pPr>
                </w:p>
              </w:tc>
              <w:tc>
                <w:tcPr>
                  <w:tcW w:w="474" w:type="pct"/>
                  <w:vMerge w:val="continue"/>
                  <w:tcBorders>
                    <w:top w:val="single" w:color="auto" w:sz="12" w:space="0"/>
                    <w:bottom w:val="single" w:color="auto" w:sz="12" w:space="0"/>
                    <w:tl2br w:val="nil"/>
                    <w:tr2bl w:val="nil"/>
                  </w:tcBorders>
                  <w:vAlign w:val="center"/>
                </w:tcPr>
                <w:p>
                  <w:pPr>
                    <w:pStyle w:val="33"/>
                    <w:widowControl w:val="0"/>
                    <w:rPr>
                      <w:lang w:val="en-US" w:eastAsia="zh-CN"/>
                    </w:rPr>
                  </w:pPr>
                </w:p>
              </w:tc>
              <w:tc>
                <w:tcPr>
                  <w:tcW w:w="669" w:type="pct"/>
                  <w:vMerge w:val="continue"/>
                  <w:tcBorders>
                    <w:top w:val="single" w:color="auto" w:sz="12" w:space="0"/>
                    <w:bottom w:val="single" w:color="auto" w:sz="12" w:space="0"/>
                    <w:tl2br w:val="nil"/>
                    <w:tr2bl w:val="nil"/>
                  </w:tcBorders>
                  <w:vAlign w:val="center"/>
                </w:tcPr>
                <w:p>
                  <w:pPr>
                    <w:pStyle w:val="33"/>
                    <w:widowControl w:val="0"/>
                    <w:rPr>
                      <w:lang w:val="en-US" w:eastAsia="zh-CN"/>
                    </w:rPr>
                  </w:pPr>
                </w:p>
              </w:tc>
              <w:tc>
                <w:tcPr>
                  <w:tcW w:w="798" w:type="pct"/>
                  <w:vMerge w:val="continue"/>
                  <w:tcBorders>
                    <w:top w:val="single" w:color="auto" w:sz="12" w:space="0"/>
                    <w:bottom w:val="single" w:color="auto" w:sz="12" w:space="0"/>
                    <w:tl2br w:val="nil"/>
                    <w:tr2bl w:val="nil"/>
                  </w:tcBorders>
                  <w:vAlign w:val="center"/>
                </w:tcPr>
                <w:p>
                  <w:pPr>
                    <w:pStyle w:val="33"/>
                    <w:widowControl w:val="0"/>
                    <w:rPr>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restart"/>
                  <w:tcBorders>
                    <w:top w:val="single" w:color="auto" w:sz="12" w:space="0"/>
                  </w:tcBorders>
                  <w:vAlign w:val="center"/>
                </w:tcPr>
                <w:p>
                  <w:pPr>
                    <w:pStyle w:val="33"/>
                    <w:widowControl w:val="0"/>
                    <w:rPr>
                      <w:lang w:val="en-US" w:eastAsia="zh-CN"/>
                    </w:rPr>
                  </w:pPr>
                  <w:r>
                    <w:rPr>
                      <w:rFonts w:hint="eastAsia"/>
                      <w:lang w:val="en-US" w:eastAsia="zh-CN"/>
                    </w:rPr>
                    <w:t>有组织</w:t>
                  </w:r>
                </w:p>
              </w:tc>
              <w:tc>
                <w:tcPr>
                  <w:tcW w:w="955" w:type="pct"/>
                  <w:tcBorders>
                    <w:top w:val="single" w:color="auto" w:sz="12" w:space="0"/>
                    <w:bottom w:val="single" w:color="auto" w:sz="4" w:space="0"/>
                  </w:tcBorders>
                  <w:vAlign w:val="center"/>
                </w:tcPr>
                <w:p>
                  <w:pPr>
                    <w:pStyle w:val="33"/>
                    <w:widowControl w:val="0"/>
                    <w:rPr>
                      <w:lang w:val="en-US" w:eastAsia="zh-CN"/>
                    </w:rPr>
                  </w:pPr>
                  <w:r>
                    <w:rPr>
                      <w:rFonts w:hint="eastAsia"/>
                      <w:lang w:val="en-US" w:eastAsia="zh-CN"/>
                    </w:rPr>
                    <w:t>排放口DA001</w:t>
                  </w:r>
                </w:p>
              </w:tc>
              <w:tc>
                <w:tcPr>
                  <w:tcW w:w="1540" w:type="pct"/>
                  <w:tcBorders>
                    <w:top w:val="single" w:color="auto" w:sz="12" w:space="0"/>
                    <w:bottom w:val="single" w:color="auto" w:sz="4" w:space="0"/>
                  </w:tcBorders>
                  <w:vAlign w:val="center"/>
                </w:tcPr>
                <w:p>
                  <w:pPr>
                    <w:pStyle w:val="33"/>
                    <w:widowControl w:val="0"/>
                    <w:rPr>
                      <w:lang w:val="en-US" w:eastAsia="zh-CN"/>
                    </w:rPr>
                  </w:pPr>
                  <w:r>
                    <w:t>排气筒</w:t>
                  </w:r>
                  <w:r>
                    <w:rPr>
                      <w:lang w:val="en-US" w:eastAsia="zh-CN"/>
                    </w:rPr>
                    <w:t>监测点处</w:t>
                  </w:r>
                </w:p>
              </w:tc>
              <w:tc>
                <w:tcPr>
                  <w:tcW w:w="474" w:type="pct"/>
                  <w:tcBorders>
                    <w:top w:val="single" w:color="auto" w:sz="12" w:space="0"/>
                    <w:bottom w:val="single" w:color="auto" w:sz="4" w:space="0"/>
                  </w:tcBorders>
                  <w:vAlign w:val="center"/>
                </w:tcPr>
                <w:p>
                  <w:pPr>
                    <w:pStyle w:val="33"/>
                    <w:widowControl w:val="0"/>
                    <w:rPr>
                      <w:lang w:val="en-US" w:eastAsia="zh-CN"/>
                    </w:rPr>
                  </w:pPr>
                  <w:r>
                    <w:rPr>
                      <w:rFonts w:hint="eastAsia"/>
                      <w:lang w:val="en-US" w:eastAsia="zh-CN"/>
                    </w:rPr>
                    <w:t>TSP</w:t>
                  </w:r>
                </w:p>
              </w:tc>
              <w:tc>
                <w:tcPr>
                  <w:tcW w:w="669" w:type="pct"/>
                  <w:tcBorders>
                    <w:top w:val="single" w:color="auto" w:sz="12" w:space="0"/>
                    <w:bottom w:val="single" w:color="auto" w:sz="4" w:space="0"/>
                  </w:tcBorders>
                  <w:vAlign w:val="center"/>
                </w:tcPr>
                <w:p>
                  <w:pPr>
                    <w:pStyle w:val="33"/>
                    <w:widowControl w:val="0"/>
                    <w:rPr>
                      <w:lang w:val="en-US" w:eastAsia="zh-CN"/>
                    </w:rPr>
                  </w:pPr>
                  <w:r>
                    <w:rPr>
                      <w:rFonts w:hint="eastAsia"/>
                      <w:lang w:val="en-US" w:eastAsia="zh-CN"/>
                    </w:rPr>
                    <w:t>次/两年</w:t>
                  </w:r>
                </w:p>
              </w:tc>
              <w:tc>
                <w:tcPr>
                  <w:tcW w:w="798" w:type="pct"/>
                  <w:tcBorders>
                    <w:top w:val="single" w:color="auto" w:sz="12" w:space="0"/>
                    <w:bottom w:val="single" w:color="auto" w:sz="4" w:space="0"/>
                  </w:tcBorders>
                  <w:vAlign w:val="center"/>
                </w:tcPr>
                <w:p>
                  <w:pPr>
                    <w:pStyle w:val="33"/>
                    <w:widowControl w:val="0"/>
                    <w:rPr>
                      <w:lang w:val="en-US" w:eastAsia="zh-CN"/>
                    </w:rPr>
                  </w:pPr>
                  <w:r>
                    <w:rPr>
                      <w:rFonts w:hint="eastAsia"/>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Borders>
                    <w:bottom w:val="single" w:color="auto" w:sz="4" w:space="0"/>
                  </w:tcBorders>
                  <w:vAlign w:val="center"/>
                </w:tcPr>
                <w:p>
                  <w:pPr>
                    <w:pStyle w:val="33"/>
                    <w:widowControl w:val="0"/>
                    <w:rPr>
                      <w:lang w:val="en-US" w:eastAsia="zh-CN"/>
                    </w:rPr>
                  </w:pPr>
                </w:p>
              </w:tc>
              <w:tc>
                <w:tcPr>
                  <w:tcW w:w="955" w:type="pct"/>
                  <w:tcBorders>
                    <w:top w:val="single" w:color="auto" w:sz="4" w:space="0"/>
                    <w:bottom w:val="single" w:color="auto" w:sz="4" w:space="0"/>
                  </w:tcBorders>
                  <w:vAlign w:val="center"/>
                </w:tcPr>
                <w:p>
                  <w:pPr>
                    <w:pStyle w:val="33"/>
                    <w:widowControl w:val="0"/>
                    <w:rPr>
                      <w:lang w:val="en-US" w:eastAsia="zh-CN"/>
                    </w:rPr>
                  </w:pPr>
                  <w:r>
                    <w:rPr>
                      <w:rFonts w:hint="eastAsia"/>
                      <w:lang w:val="en-US" w:eastAsia="zh-CN"/>
                    </w:rPr>
                    <w:t>排放口DA002</w:t>
                  </w:r>
                </w:p>
              </w:tc>
              <w:tc>
                <w:tcPr>
                  <w:tcW w:w="1540" w:type="pct"/>
                  <w:tcBorders>
                    <w:top w:val="single" w:color="auto" w:sz="4" w:space="0"/>
                    <w:bottom w:val="single" w:color="auto" w:sz="4" w:space="0"/>
                  </w:tcBorders>
                  <w:vAlign w:val="center"/>
                </w:tcPr>
                <w:p>
                  <w:pPr>
                    <w:pStyle w:val="33"/>
                    <w:widowControl w:val="0"/>
                    <w:rPr>
                      <w:lang w:val="en-US" w:eastAsia="zh-CN"/>
                    </w:rPr>
                  </w:pPr>
                  <w:r>
                    <w:t>排气筒</w:t>
                  </w:r>
                  <w:r>
                    <w:rPr>
                      <w:lang w:val="en-US" w:eastAsia="zh-CN"/>
                    </w:rPr>
                    <w:t>监测点处</w:t>
                  </w:r>
                </w:p>
              </w:tc>
              <w:tc>
                <w:tcPr>
                  <w:tcW w:w="474" w:type="pct"/>
                  <w:tcBorders>
                    <w:top w:val="single" w:color="auto" w:sz="4" w:space="0"/>
                    <w:bottom w:val="single" w:color="auto" w:sz="4" w:space="0"/>
                  </w:tcBorders>
                  <w:vAlign w:val="center"/>
                </w:tcPr>
                <w:p>
                  <w:pPr>
                    <w:pStyle w:val="33"/>
                    <w:widowControl w:val="0"/>
                    <w:rPr>
                      <w:lang w:val="en-US" w:eastAsia="zh-CN"/>
                    </w:rPr>
                  </w:pPr>
                  <w:r>
                    <w:rPr>
                      <w:rFonts w:hint="eastAsia"/>
                      <w:lang w:val="en-US" w:eastAsia="zh-CN"/>
                    </w:rPr>
                    <w:t>VOCs</w:t>
                  </w:r>
                </w:p>
              </w:tc>
              <w:tc>
                <w:tcPr>
                  <w:tcW w:w="669" w:type="pct"/>
                  <w:tcBorders>
                    <w:top w:val="single" w:color="auto" w:sz="4" w:space="0"/>
                    <w:bottom w:val="single" w:color="auto" w:sz="4" w:space="0"/>
                  </w:tcBorders>
                  <w:vAlign w:val="center"/>
                </w:tcPr>
                <w:p>
                  <w:pPr>
                    <w:pStyle w:val="33"/>
                    <w:widowControl w:val="0"/>
                    <w:rPr>
                      <w:lang w:val="en-US" w:eastAsia="zh-CN"/>
                    </w:rPr>
                  </w:pPr>
                  <w:r>
                    <w:rPr>
                      <w:rFonts w:hint="eastAsia"/>
                      <w:lang w:val="en-US" w:eastAsia="zh-CN"/>
                    </w:rPr>
                    <w:t>次/年</w:t>
                  </w:r>
                </w:p>
              </w:tc>
              <w:tc>
                <w:tcPr>
                  <w:tcW w:w="798" w:type="pct"/>
                  <w:tcBorders>
                    <w:top w:val="single" w:color="auto" w:sz="4" w:space="0"/>
                    <w:bottom w:val="single" w:color="auto" w:sz="4" w:space="0"/>
                  </w:tcBorders>
                  <w:vAlign w:val="center"/>
                </w:tcPr>
                <w:p>
                  <w:pPr>
                    <w:pStyle w:val="33"/>
                    <w:widowControl w:val="0"/>
                    <w:rPr>
                      <w:lang w:val="en-US" w:eastAsia="zh-CN"/>
                    </w:rPr>
                  </w:pPr>
                  <w:r>
                    <w:rPr>
                      <w:rFonts w:hint="eastAsia"/>
                      <w:lang w:val="en-US" w:eastAsia="zh-CN"/>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restart"/>
                  <w:tcBorders>
                    <w:top w:val="single" w:color="auto" w:sz="4" w:space="0"/>
                  </w:tcBorders>
                  <w:vAlign w:val="center"/>
                </w:tcPr>
                <w:p>
                  <w:pPr>
                    <w:pStyle w:val="33"/>
                    <w:widowControl w:val="0"/>
                    <w:rPr>
                      <w:lang w:val="en-US" w:eastAsia="zh-CN"/>
                    </w:rPr>
                  </w:pPr>
                  <w:r>
                    <w:rPr>
                      <w:rFonts w:hint="eastAsia"/>
                      <w:lang w:val="en-US" w:eastAsia="zh-CN"/>
                    </w:rPr>
                    <w:t>无组织</w:t>
                  </w:r>
                </w:p>
              </w:tc>
              <w:tc>
                <w:tcPr>
                  <w:tcW w:w="955" w:type="pct"/>
                  <w:vMerge w:val="restart"/>
                  <w:tcBorders>
                    <w:top w:val="single" w:color="auto" w:sz="4" w:space="0"/>
                  </w:tcBorders>
                  <w:vAlign w:val="center"/>
                </w:tcPr>
                <w:p>
                  <w:pPr>
                    <w:pStyle w:val="33"/>
                    <w:widowControl w:val="0"/>
                    <w:rPr>
                      <w:lang w:val="en-US" w:eastAsia="zh-CN"/>
                    </w:rPr>
                  </w:pPr>
                  <w:r>
                    <w:rPr>
                      <w:rFonts w:hint="eastAsia"/>
                      <w:lang w:val="en-US" w:eastAsia="zh-CN"/>
                    </w:rPr>
                    <w:t>厂界</w:t>
                  </w:r>
                </w:p>
              </w:tc>
              <w:tc>
                <w:tcPr>
                  <w:tcW w:w="1540" w:type="pct"/>
                  <w:vMerge w:val="restart"/>
                  <w:tcBorders>
                    <w:top w:val="single" w:color="auto" w:sz="4" w:space="0"/>
                  </w:tcBorders>
                  <w:vAlign w:val="center"/>
                </w:tcPr>
                <w:p>
                  <w:pPr>
                    <w:pStyle w:val="33"/>
                    <w:widowControl w:val="0"/>
                    <w:rPr>
                      <w:lang w:val="en-US" w:eastAsia="zh-CN"/>
                    </w:rPr>
                  </w:pPr>
                  <w:r>
                    <w:rPr>
                      <w:lang w:val="en-US" w:eastAsia="zh-CN"/>
                    </w:rPr>
                    <w:t>厂界外20 m处上风向设参照点，下风向设监控点</w:t>
                  </w:r>
                </w:p>
              </w:tc>
              <w:tc>
                <w:tcPr>
                  <w:tcW w:w="474" w:type="pct"/>
                  <w:tcBorders>
                    <w:top w:val="single" w:color="auto" w:sz="4" w:space="0"/>
                    <w:bottom w:val="single" w:color="auto" w:sz="4" w:space="0"/>
                  </w:tcBorders>
                  <w:vAlign w:val="center"/>
                </w:tcPr>
                <w:p>
                  <w:pPr>
                    <w:pStyle w:val="33"/>
                    <w:widowControl w:val="0"/>
                    <w:rPr>
                      <w:lang w:val="en-US" w:eastAsia="zh-CN"/>
                    </w:rPr>
                  </w:pPr>
                  <w:r>
                    <w:rPr>
                      <w:rFonts w:hint="eastAsia"/>
                      <w:lang w:val="en-US" w:eastAsia="zh-CN"/>
                    </w:rPr>
                    <w:t>TSP</w:t>
                  </w:r>
                </w:p>
              </w:tc>
              <w:tc>
                <w:tcPr>
                  <w:tcW w:w="669" w:type="pct"/>
                  <w:tcBorders>
                    <w:top w:val="single" w:color="auto" w:sz="4" w:space="0"/>
                    <w:bottom w:val="single" w:color="auto" w:sz="4" w:space="0"/>
                  </w:tcBorders>
                  <w:vAlign w:val="center"/>
                </w:tcPr>
                <w:p>
                  <w:pPr>
                    <w:pStyle w:val="33"/>
                    <w:widowControl w:val="0"/>
                    <w:rPr>
                      <w:lang w:val="en-US" w:eastAsia="zh-CN"/>
                    </w:rPr>
                  </w:pPr>
                  <w:r>
                    <w:rPr>
                      <w:lang w:val="en-US" w:eastAsia="zh-CN"/>
                    </w:rPr>
                    <w:t>次/季度</w:t>
                  </w:r>
                </w:p>
              </w:tc>
              <w:tc>
                <w:tcPr>
                  <w:tcW w:w="798" w:type="pct"/>
                  <w:tcBorders>
                    <w:top w:val="single" w:color="auto" w:sz="4" w:space="0"/>
                    <w:bottom w:val="single" w:color="auto" w:sz="4" w:space="0"/>
                  </w:tcBorders>
                  <w:vAlign w:val="center"/>
                </w:tcPr>
                <w:p>
                  <w:pPr>
                    <w:pStyle w:val="33"/>
                    <w:widowControl w:val="0"/>
                    <w:rPr>
                      <w:lang w:val="en-US" w:eastAsia="zh-CN"/>
                    </w:rPr>
                  </w:pPr>
                  <w:r>
                    <w:rPr>
                      <w:rFonts w:hint="eastAsia"/>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vAlign w:val="center"/>
                </w:tcPr>
                <w:p>
                  <w:pPr>
                    <w:pStyle w:val="33"/>
                    <w:widowControl w:val="0"/>
                    <w:rPr>
                      <w:lang w:val="en-US" w:eastAsia="zh-CN"/>
                    </w:rPr>
                  </w:pPr>
                </w:p>
              </w:tc>
              <w:tc>
                <w:tcPr>
                  <w:tcW w:w="955" w:type="pct"/>
                  <w:vMerge w:val="continue"/>
                  <w:tcBorders>
                    <w:bottom w:val="single" w:color="auto" w:sz="4" w:space="0"/>
                  </w:tcBorders>
                  <w:vAlign w:val="center"/>
                </w:tcPr>
                <w:p>
                  <w:pPr>
                    <w:pStyle w:val="33"/>
                    <w:widowControl w:val="0"/>
                    <w:rPr>
                      <w:lang w:val="en-US" w:eastAsia="zh-CN"/>
                    </w:rPr>
                  </w:pPr>
                </w:p>
              </w:tc>
              <w:tc>
                <w:tcPr>
                  <w:tcW w:w="1540" w:type="pct"/>
                  <w:vMerge w:val="continue"/>
                  <w:tcBorders>
                    <w:bottom w:val="single" w:color="auto" w:sz="4" w:space="0"/>
                  </w:tcBorders>
                  <w:vAlign w:val="center"/>
                </w:tcPr>
                <w:p>
                  <w:pPr>
                    <w:pStyle w:val="33"/>
                    <w:widowControl w:val="0"/>
                    <w:rPr>
                      <w:lang w:val="en-US" w:eastAsia="zh-CN"/>
                    </w:rPr>
                  </w:pPr>
                </w:p>
              </w:tc>
              <w:tc>
                <w:tcPr>
                  <w:tcW w:w="474" w:type="pct"/>
                  <w:tcBorders>
                    <w:top w:val="single" w:color="auto" w:sz="4" w:space="0"/>
                    <w:bottom w:val="single" w:color="auto" w:sz="4" w:space="0"/>
                  </w:tcBorders>
                  <w:vAlign w:val="center"/>
                </w:tcPr>
                <w:p>
                  <w:pPr>
                    <w:pStyle w:val="33"/>
                    <w:widowControl w:val="0"/>
                    <w:rPr>
                      <w:lang w:val="en-US" w:eastAsia="zh-CN"/>
                    </w:rPr>
                  </w:pPr>
                  <w:r>
                    <w:rPr>
                      <w:rFonts w:hint="eastAsia"/>
                      <w:lang w:val="en-US" w:eastAsia="zh-CN"/>
                    </w:rPr>
                    <w:t>VOCs</w:t>
                  </w:r>
                </w:p>
              </w:tc>
              <w:tc>
                <w:tcPr>
                  <w:tcW w:w="669" w:type="pct"/>
                  <w:vMerge w:val="restart"/>
                  <w:tcBorders>
                    <w:top w:val="single" w:color="auto" w:sz="4" w:space="0"/>
                  </w:tcBorders>
                  <w:vAlign w:val="center"/>
                </w:tcPr>
                <w:p>
                  <w:pPr>
                    <w:pStyle w:val="33"/>
                    <w:widowControl w:val="0"/>
                    <w:rPr>
                      <w:lang w:val="en-US" w:eastAsia="zh-CN"/>
                    </w:rPr>
                  </w:pPr>
                  <w:r>
                    <w:rPr>
                      <w:rFonts w:hint="eastAsia"/>
                      <w:lang w:val="en-US" w:eastAsia="zh-CN"/>
                    </w:rPr>
                    <w:t>次/年</w:t>
                  </w:r>
                </w:p>
              </w:tc>
              <w:tc>
                <w:tcPr>
                  <w:tcW w:w="798" w:type="pct"/>
                  <w:tcBorders>
                    <w:top w:val="single" w:color="auto" w:sz="4" w:space="0"/>
                    <w:bottom w:val="single" w:color="auto" w:sz="4" w:space="0"/>
                  </w:tcBorders>
                  <w:vAlign w:val="center"/>
                </w:tcPr>
                <w:p>
                  <w:pPr>
                    <w:pStyle w:val="33"/>
                    <w:widowControl w:val="0"/>
                    <w:rPr>
                      <w:lang w:val="en-US" w:eastAsia="zh-CN"/>
                    </w:rPr>
                  </w:pPr>
                  <w:r>
                    <w:rPr>
                      <w:rFonts w:hint="eastAsia"/>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tcBorders>
                    <w:bottom w:val="single" w:color="auto" w:sz="12" w:space="0"/>
                  </w:tcBorders>
                  <w:vAlign w:val="center"/>
                </w:tcPr>
                <w:p>
                  <w:pPr>
                    <w:pStyle w:val="33"/>
                    <w:widowControl w:val="0"/>
                    <w:rPr>
                      <w:lang w:val="en-US" w:eastAsia="zh-CN"/>
                    </w:rPr>
                  </w:pPr>
                </w:p>
              </w:tc>
              <w:tc>
                <w:tcPr>
                  <w:tcW w:w="955" w:type="pct"/>
                  <w:tcBorders>
                    <w:top w:val="single" w:color="auto" w:sz="4" w:space="0"/>
                    <w:bottom w:val="single" w:color="auto" w:sz="12" w:space="0"/>
                  </w:tcBorders>
                  <w:vAlign w:val="center"/>
                </w:tcPr>
                <w:p>
                  <w:pPr>
                    <w:pStyle w:val="33"/>
                    <w:widowControl w:val="0"/>
                    <w:rPr>
                      <w:lang w:val="en-US" w:eastAsia="zh-CN"/>
                    </w:rPr>
                  </w:pPr>
                  <w:r>
                    <w:rPr>
                      <w:rFonts w:hint="eastAsia"/>
                      <w:lang w:val="en-US" w:eastAsia="zh-CN"/>
                    </w:rPr>
                    <w:t>厂房</w:t>
                  </w:r>
                </w:p>
              </w:tc>
              <w:tc>
                <w:tcPr>
                  <w:tcW w:w="1540" w:type="pct"/>
                  <w:tcBorders>
                    <w:top w:val="single" w:color="auto" w:sz="4" w:space="0"/>
                    <w:bottom w:val="single" w:color="auto" w:sz="12" w:space="0"/>
                  </w:tcBorders>
                  <w:vAlign w:val="center"/>
                </w:tcPr>
                <w:p>
                  <w:pPr>
                    <w:pStyle w:val="33"/>
                    <w:widowControl w:val="0"/>
                    <w:rPr>
                      <w:lang w:val="en-US" w:eastAsia="zh-CN"/>
                    </w:rPr>
                  </w:pPr>
                  <w:r>
                    <w:rPr>
                      <w:rFonts w:hint="eastAsia"/>
                      <w:lang w:val="en-US" w:eastAsia="zh-CN"/>
                    </w:rPr>
                    <w:t>厂房下风向1m处</w:t>
                  </w:r>
                </w:p>
              </w:tc>
              <w:tc>
                <w:tcPr>
                  <w:tcW w:w="474" w:type="pct"/>
                  <w:tcBorders>
                    <w:top w:val="single" w:color="auto" w:sz="4" w:space="0"/>
                    <w:bottom w:val="single" w:color="auto" w:sz="12" w:space="0"/>
                  </w:tcBorders>
                  <w:vAlign w:val="center"/>
                </w:tcPr>
                <w:p>
                  <w:pPr>
                    <w:pStyle w:val="33"/>
                    <w:widowControl w:val="0"/>
                    <w:rPr>
                      <w:lang w:val="en-US" w:eastAsia="zh-CN"/>
                    </w:rPr>
                  </w:pPr>
                  <w:r>
                    <w:rPr>
                      <w:rFonts w:hint="eastAsia"/>
                      <w:lang w:val="en-US" w:eastAsia="zh-CN"/>
                    </w:rPr>
                    <w:t>VOCs</w:t>
                  </w:r>
                </w:p>
              </w:tc>
              <w:tc>
                <w:tcPr>
                  <w:tcW w:w="669" w:type="pct"/>
                  <w:vMerge w:val="continue"/>
                  <w:tcBorders>
                    <w:bottom w:val="single" w:color="auto" w:sz="12" w:space="0"/>
                  </w:tcBorders>
                  <w:vAlign w:val="center"/>
                </w:tcPr>
                <w:p>
                  <w:pPr>
                    <w:pStyle w:val="33"/>
                    <w:widowControl w:val="0"/>
                    <w:rPr>
                      <w:lang w:val="en-US" w:eastAsia="zh-CN"/>
                    </w:rPr>
                  </w:pPr>
                </w:p>
              </w:tc>
              <w:tc>
                <w:tcPr>
                  <w:tcW w:w="798" w:type="pct"/>
                  <w:tcBorders>
                    <w:top w:val="single" w:color="auto" w:sz="4" w:space="0"/>
                    <w:bottom w:val="single" w:color="auto" w:sz="12" w:space="0"/>
                  </w:tcBorders>
                  <w:vAlign w:val="center"/>
                </w:tcPr>
                <w:p>
                  <w:pPr>
                    <w:pStyle w:val="33"/>
                    <w:widowControl w:val="0"/>
                    <w:rPr>
                      <w:lang w:val="en-US" w:eastAsia="zh-CN"/>
                    </w:rPr>
                  </w:pPr>
                  <w:r>
                    <w:rPr>
                      <w:rFonts w:hint="eastAsia"/>
                      <w:lang w:val="en-US" w:eastAsia="zh-CN"/>
                    </w:rPr>
                    <w:t>10</w:t>
                  </w:r>
                </w:p>
              </w:tc>
            </w:tr>
          </w:tbl>
          <w:p>
            <w:pPr>
              <w:pStyle w:val="6"/>
              <w:numPr>
                <w:ilvl w:val="0"/>
                <w:numId w:val="20"/>
              </w:numPr>
              <w:jc w:val="both"/>
              <w:outlineLvl w:val="2"/>
            </w:pPr>
            <w:r>
              <w:rPr>
                <w:rFonts w:hint="eastAsia"/>
              </w:rPr>
              <w:t>噪声影响分析及减缓措施</w:t>
            </w:r>
          </w:p>
          <w:p>
            <w:pPr>
              <w:pStyle w:val="6"/>
              <w:jc w:val="both"/>
              <w:outlineLvl w:val="2"/>
              <w:rPr>
                <w:rFonts w:cs="Times New Roman"/>
                <w:bCs/>
              </w:rPr>
            </w:pPr>
            <w:r>
              <w:rPr>
                <w:rFonts w:hint="eastAsia"/>
              </w:rPr>
              <w:t xml:space="preserve">3.1 </w:t>
            </w:r>
            <w:r>
              <w:rPr>
                <w:rFonts w:cs="Times New Roman"/>
                <w:bCs/>
              </w:rPr>
              <w:t>噪声源</w:t>
            </w:r>
          </w:p>
          <w:p>
            <w:pPr>
              <w:pStyle w:val="20"/>
              <w:ind w:firstLine="480"/>
              <w:jc w:val="both"/>
            </w:pPr>
            <w:r>
              <w:t>本项目运营期噪声主要来自</w:t>
            </w:r>
            <w:r>
              <w:rPr>
                <w:rFonts w:hint="eastAsia"/>
              </w:rPr>
              <w:t>切割机</w:t>
            </w:r>
            <w:r>
              <w:t>、</w:t>
            </w:r>
            <w:r>
              <w:rPr>
                <w:rFonts w:hint="eastAsia"/>
              </w:rPr>
              <w:t>雕刻机</w:t>
            </w:r>
            <w:r>
              <w:t>、搅拌机、</w:t>
            </w:r>
            <w:r>
              <w:rPr>
                <w:rFonts w:hint="eastAsia"/>
              </w:rPr>
              <w:t>挂浆</w:t>
            </w:r>
            <w:r>
              <w:t>机等，其噪声值一般在7</w:t>
            </w:r>
            <w:r>
              <w:rPr>
                <w:rFonts w:hint="eastAsia"/>
              </w:rPr>
              <w:t>0</w:t>
            </w:r>
            <w:r>
              <w:t>~</w:t>
            </w:r>
            <w:r>
              <w:rPr>
                <w:rFonts w:hint="eastAsia"/>
              </w:rPr>
              <w:t>95</w:t>
            </w:r>
            <w:r>
              <w:t>dB(A)之间。主要噪声源强见表</w:t>
            </w:r>
            <w:r>
              <w:rPr>
                <w:rFonts w:hint="eastAsia"/>
              </w:rPr>
              <w:t>4-10</w:t>
            </w:r>
            <w:r>
              <w:t>。</w:t>
            </w:r>
          </w:p>
          <w:p>
            <w:pPr>
              <w:pStyle w:val="32"/>
            </w:pPr>
            <w:r>
              <w:t>表</w:t>
            </w:r>
            <w:r>
              <w:rPr>
                <w:rFonts w:hint="eastAsia"/>
              </w:rPr>
              <w:t>4-10</w:t>
            </w:r>
            <w:r>
              <w:t xml:space="preserve">    主要设备噪声源强  单位：dB(A)</w:t>
            </w:r>
          </w:p>
          <w:tbl>
            <w:tblPr>
              <w:tblStyle w:val="24"/>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05"/>
              <w:gridCol w:w="1233"/>
              <w:gridCol w:w="1322"/>
              <w:gridCol w:w="1338"/>
              <w:gridCol w:w="1801"/>
              <w:gridCol w:w="117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638" w:type="pct"/>
                  <w:tcBorders>
                    <w:bottom w:val="single" w:color="auto" w:sz="12" w:space="0"/>
                  </w:tcBorders>
                  <w:vAlign w:val="center"/>
                </w:tcPr>
                <w:p>
                  <w:pPr>
                    <w:pStyle w:val="33"/>
                    <w:rPr>
                      <w:b/>
                      <w:bCs/>
                    </w:rPr>
                  </w:pPr>
                  <w:r>
                    <w:rPr>
                      <w:b/>
                      <w:bCs/>
                    </w:rPr>
                    <w:t>噪声源</w:t>
                  </w:r>
                </w:p>
              </w:tc>
              <w:tc>
                <w:tcPr>
                  <w:tcW w:w="783" w:type="pct"/>
                  <w:tcBorders>
                    <w:bottom w:val="single" w:color="auto" w:sz="12" w:space="0"/>
                  </w:tcBorders>
                  <w:vAlign w:val="center"/>
                </w:tcPr>
                <w:p>
                  <w:pPr>
                    <w:pStyle w:val="33"/>
                    <w:rPr>
                      <w:b/>
                      <w:bCs/>
                    </w:rPr>
                  </w:pPr>
                  <w:r>
                    <w:rPr>
                      <w:b/>
                      <w:bCs/>
                    </w:rPr>
                    <w:t>噪声设备</w:t>
                  </w:r>
                </w:p>
              </w:tc>
              <w:tc>
                <w:tcPr>
                  <w:tcW w:w="839" w:type="pct"/>
                  <w:tcBorders>
                    <w:bottom w:val="single" w:color="auto" w:sz="12" w:space="0"/>
                  </w:tcBorders>
                  <w:vAlign w:val="center"/>
                </w:tcPr>
                <w:p>
                  <w:pPr>
                    <w:pStyle w:val="33"/>
                    <w:rPr>
                      <w:b/>
                      <w:bCs/>
                    </w:rPr>
                  </w:pPr>
                  <w:r>
                    <w:rPr>
                      <w:b/>
                      <w:bCs/>
                    </w:rPr>
                    <w:t>台数(台/套)</w:t>
                  </w:r>
                </w:p>
              </w:tc>
              <w:tc>
                <w:tcPr>
                  <w:tcW w:w="850" w:type="pct"/>
                  <w:tcBorders>
                    <w:bottom w:val="single" w:color="auto" w:sz="12" w:space="0"/>
                  </w:tcBorders>
                  <w:vAlign w:val="center"/>
                </w:tcPr>
                <w:p>
                  <w:pPr>
                    <w:pStyle w:val="33"/>
                    <w:rPr>
                      <w:b/>
                      <w:bCs/>
                    </w:rPr>
                  </w:pPr>
                  <w:r>
                    <w:rPr>
                      <w:b/>
                      <w:bCs/>
                    </w:rPr>
                    <w:t>噪声值</w:t>
                  </w:r>
                </w:p>
              </w:tc>
              <w:tc>
                <w:tcPr>
                  <w:tcW w:w="1144" w:type="pct"/>
                  <w:tcBorders>
                    <w:bottom w:val="single" w:color="auto" w:sz="12" w:space="0"/>
                  </w:tcBorders>
                  <w:vAlign w:val="center"/>
                </w:tcPr>
                <w:p>
                  <w:pPr>
                    <w:pStyle w:val="33"/>
                    <w:rPr>
                      <w:b/>
                      <w:bCs/>
                    </w:rPr>
                  </w:pPr>
                  <w:r>
                    <w:rPr>
                      <w:b/>
                      <w:bCs/>
                    </w:rPr>
                    <w:t>处理措施</w:t>
                  </w:r>
                </w:p>
              </w:tc>
              <w:tc>
                <w:tcPr>
                  <w:tcW w:w="744" w:type="pct"/>
                  <w:tcBorders>
                    <w:bottom w:val="single" w:color="auto" w:sz="12" w:space="0"/>
                  </w:tcBorders>
                  <w:vAlign w:val="center"/>
                </w:tcPr>
                <w:p>
                  <w:pPr>
                    <w:pStyle w:val="33"/>
                    <w:rPr>
                      <w:b/>
                      <w:bCs/>
                    </w:rPr>
                  </w:pPr>
                  <w:r>
                    <w:rPr>
                      <w:b/>
                      <w:bCs/>
                    </w:rPr>
                    <w:t>降噪效果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638" w:type="pct"/>
                  <w:vMerge w:val="restart"/>
                  <w:tcBorders>
                    <w:top w:val="single" w:color="auto" w:sz="12" w:space="0"/>
                  </w:tcBorders>
                  <w:vAlign w:val="center"/>
                </w:tcPr>
                <w:p>
                  <w:pPr>
                    <w:pStyle w:val="33"/>
                    <w:rPr>
                      <w:lang w:eastAsia="zh-CN"/>
                    </w:rPr>
                  </w:pPr>
                  <w:r>
                    <w:rPr>
                      <w:lang w:eastAsia="zh-CN"/>
                    </w:rPr>
                    <w:t>机械设备</w:t>
                  </w:r>
                </w:p>
              </w:tc>
              <w:tc>
                <w:tcPr>
                  <w:tcW w:w="783" w:type="pct"/>
                  <w:tcBorders>
                    <w:top w:val="single" w:color="auto" w:sz="12" w:space="0"/>
                  </w:tcBorders>
                  <w:vAlign w:val="center"/>
                </w:tcPr>
                <w:p>
                  <w:pPr>
                    <w:pStyle w:val="33"/>
                    <w:rPr>
                      <w:lang w:val="en-US" w:eastAsia="zh-CN"/>
                    </w:rPr>
                  </w:pPr>
                  <w:r>
                    <w:rPr>
                      <w:rFonts w:hint="eastAsia"/>
                      <w:lang w:val="en-US" w:eastAsia="zh-CN"/>
                    </w:rPr>
                    <w:t>切割</w:t>
                  </w:r>
                  <w:r>
                    <w:rPr>
                      <w:lang w:eastAsia="zh-CN"/>
                    </w:rPr>
                    <w:t>机</w:t>
                  </w:r>
                </w:p>
              </w:tc>
              <w:tc>
                <w:tcPr>
                  <w:tcW w:w="839" w:type="pct"/>
                  <w:tcBorders>
                    <w:top w:val="single" w:color="auto" w:sz="12" w:space="0"/>
                  </w:tcBorders>
                  <w:vAlign w:val="center"/>
                </w:tcPr>
                <w:p>
                  <w:pPr>
                    <w:pStyle w:val="33"/>
                    <w:rPr>
                      <w:lang w:val="en-US" w:eastAsia="zh-CN"/>
                    </w:rPr>
                  </w:pPr>
                  <w:r>
                    <w:rPr>
                      <w:rFonts w:hint="eastAsia"/>
                      <w:lang w:val="en-US" w:eastAsia="zh-CN"/>
                    </w:rPr>
                    <w:t>1</w:t>
                  </w:r>
                </w:p>
              </w:tc>
              <w:tc>
                <w:tcPr>
                  <w:tcW w:w="850" w:type="pct"/>
                  <w:tcBorders>
                    <w:top w:val="single" w:color="auto" w:sz="12" w:space="0"/>
                  </w:tcBorders>
                  <w:vAlign w:val="center"/>
                </w:tcPr>
                <w:p>
                  <w:pPr>
                    <w:pStyle w:val="33"/>
                    <w:rPr>
                      <w:lang w:val="en-US" w:eastAsia="zh-CN"/>
                    </w:rPr>
                  </w:pPr>
                  <w:r>
                    <w:rPr>
                      <w:rFonts w:hint="eastAsia"/>
                      <w:lang w:val="en-US" w:eastAsia="zh-CN"/>
                    </w:rPr>
                    <w:t>75</w:t>
                  </w:r>
                </w:p>
              </w:tc>
              <w:tc>
                <w:tcPr>
                  <w:tcW w:w="1144" w:type="pct"/>
                  <w:vMerge w:val="restart"/>
                  <w:tcBorders>
                    <w:top w:val="single" w:color="auto" w:sz="12" w:space="0"/>
                  </w:tcBorders>
                  <w:vAlign w:val="center"/>
                </w:tcPr>
                <w:p>
                  <w:pPr>
                    <w:pStyle w:val="33"/>
                  </w:pPr>
                  <w:r>
                    <w:t>选用低噪声设备</w:t>
                  </w:r>
                  <w:r>
                    <w:rPr>
                      <w:lang w:eastAsia="zh-CN"/>
                    </w:rPr>
                    <w:t>、</w:t>
                  </w:r>
                  <w:r>
                    <w:t>设置减震垫</w:t>
                  </w:r>
                </w:p>
              </w:tc>
              <w:tc>
                <w:tcPr>
                  <w:tcW w:w="744" w:type="pct"/>
                  <w:vMerge w:val="restart"/>
                  <w:tcBorders>
                    <w:top w:val="single" w:color="auto" w:sz="12" w:space="0"/>
                  </w:tcBorders>
                  <w:vAlign w:val="center"/>
                </w:tcPr>
                <w:p>
                  <w:pPr>
                    <w:pStyle w:val="33"/>
                  </w:pPr>
                  <w:r>
                    <w:rPr>
                      <w:rFonts w:hint="eastAsia"/>
                      <w:lang w:val="en-US" w:eastAsia="zh-CN"/>
                    </w:rPr>
                    <w:t>15</w:t>
                  </w:r>
                  <w:r>
                    <w:t>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638" w:type="pct"/>
                  <w:vMerge w:val="continue"/>
                  <w:vAlign w:val="center"/>
                </w:tcPr>
                <w:p>
                  <w:pPr>
                    <w:pStyle w:val="33"/>
                  </w:pPr>
                </w:p>
              </w:tc>
              <w:tc>
                <w:tcPr>
                  <w:tcW w:w="783" w:type="pct"/>
                  <w:vAlign w:val="center"/>
                </w:tcPr>
                <w:p>
                  <w:pPr>
                    <w:pStyle w:val="33"/>
                    <w:rPr>
                      <w:lang w:val="en-US" w:eastAsia="zh-CN"/>
                    </w:rPr>
                  </w:pPr>
                  <w:r>
                    <w:rPr>
                      <w:rFonts w:hint="eastAsia"/>
                      <w:lang w:val="en-US" w:eastAsia="zh-CN"/>
                    </w:rPr>
                    <w:t>雕刻</w:t>
                  </w:r>
                  <w:r>
                    <w:t>机</w:t>
                  </w:r>
                </w:p>
              </w:tc>
              <w:tc>
                <w:tcPr>
                  <w:tcW w:w="839" w:type="pct"/>
                  <w:vAlign w:val="center"/>
                </w:tcPr>
                <w:p>
                  <w:pPr>
                    <w:pStyle w:val="33"/>
                    <w:rPr>
                      <w:lang w:val="en-US" w:eastAsia="zh-CN"/>
                    </w:rPr>
                  </w:pPr>
                  <w:r>
                    <w:rPr>
                      <w:rFonts w:hint="eastAsia"/>
                      <w:lang w:val="en-US" w:eastAsia="zh-CN"/>
                    </w:rPr>
                    <w:t>1</w:t>
                  </w:r>
                </w:p>
              </w:tc>
              <w:tc>
                <w:tcPr>
                  <w:tcW w:w="850" w:type="pct"/>
                  <w:vAlign w:val="center"/>
                </w:tcPr>
                <w:p>
                  <w:pPr>
                    <w:pStyle w:val="33"/>
                    <w:rPr>
                      <w:lang w:val="en-US" w:eastAsia="zh-CN"/>
                    </w:rPr>
                  </w:pPr>
                  <w:r>
                    <w:rPr>
                      <w:lang w:val="en-US" w:eastAsia="zh-CN"/>
                    </w:rPr>
                    <w:t>85</w:t>
                  </w:r>
                </w:p>
              </w:tc>
              <w:tc>
                <w:tcPr>
                  <w:tcW w:w="1144" w:type="pct"/>
                  <w:vMerge w:val="continue"/>
                  <w:vAlign w:val="center"/>
                </w:tcPr>
                <w:p>
                  <w:pPr>
                    <w:pStyle w:val="33"/>
                  </w:pPr>
                </w:p>
              </w:tc>
              <w:tc>
                <w:tcPr>
                  <w:tcW w:w="744" w:type="pct"/>
                  <w:vMerge w:val="continue"/>
                  <w:vAlign w:val="center"/>
                </w:tcPr>
                <w:p>
                  <w:pPr>
                    <w:pStyle w:val="33"/>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8" w:type="pct"/>
                  <w:vMerge w:val="continue"/>
                  <w:vAlign w:val="center"/>
                </w:tcPr>
                <w:p>
                  <w:pPr>
                    <w:pStyle w:val="33"/>
                  </w:pPr>
                </w:p>
              </w:tc>
              <w:tc>
                <w:tcPr>
                  <w:tcW w:w="783" w:type="pct"/>
                  <w:vAlign w:val="center"/>
                </w:tcPr>
                <w:p>
                  <w:pPr>
                    <w:pStyle w:val="33"/>
                    <w:rPr>
                      <w:lang w:val="en-US" w:eastAsia="zh-CN"/>
                    </w:rPr>
                  </w:pPr>
                  <w:r>
                    <w:t>搅拌机</w:t>
                  </w:r>
                </w:p>
              </w:tc>
              <w:tc>
                <w:tcPr>
                  <w:tcW w:w="839" w:type="pct"/>
                  <w:vAlign w:val="center"/>
                </w:tcPr>
                <w:p>
                  <w:pPr>
                    <w:pStyle w:val="33"/>
                    <w:rPr>
                      <w:lang w:val="en-US" w:eastAsia="zh-CN"/>
                    </w:rPr>
                  </w:pPr>
                  <w:r>
                    <w:rPr>
                      <w:lang w:val="en-US" w:eastAsia="zh-CN"/>
                    </w:rPr>
                    <w:t>1</w:t>
                  </w:r>
                </w:p>
              </w:tc>
              <w:tc>
                <w:tcPr>
                  <w:tcW w:w="850" w:type="pct"/>
                  <w:vAlign w:val="center"/>
                </w:tcPr>
                <w:p>
                  <w:pPr>
                    <w:pStyle w:val="33"/>
                    <w:rPr>
                      <w:lang w:val="en-US" w:eastAsia="zh-CN"/>
                    </w:rPr>
                  </w:pPr>
                  <w:r>
                    <w:rPr>
                      <w:rFonts w:hint="eastAsia"/>
                      <w:lang w:val="en-US" w:eastAsia="zh-CN"/>
                    </w:rPr>
                    <w:t>80</w:t>
                  </w:r>
                </w:p>
              </w:tc>
              <w:tc>
                <w:tcPr>
                  <w:tcW w:w="1144" w:type="pct"/>
                  <w:vMerge w:val="continue"/>
                  <w:vAlign w:val="center"/>
                </w:tcPr>
                <w:p>
                  <w:pPr>
                    <w:pStyle w:val="33"/>
                  </w:pPr>
                </w:p>
              </w:tc>
              <w:tc>
                <w:tcPr>
                  <w:tcW w:w="744" w:type="pct"/>
                  <w:vMerge w:val="continue"/>
                  <w:vAlign w:val="center"/>
                </w:tcPr>
                <w:p>
                  <w:pPr>
                    <w:pStyle w:val="33"/>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8" w:type="pct"/>
                  <w:vMerge w:val="continue"/>
                  <w:vAlign w:val="center"/>
                </w:tcPr>
                <w:p>
                  <w:pPr>
                    <w:pStyle w:val="33"/>
                  </w:pPr>
                </w:p>
              </w:tc>
              <w:tc>
                <w:tcPr>
                  <w:tcW w:w="783" w:type="pct"/>
                  <w:vAlign w:val="center"/>
                </w:tcPr>
                <w:p>
                  <w:pPr>
                    <w:pStyle w:val="33"/>
                    <w:rPr>
                      <w:lang w:val="en-US" w:eastAsia="zh-CN"/>
                    </w:rPr>
                  </w:pPr>
                  <w:r>
                    <w:rPr>
                      <w:rFonts w:hint="eastAsia"/>
                      <w:lang w:val="en-US" w:eastAsia="zh-CN"/>
                    </w:rPr>
                    <w:t>挂浆</w:t>
                  </w:r>
                  <w:r>
                    <w:t>机</w:t>
                  </w:r>
                </w:p>
              </w:tc>
              <w:tc>
                <w:tcPr>
                  <w:tcW w:w="839" w:type="pct"/>
                  <w:vAlign w:val="center"/>
                </w:tcPr>
                <w:p>
                  <w:pPr>
                    <w:pStyle w:val="33"/>
                    <w:rPr>
                      <w:lang w:val="en-US" w:eastAsia="zh-CN"/>
                    </w:rPr>
                  </w:pPr>
                  <w:r>
                    <w:rPr>
                      <w:rFonts w:hint="eastAsia"/>
                      <w:lang w:val="en-US" w:eastAsia="zh-CN"/>
                    </w:rPr>
                    <w:t>1</w:t>
                  </w:r>
                </w:p>
              </w:tc>
              <w:tc>
                <w:tcPr>
                  <w:tcW w:w="850" w:type="pct"/>
                  <w:vAlign w:val="center"/>
                </w:tcPr>
                <w:p>
                  <w:pPr>
                    <w:pStyle w:val="33"/>
                    <w:rPr>
                      <w:lang w:val="en-US" w:eastAsia="zh-CN"/>
                    </w:rPr>
                  </w:pPr>
                  <w:r>
                    <w:rPr>
                      <w:rFonts w:hint="eastAsia"/>
                      <w:lang w:val="en-US" w:eastAsia="zh-CN"/>
                    </w:rPr>
                    <w:t>85</w:t>
                  </w:r>
                </w:p>
              </w:tc>
              <w:tc>
                <w:tcPr>
                  <w:tcW w:w="1144" w:type="pct"/>
                  <w:vMerge w:val="continue"/>
                  <w:vAlign w:val="center"/>
                </w:tcPr>
                <w:p>
                  <w:pPr>
                    <w:pStyle w:val="33"/>
                  </w:pPr>
                </w:p>
              </w:tc>
              <w:tc>
                <w:tcPr>
                  <w:tcW w:w="744" w:type="pct"/>
                  <w:vMerge w:val="continue"/>
                  <w:vAlign w:val="center"/>
                </w:tcPr>
                <w:p>
                  <w:pPr>
                    <w:pStyle w:val="33"/>
                  </w:pPr>
                </w:p>
              </w:tc>
            </w:tr>
          </w:tbl>
          <w:p>
            <w:pPr>
              <w:pStyle w:val="6"/>
              <w:jc w:val="both"/>
              <w:outlineLvl w:val="2"/>
            </w:pPr>
            <w:r>
              <w:t>3.2</w:t>
            </w:r>
            <w:r>
              <w:rPr>
                <w:rFonts w:hint="eastAsia"/>
              </w:rPr>
              <w:t xml:space="preserve"> </w:t>
            </w:r>
            <w:r>
              <w:t>预测方法</w:t>
            </w:r>
          </w:p>
          <w:p>
            <w:pPr>
              <w:pStyle w:val="20"/>
              <w:ind w:firstLine="480"/>
              <w:jc w:val="both"/>
            </w:pPr>
            <w:r>
              <w:t>噪声源布置较为集中，其对厂界外的声环境影响采取《环境影响评价技术导则 声环境》（HJ2.4-2009）中的噪声预测模式。</w:t>
            </w:r>
          </w:p>
          <w:p>
            <w:pPr>
              <w:pStyle w:val="20"/>
              <w:ind w:firstLine="480"/>
              <w:jc w:val="both"/>
            </w:pPr>
            <w:r>
              <w:t>由于在声波传播的过程中，通过距离衰减、空气吸收衰减到达厂界外，故实际衰减量要低于其预测衰减量，即实际噪声值将略低于其预测值。</w:t>
            </w:r>
          </w:p>
          <w:p>
            <w:pPr>
              <w:pStyle w:val="6"/>
              <w:jc w:val="both"/>
              <w:outlineLvl w:val="2"/>
            </w:pPr>
            <w:r>
              <w:t>3.3</w:t>
            </w:r>
            <w:r>
              <w:rPr>
                <w:rFonts w:hint="eastAsia"/>
              </w:rPr>
              <w:t xml:space="preserve"> </w:t>
            </w:r>
            <w:r>
              <w:t>噪声排放标准</w:t>
            </w:r>
          </w:p>
          <w:p>
            <w:pPr>
              <w:pStyle w:val="20"/>
              <w:ind w:firstLine="480"/>
              <w:jc w:val="both"/>
            </w:pPr>
            <w:r>
              <w:t>厂界噪声标准采用《工业企业厂界环境噪声排放标准》（GB12348-2008）中的</w:t>
            </w:r>
            <w:r>
              <w:rPr>
                <w:rFonts w:hint="eastAsia"/>
              </w:rPr>
              <w:t>3</w:t>
            </w:r>
            <w:r>
              <w:t>类标准，其标准值见表</w:t>
            </w:r>
            <w:r>
              <w:rPr>
                <w:rFonts w:hint="eastAsia"/>
              </w:rPr>
              <w:t>4-11</w:t>
            </w:r>
            <w:r>
              <w:t>。</w:t>
            </w:r>
          </w:p>
          <w:p>
            <w:pPr>
              <w:pStyle w:val="32"/>
            </w:pPr>
          </w:p>
          <w:p>
            <w:pPr>
              <w:pStyle w:val="32"/>
            </w:pPr>
            <w:r>
              <w:t>表</w:t>
            </w:r>
            <w:r>
              <w:rPr>
                <w:rFonts w:hint="eastAsia"/>
              </w:rPr>
              <w:t>4-11</w:t>
            </w:r>
            <w:r>
              <w:t xml:space="preserve">    噪声评价标准    单位：dB（A）</w:t>
            </w:r>
          </w:p>
          <w:tbl>
            <w:tblPr>
              <w:tblStyle w:val="24"/>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09"/>
              <w:gridCol w:w="987"/>
              <w:gridCol w:w="987"/>
              <w:gridCol w:w="98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3116" w:type="pct"/>
                  <w:tcBorders>
                    <w:bottom w:val="single" w:color="000000" w:sz="12" w:space="0"/>
                  </w:tcBorders>
                  <w:vAlign w:val="center"/>
                </w:tcPr>
                <w:p>
                  <w:pPr>
                    <w:pStyle w:val="33"/>
                    <w:rPr>
                      <w:b/>
                      <w:bCs/>
                    </w:rPr>
                  </w:pPr>
                  <w:r>
                    <w:rPr>
                      <w:b/>
                      <w:bCs/>
                    </w:rPr>
                    <w:t>采用标准</w:t>
                  </w:r>
                </w:p>
              </w:tc>
              <w:tc>
                <w:tcPr>
                  <w:tcW w:w="627" w:type="pct"/>
                  <w:tcBorders>
                    <w:bottom w:val="single" w:color="000000" w:sz="12" w:space="0"/>
                  </w:tcBorders>
                  <w:vAlign w:val="center"/>
                </w:tcPr>
                <w:p>
                  <w:pPr>
                    <w:pStyle w:val="33"/>
                    <w:rPr>
                      <w:b/>
                      <w:bCs/>
                    </w:rPr>
                  </w:pPr>
                  <w:r>
                    <w:rPr>
                      <w:b/>
                      <w:bCs/>
                    </w:rPr>
                    <w:t>类别</w:t>
                  </w:r>
                </w:p>
              </w:tc>
              <w:tc>
                <w:tcPr>
                  <w:tcW w:w="627" w:type="pct"/>
                  <w:tcBorders>
                    <w:bottom w:val="single" w:color="000000" w:sz="12" w:space="0"/>
                  </w:tcBorders>
                  <w:vAlign w:val="center"/>
                </w:tcPr>
                <w:p>
                  <w:pPr>
                    <w:pStyle w:val="33"/>
                    <w:rPr>
                      <w:b/>
                      <w:bCs/>
                    </w:rPr>
                  </w:pPr>
                  <w:r>
                    <w:rPr>
                      <w:b/>
                      <w:bCs/>
                    </w:rPr>
                    <w:t>昼间</w:t>
                  </w:r>
                </w:p>
              </w:tc>
              <w:tc>
                <w:tcPr>
                  <w:tcW w:w="627" w:type="pct"/>
                  <w:tcBorders>
                    <w:bottom w:val="single" w:color="000000" w:sz="12" w:space="0"/>
                  </w:tcBorders>
                  <w:vAlign w:val="center"/>
                </w:tcPr>
                <w:p>
                  <w:pPr>
                    <w:pStyle w:val="33"/>
                    <w:rPr>
                      <w:b/>
                      <w:bCs/>
                    </w:rPr>
                  </w:pPr>
                  <w:r>
                    <w:rPr>
                      <w:b/>
                      <w:bCs/>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3116" w:type="pct"/>
                  <w:tcBorders>
                    <w:top w:val="single" w:color="000000" w:sz="12" w:space="0"/>
                  </w:tcBorders>
                  <w:vAlign w:val="center"/>
                </w:tcPr>
                <w:p>
                  <w:pPr>
                    <w:pStyle w:val="33"/>
                  </w:pPr>
                  <w:r>
                    <w:t>工业企业厂界环境噪声排放标准</w:t>
                  </w:r>
                </w:p>
              </w:tc>
              <w:tc>
                <w:tcPr>
                  <w:tcW w:w="627" w:type="pct"/>
                  <w:tcBorders>
                    <w:top w:val="single" w:color="000000" w:sz="12" w:space="0"/>
                  </w:tcBorders>
                  <w:vAlign w:val="center"/>
                </w:tcPr>
                <w:p>
                  <w:pPr>
                    <w:pStyle w:val="33"/>
                    <w:rPr>
                      <w:lang w:val="en-US" w:eastAsia="zh-CN"/>
                    </w:rPr>
                  </w:pPr>
                  <w:r>
                    <w:rPr>
                      <w:rFonts w:hint="eastAsia"/>
                      <w:lang w:val="en-US" w:eastAsia="zh-CN"/>
                    </w:rPr>
                    <w:t>3</w:t>
                  </w:r>
                </w:p>
              </w:tc>
              <w:tc>
                <w:tcPr>
                  <w:tcW w:w="627" w:type="pct"/>
                  <w:tcBorders>
                    <w:top w:val="single" w:color="000000" w:sz="12" w:space="0"/>
                  </w:tcBorders>
                  <w:vAlign w:val="center"/>
                </w:tcPr>
                <w:p>
                  <w:pPr>
                    <w:pStyle w:val="33"/>
                    <w:rPr>
                      <w:lang w:eastAsia="zh-CN"/>
                    </w:rPr>
                  </w:pPr>
                  <w:r>
                    <w:t>6</w:t>
                  </w:r>
                  <w:r>
                    <w:rPr>
                      <w:rFonts w:hint="eastAsia"/>
                      <w:lang w:val="en-US" w:eastAsia="zh-CN"/>
                    </w:rPr>
                    <w:t>5</w:t>
                  </w:r>
                </w:p>
              </w:tc>
              <w:tc>
                <w:tcPr>
                  <w:tcW w:w="627" w:type="pct"/>
                  <w:tcBorders>
                    <w:top w:val="single" w:color="000000" w:sz="12" w:space="0"/>
                  </w:tcBorders>
                  <w:vAlign w:val="center"/>
                </w:tcPr>
                <w:p>
                  <w:pPr>
                    <w:pStyle w:val="33"/>
                    <w:rPr>
                      <w:lang w:eastAsia="zh-CN"/>
                    </w:rPr>
                  </w:pPr>
                  <w:r>
                    <w:t>5</w:t>
                  </w:r>
                  <w:r>
                    <w:rPr>
                      <w:rFonts w:hint="eastAsia"/>
                      <w:lang w:val="en-US" w:eastAsia="zh-CN"/>
                    </w:rPr>
                    <w:t>5</w:t>
                  </w:r>
                </w:p>
              </w:tc>
            </w:tr>
          </w:tbl>
          <w:p>
            <w:pPr>
              <w:pStyle w:val="6"/>
              <w:jc w:val="both"/>
              <w:outlineLvl w:val="2"/>
            </w:pPr>
            <w:r>
              <w:t>3.4</w:t>
            </w:r>
            <w:r>
              <w:rPr>
                <w:rFonts w:hint="eastAsia"/>
              </w:rPr>
              <w:t xml:space="preserve"> </w:t>
            </w:r>
            <w:r>
              <w:t>噪声影响预测模式</w:t>
            </w:r>
          </w:p>
          <w:p>
            <w:pPr>
              <w:pStyle w:val="20"/>
              <w:ind w:firstLine="480"/>
              <w:jc w:val="both"/>
            </w:pPr>
            <w:r>
              <w:t>① 点声源随传播距离增加引起其衰减值预测模式计算：</w:t>
            </w:r>
          </w:p>
          <w:p>
            <w:pPr>
              <w:pStyle w:val="20"/>
              <w:ind w:firstLine="480"/>
              <w:jc w:val="center"/>
            </w:pPr>
            <w:r>
              <w:t>L</w:t>
            </w:r>
            <w:r>
              <w:rPr>
                <w:vertAlign w:val="subscript"/>
              </w:rPr>
              <w:t>2</w:t>
            </w:r>
            <w:r>
              <w:t>=L</w:t>
            </w:r>
            <w:r>
              <w:rPr>
                <w:vertAlign w:val="subscript"/>
              </w:rPr>
              <w:t>1</w:t>
            </w:r>
            <w:r>
              <w:t>-20lg(r</w:t>
            </w:r>
            <w:r>
              <w:rPr>
                <w:vertAlign w:val="subscript"/>
              </w:rPr>
              <w:t>2</w:t>
            </w:r>
            <w:r>
              <w:t>/r</w:t>
            </w:r>
            <w:r>
              <w:rPr>
                <w:vertAlign w:val="subscript"/>
              </w:rPr>
              <w:t>1</w:t>
            </w:r>
            <w:r>
              <w:t>)</w:t>
            </w:r>
          </w:p>
          <w:p>
            <w:pPr>
              <w:pStyle w:val="20"/>
              <w:ind w:firstLine="480"/>
              <w:jc w:val="both"/>
            </w:pPr>
            <w:r>
              <w:t>式中：L</w:t>
            </w:r>
            <w:r>
              <w:rPr>
                <w:vertAlign w:val="subscript"/>
              </w:rPr>
              <w:t>2</w:t>
            </w:r>
            <w:r>
              <w:t>--距源r</w:t>
            </w:r>
            <w:r>
              <w:rPr>
                <w:vertAlign w:val="subscript"/>
              </w:rPr>
              <w:t>2</w:t>
            </w:r>
            <w:r>
              <w:t>m处噪声级，dB(A)；</w:t>
            </w:r>
          </w:p>
          <w:p>
            <w:pPr>
              <w:pStyle w:val="20"/>
              <w:ind w:firstLine="1200" w:firstLineChars="500"/>
              <w:jc w:val="both"/>
            </w:pPr>
            <w:r>
              <w:t>L</w:t>
            </w:r>
            <w:r>
              <w:rPr>
                <w:vertAlign w:val="subscript"/>
              </w:rPr>
              <w:t>1</w:t>
            </w:r>
            <w:r>
              <w:t>--距源r</w:t>
            </w:r>
            <w:r>
              <w:rPr>
                <w:vertAlign w:val="subscript"/>
              </w:rPr>
              <w:t>1</w:t>
            </w:r>
            <w:r>
              <w:t>m处噪声级，dB(A)。</w:t>
            </w:r>
          </w:p>
          <w:p>
            <w:pPr>
              <w:pStyle w:val="20"/>
              <w:ind w:firstLine="480"/>
              <w:jc w:val="both"/>
            </w:pPr>
            <w:r>
              <w:t>② 噪声叠加模式</w:t>
            </w:r>
          </w:p>
          <w:p>
            <w:pPr>
              <w:pStyle w:val="20"/>
              <w:ind w:firstLine="480"/>
              <w:jc w:val="center"/>
            </w:pPr>
            <w:r>
              <w:t>L=10lg[Σ100.1Li]</w:t>
            </w:r>
          </w:p>
          <w:p>
            <w:pPr>
              <w:pStyle w:val="20"/>
              <w:ind w:firstLine="480"/>
              <w:jc w:val="both"/>
            </w:pPr>
            <w:r>
              <w:t>式中：L--总声压强度，dB(A)；</w:t>
            </w:r>
          </w:p>
          <w:p>
            <w:pPr>
              <w:pStyle w:val="20"/>
              <w:ind w:firstLine="1200" w:firstLineChars="500"/>
              <w:jc w:val="both"/>
            </w:pPr>
            <w:r>
              <w:t>L</w:t>
            </w:r>
            <w:r>
              <w:rPr>
                <w:vertAlign w:val="subscript"/>
              </w:rPr>
              <w:t>1</w:t>
            </w:r>
            <w:r>
              <w:t>--第i个参与合成的声压级强度，dB(A)。</w:t>
            </w:r>
          </w:p>
          <w:p>
            <w:pPr>
              <w:pStyle w:val="32"/>
            </w:pPr>
            <w:r>
              <w:t>表</w:t>
            </w:r>
            <w:r>
              <w:rPr>
                <w:rFonts w:hint="eastAsia"/>
              </w:rPr>
              <w:t>4-12</w:t>
            </w:r>
            <w:r>
              <w:t xml:space="preserve">    各声源与预测点间的距离</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49"/>
              <w:gridCol w:w="1864"/>
              <w:gridCol w:w="1545"/>
              <w:gridCol w:w="846"/>
              <w:gridCol w:w="616"/>
              <w:gridCol w:w="617"/>
              <w:gridCol w:w="616"/>
              <w:gridCol w:w="62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tblHeader/>
                <w:jc w:val="center"/>
              </w:trPr>
              <w:tc>
                <w:tcPr>
                  <w:tcW w:w="729" w:type="pct"/>
                  <w:vMerge w:val="restart"/>
                  <w:vAlign w:val="center"/>
                </w:tcPr>
                <w:p>
                  <w:pPr>
                    <w:pStyle w:val="33"/>
                    <w:rPr>
                      <w:b/>
                      <w:bCs/>
                    </w:rPr>
                  </w:pPr>
                  <w:r>
                    <w:rPr>
                      <w:b/>
                      <w:bCs/>
                    </w:rPr>
                    <w:t>噪声源</w:t>
                  </w:r>
                </w:p>
              </w:tc>
              <w:tc>
                <w:tcPr>
                  <w:tcW w:w="1183" w:type="pct"/>
                  <w:vMerge w:val="restart"/>
                  <w:vAlign w:val="center"/>
                </w:tcPr>
                <w:p>
                  <w:pPr>
                    <w:pStyle w:val="33"/>
                    <w:rPr>
                      <w:b/>
                      <w:bCs/>
                    </w:rPr>
                  </w:pPr>
                  <w:r>
                    <w:rPr>
                      <w:b/>
                      <w:bCs/>
                    </w:rPr>
                    <w:t>噪声设备</w:t>
                  </w:r>
                </w:p>
              </w:tc>
              <w:tc>
                <w:tcPr>
                  <w:tcW w:w="980" w:type="pct"/>
                  <w:vMerge w:val="restart"/>
                  <w:vAlign w:val="center"/>
                </w:tcPr>
                <w:p>
                  <w:pPr>
                    <w:pStyle w:val="33"/>
                    <w:rPr>
                      <w:b/>
                      <w:bCs/>
                    </w:rPr>
                  </w:pPr>
                  <w:r>
                    <w:rPr>
                      <w:b/>
                      <w:bCs/>
                    </w:rPr>
                    <w:t>降噪</w:t>
                  </w:r>
                  <w:r>
                    <w:rPr>
                      <w:b/>
                      <w:bCs/>
                      <w:lang w:eastAsia="zh-CN"/>
                    </w:rPr>
                    <w:t>源</w:t>
                  </w:r>
                  <w:r>
                    <w:rPr>
                      <w:b/>
                      <w:bCs/>
                    </w:rPr>
                    <w:t>声级</w:t>
                  </w:r>
                </w:p>
                <w:p>
                  <w:pPr>
                    <w:pStyle w:val="33"/>
                    <w:rPr>
                      <w:b/>
                      <w:bCs/>
                    </w:rPr>
                  </w:pPr>
                  <w:r>
                    <w:rPr>
                      <w:b/>
                      <w:bCs/>
                    </w:rPr>
                    <w:t>［dB(A)］</w:t>
                  </w:r>
                </w:p>
              </w:tc>
              <w:tc>
                <w:tcPr>
                  <w:tcW w:w="537" w:type="pct"/>
                  <w:vMerge w:val="restart"/>
                  <w:vAlign w:val="center"/>
                </w:tcPr>
                <w:p>
                  <w:pPr>
                    <w:pStyle w:val="33"/>
                    <w:rPr>
                      <w:b/>
                      <w:bCs/>
                    </w:rPr>
                  </w:pPr>
                  <w:r>
                    <w:rPr>
                      <w:b/>
                      <w:bCs/>
                    </w:rPr>
                    <w:t>数量</w:t>
                  </w:r>
                </w:p>
                <w:p>
                  <w:pPr>
                    <w:pStyle w:val="33"/>
                    <w:rPr>
                      <w:b/>
                      <w:bCs/>
                    </w:rPr>
                  </w:pPr>
                  <w:r>
                    <w:rPr>
                      <w:b/>
                      <w:bCs/>
                    </w:rPr>
                    <w:t>(台)</w:t>
                  </w:r>
                </w:p>
              </w:tc>
              <w:tc>
                <w:tcPr>
                  <w:tcW w:w="1568" w:type="pct"/>
                  <w:gridSpan w:val="4"/>
                  <w:vAlign w:val="center"/>
                </w:tcPr>
                <w:p>
                  <w:pPr>
                    <w:pStyle w:val="33"/>
                    <w:rPr>
                      <w:b/>
                      <w:bCs/>
                    </w:rPr>
                  </w:pPr>
                  <w:r>
                    <w:rPr>
                      <w:b/>
                      <w:bCs/>
                    </w:rPr>
                    <w:t>距厂界距离(m)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tblHeader/>
                <w:jc w:val="center"/>
              </w:trPr>
              <w:tc>
                <w:tcPr>
                  <w:tcW w:w="729" w:type="pct"/>
                  <w:vMerge w:val="continue"/>
                  <w:vAlign w:val="center"/>
                </w:tcPr>
                <w:p>
                  <w:pPr>
                    <w:pStyle w:val="33"/>
                  </w:pPr>
                </w:p>
              </w:tc>
              <w:tc>
                <w:tcPr>
                  <w:tcW w:w="1183" w:type="pct"/>
                  <w:vMerge w:val="continue"/>
                  <w:vAlign w:val="center"/>
                </w:tcPr>
                <w:p>
                  <w:pPr>
                    <w:pStyle w:val="33"/>
                  </w:pPr>
                </w:p>
              </w:tc>
              <w:tc>
                <w:tcPr>
                  <w:tcW w:w="980" w:type="pct"/>
                  <w:vMerge w:val="continue"/>
                  <w:vAlign w:val="center"/>
                </w:tcPr>
                <w:p>
                  <w:pPr>
                    <w:pStyle w:val="33"/>
                  </w:pPr>
                </w:p>
              </w:tc>
              <w:tc>
                <w:tcPr>
                  <w:tcW w:w="537" w:type="pct"/>
                  <w:vMerge w:val="continue"/>
                  <w:vAlign w:val="center"/>
                </w:tcPr>
                <w:p>
                  <w:pPr>
                    <w:pStyle w:val="33"/>
                  </w:pPr>
                </w:p>
              </w:tc>
              <w:tc>
                <w:tcPr>
                  <w:tcW w:w="391" w:type="pct"/>
                  <w:vAlign w:val="center"/>
                </w:tcPr>
                <w:p>
                  <w:pPr>
                    <w:pStyle w:val="33"/>
                  </w:pPr>
                  <w:r>
                    <w:t>东</w:t>
                  </w:r>
                </w:p>
              </w:tc>
              <w:tc>
                <w:tcPr>
                  <w:tcW w:w="392" w:type="pct"/>
                  <w:vAlign w:val="center"/>
                </w:tcPr>
                <w:p>
                  <w:pPr>
                    <w:pStyle w:val="33"/>
                  </w:pPr>
                  <w:r>
                    <w:t>南</w:t>
                  </w:r>
                </w:p>
              </w:tc>
              <w:tc>
                <w:tcPr>
                  <w:tcW w:w="391" w:type="pct"/>
                  <w:vAlign w:val="center"/>
                </w:tcPr>
                <w:p>
                  <w:pPr>
                    <w:pStyle w:val="33"/>
                  </w:pPr>
                  <w:r>
                    <w:t>西</w:t>
                  </w:r>
                </w:p>
              </w:tc>
              <w:tc>
                <w:tcPr>
                  <w:tcW w:w="394" w:type="pct"/>
                  <w:vAlign w:val="center"/>
                </w:tcPr>
                <w:p>
                  <w:pPr>
                    <w:pStyle w:val="33"/>
                  </w:pPr>
                  <w:r>
                    <w:t>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729" w:type="pct"/>
                  <w:vMerge w:val="restart"/>
                  <w:vAlign w:val="center"/>
                </w:tcPr>
                <w:p>
                  <w:pPr>
                    <w:pStyle w:val="33"/>
                    <w:rPr>
                      <w:lang w:eastAsia="zh-CN"/>
                    </w:rPr>
                  </w:pPr>
                  <w:r>
                    <w:rPr>
                      <w:lang w:eastAsia="zh-CN"/>
                    </w:rPr>
                    <w:t>机械设备</w:t>
                  </w:r>
                </w:p>
              </w:tc>
              <w:tc>
                <w:tcPr>
                  <w:tcW w:w="1864" w:type="dxa"/>
                  <w:vAlign w:val="center"/>
                </w:tcPr>
                <w:p>
                  <w:pPr>
                    <w:pStyle w:val="33"/>
                    <w:rPr>
                      <w:lang w:val="en-US" w:eastAsia="zh-CN"/>
                    </w:rPr>
                  </w:pPr>
                  <w:r>
                    <w:rPr>
                      <w:rFonts w:hint="eastAsia"/>
                      <w:lang w:val="en-US" w:eastAsia="zh-CN"/>
                    </w:rPr>
                    <w:t>切割</w:t>
                  </w:r>
                  <w:r>
                    <w:rPr>
                      <w:lang w:eastAsia="zh-CN"/>
                    </w:rPr>
                    <w:t>机</w:t>
                  </w:r>
                </w:p>
              </w:tc>
              <w:tc>
                <w:tcPr>
                  <w:tcW w:w="1544" w:type="dxa"/>
                  <w:vAlign w:val="center"/>
                </w:tcPr>
                <w:p>
                  <w:pPr>
                    <w:pStyle w:val="33"/>
                    <w:rPr>
                      <w:lang w:val="en-US" w:eastAsia="zh-CN"/>
                    </w:rPr>
                  </w:pPr>
                  <w:r>
                    <w:rPr>
                      <w:rFonts w:hint="eastAsia"/>
                      <w:lang w:val="en-US" w:eastAsia="zh-CN"/>
                    </w:rPr>
                    <w:t>75</w:t>
                  </w:r>
                </w:p>
              </w:tc>
              <w:tc>
                <w:tcPr>
                  <w:tcW w:w="537" w:type="pct"/>
                  <w:vAlign w:val="center"/>
                </w:tcPr>
                <w:p>
                  <w:pPr>
                    <w:pStyle w:val="33"/>
                  </w:pPr>
                  <w:r>
                    <w:rPr>
                      <w:rFonts w:hint="eastAsia"/>
                      <w:lang w:val="en-US" w:eastAsia="zh-CN"/>
                    </w:rPr>
                    <w:t>1</w:t>
                  </w:r>
                </w:p>
              </w:tc>
              <w:tc>
                <w:tcPr>
                  <w:tcW w:w="391" w:type="pct"/>
                  <w:vAlign w:val="center"/>
                </w:tcPr>
                <w:p>
                  <w:pPr>
                    <w:pStyle w:val="33"/>
                    <w:rPr>
                      <w:lang w:val="en-US" w:eastAsia="zh-CN"/>
                    </w:rPr>
                  </w:pPr>
                  <w:r>
                    <w:rPr>
                      <w:rFonts w:hint="eastAsia"/>
                      <w:lang w:val="en-US" w:eastAsia="zh-CN"/>
                    </w:rPr>
                    <w:t>150</w:t>
                  </w:r>
                </w:p>
              </w:tc>
              <w:tc>
                <w:tcPr>
                  <w:tcW w:w="392" w:type="pct"/>
                  <w:vAlign w:val="center"/>
                </w:tcPr>
                <w:p>
                  <w:pPr>
                    <w:pStyle w:val="33"/>
                    <w:rPr>
                      <w:lang w:val="en-US" w:eastAsia="zh-CN"/>
                    </w:rPr>
                  </w:pPr>
                  <w:r>
                    <w:rPr>
                      <w:rFonts w:hint="eastAsia"/>
                      <w:lang w:val="en-US" w:eastAsia="zh-CN"/>
                    </w:rPr>
                    <w:t>15</w:t>
                  </w:r>
                </w:p>
              </w:tc>
              <w:tc>
                <w:tcPr>
                  <w:tcW w:w="391" w:type="pct"/>
                  <w:vAlign w:val="center"/>
                </w:tcPr>
                <w:p>
                  <w:pPr>
                    <w:pStyle w:val="33"/>
                    <w:rPr>
                      <w:lang w:val="en-US" w:eastAsia="zh-CN"/>
                    </w:rPr>
                  </w:pPr>
                  <w:r>
                    <w:rPr>
                      <w:rFonts w:hint="eastAsia"/>
                      <w:lang w:val="en-US" w:eastAsia="zh-CN"/>
                    </w:rPr>
                    <w:t>45</w:t>
                  </w:r>
                </w:p>
              </w:tc>
              <w:tc>
                <w:tcPr>
                  <w:tcW w:w="394" w:type="pct"/>
                  <w:vAlign w:val="center"/>
                </w:tcPr>
                <w:p>
                  <w:pPr>
                    <w:pStyle w:val="33"/>
                    <w:rPr>
                      <w:lang w:val="en-US" w:eastAsia="zh-CN"/>
                    </w:rPr>
                  </w:pPr>
                  <w:r>
                    <w:rPr>
                      <w:rFonts w:hint="eastAsia"/>
                      <w:lang w:val="en-US" w:eastAsia="zh-CN"/>
                    </w:rPr>
                    <w:t>132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729" w:type="pct"/>
                  <w:vMerge w:val="continue"/>
                  <w:vAlign w:val="center"/>
                </w:tcPr>
                <w:p>
                  <w:pPr>
                    <w:pStyle w:val="33"/>
                  </w:pPr>
                </w:p>
              </w:tc>
              <w:tc>
                <w:tcPr>
                  <w:tcW w:w="1864" w:type="dxa"/>
                  <w:vAlign w:val="center"/>
                </w:tcPr>
                <w:p>
                  <w:pPr>
                    <w:pStyle w:val="33"/>
                    <w:rPr>
                      <w:lang w:val="en-US" w:eastAsia="zh-CN"/>
                    </w:rPr>
                  </w:pPr>
                  <w:r>
                    <w:rPr>
                      <w:rFonts w:hint="eastAsia"/>
                      <w:lang w:val="en-US" w:eastAsia="zh-CN"/>
                    </w:rPr>
                    <w:t>雕刻</w:t>
                  </w:r>
                  <w:r>
                    <w:t>机</w:t>
                  </w:r>
                </w:p>
              </w:tc>
              <w:tc>
                <w:tcPr>
                  <w:tcW w:w="1544" w:type="dxa"/>
                  <w:vAlign w:val="center"/>
                </w:tcPr>
                <w:p>
                  <w:pPr>
                    <w:pStyle w:val="33"/>
                    <w:rPr>
                      <w:lang w:val="en-US" w:eastAsia="zh-CN"/>
                    </w:rPr>
                  </w:pPr>
                  <w:r>
                    <w:rPr>
                      <w:lang w:val="en-US" w:eastAsia="zh-CN"/>
                    </w:rPr>
                    <w:t>85</w:t>
                  </w:r>
                </w:p>
              </w:tc>
              <w:tc>
                <w:tcPr>
                  <w:tcW w:w="537" w:type="pct"/>
                  <w:vAlign w:val="center"/>
                </w:tcPr>
                <w:p>
                  <w:pPr>
                    <w:pStyle w:val="33"/>
                  </w:pPr>
                  <w:r>
                    <w:rPr>
                      <w:rFonts w:hint="eastAsia"/>
                      <w:lang w:val="en-US" w:eastAsia="zh-CN"/>
                    </w:rPr>
                    <w:t>1</w:t>
                  </w:r>
                </w:p>
              </w:tc>
              <w:tc>
                <w:tcPr>
                  <w:tcW w:w="391" w:type="pct"/>
                  <w:vAlign w:val="center"/>
                </w:tcPr>
                <w:p>
                  <w:pPr>
                    <w:pStyle w:val="33"/>
                    <w:rPr>
                      <w:lang w:val="en-US" w:eastAsia="zh-CN"/>
                    </w:rPr>
                  </w:pPr>
                  <w:r>
                    <w:rPr>
                      <w:rFonts w:hint="eastAsia"/>
                      <w:lang w:val="en-US" w:eastAsia="zh-CN"/>
                    </w:rPr>
                    <w:t>148</w:t>
                  </w:r>
                </w:p>
              </w:tc>
              <w:tc>
                <w:tcPr>
                  <w:tcW w:w="392" w:type="pct"/>
                  <w:vAlign w:val="center"/>
                </w:tcPr>
                <w:p>
                  <w:pPr>
                    <w:pStyle w:val="33"/>
                    <w:rPr>
                      <w:lang w:val="en-US" w:eastAsia="zh-CN"/>
                    </w:rPr>
                  </w:pPr>
                  <w:r>
                    <w:rPr>
                      <w:rFonts w:hint="eastAsia"/>
                      <w:lang w:val="en-US" w:eastAsia="zh-CN"/>
                    </w:rPr>
                    <w:t>14</w:t>
                  </w:r>
                </w:p>
              </w:tc>
              <w:tc>
                <w:tcPr>
                  <w:tcW w:w="391" w:type="pct"/>
                  <w:vAlign w:val="center"/>
                </w:tcPr>
                <w:p>
                  <w:pPr>
                    <w:pStyle w:val="33"/>
                    <w:rPr>
                      <w:lang w:val="en-US" w:eastAsia="zh-CN"/>
                    </w:rPr>
                  </w:pPr>
                  <w:r>
                    <w:rPr>
                      <w:rFonts w:hint="eastAsia"/>
                      <w:lang w:val="en-US" w:eastAsia="zh-CN"/>
                    </w:rPr>
                    <w:t>55</w:t>
                  </w:r>
                </w:p>
              </w:tc>
              <w:tc>
                <w:tcPr>
                  <w:tcW w:w="394" w:type="pct"/>
                  <w:vAlign w:val="center"/>
                </w:tcPr>
                <w:p>
                  <w:pPr>
                    <w:pStyle w:val="33"/>
                    <w:rPr>
                      <w:lang w:val="en-US" w:eastAsia="zh-CN"/>
                    </w:rPr>
                  </w:pPr>
                  <w:r>
                    <w:rPr>
                      <w:rFonts w:hint="eastAsia"/>
                      <w:lang w:val="en-US" w:eastAsia="zh-CN"/>
                    </w:rPr>
                    <w:t>130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729" w:type="pct"/>
                  <w:vMerge w:val="continue"/>
                  <w:vAlign w:val="center"/>
                </w:tcPr>
                <w:p>
                  <w:pPr>
                    <w:pStyle w:val="33"/>
                  </w:pPr>
                </w:p>
              </w:tc>
              <w:tc>
                <w:tcPr>
                  <w:tcW w:w="1864" w:type="dxa"/>
                  <w:vAlign w:val="center"/>
                </w:tcPr>
                <w:p>
                  <w:pPr>
                    <w:pStyle w:val="33"/>
                    <w:rPr>
                      <w:lang w:val="en-US" w:eastAsia="zh-CN"/>
                    </w:rPr>
                  </w:pPr>
                  <w:r>
                    <w:t>搅拌机</w:t>
                  </w:r>
                </w:p>
              </w:tc>
              <w:tc>
                <w:tcPr>
                  <w:tcW w:w="1544" w:type="dxa"/>
                  <w:vAlign w:val="center"/>
                </w:tcPr>
                <w:p>
                  <w:pPr>
                    <w:pStyle w:val="33"/>
                    <w:rPr>
                      <w:lang w:val="en-US" w:eastAsia="zh-CN"/>
                    </w:rPr>
                  </w:pPr>
                  <w:r>
                    <w:rPr>
                      <w:rFonts w:hint="eastAsia"/>
                      <w:lang w:val="en-US" w:eastAsia="zh-CN"/>
                    </w:rPr>
                    <w:t>80</w:t>
                  </w:r>
                </w:p>
              </w:tc>
              <w:tc>
                <w:tcPr>
                  <w:tcW w:w="537" w:type="pct"/>
                  <w:vAlign w:val="center"/>
                </w:tcPr>
                <w:p>
                  <w:pPr>
                    <w:pStyle w:val="33"/>
                  </w:pPr>
                  <w:r>
                    <w:rPr>
                      <w:rFonts w:hint="eastAsia"/>
                      <w:lang w:val="en-US" w:eastAsia="zh-CN"/>
                    </w:rPr>
                    <w:t>1</w:t>
                  </w:r>
                </w:p>
              </w:tc>
              <w:tc>
                <w:tcPr>
                  <w:tcW w:w="391" w:type="pct"/>
                  <w:vAlign w:val="center"/>
                </w:tcPr>
                <w:p>
                  <w:pPr>
                    <w:pStyle w:val="33"/>
                    <w:rPr>
                      <w:lang w:val="en-US" w:eastAsia="zh-CN"/>
                    </w:rPr>
                  </w:pPr>
                  <w:r>
                    <w:rPr>
                      <w:rFonts w:hint="eastAsia"/>
                      <w:lang w:val="en-US" w:eastAsia="zh-CN"/>
                    </w:rPr>
                    <w:t>137</w:t>
                  </w:r>
                </w:p>
              </w:tc>
              <w:tc>
                <w:tcPr>
                  <w:tcW w:w="392" w:type="pct"/>
                  <w:vAlign w:val="center"/>
                </w:tcPr>
                <w:p>
                  <w:pPr>
                    <w:pStyle w:val="33"/>
                    <w:rPr>
                      <w:lang w:val="en-US" w:eastAsia="zh-CN"/>
                    </w:rPr>
                  </w:pPr>
                  <w:r>
                    <w:rPr>
                      <w:rFonts w:hint="eastAsia"/>
                      <w:lang w:val="en-US" w:eastAsia="zh-CN"/>
                    </w:rPr>
                    <w:t>12</w:t>
                  </w:r>
                </w:p>
              </w:tc>
              <w:tc>
                <w:tcPr>
                  <w:tcW w:w="391" w:type="pct"/>
                  <w:vAlign w:val="center"/>
                </w:tcPr>
                <w:p>
                  <w:pPr>
                    <w:pStyle w:val="33"/>
                    <w:rPr>
                      <w:lang w:val="en-US" w:eastAsia="zh-CN"/>
                    </w:rPr>
                  </w:pPr>
                  <w:r>
                    <w:rPr>
                      <w:rFonts w:hint="eastAsia"/>
                      <w:lang w:val="en-US" w:eastAsia="zh-CN"/>
                    </w:rPr>
                    <w:t>60</w:t>
                  </w:r>
                </w:p>
              </w:tc>
              <w:tc>
                <w:tcPr>
                  <w:tcW w:w="394" w:type="pct"/>
                  <w:vAlign w:val="center"/>
                </w:tcPr>
                <w:p>
                  <w:pPr>
                    <w:pStyle w:val="33"/>
                    <w:rPr>
                      <w:lang w:val="en-US" w:eastAsia="zh-CN"/>
                    </w:rPr>
                  </w:pPr>
                  <w:r>
                    <w:rPr>
                      <w:rFonts w:hint="eastAsia"/>
                      <w:lang w:val="en-US" w:eastAsia="zh-CN"/>
                    </w:rPr>
                    <w:t>128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729" w:type="pct"/>
                  <w:vMerge w:val="continue"/>
                  <w:vAlign w:val="center"/>
                </w:tcPr>
                <w:p>
                  <w:pPr>
                    <w:pStyle w:val="33"/>
                  </w:pPr>
                </w:p>
              </w:tc>
              <w:tc>
                <w:tcPr>
                  <w:tcW w:w="1864" w:type="dxa"/>
                  <w:vAlign w:val="center"/>
                </w:tcPr>
                <w:p>
                  <w:pPr>
                    <w:pStyle w:val="33"/>
                    <w:rPr>
                      <w:lang w:val="en-US" w:eastAsia="zh-CN"/>
                    </w:rPr>
                  </w:pPr>
                  <w:r>
                    <w:rPr>
                      <w:rFonts w:hint="eastAsia"/>
                      <w:lang w:val="en-US" w:eastAsia="zh-CN"/>
                    </w:rPr>
                    <w:t>挂浆</w:t>
                  </w:r>
                  <w:r>
                    <w:t>机</w:t>
                  </w:r>
                </w:p>
              </w:tc>
              <w:tc>
                <w:tcPr>
                  <w:tcW w:w="1544" w:type="dxa"/>
                  <w:vAlign w:val="center"/>
                </w:tcPr>
                <w:p>
                  <w:pPr>
                    <w:pStyle w:val="33"/>
                    <w:rPr>
                      <w:lang w:val="en-US" w:eastAsia="zh-CN"/>
                    </w:rPr>
                  </w:pPr>
                  <w:r>
                    <w:rPr>
                      <w:rFonts w:hint="eastAsia"/>
                      <w:lang w:val="en-US" w:eastAsia="zh-CN"/>
                    </w:rPr>
                    <w:t>85</w:t>
                  </w:r>
                </w:p>
              </w:tc>
              <w:tc>
                <w:tcPr>
                  <w:tcW w:w="537" w:type="pct"/>
                  <w:vAlign w:val="center"/>
                </w:tcPr>
                <w:p>
                  <w:pPr>
                    <w:pStyle w:val="33"/>
                  </w:pPr>
                  <w:r>
                    <w:rPr>
                      <w:rFonts w:hint="eastAsia"/>
                      <w:lang w:val="en-US" w:eastAsia="zh-CN"/>
                    </w:rPr>
                    <w:t>1</w:t>
                  </w:r>
                </w:p>
              </w:tc>
              <w:tc>
                <w:tcPr>
                  <w:tcW w:w="391" w:type="pct"/>
                  <w:vAlign w:val="center"/>
                </w:tcPr>
                <w:p>
                  <w:pPr>
                    <w:pStyle w:val="33"/>
                    <w:rPr>
                      <w:lang w:val="en-US" w:eastAsia="zh-CN"/>
                    </w:rPr>
                  </w:pPr>
                  <w:r>
                    <w:rPr>
                      <w:rFonts w:hint="eastAsia"/>
                      <w:lang w:val="en-US" w:eastAsia="zh-CN"/>
                    </w:rPr>
                    <w:t>146</w:t>
                  </w:r>
                </w:p>
              </w:tc>
              <w:tc>
                <w:tcPr>
                  <w:tcW w:w="392" w:type="pct"/>
                  <w:vAlign w:val="center"/>
                </w:tcPr>
                <w:p>
                  <w:pPr>
                    <w:pStyle w:val="33"/>
                    <w:rPr>
                      <w:lang w:val="en-US" w:eastAsia="zh-CN"/>
                    </w:rPr>
                  </w:pPr>
                  <w:r>
                    <w:rPr>
                      <w:rFonts w:hint="eastAsia"/>
                      <w:lang w:val="en-US" w:eastAsia="zh-CN"/>
                    </w:rPr>
                    <w:t>16</w:t>
                  </w:r>
                </w:p>
              </w:tc>
              <w:tc>
                <w:tcPr>
                  <w:tcW w:w="391" w:type="pct"/>
                  <w:vAlign w:val="center"/>
                </w:tcPr>
                <w:p>
                  <w:pPr>
                    <w:pStyle w:val="33"/>
                    <w:rPr>
                      <w:lang w:val="en-US" w:eastAsia="zh-CN"/>
                    </w:rPr>
                  </w:pPr>
                  <w:r>
                    <w:rPr>
                      <w:rFonts w:hint="eastAsia"/>
                      <w:lang w:val="en-US" w:eastAsia="zh-CN"/>
                    </w:rPr>
                    <w:t>48</w:t>
                  </w:r>
                </w:p>
              </w:tc>
              <w:tc>
                <w:tcPr>
                  <w:tcW w:w="394" w:type="pct"/>
                  <w:vAlign w:val="center"/>
                </w:tcPr>
                <w:p>
                  <w:pPr>
                    <w:pStyle w:val="33"/>
                    <w:rPr>
                      <w:lang w:val="en-US" w:eastAsia="zh-CN"/>
                    </w:rPr>
                  </w:pPr>
                  <w:r>
                    <w:rPr>
                      <w:rFonts w:hint="eastAsia"/>
                      <w:lang w:val="en-US" w:eastAsia="zh-CN"/>
                    </w:rPr>
                    <w:t>126</w:t>
                  </w:r>
                </w:p>
              </w:tc>
            </w:tr>
          </w:tbl>
          <w:p>
            <w:pPr>
              <w:pStyle w:val="20"/>
              <w:ind w:firstLine="480"/>
              <w:jc w:val="both"/>
            </w:pPr>
            <w:r>
              <w:t>产噪设备加设减振基础或减振垫等措施后，噪声能降低噪声级</w:t>
            </w:r>
            <w:r>
              <w:rPr>
                <w:rFonts w:hint="eastAsia"/>
              </w:rPr>
              <w:t>15</w:t>
            </w:r>
            <w:r>
              <w:t>dB(A)，结合距离衰减，项目各设备噪声源同时运行时对厂界噪声贡献值见表</w:t>
            </w:r>
            <w:r>
              <w:rPr>
                <w:rFonts w:hint="eastAsia"/>
              </w:rPr>
              <w:t>4-13</w:t>
            </w:r>
            <w:r>
              <w:t>。</w:t>
            </w:r>
          </w:p>
          <w:p>
            <w:pPr>
              <w:pStyle w:val="32"/>
            </w:pPr>
            <w:r>
              <w:t>表</w:t>
            </w:r>
            <w:r>
              <w:rPr>
                <w:rFonts w:hint="eastAsia"/>
              </w:rPr>
              <w:t>4-13</w:t>
            </w:r>
            <w:r>
              <w:t xml:space="preserve">    距离衰减对各预测点的影响值表    单位：dB(A)</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2"/>
              <w:gridCol w:w="1313"/>
              <w:gridCol w:w="1303"/>
              <w:gridCol w:w="827"/>
              <w:gridCol w:w="872"/>
              <w:gridCol w:w="943"/>
              <w:gridCol w:w="1019"/>
              <w:gridCol w:w="96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tblHeader/>
                <w:jc w:val="center"/>
              </w:trPr>
              <w:tc>
                <w:tcPr>
                  <w:tcW w:w="401" w:type="pct"/>
                  <w:tcBorders>
                    <w:bottom w:val="single" w:color="auto" w:sz="12" w:space="0"/>
                  </w:tcBorders>
                  <w:vAlign w:val="center"/>
                </w:tcPr>
                <w:p>
                  <w:pPr>
                    <w:pStyle w:val="33"/>
                    <w:rPr>
                      <w:b/>
                      <w:bCs/>
                    </w:rPr>
                  </w:pPr>
                  <w:r>
                    <w:rPr>
                      <w:b/>
                      <w:bCs/>
                    </w:rPr>
                    <w:t>噪声源</w:t>
                  </w:r>
                </w:p>
              </w:tc>
              <w:tc>
                <w:tcPr>
                  <w:tcW w:w="833" w:type="pct"/>
                  <w:tcBorders>
                    <w:bottom w:val="single" w:color="auto" w:sz="12" w:space="0"/>
                  </w:tcBorders>
                  <w:vAlign w:val="center"/>
                </w:tcPr>
                <w:p>
                  <w:pPr>
                    <w:pStyle w:val="33"/>
                    <w:rPr>
                      <w:b/>
                      <w:bCs/>
                    </w:rPr>
                  </w:pPr>
                  <w:r>
                    <w:rPr>
                      <w:b/>
                      <w:bCs/>
                    </w:rPr>
                    <w:t>噪声设备</w:t>
                  </w:r>
                </w:p>
              </w:tc>
              <w:tc>
                <w:tcPr>
                  <w:tcW w:w="827" w:type="pct"/>
                  <w:tcBorders>
                    <w:bottom w:val="single" w:color="auto" w:sz="12" w:space="0"/>
                  </w:tcBorders>
                  <w:vAlign w:val="center"/>
                </w:tcPr>
                <w:p>
                  <w:pPr>
                    <w:pStyle w:val="33"/>
                    <w:rPr>
                      <w:b/>
                      <w:bCs/>
                    </w:rPr>
                  </w:pPr>
                  <w:r>
                    <w:rPr>
                      <w:b/>
                      <w:bCs/>
                    </w:rPr>
                    <w:t>降噪后声级［dB(A)］</w:t>
                  </w:r>
                </w:p>
              </w:tc>
              <w:tc>
                <w:tcPr>
                  <w:tcW w:w="524" w:type="pct"/>
                  <w:tcBorders>
                    <w:bottom w:val="single" w:color="auto" w:sz="12" w:space="0"/>
                  </w:tcBorders>
                  <w:vAlign w:val="center"/>
                </w:tcPr>
                <w:p>
                  <w:pPr>
                    <w:pStyle w:val="33"/>
                    <w:rPr>
                      <w:b/>
                      <w:bCs/>
                    </w:rPr>
                  </w:pPr>
                  <w:r>
                    <w:rPr>
                      <w:b/>
                      <w:bCs/>
                    </w:rPr>
                    <w:t>数量(台)</w:t>
                  </w:r>
                </w:p>
              </w:tc>
              <w:tc>
                <w:tcPr>
                  <w:tcW w:w="554" w:type="pct"/>
                  <w:tcBorders>
                    <w:bottom w:val="single" w:color="auto" w:sz="12" w:space="0"/>
                  </w:tcBorders>
                  <w:vAlign w:val="center"/>
                </w:tcPr>
                <w:p>
                  <w:pPr>
                    <w:pStyle w:val="33"/>
                    <w:rPr>
                      <w:b/>
                      <w:bCs/>
                    </w:rPr>
                  </w:pPr>
                  <w:r>
                    <w:rPr>
                      <w:b/>
                      <w:bCs/>
                    </w:rPr>
                    <w:t>厂界东</w:t>
                  </w:r>
                </w:p>
              </w:tc>
              <w:tc>
                <w:tcPr>
                  <w:tcW w:w="599" w:type="pct"/>
                  <w:tcBorders>
                    <w:bottom w:val="single" w:color="auto" w:sz="12" w:space="0"/>
                  </w:tcBorders>
                  <w:vAlign w:val="center"/>
                </w:tcPr>
                <w:p>
                  <w:pPr>
                    <w:pStyle w:val="33"/>
                    <w:rPr>
                      <w:b/>
                      <w:bCs/>
                    </w:rPr>
                  </w:pPr>
                  <w:r>
                    <w:rPr>
                      <w:b/>
                      <w:bCs/>
                    </w:rPr>
                    <w:t>厂界南</w:t>
                  </w:r>
                </w:p>
              </w:tc>
              <w:tc>
                <w:tcPr>
                  <w:tcW w:w="647" w:type="pct"/>
                  <w:tcBorders>
                    <w:bottom w:val="single" w:color="auto" w:sz="12" w:space="0"/>
                  </w:tcBorders>
                  <w:vAlign w:val="center"/>
                </w:tcPr>
                <w:p>
                  <w:pPr>
                    <w:pStyle w:val="33"/>
                    <w:rPr>
                      <w:b/>
                      <w:bCs/>
                    </w:rPr>
                  </w:pPr>
                  <w:r>
                    <w:rPr>
                      <w:b/>
                      <w:bCs/>
                    </w:rPr>
                    <w:t>厂界西</w:t>
                  </w:r>
                </w:p>
              </w:tc>
              <w:tc>
                <w:tcPr>
                  <w:tcW w:w="612" w:type="pct"/>
                  <w:tcBorders>
                    <w:bottom w:val="single" w:color="auto" w:sz="12" w:space="0"/>
                  </w:tcBorders>
                  <w:vAlign w:val="center"/>
                </w:tcPr>
                <w:p>
                  <w:pPr>
                    <w:pStyle w:val="33"/>
                    <w:rPr>
                      <w:b/>
                      <w:bCs/>
                    </w:rPr>
                  </w:pPr>
                  <w:r>
                    <w:rPr>
                      <w:b/>
                      <w:bCs/>
                    </w:rPr>
                    <w:t>厂界北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01" w:type="pct"/>
                  <w:vMerge w:val="restart"/>
                  <w:tcBorders>
                    <w:top w:val="single" w:color="auto" w:sz="12" w:space="0"/>
                  </w:tcBorders>
                  <w:vAlign w:val="center"/>
                </w:tcPr>
                <w:p>
                  <w:pPr>
                    <w:pStyle w:val="33"/>
                  </w:pPr>
                  <w:r>
                    <w:rPr>
                      <w:lang w:eastAsia="zh-CN"/>
                    </w:rPr>
                    <w:t>机械设备</w:t>
                  </w:r>
                </w:p>
              </w:tc>
              <w:tc>
                <w:tcPr>
                  <w:tcW w:w="833" w:type="pct"/>
                  <w:tcBorders>
                    <w:top w:val="single" w:color="auto" w:sz="12" w:space="0"/>
                  </w:tcBorders>
                  <w:vAlign w:val="center"/>
                </w:tcPr>
                <w:p>
                  <w:pPr>
                    <w:pStyle w:val="33"/>
                    <w:rPr>
                      <w:lang w:val="en-US" w:eastAsia="zh-CN"/>
                    </w:rPr>
                  </w:pPr>
                  <w:r>
                    <w:rPr>
                      <w:rFonts w:hint="eastAsia"/>
                      <w:lang w:val="en-US" w:eastAsia="zh-CN"/>
                    </w:rPr>
                    <w:t>切割</w:t>
                  </w:r>
                  <w:r>
                    <w:rPr>
                      <w:lang w:eastAsia="zh-CN"/>
                    </w:rPr>
                    <w:t>机</w:t>
                  </w:r>
                </w:p>
              </w:tc>
              <w:tc>
                <w:tcPr>
                  <w:tcW w:w="827" w:type="pct"/>
                  <w:tcBorders>
                    <w:top w:val="single" w:color="auto" w:sz="12" w:space="0"/>
                  </w:tcBorders>
                  <w:vAlign w:val="center"/>
                </w:tcPr>
                <w:p>
                  <w:pPr>
                    <w:pStyle w:val="33"/>
                    <w:rPr>
                      <w:lang w:val="en-US" w:eastAsia="zh-CN"/>
                    </w:rPr>
                  </w:pPr>
                  <w:r>
                    <w:rPr>
                      <w:rFonts w:hint="eastAsia"/>
                      <w:lang w:val="en-US" w:eastAsia="zh-CN"/>
                    </w:rPr>
                    <w:t>60</w:t>
                  </w:r>
                </w:p>
              </w:tc>
              <w:tc>
                <w:tcPr>
                  <w:tcW w:w="524" w:type="pct"/>
                  <w:tcBorders>
                    <w:top w:val="single" w:color="auto" w:sz="12" w:space="0"/>
                  </w:tcBorders>
                  <w:vAlign w:val="center"/>
                </w:tcPr>
                <w:p>
                  <w:pPr>
                    <w:pStyle w:val="33"/>
                    <w:rPr>
                      <w:lang w:val="en-US" w:eastAsia="zh-CN"/>
                    </w:rPr>
                  </w:pPr>
                  <w:r>
                    <w:rPr>
                      <w:rFonts w:hint="eastAsia"/>
                      <w:lang w:val="en-US" w:eastAsia="zh-CN"/>
                    </w:rPr>
                    <w:t>1</w:t>
                  </w:r>
                </w:p>
              </w:tc>
              <w:tc>
                <w:tcPr>
                  <w:tcW w:w="554" w:type="pct"/>
                  <w:tcBorders>
                    <w:top w:val="single" w:color="auto" w:sz="12" w:space="0"/>
                  </w:tcBorders>
                  <w:vAlign w:val="center"/>
                </w:tcPr>
                <w:p>
                  <w:pPr>
                    <w:pStyle w:val="33"/>
                    <w:rPr>
                      <w:lang w:val="en-US" w:eastAsia="zh-CN"/>
                    </w:rPr>
                  </w:pPr>
                  <w:r>
                    <w:rPr>
                      <w:rFonts w:hint="eastAsia"/>
                      <w:lang w:val="en-US" w:eastAsia="zh-CN"/>
                    </w:rPr>
                    <w:t>16.5</w:t>
                  </w:r>
                </w:p>
              </w:tc>
              <w:tc>
                <w:tcPr>
                  <w:tcW w:w="599" w:type="pct"/>
                  <w:tcBorders>
                    <w:top w:val="single" w:color="auto" w:sz="12" w:space="0"/>
                  </w:tcBorders>
                  <w:vAlign w:val="center"/>
                </w:tcPr>
                <w:p>
                  <w:pPr>
                    <w:pStyle w:val="33"/>
                    <w:rPr>
                      <w:lang w:val="en-US" w:eastAsia="zh-CN"/>
                    </w:rPr>
                  </w:pPr>
                  <w:r>
                    <w:rPr>
                      <w:rFonts w:hint="eastAsia"/>
                      <w:lang w:val="en-US" w:eastAsia="zh-CN"/>
                    </w:rPr>
                    <w:t>36.5</w:t>
                  </w:r>
                </w:p>
              </w:tc>
              <w:tc>
                <w:tcPr>
                  <w:tcW w:w="647" w:type="pct"/>
                  <w:tcBorders>
                    <w:top w:val="single" w:color="auto" w:sz="12" w:space="0"/>
                  </w:tcBorders>
                  <w:vAlign w:val="center"/>
                </w:tcPr>
                <w:p>
                  <w:pPr>
                    <w:pStyle w:val="33"/>
                    <w:rPr>
                      <w:lang w:val="en-US" w:eastAsia="zh-CN"/>
                    </w:rPr>
                  </w:pPr>
                  <w:r>
                    <w:rPr>
                      <w:rFonts w:hint="eastAsia"/>
                      <w:lang w:val="en-US" w:eastAsia="zh-CN"/>
                    </w:rPr>
                    <w:t>26.9</w:t>
                  </w:r>
                </w:p>
              </w:tc>
              <w:tc>
                <w:tcPr>
                  <w:tcW w:w="612" w:type="pct"/>
                  <w:tcBorders>
                    <w:top w:val="single" w:color="auto" w:sz="12" w:space="0"/>
                  </w:tcBorders>
                  <w:vAlign w:val="center"/>
                </w:tcPr>
                <w:p>
                  <w:pPr>
                    <w:pStyle w:val="33"/>
                    <w:rPr>
                      <w:lang w:val="en-US" w:eastAsia="zh-CN"/>
                    </w:rPr>
                  </w:pPr>
                  <w:r>
                    <w:rPr>
                      <w:rFonts w:hint="eastAsia"/>
                      <w:lang w:val="en-US" w:eastAsia="zh-CN"/>
                    </w:rPr>
                    <w:t>17.6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01" w:type="pct"/>
                  <w:vMerge w:val="continue"/>
                  <w:vAlign w:val="center"/>
                </w:tcPr>
                <w:p>
                  <w:pPr>
                    <w:pStyle w:val="33"/>
                  </w:pPr>
                </w:p>
              </w:tc>
              <w:tc>
                <w:tcPr>
                  <w:tcW w:w="833" w:type="pct"/>
                  <w:vAlign w:val="center"/>
                </w:tcPr>
                <w:p>
                  <w:pPr>
                    <w:pStyle w:val="33"/>
                    <w:rPr>
                      <w:lang w:val="en-US" w:eastAsia="zh-CN"/>
                    </w:rPr>
                  </w:pPr>
                  <w:r>
                    <w:rPr>
                      <w:rFonts w:hint="eastAsia"/>
                      <w:lang w:val="en-US" w:eastAsia="zh-CN"/>
                    </w:rPr>
                    <w:t>雕刻</w:t>
                  </w:r>
                  <w:r>
                    <w:t>机</w:t>
                  </w:r>
                </w:p>
              </w:tc>
              <w:tc>
                <w:tcPr>
                  <w:tcW w:w="827" w:type="pct"/>
                  <w:vAlign w:val="center"/>
                </w:tcPr>
                <w:p>
                  <w:pPr>
                    <w:pStyle w:val="33"/>
                    <w:rPr>
                      <w:lang w:val="en-US" w:eastAsia="zh-CN"/>
                    </w:rPr>
                  </w:pPr>
                  <w:r>
                    <w:rPr>
                      <w:rFonts w:hint="eastAsia"/>
                      <w:lang w:val="en-US" w:eastAsia="zh-CN"/>
                    </w:rPr>
                    <w:t>70</w:t>
                  </w:r>
                </w:p>
              </w:tc>
              <w:tc>
                <w:tcPr>
                  <w:tcW w:w="524" w:type="pct"/>
                  <w:vAlign w:val="center"/>
                </w:tcPr>
                <w:p>
                  <w:pPr>
                    <w:pStyle w:val="33"/>
                    <w:rPr>
                      <w:lang w:val="en-US" w:eastAsia="zh-CN"/>
                    </w:rPr>
                  </w:pPr>
                  <w:r>
                    <w:rPr>
                      <w:rFonts w:hint="eastAsia"/>
                      <w:lang w:val="en-US" w:eastAsia="zh-CN"/>
                    </w:rPr>
                    <w:t>1</w:t>
                  </w:r>
                </w:p>
              </w:tc>
              <w:tc>
                <w:tcPr>
                  <w:tcW w:w="554" w:type="pct"/>
                  <w:vAlign w:val="center"/>
                </w:tcPr>
                <w:p>
                  <w:pPr>
                    <w:pStyle w:val="33"/>
                    <w:rPr>
                      <w:lang w:val="en-US" w:eastAsia="zh-CN"/>
                    </w:rPr>
                  </w:pPr>
                  <w:r>
                    <w:rPr>
                      <w:rFonts w:hint="eastAsia"/>
                      <w:lang w:val="en-US" w:eastAsia="zh-CN"/>
                    </w:rPr>
                    <w:t>26.6</w:t>
                  </w:r>
                </w:p>
              </w:tc>
              <w:tc>
                <w:tcPr>
                  <w:tcW w:w="599" w:type="pct"/>
                  <w:vAlign w:val="center"/>
                </w:tcPr>
                <w:p>
                  <w:pPr>
                    <w:pStyle w:val="33"/>
                    <w:rPr>
                      <w:lang w:val="en-US" w:eastAsia="zh-CN"/>
                    </w:rPr>
                  </w:pPr>
                  <w:r>
                    <w:rPr>
                      <w:rFonts w:hint="eastAsia"/>
                      <w:lang w:val="en-US" w:eastAsia="zh-CN"/>
                    </w:rPr>
                    <w:t>47.1</w:t>
                  </w:r>
                </w:p>
              </w:tc>
              <w:tc>
                <w:tcPr>
                  <w:tcW w:w="647" w:type="pct"/>
                  <w:vAlign w:val="center"/>
                </w:tcPr>
                <w:p>
                  <w:pPr>
                    <w:pStyle w:val="33"/>
                    <w:rPr>
                      <w:lang w:val="en-US" w:eastAsia="zh-CN"/>
                    </w:rPr>
                  </w:pPr>
                  <w:r>
                    <w:rPr>
                      <w:rFonts w:hint="eastAsia"/>
                      <w:lang w:val="en-US" w:eastAsia="zh-CN"/>
                    </w:rPr>
                    <w:t>35.2</w:t>
                  </w:r>
                </w:p>
              </w:tc>
              <w:tc>
                <w:tcPr>
                  <w:tcW w:w="612" w:type="pct"/>
                  <w:vAlign w:val="center"/>
                </w:tcPr>
                <w:p>
                  <w:pPr>
                    <w:pStyle w:val="33"/>
                    <w:rPr>
                      <w:lang w:val="en-US" w:eastAsia="zh-CN"/>
                    </w:rPr>
                  </w:pPr>
                  <w:r>
                    <w:rPr>
                      <w:rFonts w:hint="eastAsia"/>
                      <w:lang w:val="en-US" w:eastAsia="zh-CN"/>
                    </w:rPr>
                    <w:t>27.2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01" w:type="pct"/>
                  <w:vMerge w:val="continue"/>
                  <w:vAlign w:val="center"/>
                </w:tcPr>
                <w:p>
                  <w:pPr>
                    <w:pStyle w:val="33"/>
                  </w:pPr>
                </w:p>
              </w:tc>
              <w:tc>
                <w:tcPr>
                  <w:tcW w:w="833" w:type="pct"/>
                  <w:vAlign w:val="center"/>
                </w:tcPr>
                <w:p>
                  <w:pPr>
                    <w:pStyle w:val="33"/>
                    <w:rPr>
                      <w:lang w:val="en-US" w:eastAsia="zh-CN"/>
                    </w:rPr>
                  </w:pPr>
                  <w:r>
                    <w:t>搅拌机</w:t>
                  </w:r>
                </w:p>
              </w:tc>
              <w:tc>
                <w:tcPr>
                  <w:tcW w:w="827" w:type="pct"/>
                  <w:vAlign w:val="center"/>
                </w:tcPr>
                <w:p>
                  <w:pPr>
                    <w:pStyle w:val="33"/>
                    <w:rPr>
                      <w:lang w:val="en-US" w:eastAsia="zh-CN"/>
                    </w:rPr>
                  </w:pPr>
                  <w:r>
                    <w:rPr>
                      <w:rFonts w:hint="eastAsia"/>
                      <w:lang w:val="en-US" w:eastAsia="zh-CN"/>
                    </w:rPr>
                    <w:t>65</w:t>
                  </w:r>
                </w:p>
              </w:tc>
              <w:tc>
                <w:tcPr>
                  <w:tcW w:w="524" w:type="pct"/>
                  <w:vAlign w:val="center"/>
                </w:tcPr>
                <w:p>
                  <w:pPr>
                    <w:pStyle w:val="33"/>
                    <w:rPr>
                      <w:lang w:val="en-US" w:eastAsia="zh-CN"/>
                    </w:rPr>
                  </w:pPr>
                  <w:r>
                    <w:rPr>
                      <w:lang w:val="en-US" w:eastAsia="zh-CN"/>
                    </w:rPr>
                    <w:t>1</w:t>
                  </w:r>
                </w:p>
              </w:tc>
              <w:tc>
                <w:tcPr>
                  <w:tcW w:w="554" w:type="pct"/>
                  <w:vAlign w:val="center"/>
                </w:tcPr>
                <w:p>
                  <w:pPr>
                    <w:pStyle w:val="33"/>
                    <w:rPr>
                      <w:lang w:val="en-US" w:eastAsia="zh-CN"/>
                    </w:rPr>
                  </w:pPr>
                  <w:r>
                    <w:rPr>
                      <w:rFonts w:hint="eastAsia"/>
                      <w:lang w:val="en-US" w:eastAsia="zh-CN"/>
                    </w:rPr>
                    <w:t>22.3</w:t>
                  </w:r>
                </w:p>
              </w:tc>
              <w:tc>
                <w:tcPr>
                  <w:tcW w:w="599" w:type="pct"/>
                  <w:vAlign w:val="center"/>
                </w:tcPr>
                <w:p>
                  <w:pPr>
                    <w:pStyle w:val="33"/>
                    <w:rPr>
                      <w:lang w:val="en-US" w:eastAsia="zh-CN"/>
                    </w:rPr>
                  </w:pPr>
                  <w:r>
                    <w:rPr>
                      <w:rFonts w:hint="eastAsia"/>
                      <w:lang w:val="en-US" w:eastAsia="zh-CN"/>
                    </w:rPr>
                    <w:t>43.4</w:t>
                  </w:r>
                </w:p>
              </w:tc>
              <w:tc>
                <w:tcPr>
                  <w:tcW w:w="647" w:type="pct"/>
                  <w:vAlign w:val="center"/>
                </w:tcPr>
                <w:p>
                  <w:pPr>
                    <w:pStyle w:val="33"/>
                    <w:rPr>
                      <w:lang w:val="en-US" w:eastAsia="zh-CN"/>
                    </w:rPr>
                  </w:pPr>
                  <w:r>
                    <w:rPr>
                      <w:rFonts w:hint="eastAsia"/>
                      <w:lang w:val="en-US" w:eastAsia="zh-CN"/>
                    </w:rPr>
                    <w:t>29.4</w:t>
                  </w:r>
                </w:p>
              </w:tc>
              <w:tc>
                <w:tcPr>
                  <w:tcW w:w="612" w:type="pct"/>
                  <w:vAlign w:val="center"/>
                </w:tcPr>
                <w:p>
                  <w:pPr>
                    <w:pStyle w:val="33"/>
                    <w:rPr>
                      <w:lang w:val="en-US" w:eastAsia="zh-CN"/>
                    </w:rPr>
                  </w:pPr>
                  <w:r>
                    <w:rPr>
                      <w:rFonts w:hint="eastAsia"/>
                      <w:lang w:val="en-US" w:eastAsia="zh-CN"/>
                    </w:rPr>
                    <w:t>22.9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01" w:type="pct"/>
                  <w:vMerge w:val="continue"/>
                  <w:vAlign w:val="center"/>
                </w:tcPr>
                <w:p>
                  <w:pPr>
                    <w:pStyle w:val="33"/>
                  </w:pPr>
                </w:p>
              </w:tc>
              <w:tc>
                <w:tcPr>
                  <w:tcW w:w="833" w:type="pct"/>
                  <w:vAlign w:val="center"/>
                </w:tcPr>
                <w:p>
                  <w:pPr>
                    <w:pStyle w:val="33"/>
                    <w:rPr>
                      <w:lang w:val="en-US" w:eastAsia="zh-CN"/>
                    </w:rPr>
                  </w:pPr>
                  <w:r>
                    <w:rPr>
                      <w:rFonts w:hint="eastAsia"/>
                      <w:lang w:val="en-US" w:eastAsia="zh-CN"/>
                    </w:rPr>
                    <w:t>挂浆</w:t>
                  </w:r>
                  <w:r>
                    <w:t>机</w:t>
                  </w:r>
                </w:p>
              </w:tc>
              <w:tc>
                <w:tcPr>
                  <w:tcW w:w="827" w:type="pct"/>
                  <w:vAlign w:val="center"/>
                </w:tcPr>
                <w:p>
                  <w:pPr>
                    <w:pStyle w:val="33"/>
                    <w:rPr>
                      <w:lang w:val="en-US" w:eastAsia="zh-CN"/>
                    </w:rPr>
                  </w:pPr>
                  <w:r>
                    <w:rPr>
                      <w:rFonts w:hint="eastAsia"/>
                      <w:lang w:val="en-US" w:eastAsia="zh-CN"/>
                    </w:rPr>
                    <w:t>70</w:t>
                  </w:r>
                </w:p>
              </w:tc>
              <w:tc>
                <w:tcPr>
                  <w:tcW w:w="524" w:type="pct"/>
                  <w:vAlign w:val="center"/>
                </w:tcPr>
                <w:p>
                  <w:pPr>
                    <w:pStyle w:val="33"/>
                    <w:rPr>
                      <w:lang w:val="en-US" w:eastAsia="zh-CN"/>
                    </w:rPr>
                  </w:pPr>
                  <w:r>
                    <w:rPr>
                      <w:rFonts w:hint="eastAsia"/>
                      <w:lang w:val="en-US" w:eastAsia="zh-CN"/>
                    </w:rPr>
                    <w:t>1</w:t>
                  </w:r>
                </w:p>
              </w:tc>
              <w:tc>
                <w:tcPr>
                  <w:tcW w:w="554" w:type="pct"/>
                  <w:vAlign w:val="center"/>
                </w:tcPr>
                <w:p>
                  <w:pPr>
                    <w:pStyle w:val="33"/>
                    <w:rPr>
                      <w:lang w:val="en-US" w:eastAsia="zh-CN"/>
                    </w:rPr>
                  </w:pPr>
                  <w:r>
                    <w:rPr>
                      <w:rFonts w:hint="eastAsia"/>
                      <w:lang w:val="en-US" w:eastAsia="zh-CN"/>
                    </w:rPr>
                    <w:t>26.7</w:t>
                  </w:r>
                </w:p>
              </w:tc>
              <w:tc>
                <w:tcPr>
                  <w:tcW w:w="599" w:type="pct"/>
                  <w:vAlign w:val="center"/>
                </w:tcPr>
                <w:p>
                  <w:pPr>
                    <w:pStyle w:val="33"/>
                    <w:rPr>
                      <w:lang w:val="en-US" w:eastAsia="zh-CN"/>
                    </w:rPr>
                  </w:pPr>
                  <w:r>
                    <w:rPr>
                      <w:rFonts w:hint="eastAsia"/>
                      <w:lang w:val="en-US" w:eastAsia="zh-CN"/>
                    </w:rPr>
                    <w:t>45.9</w:t>
                  </w:r>
                </w:p>
              </w:tc>
              <w:tc>
                <w:tcPr>
                  <w:tcW w:w="647" w:type="pct"/>
                  <w:vAlign w:val="center"/>
                </w:tcPr>
                <w:p>
                  <w:pPr>
                    <w:pStyle w:val="33"/>
                    <w:rPr>
                      <w:lang w:val="en-US" w:eastAsia="zh-CN"/>
                    </w:rPr>
                  </w:pPr>
                  <w:r>
                    <w:rPr>
                      <w:rFonts w:hint="eastAsia"/>
                      <w:lang w:val="en-US" w:eastAsia="zh-CN"/>
                    </w:rPr>
                    <w:t>36.4</w:t>
                  </w:r>
                </w:p>
              </w:tc>
              <w:tc>
                <w:tcPr>
                  <w:tcW w:w="612" w:type="pct"/>
                  <w:vAlign w:val="center"/>
                </w:tcPr>
                <w:p>
                  <w:pPr>
                    <w:pStyle w:val="33"/>
                    <w:rPr>
                      <w:lang w:val="en-US" w:eastAsia="zh-CN"/>
                    </w:rPr>
                  </w:pPr>
                  <w:r>
                    <w:rPr>
                      <w:rFonts w:hint="eastAsia"/>
                      <w:lang w:val="en-US" w:eastAsia="zh-CN"/>
                    </w:rPr>
                    <w:t>28.0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2586" w:type="pct"/>
                  <w:gridSpan w:val="4"/>
                  <w:vAlign w:val="center"/>
                </w:tcPr>
                <w:p>
                  <w:pPr>
                    <w:pStyle w:val="33"/>
                  </w:pPr>
                  <w:r>
                    <w:t>厂界贡献值</w:t>
                  </w:r>
                </w:p>
              </w:tc>
              <w:tc>
                <w:tcPr>
                  <w:tcW w:w="554" w:type="pct"/>
                  <w:vAlign w:val="center"/>
                </w:tcPr>
                <w:p>
                  <w:pPr>
                    <w:pStyle w:val="33"/>
                    <w:rPr>
                      <w:lang w:val="en-US" w:eastAsia="zh-CN"/>
                    </w:rPr>
                  </w:pPr>
                  <w:r>
                    <w:rPr>
                      <w:rFonts w:hint="eastAsia"/>
                      <w:lang w:val="en-US" w:eastAsia="zh-CN"/>
                    </w:rPr>
                    <w:t>30.6</w:t>
                  </w:r>
                </w:p>
              </w:tc>
              <w:tc>
                <w:tcPr>
                  <w:tcW w:w="599" w:type="pct"/>
                  <w:vAlign w:val="center"/>
                </w:tcPr>
                <w:p>
                  <w:pPr>
                    <w:pStyle w:val="33"/>
                    <w:rPr>
                      <w:lang w:val="en-US" w:eastAsia="zh-CN"/>
                    </w:rPr>
                  </w:pPr>
                  <w:r>
                    <w:rPr>
                      <w:rFonts w:hint="eastAsia"/>
                      <w:lang w:val="en-US" w:eastAsia="zh-CN"/>
                    </w:rPr>
                    <w:t>50.7</w:t>
                  </w:r>
                </w:p>
              </w:tc>
              <w:tc>
                <w:tcPr>
                  <w:tcW w:w="647" w:type="pct"/>
                  <w:vAlign w:val="center"/>
                </w:tcPr>
                <w:p>
                  <w:pPr>
                    <w:pStyle w:val="33"/>
                    <w:rPr>
                      <w:lang w:val="en-US" w:eastAsia="zh-CN"/>
                    </w:rPr>
                  </w:pPr>
                  <w:r>
                    <w:rPr>
                      <w:rFonts w:hint="eastAsia"/>
                      <w:lang w:val="en-US" w:eastAsia="zh-CN"/>
                    </w:rPr>
                    <w:t>39.6</w:t>
                  </w:r>
                </w:p>
              </w:tc>
              <w:tc>
                <w:tcPr>
                  <w:tcW w:w="612" w:type="pct"/>
                  <w:vAlign w:val="center"/>
                </w:tcPr>
                <w:p>
                  <w:pPr>
                    <w:pStyle w:val="33"/>
                    <w:rPr>
                      <w:lang w:val="en-US" w:eastAsia="zh-CN"/>
                    </w:rPr>
                  </w:pPr>
                  <w:r>
                    <w:rPr>
                      <w:rFonts w:hint="eastAsia"/>
                      <w:lang w:val="en-US" w:eastAsia="zh-CN"/>
                    </w:rPr>
                    <w:t>31.7</w:t>
                  </w:r>
                </w:p>
              </w:tc>
            </w:tr>
          </w:tbl>
          <w:p>
            <w:pPr>
              <w:pStyle w:val="20"/>
              <w:ind w:firstLine="480"/>
              <w:jc w:val="both"/>
            </w:pPr>
            <w:r>
              <w:t>根据《环境影响评价技术导则 声环境》（HJ2.4-2009）可知，进行边界噪声评价时，</w:t>
            </w:r>
            <w:r>
              <w:rPr>
                <w:rFonts w:hint="eastAsia"/>
              </w:rPr>
              <w:t>新建</w:t>
            </w:r>
            <w:r>
              <w:t>项目以工程噪声</w:t>
            </w:r>
            <w:r>
              <w:rPr>
                <w:rFonts w:hint="eastAsia"/>
              </w:rPr>
              <w:t>厂界贡献值</w:t>
            </w:r>
            <w:r>
              <w:t>作为评价量。由上表可知，建设项目投入运营后，各厂界噪声预测值可以达到《工业企业厂界环境噪声排放标准》（GB12348-2008）</w:t>
            </w:r>
            <w:r>
              <w:rPr>
                <w:rFonts w:hint="eastAsia"/>
              </w:rPr>
              <w:t>3</w:t>
            </w:r>
            <w:r>
              <w:t>类区标准限值，不会对周围环境产生明显影响</w:t>
            </w:r>
          </w:p>
          <w:p>
            <w:pPr>
              <w:pStyle w:val="6"/>
              <w:jc w:val="both"/>
              <w:outlineLvl w:val="2"/>
            </w:pPr>
            <w:r>
              <w:rPr>
                <w:rFonts w:hint="eastAsia"/>
              </w:rPr>
              <w:t>3.5 减缓措施</w:t>
            </w:r>
          </w:p>
          <w:p>
            <w:pPr>
              <w:pStyle w:val="20"/>
              <w:ind w:firstLine="480"/>
              <w:jc w:val="both"/>
            </w:pPr>
            <w:r>
              <w:rPr>
                <w:rFonts w:hint="eastAsia"/>
              </w:rPr>
              <w:t>① 合理布局生产设备及生产时间，定期检查生产设备，防止带病作业；</w:t>
            </w:r>
          </w:p>
          <w:p>
            <w:pPr>
              <w:pStyle w:val="20"/>
              <w:ind w:firstLine="480"/>
              <w:jc w:val="both"/>
            </w:pPr>
            <w:r>
              <w:rPr>
                <w:rFonts w:hint="eastAsia"/>
              </w:rPr>
              <w:t>② 对机械设备安装减振装置，进一步消减源强；</w:t>
            </w:r>
          </w:p>
          <w:p>
            <w:pPr>
              <w:pStyle w:val="20"/>
              <w:ind w:firstLine="480"/>
              <w:jc w:val="both"/>
            </w:pPr>
            <w:r>
              <w:rPr>
                <w:rFonts w:hint="eastAsia"/>
              </w:rPr>
              <w:t>③ 定期对生产设备进行维修与保养，使之处于正常工作状态；</w:t>
            </w:r>
          </w:p>
          <w:p>
            <w:pPr>
              <w:pStyle w:val="20"/>
              <w:ind w:firstLine="480"/>
              <w:jc w:val="both"/>
            </w:pPr>
            <w:r>
              <w:rPr>
                <w:rFonts w:hint="eastAsia"/>
              </w:rPr>
              <w:t>④ 优化平面布置，增大噪声衰减距离。</w:t>
            </w:r>
          </w:p>
          <w:p>
            <w:pPr>
              <w:pStyle w:val="20"/>
              <w:ind w:firstLine="480"/>
              <w:jc w:val="both"/>
            </w:pPr>
            <w:r>
              <w:rPr>
                <w:rFonts w:hint="eastAsia"/>
              </w:rPr>
              <w:t>综上，在建设单位采取以上措施后，厂界噪声排放可以满足</w:t>
            </w:r>
            <w:r>
              <w:t>《工业企业厂界环境噪声排放标准》（GB12348-2008）中的</w:t>
            </w:r>
            <w:r>
              <w:rPr>
                <w:rFonts w:hint="eastAsia"/>
              </w:rPr>
              <w:t>3</w:t>
            </w:r>
            <w:r>
              <w:t>类标准</w:t>
            </w:r>
            <w:r>
              <w:rPr>
                <w:rFonts w:hint="eastAsia"/>
              </w:rPr>
              <w:t>要求。</w:t>
            </w:r>
          </w:p>
          <w:p>
            <w:pPr>
              <w:pStyle w:val="6"/>
              <w:jc w:val="both"/>
              <w:outlineLvl w:val="2"/>
            </w:pPr>
            <w:r>
              <w:rPr>
                <w:rFonts w:hint="eastAsia"/>
              </w:rPr>
              <w:t>3.6 监测计划</w:t>
            </w:r>
          </w:p>
          <w:p>
            <w:pPr>
              <w:pStyle w:val="20"/>
              <w:ind w:firstLine="480"/>
              <w:jc w:val="both"/>
            </w:pPr>
            <w:r>
              <w:rPr>
                <w:rFonts w:hint="eastAsia"/>
              </w:rPr>
              <w:t>根据</w:t>
            </w:r>
            <w:r>
              <w:rPr>
                <w:rFonts w:cs="Times New Roman"/>
                <w:kern w:val="0"/>
              </w:rPr>
              <w:t>《排污许可证申请与核发技术规范 总则</w:t>
            </w:r>
            <w:r>
              <w:rPr>
                <w:rFonts w:hint="eastAsia" w:cs="Times New Roman"/>
                <w:kern w:val="0"/>
              </w:rPr>
              <w:t>》</w:t>
            </w:r>
            <w:r>
              <w:rPr>
                <w:rFonts w:cs="Times New Roman"/>
                <w:kern w:val="0"/>
              </w:rPr>
              <w:t>（HJ 942-2018）</w:t>
            </w:r>
            <w:r>
              <w:rPr>
                <w:rFonts w:hint="eastAsia"/>
              </w:rPr>
              <w:t>中并未对噪声的监测频次进行要求，故本项目运营期噪声环境监测计划根据当地环境保护要求进行核定。</w:t>
            </w:r>
          </w:p>
          <w:p>
            <w:pPr>
              <w:pStyle w:val="32"/>
            </w:pPr>
            <w:r>
              <w:t>表4-</w:t>
            </w:r>
            <w:r>
              <w:rPr>
                <w:rFonts w:hint="eastAsia"/>
              </w:rPr>
              <w:t>14</w:t>
            </w:r>
            <w:r>
              <w:t xml:space="preserve">    噪声监测内容及计划</w:t>
            </w:r>
          </w:p>
          <w:tbl>
            <w:tblPr>
              <w:tblStyle w:val="25"/>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735"/>
              <w:gridCol w:w="1338"/>
              <w:gridCol w:w="33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7" w:type="pct"/>
                  <w:tcBorders>
                    <w:bottom w:val="single" w:color="auto" w:sz="12" w:space="0"/>
                  </w:tcBorders>
                  <w:vAlign w:val="center"/>
                </w:tcPr>
                <w:p>
                  <w:pPr>
                    <w:pStyle w:val="33"/>
                    <w:widowControl w:val="0"/>
                    <w:rPr>
                      <w:b/>
                      <w:bCs/>
                      <w:lang w:val="en-US" w:eastAsia="zh-CN"/>
                    </w:rPr>
                  </w:pPr>
                  <w:r>
                    <w:rPr>
                      <w:b/>
                      <w:bCs/>
                      <w:lang w:val="en-US" w:eastAsia="zh-CN"/>
                    </w:rPr>
                    <w:t>监测点位</w:t>
                  </w:r>
                </w:p>
              </w:tc>
              <w:tc>
                <w:tcPr>
                  <w:tcW w:w="1102" w:type="pct"/>
                  <w:tcBorders>
                    <w:bottom w:val="single" w:color="auto" w:sz="12" w:space="0"/>
                  </w:tcBorders>
                  <w:vAlign w:val="center"/>
                </w:tcPr>
                <w:p>
                  <w:pPr>
                    <w:pStyle w:val="33"/>
                    <w:widowControl w:val="0"/>
                    <w:rPr>
                      <w:b/>
                      <w:bCs/>
                      <w:lang w:val="en-US" w:eastAsia="zh-CN"/>
                    </w:rPr>
                  </w:pPr>
                  <w:r>
                    <w:rPr>
                      <w:b/>
                      <w:bCs/>
                      <w:lang w:val="en-US" w:eastAsia="zh-CN"/>
                    </w:rPr>
                    <w:t>监测指标</w:t>
                  </w:r>
                </w:p>
              </w:tc>
              <w:tc>
                <w:tcPr>
                  <w:tcW w:w="850" w:type="pct"/>
                  <w:tcBorders>
                    <w:bottom w:val="single" w:color="auto" w:sz="12" w:space="0"/>
                  </w:tcBorders>
                  <w:vAlign w:val="center"/>
                </w:tcPr>
                <w:p>
                  <w:pPr>
                    <w:pStyle w:val="33"/>
                    <w:widowControl w:val="0"/>
                    <w:rPr>
                      <w:b/>
                      <w:bCs/>
                      <w:lang w:val="en-US" w:eastAsia="zh-CN"/>
                    </w:rPr>
                  </w:pPr>
                  <w:r>
                    <w:rPr>
                      <w:b/>
                      <w:bCs/>
                      <w:lang w:val="en-US" w:eastAsia="zh-CN"/>
                    </w:rPr>
                    <w:t>监测频次</w:t>
                  </w:r>
                </w:p>
              </w:tc>
              <w:tc>
                <w:tcPr>
                  <w:tcW w:w="2139" w:type="pct"/>
                  <w:tcBorders>
                    <w:bottom w:val="single" w:color="auto" w:sz="12" w:space="0"/>
                  </w:tcBorders>
                  <w:vAlign w:val="center"/>
                </w:tcPr>
                <w:p>
                  <w:pPr>
                    <w:pStyle w:val="33"/>
                    <w:widowControl w:val="0"/>
                    <w:rPr>
                      <w:b/>
                      <w:bCs/>
                      <w:lang w:val="en-US" w:eastAsia="zh-CN"/>
                    </w:rPr>
                  </w:pPr>
                  <w:r>
                    <w:rPr>
                      <w:b/>
                      <w:bCs/>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7" w:type="pct"/>
                  <w:tcBorders>
                    <w:top w:val="single" w:color="auto" w:sz="12" w:space="0"/>
                    <w:tl2br w:val="nil"/>
                    <w:tr2bl w:val="nil"/>
                  </w:tcBorders>
                  <w:vAlign w:val="center"/>
                </w:tcPr>
                <w:p>
                  <w:pPr>
                    <w:pStyle w:val="33"/>
                    <w:widowControl w:val="0"/>
                    <w:rPr>
                      <w:lang w:val="en-US" w:eastAsia="zh-CN"/>
                    </w:rPr>
                  </w:pPr>
                  <w:r>
                    <w:rPr>
                      <w:lang w:val="en-US" w:eastAsia="zh-CN"/>
                    </w:rPr>
                    <w:t>厂界</w:t>
                  </w:r>
                  <w:r>
                    <w:rPr>
                      <w:rFonts w:hint="eastAsia"/>
                      <w:lang w:val="en-US" w:eastAsia="zh-CN"/>
                    </w:rPr>
                    <w:t>四周</w:t>
                  </w:r>
                </w:p>
              </w:tc>
              <w:tc>
                <w:tcPr>
                  <w:tcW w:w="1102" w:type="pct"/>
                  <w:tcBorders>
                    <w:top w:val="single" w:color="auto" w:sz="12" w:space="0"/>
                    <w:tl2br w:val="nil"/>
                    <w:tr2bl w:val="nil"/>
                  </w:tcBorders>
                  <w:vAlign w:val="center"/>
                </w:tcPr>
                <w:p>
                  <w:pPr>
                    <w:pStyle w:val="33"/>
                    <w:widowControl w:val="0"/>
                    <w:rPr>
                      <w:lang w:val="en-US" w:eastAsia="zh-CN"/>
                    </w:rPr>
                  </w:pPr>
                  <w:r>
                    <w:rPr>
                      <w:lang w:val="en-US" w:eastAsia="zh-CN"/>
                    </w:rPr>
                    <w:t>等效连续A声级</w:t>
                  </w:r>
                </w:p>
              </w:tc>
              <w:tc>
                <w:tcPr>
                  <w:tcW w:w="850" w:type="pct"/>
                  <w:tcBorders>
                    <w:top w:val="single" w:color="auto" w:sz="12" w:space="0"/>
                    <w:tl2br w:val="nil"/>
                    <w:tr2bl w:val="nil"/>
                  </w:tcBorders>
                  <w:vAlign w:val="center"/>
                </w:tcPr>
                <w:p>
                  <w:pPr>
                    <w:pStyle w:val="33"/>
                    <w:widowControl w:val="0"/>
                    <w:rPr>
                      <w:lang w:val="en-US" w:eastAsia="zh-CN"/>
                    </w:rPr>
                  </w:pPr>
                  <w:r>
                    <w:rPr>
                      <w:lang w:val="en-US" w:eastAsia="zh-CN"/>
                    </w:rPr>
                    <w:t>次/</w:t>
                  </w:r>
                  <w:r>
                    <w:rPr>
                      <w:rFonts w:hint="eastAsia"/>
                      <w:lang w:val="en-US" w:eastAsia="zh-CN"/>
                    </w:rPr>
                    <w:t>季度</w:t>
                  </w:r>
                </w:p>
              </w:tc>
              <w:tc>
                <w:tcPr>
                  <w:tcW w:w="2139" w:type="pct"/>
                  <w:tcBorders>
                    <w:top w:val="single" w:color="auto" w:sz="12" w:space="0"/>
                    <w:tl2br w:val="nil"/>
                    <w:tr2bl w:val="nil"/>
                  </w:tcBorders>
                  <w:vAlign w:val="center"/>
                </w:tcPr>
                <w:p>
                  <w:pPr>
                    <w:pStyle w:val="33"/>
                    <w:widowControl w:val="0"/>
                    <w:rPr>
                      <w:lang w:val="en-US" w:eastAsia="zh-CN"/>
                    </w:rPr>
                  </w:pPr>
                  <w:r>
                    <w:rPr>
                      <w:lang w:val="en-US" w:eastAsia="zh-CN"/>
                    </w:rPr>
                    <w:t>《工业企业厂界环境噪声排放标准》（GB12348-2008）</w:t>
                  </w:r>
                  <w:r>
                    <w:rPr>
                      <w:rFonts w:hint="eastAsia"/>
                      <w:lang w:val="en-US" w:eastAsia="zh-CN"/>
                    </w:rPr>
                    <w:t>3</w:t>
                  </w:r>
                  <w:r>
                    <w:rPr>
                      <w:lang w:val="en-US" w:eastAsia="zh-CN"/>
                    </w:rPr>
                    <w:t xml:space="preserve"> 类标准</w:t>
                  </w:r>
                </w:p>
              </w:tc>
            </w:tr>
          </w:tbl>
          <w:p>
            <w:pPr>
              <w:pStyle w:val="5"/>
              <w:numPr>
                <w:ilvl w:val="0"/>
                <w:numId w:val="20"/>
              </w:numPr>
              <w:jc w:val="both"/>
              <w:outlineLvl w:val="1"/>
            </w:pPr>
            <w:r>
              <w:t>固体废物影响分析</w:t>
            </w:r>
          </w:p>
          <w:p>
            <w:pPr>
              <w:pStyle w:val="20"/>
              <w:ind w:firstLine="480"/>
              <w:jc w:val="both"/>
            </w:pPr>
            <w:r>
              <w:t>固体废物</w:t>
            </w:r>
            <w:r>
              <w:rPr>
                <w:rFonts w:hint="eastAsia"/>
              </w:rPr>
              <w:t>主要包括一般固体废物、危险废物、生活垃圾</w:t>
            </w:r>
            <w:r>
              <w:t>。</w:t>
            </w:r>
            <w:r>
              <w:rPr>
                <w:rFonts w:hint="eastAsia"/>
              </w:rPr>
              <w:t>一般固体废物主要为废边角料、不合格品、收集尘、废包装物、脱模剂桶；危险废物主要包括废活性炭、UV灯管、乳液包装桶、废机油、含油抹布、手套。</w:t>
            </w:r>
          </w:p>
          <w:p>
            <w:pPr>
              <w:pStyle w:val="20"/>
              <w:numPr>
                <w:ilvl w:val="0"/>
                <w:numId w:val="23"/>
              </w:numPr>
              <w:ind w:firstLine="480"/>
              <w:jc w:val="both"/>
            </w:pPr>
            <w:r>
              <w:rPr>
                <w:rFonts w:hint="eastAsia"/>
              </w:rPr>
              <w:t>废边角料</w:t>
            </w:r>
          </w:p>
          <w:p>
            <w:pPr>
              <w:pStyle w:val="20"/>
              <w:ind w:firstLine="480"/>
              <w:jc w:val="both"/>
              <w:rPr>
                <w:rFonts w:hint="default"/>
                <w:lang w:val="en-US"/>
              </w:rPr>
            </w:pPr>
            <w:r>
              <w:rPr>
                <w:rFonts w:hint="eastAsia"/>
              </w:rPr>
              <w:t>项目废边角料主要为切割、雕刻工序产生，主要为模具边角料、苯板边角料、玻璃纤维网格布边角料；根据建设单位提供资料，产生量约为0.5t/a，</w:t>
            </w:r>
            <w:r>
              <w:rPr>
                <w:rFonts w:hint="eastAsia"/>
                <w:color w:val="0000FF"/>
                <w:lang w:val="en-US" w:eastAsia="zh-CN"/>
              </w:rPr>
              <w:t>为一般固体废物，由厂家分类收集后，苯板边角料、玻璃纤维网格布边角料</w:t>
            </w:r>
            <w:r>
              <w:rPr>
                <w:rFonts w:hint="eastAsia"/>
                <w:color w:val="0000FF"/>
              </w:rPr>
              <w:t>外售</w:t>
            </w:r>
            <w:r>
              <w:rPr>
                <w:rFonts w:hint="eastAsia"/>
                <w:color w:val="0000FF"/>
                <w:lang w:eastAsia="zh-CN"/>
              </w:rPr>
              <w:t>；</w:t>
            </w:r>
            <w:r>
              <w:rPr>
                <w:rFonts w:hint="eastAsia"/>
                <w:color w:val="0000FF"/>
                <w:lang w:val="en-US" w:eastAsia="zh-CN"/>
              </w:rPr>
              <w:t>模具边角料委托环卫部门清运处置；环评要求待项目投产运行后，签订外售协议，做好台账记录；</w:t>
            </w:r>
          </w:p>
          <w:p>
            <w:pPr>
              <w:pStyle w:val="20"/>
              <w:numPr>
                <w:ilvl w:val="0"/>
                <w:numId w:val="23"/>
              </w:numPr>
              <w:ind w:firstLine="480"/>
              <w:jc w:val="both"/>
            </w:pPr>
            <w:r>
              <w:rPr>
                <w:rFonts w:hint="eastAsia"/>
              </w:rPr>
              <w:t>不合</w:t>
            </w:r>
            <w:r>
              <w:rPr>
                <w:rFonts w:hint="eastAsia"/>
                <w:lang w:val="en-US" w:eastAsia="zh-CN"/>
              </w:rPr>
              <w:t>格</w:t>
            </w:r>
            <w:r>
              <w:rPr>
                <w:rFonts w:hint="eastAsia"/>
              </w:rPr>
              <w:t>品</w:t>
            </w:r>
          </w:p>
          <w:p>
            <w:pPr>
              <w:pStyle w:val="20"/>
              <w:ind w:firstLine="480"/>
              <w:jc w:val="both"/>
            </w:pPr>
            <w:r>
              <w:rPr>
                <w:rFonts w:hint="eastAsia"/>
              </w:rPr>
              <w:t>本项目不合格品主要为GRC脱模时产生的不合品，产生量约为0.3t/a，不合格品定期收集后，委托环卫部门清运处置。</w:t>
            </w:r>
          </w:p>
          <w:p>
            <w:pPr>
              <w:pStyle w:val="20"/>
              <w:numPr>
                <w:ilvl w:val="0"/>
                <w:numId w:val="23"/>
              </w:numPr>
              <w:ind w:firstLine="480"/>
              <w:jc w:val="both"/>
            </w:pPr>
            <w:r>
              <w:rPr>
                <w:rFonts w:hint="eastAsia"/>
              </w:rPr>
              <w:t>收集尘</w:t>
            </w:r>
          </w:p>
          <w:p>
            <w:pPr>
              <w:pStyle w:val="20"/>
              <w:ind w:firstLine="480"/>
              <w:jc w:val="both"/>
            </w:pPr>
            <w:r>
              <w:rPr>
                <w:rFonts w:hint="eastAsia"/>
              </w:rPr>
              <w:t>本项目收集尘为布袋收集尘，根据工程分析可知收集尘产生量为314.4kg/a，集中收集后回用于生产。</w:t>
            </w:r>
          </w:p>
          <w:p>
            <w:pPr>
              <w:pStyle w:val="20"/>
              <w:numPr>
                <w:ilvl w:val="0"/>
                <w:numId w:val="23"/>
              </w:numPr>
              <w:ind w:firstLine="480"/>
              <w:jc w:val="both"/>
            </w:pPr>
            <w:r>
              <w:rPr>
                <w:rFonts w:hint="eastAsia"/>
              </w:rPr>
              <w:t>废包装物</w:t>
            </w:r>
          </w:p>
          <w:p>
            <w:pPr>
              <w:pStyle w:val="20"/>
              <w:ind w:firstLine="480"/>
              <w:jc w:val="both"/>
            </w:pPr>
            <w:r>
              <w:rPr>
                <w:rFonts w:hint="eastAsia"/>
              </w:rPr>
              <w:t>本项目废包装物主要为原料使用过程中产生的废包装物，产生量约为0.1t/a。集中收集后外售。</w:t>
            </w:r>
          </w:p>
          <w:p>
            <w:pPr>
              <w:pStyle w:val="20"/>
              <w:numPr>
                <w:ilvl w:val="0"/>
                <w:numId w:val="23"/>
              </w:numPr>
              <w:ind w:firstLine="480"/>
              <w:jc w:val="both"/>
            </w:pPr>
            <w:r>
              <w:rPr>
                <w:rFonts w:hint="eastAsia"/>
              </w:rPr>
              <w:t>废脱模剂桶</w:t>
            </w:r>
          </w:p>
          <w:p>
            <w:pPr>
              <w:pStyle w:val="20"/>
              <w:ind w:firstLine="480"/>
              <w:jc w:val="both"/>
            </w:pPr>
            <w:r>
              <w:rPr>
                <w:rFonts w:hint="eastAsia"/>
              </w:rPr>
              <w:t>本项目GRC生产过程中会产生废脱模剂桶（植物油），根据建设单位提供资料，年产生脱模剂桶50个，按0.25kg/个计，产生量为12.5kg/a，暂存于</w:t>
            </w:r>
            <w:r>
              <w:rPr>
                <w:rFonts w:hint="eastAsia"/>
                <w:color w:val="0000FF"/>
              </w:rPr>
              <w:t>一般固废</w:t>
            </w:r>
            <w:r>
              <w:rPr>
                <w:rFonts w:hint="eastAsia"/>
                <w:color w:val="0000FF"/>
                <w:lang w:val="en-US" w:eastAsia="zh-CN"/>
              </w:rPr>
              <w:t>暂存间</w:t>
            </w:r>
            <w:r>
              <w:rPr>
                <w:rFonts w:hint="eastAsia"/>
              </w:rPr>
              <w:t>，定期由厂家回收。</w:t>
            </w:r>
          </w:p>
          <w:p>
            <w:pPr>
              <w:pStyle w:val="20"/>
              <w:numPr>
                <w:ilvl w:val="0"/>
                <w:numId w:val="23"/>
              </w:numPr>
              <w:ind w:firstLine="480"/>
              <w:jc w:val="both"/>
            </w:pPr>
            <w:r>
              <w:rPr>
                <w:rFonts w:hint="eastAsia"/>
              </w:rPr>
              <w:t>废活性炭</w:t>
            </w:r>
          </w:p>
          <w:p>
            <w:pPr>
              <w:pStyle w:val="20"/>
              <w:ind w:firstLine="480"/>
              <w:jc w:val="both"/>
            </w:pPr>
            <w:r>
              <w:rPr>
                <w:rFonts w:hint="eastAsia"/>
              </w:rPr>
              <w:t>废气处理设施中活性炭吸附能力为1kg活性炭吸附0.3kg有机废气污染物</w:t>
            </w:r>
            <w:r>
              <w:t>，</w:t>
            </w:r>
            <w:r>
              <w:rPr>
                <w:rFonts w:hint="eastAsia"/>
              </w:rPr>
              <w:t>经计算项目被吸附的有机废气量为0.3948t</w:t>
            </w:r>
            <w:r>
              <w:t>/a</w:t>
            </w:r>
            <w:r>
              <w:rPr>
                <w:rFonts w:hint="eastAsia"/>
              </w:rPr>
              <w:t>，则废活性炭产生量为1.316t</w:t>
            </w:r>
            <w:r>
              <w:t>/a</w:t>
            </w:r>
            <w:r>
              <w:rPr>
                <w:rFonts w:hint="eastAsia"/>
              </w:rPr>
              <w:t>。企业根据废气处理设备中活性炭实际容量进行定期跟换。根据《国家危险废物名录》（20</w:t>
            </w:r>
            <w:r>
              <w:rPr>
                <w:rFonts w:hint="eastAsia"/>
                <w:lang w:val="en-US" w:eastAsia="zh-CN"/>
              </w:rPr>
              <w:t>21</w:t>
            </w:r>
            <w:r>
              <w:rPr>
                <w:rFonts w:hint="eastAsia"/>
              </w:rPr>
              <w:t>年），废活性炭属于“HW49其他废物”，废物代码900-0</w:t>
            </w:r>
            <w:r>
              <w:rPr>
                <w:rFonts w:hint="eastAsia"/>
                <w:lang w:val="en-US" w:eastAsia="zh-CN"/>
              </w:rPr>
              <w:t>39</w:t>
            </w:r>
            <w:r>
              <w:rPr>
                <w:rFonts w:hint="eastAsia"/>
              </w:rPr>
              <w:t>-49“烟气、VOCs治理过程（不包括餐饮行业油烟治理过程）产生的废活性炭”，危险特性为T。收集暂存于危废暂存间，委托有危废资质的单位处置。</w:t>
            </w:r>
          </w:p>
          <w:p>
            <w:pPr>
              <w:pStyle w:val="20"/>
              <w:numPr>
                <w:ilvl w:val="0"/>
                <w:numId w:val="23"/>
              </w:numPr>
              <w:ind w:firstLine="480"/>
              <w:jc w:val="both"/>
            </w:pPr>
            <w:r>
              <w:rPr>
                <w:rFonts w:hint="eastAsia"/>
              </w:rPr>
              <w:t>废UV灯管</w:t>
            </w:r>
          </w:p>
          <w:p>
            <w:pPr>
              <w:pStyle w:val="20"/>
              <w:ind w:firstLine="480"/>
              <w:jc w:val="both"/>
            </w:pPr>
            <w:r>
              <w:rPr>
                <w:rFonts w:hint="eastAsia"/>
              </w:rPr>
              <w:t>用于废气处理的光氧催化设施产生的废弃UV灯管，根据《国家危险废物名录》（20</w:t>
            </w:r>
            <w:r>
              <w:rPr>
                <w:rFonts w:hint="eastAsia"/>
                <w:lang w:val="en-US" w:eastAsia="zh-CN"/>
              </w:rPr>
              <w:t>21</w:t>
            </w:r>
            <w:r>
              <w:rPr>
                <w:rFonts w:hint="eastAsia"/>
              </w:rPr>
              <w:t>年）</w:t>
            </w:r>
            <w:r>
              <w:rPr>
                <w:rFonts w:hint="eastAsia"/>
                <w:color w:val="0000FF"/>
              </w:rPr>
              <w:t>属于危险废物，废物类别为“HW29含汞废物”，废物代码为900-023-29，</w:t>
            </w:r>
            <w:r>
              <w:rPr>
                <w:rFonts w:hint="eastAsia"/>
                <w:color w:val="0000FF"/>
                <w:lang w:eastAsia="zh-CN"/>
              </w:rPr>
              <w:t>“生产、销售及使用过程中产生的废含汞荧光灯管及其他废含汞电光源”</w:t>
            </w:r>
            <w:r>
              <w:rPr>
                <w:rFonts w:hint="eastAsia"/>
                <w:color w:val="0000FF"/>
              </w:rPr>
              <w:t>危险特性为T</w:t>
            </w:r>
            <w:r>
              <w:rPr>
                <w:rFonts w:hint="eastAsia"/>
              </w:rPr>
              <w:t>。根据企业资料，UV灯管使用期限为1000h，项目年运行时间为2100h，所以UV灯管每半年跟换一次，每次产生量为0.01t。收集暂存于危废暂存间，委托有危废资质的单位处置。</w:t>
            </w:r>
          </w:p>
          <w:p>
            <w:pPr>
              <w:pStyle w:val="20"/>
              <w:numPr>
                <w:ilvl w:val="0"/>
                <w:numId w:val="23"/>
              </w:numPr>
              <w:ind w:firstLine="480"/>
              <w:jc w:val="both"/>
            </w:pPr>
            <w:r>
              <w:rPr>
                <w:rFonts w:hint="eastAsia"/>
              </w:rPr>
              <w:t>废乳液包装桶</w:t>
            </w:r>
          </w:p>
          <w:p>
            <w:pPr>
              <w:pStyle w:val="20"/>
              <w:ind w:firstLine="480"/>
              <w:jc w:val="both"/>
            </w:pPr>
            <w:r>
              <w:t>本项目</w:t>
            </w:r>
            <w:r>
              <w:rPr>
                <w:rFonts w:hint="eastAsia"/>
              </w:rPr>
              <w:t>EPS生产</w:t>
            </w:r>
            <w:r>
              <w:t>过程中会产生一定量的废</w:t>
            </w:r>
            <w:r>
              <w:rPr>
                <w:rFonts w:hint="eastAsia"/>
              </w:rPr>
              <w:t>乳液</w:t>
            </w:r>
            <w:r>
              <w:t>桶，</w:t>
            </w:r>
            <w:r>
              <w:rPr>
                <w:rFonts w:hint="eastAsia"/>
              </w:rPr>
              <w:t>项目年产生乳液桶120个，按0.5kg/个计，产生量为60kg/a，</w:t>
            </w:r>
            <w:r>
              <w:rPr>
                <w:rFonts w:hint="eastAsia"/>
                <w:color w:val="0000FF"/>
              </w:rPr>
              <w:t>根据《国家危险废物名录》（20</w:t>
            </w:r>
            <w:r>
              <w:rPr>
                <w:rFonts w:hint="eastAsia"/>
                <w:color w:val="0000FF"/>
                <w:lang w:val="en-US" w:eastAsia="zh-CN"/>
              </w:rPr>
              <w:t>21</w:t>
            </w:r>
            <w:r>
              <w:rPr>
                <w:rFonts w:hint="eastAsia"/>
                <w:color w:val="0000FF"/>
              </w:rPr>
              <w:t>年），废</w:t>
            </w:r>
            <w:r>
              <w:rPr>
                <w:color w:val="0000FF"/>
              </w:rPr>
              <w:t>包装桶</w:t>
            </w:r>
            <w:r>
              <w:rPr>
                <w:rFonts w:hint="eastAsia"/>
                <w:color w:val="0000FF"/>
              </w:rPr>
              <w:t>属于“HW49其他废物”，废物代码900-041-49“</w:t>
            </w:r>
            <w:r>
              <w:rPr>
                <w:rFonts w:cs="宋体" w:asciiTheme="minorEastAsia" w:hAnsiTheme="minorEastAsia"/>
                <w:color w:val="0000FF"/>
                <w:kern w:val="0"/>
                <w:szCs w:val="21"/>
              </w:rPr>
              <w:t>含有或沾染毒性、感染性危险废物的废弃包装物、容器、过滤吸附介质</w:t>
            </w:r>
            <w:r>
              <w:rPr>
                <w:rFonts w:hint="eastAsia"/>
                <w:color w:val="0000FF"/>
              </w:rPr>
              <w:t>”，</w:t>
            </w:r>
            <w:r>
              <w:rPr>
                <w:rFonts w:hint="eastAsia"/>
              </w:rPr>
              <w:t>危险特性为T/In。收集暂存于危废暂存间，委托有危废资质的单位处置。</w:t>
            </w:r>
          </w:p>
          <w:p>
            <w:pPr>
              <w:pStyle w:val="20"/>
              <w:numPr>
                <w:ilvl w:val="0"/>
                <w:numId w:val="23"/>
              </w:numPr>
              <w:ind w:firstLine="480"/>
              <w:jc w:val="both"/>
            </w:pPr>
            <w:r>
              <w:rPr>
                <w:rFonts w:hint="eastAsia"/>
              </w:rPr>
              <w:t>废机油</w:t>
            </w:r>
          </w:p>
          <w:p>
            <w:pPr>
              <w:pStyle w:val="20"/>
              <w:ind w:firstLine="480"/>
              <w:jc w:val="both"/>
            </w:pPr>
            <w:r>
              <w:t>本项目对</w:t>
            </w:r>
            <w:r>
              <w:rPr>
                <w:rFonts w:hint="eastAsia"/>
              </w:rPr>
              <w:t>设备</w:t>
            </w:r>
            <w:r>
              <w:t>进行保养</w:t>
            </w:r>
            <w:r>
              <w:rPr>
                <w:rFonts w:hint="eastAsia"/>
              </w:rPr>
              <w:t>、</w:t>
            </w:r>
            <w:r>
              <w:t>维修过程中</w:t>
            </w:r>
            <w:r>
              <w:rPr>
                <w:rFonts w:hint="eastAsia"/>
              </w:rPr>
              <w:t>，</w:t>
            </w:r>
            <w:r>
              <w:t>产生废润滑油、废机油等，产生量约0.</w:t>
            </w:r>
            <w:r>
              <w:rPr>
                <w:rFonts w:hint="eastAsia"/>
              </w:rPr>
              <w:t>01</w:t>
            </w:r>
            <w:r>
              <w:t>t/a，</w:t>
            </w:r>
            <w:r>
              <w:rPr>
                <w:rFonts w:hint="eastAsia"/>
                <w:color w:val="0000FF"/>
              </w:rPr>
              <w:t>根据《国家危险废物名录》（20</w:t>
            </w:r>
            <w:r>
              <w:rPr>
                <w:rFonts w:hint="eastAsia"/>
                <w:color w:val="0000FF"/>
                <w:lang w:val="en-US" w:eastAsia="zh-CN"/>
              </w:rPr>
              <w:t>21</w:t>
            </w:r>
            <w:r>
              <w:rPr>
                <w:rFonts w:hint="eastAsia"/>
                <w:color w:val="0000FF"/>
              </w:rPr>
              <w:t>年），废机油属于“HW08废矿物油、与含矿物油废物”，废物代码900-2</w:t>
            </w:r>
            <w:r>
              <w:rPr>
                <w:rFonts w:hint="eastAsia"/>
                <w:color w:val="0000FF"/>
                <w:lang w:val="en-US" w:eastAsia="zh-CN"/>
              </w:rPr>
              <w:t>49</w:t>
            </w:r>
            <w:r>
              <w:rPr>
                <w:rFonts w:hint="eastAsia"/>
                <w:color w:val="0000FF"/>
              </w:rPr>
              <w:t>-08“其他生产、销售、使用过程中产生的废矿物油及沾染矿物油的废弃包装物”，危险特性为T</w:t>
            </w:r>
            <w:r>
              <w:rPr>
                <w:rFonts w:hint="eastAsia"/>
                <w:color w:val="0000FF"/>
                <w:lang w:eastAsia="zh-CN"/>
              </w:rPr>
              <w:t>，</w:t>
            </w:r>
            <w:r>
              <w:rPr>
                <w:rFonts w:hint="eastAsia"/>
                <w:color w:val="0000FF"/>
              </w:rPr>
              <w:t>I。</w:t>
            </w:r>
            <w:r>
              <w:rPr>
                <w:rFonts w:hint="eastAsia"/>
              </w:rPr>
              <w:t>收集后装在密闭桶中暂存于危废暂存间，委托有危废资质的单位处置。</w:t>
            </w:r>
          </w:p>
          <w:p>
            <w:pPr>
              <w:pStyle w:val="20"/>
              <w:numPr>
                <w:ilvl w:val="0"/>
                <w:numId w:val="23"/>
              </w:numPr>
              <w:ind w:firstLine="480"/>
              <w:jc w:val="both"/>
            </w:pPr>
            <w:r>
              <w:t>含油沾染物</w:t>
            </w:r>
          </w:p>
          <w:p>
            <w:pPr>
              <w:pStyle w:val="20"/>
              <w:ind w:firstLine="480"/>
              <w:jc w:val="both"/>
              <w:rPr>
                <w:color w:val="0000FF"/>
              </w:rPr>
            </w:pPr>
            <w:r>
              <w:rPr>
                <w:color w:val="0000FF"/>
              </w:rPr>
              <w:t>本项目</w:t>
            </w:r>
            <w:r>
              <w:rPr>
                <w:rFonts w:hint="eastAsia"/>
                <w:color w:val="0000FF"/>
              </w:rPr>
              <w:t>设备</w:t>
            </w:r>
            <w:r>
              <w:rPr>
                <w:color w:val="0000FF"/>
              </w:rPr>
              <w:t>维修保养过程中，会产生一定量的含油抹布、手套等含油沾染物，产生量约0.1t/a，属于危险废物</w:t>
            </w:r>
            <w:r>
              <w:rPr>
                <w:rFonts w:hint="eastAsia"/>
                <w:color w:val="0000FF"/>
              </w:rPr>
              <w:t>，危废代码为900-041-49，所属类别为HW49，根据《国家危险废物名录》（20</w:t>
            </w:r>
            <w:r>
              <w:rPr>
                <w:rFonts w:hint="eastAsia"/>
                <w:color w:val="0000FF"/>
                <w:lang w:val="en-US" w:eastAsia="zh-CN"/>
              </w:rPr>
              <w:t>21</w:t>
            </w:r>
            <w:r>
              <w:rPr>
                <w:rFonts w:hint="eastAsia"/>
                <w:color w:val="0000FF"/>
              </w:rPr>
              <w:t>年本），附录《危险废物豁免管理清单》中第</w:t>
            </w:r>
            <w:r>
              <w:rPr>
                <w:rFonts w:hint="eastAsia"/>
                <w:color w:val="0000FF"/>
                <w:lang w:val="en-US" w:eastAsia="zh-CN"/>
              </w:rPr>
              <w:t>24</w:t>
            </w:r>
            <w:r>
              <w:rPr>
                <w:rFonts w:hint="eastAsia"/>
                <w:color w:val="0000FF"/>
              </w:rPr>
              <w:t>条（代码900-041-49）中的豁免环节，可全过程不按危险废物管理。</w:t>
            </w:r>
          </w:p>
          <w:p>
            <w:pPr>
              <w:pStyle w:val="20"/>
              <w:numPr>
                <w:ilvl w:val="0"/>
                <w:numId w:val="23"/>
              </w:numPr>
              <w:ind w:firstLine="480"/>
              <w:jc w:val="both"/>
            </w:pPr>
            <w:r>
              <w:rPr>
                <w:rFonts w:hint="eastAsia"/>
              </w:rPr>
              <w:t>生活垃圾</w:t>
            </w:r>
          </w:p>
          <w:p>
            <w:pPr>
              <w:pStyle w:val="20"/>
              <w:ind w:firstLine="480"/>
              <w:jc w:val="both"/>
            </w:pPr>
            <w:r>
              <w:rPr>
                <w:rFonts w:hint="eastAsia"/>
              </w:rPr>
              <w:t>项目职工10人，每人每天产生垃圾量按0.5kg计，按210天计，本项目</w:t>
            </w:r>
            <w:r>
              <w:t>营运期生活垃圾产生量为</w:t>
            </w:r>
            <w:r>
              <w:rPr>
                <w:rFonts w:hint="eastAsia"/>
              </w:rPr>
              <w:t>5kg/d（1.05t/a）</w:t>
            </w:r>
            <w:r>
              <w:t>，</w:t>
            </w:r>
            <w:r>
              <w:rPr>
                <w:rFonts w:hint="eastAsia"/>
              </w:rPr>
              <w:t>在厂区采用垃圾桶集中收集后，</w:t>
            </w:r>
            <w:r>
              <w:t>定期由</w:t>
            </w:r>
            <w:r>
              <w:rPr>
                <w:rFonts w:hint="eastAsia"/>
              </w:rPr>
              <w:t>环卫部门清运处理</w:t>
            </w:r>
            <w:r>
              <w:t>。</w:t>
            </w:r>
          </w:p>
          <w:p>
            <w:pPr>
              <w:pStyle w:val="20"/>
              <w:ind w:firstLine="480"/>
              <w:jc w:val="both"/>
            </w:pPr>
            <w:r>
              <w:rPr>
                <w:rFonts w:hint="eastAsia"/>
              </w:rPr>
              <w:t>本项目固体废物产生及处置情况见下表4-15。</w:t>
            </w:r>
          </w:p>
          <w:p>
            <w:pPr>
              <w:pStyle w:val="32"/>
            </w:pPr>
            <w:r>
              <w:rPr>
                <w:rFonts w:hint="eastAsia"/>
              </w:rPr>
              <w:t xml:space="preserve">表4-15      </w:t>
            </w:r>
            <w:r>
              <w:t>本项目固体废物产生及处置情况一览</w:t>
            </w:r>
            <w:r>
              <w:rPr>
                <w:rFonts w:hint="eastAsia"/>
              </w:rPr>
              <w:t>表</w:t>
            </w:r>
          </w:p>
          <w:tbl>
            <w:tblPr>
              <w:tblStyle w:val="24"/>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 w:type="dxa"/>
                <w:bottom w:w="0" w:type="dxa"/>
                <w:right w:w="10" w:type="dxa"/>
              </w:tblCellMar>
            </w:tblPr>
            <w:tblGrid>
              <w:gridCol w:w="549"/>
              <w:gridCol w:w="1390"/>
              <w:gridCol w:w="1277"/>
              <w:gridCol w:w="686"/>
              <w:gridCol w:w="626"/>
              <w:gridCol w:w="33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48" w:type="pct"/>
                  <w:tcBorders>
                    <w:bottom w:val="single" w:color="auto" w:sz="12" w:space="0"/>
                  </w:tcBorders>
                  <w:shd w:val="clear" w:color="auto" w:fill="FFFFFF"/>
                  <w:vAlign w:val="center"/>
                </w:tcPr>
                <w:p>
                  <w:pPr>
                    <w:pStyle w:val="33"/>
                    <w:rPr>
                      <w:b/>
                      <w:bCs/>
                    </w:rPr>
                  </w:pPr>
                  <w:r>
                    <w:rPr>
                      <w:b/>
                      <w:bCs/>
                    </w:rPr>
                    <w:t>序号</w:t>
                  </w:r>
                </w:p>
              </w:tc>
              <w:tc>
                <w:tcPr>
                  <w:tcW w:w="883" w:type="pct"/>
                  <w:tcBorders>
                    <w:bottom w:val="single" w:color="auto" w:sz="12" w:space="0"/>
                  </w:tcBorders>
                  <w:shd w:val="clear" w:color="auto" w:fill="FFFFFF"/>
                  <w:vAlign w:val="center"/>
                </w:tcPr>
                <w:p>
                  <w:pPr>
                    <w:pStyle w:val="33"/>
                    <w:rPr>
                      <w:b/>
                      <w:bCs/>
                      <w:lang w:val="en-US" w:eastAsia="zh-CN"/>
                    </w:rPr>
                  </w:pPr>
                  <w:r>
                    <w:rPr>
                      <w:b/>
                      <w:bCs/>
                    </w:rPr>
                    <w:t>污染物</w:t>
                  </w:r>
                  <w:r>
                    <w:rPr>
                      <w:b/>
                      <w:bCs/>
                      <w:lang w:val="en-US" w:eastAsia="zh-CN"/>
                    </w:rPr>
                    <w:t>名称</w:t>
                  </w:r>
                </w:p>
              </w:tc>
              <w:tc>
                <w:tcPr>
                  <w:tcW w:w="811" w:type="pct"/>
                  <w:tcBorders>
                    <w:bottom w:val="single" w:color="auto" w:sz="12" w:space="0"/>
                  </w:tcBorders>
                  <w:shd w:val="clear" w:color="auto" w:fill="FFFFFF"/>
                  <w:vAlign w:val="center"/>
                </w:tcPr>
                <w:p>
                  <w:pPr>
                    <w:pStyle w:val="33"/>
                    <w:rPr>
                      <w:b/>
                      <w:bCs/>
                      <w:lang w:val="en-US" w:eastAsia="zh-CN"/>
                    </w:rPr>
                  </w:pPr>
                  <w:r>
                    <w:rPr>
                      <w:rFonts w:hint="eastAsia"/>
                      <w:b/>
                      <w:bCs/>
                      <w:lang w:val="en-US" w:eastAsia="zh-CN"/>
                    </w:rPr>
                    <w:t>固废代码</w:t>
                  </w:r>
                </w:p>
              </w:tc>
              <w:tc>
                <w:tcPr>
                  <w:tcW w:w="435" w:type="pct"/>
                  <w:tcBorders>
                    <w:bottom w:val="single" w:color="auto" w:sz="12" w:space="0"/>
                  </w:tcBorders>
                  <w:shd w:val="clear" w:color="auto" w:fill="FFFFFF"/>
                  <w:vAlign w:val="center"/>
                </w:tcPr>
                <w:p>
                  <w:pPr>
                    <w:pStyle w:val="33"/>
                    <w:rPr>
                      <w:b/>
                      <w:bCs/>
                    </w:rPr>
                  </w:pPr>
                  <w:r>
                    <w:rPr>
                      <w:b/>
                      <w:bCs/>
                    </w:rPr>
                    <w:t>固废</w:t>
                  </w:r>
                </w:p>
                <w:p>
                  <w:pPr>
                    <w:pStyle w:val="33"/>
                    <w:rPr>
                      <w:b/>
                      <w:bCs/>
                    </w:rPr>
                  </w:pPr>
                  <w:r>
                    <w:rPr>
                      <w:b/>
                      <w:bCs/>
                    </w:rPr>
                    <w:t>性质</w:t>
                  </w:r>
                </w:p>
              </w:tc>
              <w:tc>
                <w:tcPr>
                  <w:tcW w:w="397" w:type="pct"/>
                  <w:tcBorders>
                    <w:bottom w:val="single" w:color="auto" w:sz="12" w:space="0"/>
                  </w:tcBorders>
                  <w:shd w:val="clear" w:color="auto" w:fill="FFFFFF"/>
                  <w:vAlign w:val="center"/>
                </w:tcPr>
                <w:p>
                  <w:pPr>
                    <w:pStyle w:val="33"/>
                    <w:rPr>
                      <w:b/>
                      <w:bCs/>
                    </w:rPr>
                  </w:pPr>
                  <w:r>
                    <w:rPr>
                      <w:b/>
                      <w:bCs/>
                    </w:rPr>
                    <w:t>产生量</w:t>
                  </w:r>
                  <w:r>
                    <w:rPr>
                      <w:lang w:val="en-US" w:eastAsia="en-US"/>
                    </w:rPr>
                    <w:t>t/a</w:t>
                  </w:r>
                </w:p>
              </w:tc>
              <w:tc>
                <w:tcPr>
                  <w:tcW w:w="2123" w:type="pct"/>
                  <w:tcBorders>
                    <w:bottom w:val="single" w:color="auto" w:sz="12" w:space="0"/>
                  </w:tcBorders>
                  <w:shd w:val="clear" w:color="auto" w:fill="FFFFFF"/>
                  <w:vAlign w:val="center"/>
                </w:tcPr>
                <w:p>
                  <w:pPr>
                    <w:pStyle w:val="33"/>
                    <w:rPr>
                      <w:b/>
                      <w:bCs/>
                    </w:rPr>
                  </w:pPr>
                  <w:r>
                    <w:rPr>
                      <w:b/>
                      <w:bCs/>
                    </w:rPr>
                    <w:t>处理措施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48" w:type="pct"/>
                  <w:tcBorders>
                    <w:tl2br w:val="nil"/>
                    <w:tr2bl w:val="nil"/>
                  </w:tcBorders>
                  <w:shd w:val="clear" w:color="auto" w:fill="FFFFFF"/>
                  <w:vAlign w:val="center"/>
                </w:tcPr>
                <w:p>
                  <w:pPr>
                    <w:pStyle w:val="33"/>
                    <w:rPr>
                      <w:lang w:val="en-US" w:eastAsia="zh-CN"/>
                    </w:rPr>
                  </w:pPr>
                  <w:r>
                    <w:rPr>
                      <w:rFonts w:hint="eastAsia"/>
                      <w:lang w:val="en-US" w:eastAsia="zh-CN"/>
                    </w:rPr>
                    <w:t>1</w:t>
                  </w:r>
                </w:p>
              </w:tc>
              <w:tc>
                <w:tcPr>
                  <w:tcW w:w="883" w:type="pct"/>
                  <w:tcBorders>
                    <w:tl2br w:val="nil"/>
                    <w:tr2bl w:val="nil"/>
                  </w:tcBorders>
                  <w:shd w:val="clear" w:color="auto" w:fill="FFFFFF"/>
                  <w:vAlign w:val="center"/>
                </w:tcPr>
                <w:p>
                  <w:pPr>
                    <w:pStyle w:val="33"/>
                    <w:rPr>
                      <w:lang w:val="en-US" w:eastAsia="zh-CN"/>
                    </w:rPr>
                  </w:pPr>
                  <w:r>
                    <w:rPr>
                      <w:lang w:val="en-US" w:eastAsia="zh-CN"/>
                    </w:rPr>
                    <w:t>废边角料</w:t>
                  </w:r>
                </w:p>
              </w:tc>
              <w:tc>
                <w:tcPr>
                  <w:tcW w:w="811" w:type="pct"/>
                  <w:tcBorders>
                    <w:tl2br w:val="nil"/>
                    <w:tr2bl w:val="nil"/>
                  </w:tcBorders>
                  <w:shd w:val="clear" w:color="auto" w:fill="FFFFFF"/>
                  <w:vAlign w:val="center"/>
                </w:tcPr>
                <w:p>
                  <w:pPr>
                    <w:pStyle w:val="33"/>
                    <w:rPr>
                      <w:lang w:val="en-US" w:eastAsia="zh-CN"/>
                    </w:rPr>
                  </w:pPr>
                  <w:r>
                    <w:rPr>
                      <w:rFonts w:hint="eastAsia"/>
                      <w:lang w:val="en-US" w:eastAsia="zh-CN"/>
                    </w:rPr>
                    <w:t>302-999-09</w:t>
                  </w:r>
                </w:p>
              </w:tc>
              <w:tc>
                <w:tcPr>
                  <w:tcW w:w="435" w:type="pct"/>
                  <w:vMerge w:val="restart"/>
                  <w:tcBorders>
                    <w:tl2br w:val="nil"/>
                    <w:tr2bl w:val="nil"/>
                  </w:tcBorders>
                  <w:shd w:val="clear" w:color="auto" w:fill="FFFFFF"/>
                  <w:vAlign w:val="center"/>
                </w:tcPr>
                <w:p>
                  <w:pPr>
                    <w:pStyle w:val="33"/>
                    <w:rPr>
                      <w:rFonts w:hint="eastAsia"/>
                      <w:lang w:val="en-US" w:eastAsia="zh-CN"/>
                    </w:rPr>
                  </w:pPr>
                  <w:r>
                    <w:rPr>
                      <w:rFonts w:hint="eastAsia"/>
                      <w:lang w:val="en-US" w:eastAsia="zh-CN"/>
                    </w:rPr>
                    <w:t>一般</w:t>
                  </w:r>
                </w:p>
                <w:p>
                  <w:pPr>
                    <w:pStyle w:val="33"/>
                    <w:rPr>
                      <w:rFonts w:hint="default" w:eastAsia="宋体"/>
                      <w:lang w:val="en-US" w:eastAsia="zh-CN"/>
                    </w:rPr>
                  </w:pPr>
                  <w:r>
                    <w:rPr>
                      <w:rFonts w:hint="eastAsia"/>
                      <w:lang w:val="en-US" w:eastAsia="zh-CN"/>
                    </w:rPr>
                    <w:t>固废</w:t>
                  </w:r>
                </w:p>
              </w:tc>
              <w:tc>
                <w:tcPr>
                  <w:tcW w:w="397" w:type="pct"/>
                  <w:tcBorders>
                    <w:tl2br w:val="nil"/>
                    <w:tr2bl w:val="nil"/>
                  </w:tcBorders>
                  <w:shd w:val="clear" w:color="auto" w:fill="FFFFFF"/>
                  <w:vAlign w:val="center"/>
                </w:tcPr>
                <w:p>
                  <w:pPr>
                    <w:pStyle w:val="33"/>
                    <w:rPr>
                      <w:lang w:val="en-US" w:eastAsia="zh-CN"/>
                    </w:rPr>
                  </w:pPr>
                  <w:r>
                    <w:rPr>
                      <w:rFonts w:hint="eastAsia"/>
                      <w:lang w:val="en-US" w:eastAsia="zh-CN"/>
                    </w:rPr>
                    <w:t>0.5</w:t>
                  </w:r>
                </w:p>
              </w:tc>
              <w:tc>
                <w:tcPr>
                  <w:tcW w:w="2123" w:type="pct"/>
                  <w:tcBorders>
                    <w:tl2br w:val="nil"/>
                    <w:tr2bl w:val="nil"/>
                  </w:tcBorders>
                  <w:shd w:val="clear" w:color="auto" w:fill="FFFFFF"/>
                  <w:vAlign w:val="center"/>
                </w:tcPr>
                <w:p>
                  <w:pPr>
                    <w:pStyle w:val="33"/>
                    <w:rPr>
                      <w:lang w:val="en-US" w:eastAsia="zh-CN"/>
                    </w:rPr>
                  </w:pPr>
                  <w:r>
                    <w:rPr>
                      <w:rFonts w:hint="eastAsia"/>
                      <w:lang w:val="en-US" w:eastAsia="zh-CN"/>
                    </w:rPr>
                    <w:t>收集后外售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95" w:hRule="atLeast"/>
                <w:jc w:val="center"/>
              </w:trPr>
              <w:tc>
                <w:tcPr>
                  <w:tcW w:w="348" w:type="pct"/>
                  <w:tcBorders>
                    <w:tl2br w:val="nil"/>
                    <w:tr2bl w:val="nil"/>
                  </w:tcBorders>
                  <w:shd w:val="clear" w:color="auto" w:fill="FFFFFF"/>
                  <w:vAlign w:val="center"/>
                </w:tcPr>
                <w:p>
                  <w:pPr>
                    <w:pStyle w:val="33"/>
                    <w:rPr>
                      <w:lang w:val="en-US" w:eastAsia="zh-CN"/>
                    </w:rPr>
                  </w:pPr>
                  <w:r>
                    <w:rPr>
                      <w:lang w:val="en-US" w:eastAsia="zh-CN"/>
                    </w:rPr>
                    <w:t>2</w:t>
                  </w:r>
                </w:p>
              </w:tc>
              <w:tc>
                <w:tcPr>
                  <w:tcW w:w="883" w:type="pct"/>
                  <w:tcBorders>
                    <w:tl2br w:val="nil"/>
                    <w:tr2bl w:val="nil"/>
                  </w:tcBorders>
                  <w:shd w:val="clear" w:color="auto" w:fill="FFFFFF"/>
                  <w:vAlign w:val="center"/>
                </w:tcPr>
                <w:p>
                  <w:pPr>
                    <w:pStyle w:val="33"/>
                    <w:rPr>
                      <w:lang w:val="en-US" w:eastAsia="zh-CN"/>
                    </w:rPr>
                  </w:pPr>
                  <w:r>
                    <w:rPr>
                      <w:rFonts w:hint="eastAsia"/>
                      <w:lang w:val="en-US" w:eastAsia="zh-CN"/>
                    </w:rPr>
                    <w:t>不合格品</w:t>
                  </w:r>
                </w:p>
              </w:tc>
              <w:tc>
                <w:tcPr>
                  <w:tcW w:w="811" w:type="pct"/>
                  <w:tcBorders>
                    <w:tl2br w:val="nil"/>
                    <w:tr2bl w:val="nil"/>
                  </w:tcBorders>
                  <w:shd w:val="clear" w:color="auto" w:fill="FFFFFF"/>
                  <w:vAlign w:val="center"/>
                </w:tcPr>
                <w:p>
                  <w:pPr>
                    <w:pStyle w:val="33"/>
                    <w:rPr>
                      <w:lang w:val="en-US" w:eastAsia="zh-CN"/>
                    </w:rPr>
                  </w:pPr>
                  <w:r>
                    <w:rPr>
                      <w:rFonts w:hint="eastAsia"/>
                      <w:lang w:val="en-US" w:eastAsia="zh-CN"/>
                    </w:rPr>
                    <w:t>302-999-46</w:t>
                  </w:r>
                </w:p>
              </w:tc>
              <w:tc>
                <w:tcPr>
                  <w:tcW w:w="435" w:type="pct"/>
                  <w:vMerge w:val="continue"/>
                  <w:tcBorders>
                    <w:tl2br w:val="nil"/>
                    <w:tr2bl w:val="nil"/>
                  </w:tcBorders>
                  <w:shd w:val="clear" w:color="auto" w:fill="FFFFFF"/>
                  <w:vAlign w:val="center"/>
                </w:tcPr>
                <w:p>
                  <w:pPr>
                    <w:pStyle w:val="33"/>
                    <w:rPr>
                      <w:lang w:val="en-US" w:eastAsia="zh-CN"/>
                    </w:rPr>
                  </w:pPr>
                </w:p>
              </w:tc>
              <w:tc>
                <w:tcPr>
                  <w:tcW w:w="397" w:type="pct"/>
                  <w:tcBorders>
                    <w:tl2br w:val="nil"/>
                    <w:tr2bl w:val="nil"/>
                  </w:tcBorders>
                  <w:shd w:val="clear" w:color="auto" w:fill="FFFFFF"/>
                  <w:vAlign w:val="center"/>
                </w:tcPr>
                <w:p>
                  <w:pPr>
                    <w:pStyle w:val="33"/>
                    <w:rPr>
                      <w:lang w:val="en-US" w:eastAsia="zh-CN"/>
                    </w:rPr>
                  </w:pPr>
                  <w:r>
                    <w:rPr>
                      <w:rFonts w:hint="eastAsia"/>
                      <w:lang w:val="en-US" w:eastAsia="zh-CN"/>
                    </w:rPr>
                    <w:t>0.3</w:t>
                  </w:r>
                </w:p>
              </w:tc>
              <w:tc>
                <w:tcPr>
                  <w:tcW w:w="2123" w:type="pct"/>
                  <w:tcBorders>
                    <w:tl2br w:val="nil"/>
                    <w:tr2bl w:val="nil"/>
                  </w:tcBorders>
                  <w:shd w:val="clear" w:color="auto" w:fill="FFFFFF"/>
                  <w:vAlign w:val="center"/>
                </w:tcPr>
                <w:p>
                  <w:pPr>
                    <w:pStyle w:val="33"/>
                    <w:rPr>
                      <w:lang w:val="en-US" w:eastAsia="zh-CN"/>
                    </w:rPr>
                  </w:pPr>
                  <w:r>
                    <w:rPr>
                      <w:rFonts w:hint="eastAsia"/>
                      <w:lang w:val="en-US" w:eastAsia="zh-CN"/>
                    </w:rPr>
                    <w:t>委托环卫部门清运处置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48" w:type="pct"/>
                  <w:tcBorders>
                    <w:tl2br w:val="nil"/>
                    <w:tr2bl w:val="nil"/>
                  </w:tcBorders>
                  <w:shd w:val="clear" w:color="auto" w:fill="FFFFFF"/>
                  <w:vAlign w:val="center"/>
                </w:tcPr>
                <w:p>
                  <w:pPr>
                    <w:pStyle w:val="33"/>
                    <w:rPr>
                      <w:lang w:val="en-US" w:eastAsia="zh-CN"/>
                    </w:rPr>
                  </w:pPr>
                  <w:r>
                    <w:rPr>
                      <w:lang w:val="en-US" w:eastAsia="zh-CN"/>
                    </w:rPr>
                    <w:t>3</w:t>
                  </w:r>
                </w:p>
              </w:tc>
              <w:tc>
                <w:tcPr>
                  <w:tcW w:w="883" w:type="pct"/>
                  <w:tcBorders>
                    <w:tl2br w:val="nil"/>
                    <w:tr2bl w:val="nil"/>
                  </w:tcBorders>
                  <w:shd w:val="clear" w:color="auto" w:fill="FFFFFF"/>
                  <w:vAlign w:val="center"/>
                </w:tcPr>
                <w:p>
                  <w:pPr>
                    <w:pStyle w:val="33"/>
                    <w:rPr>
                      <w:lang w:val="en-US" w:eastAsia="zh-CN"/>
                    </w:rPr>
                  </w:pPr>
                  <w:r>
                    <w:rPr>
                      <w:rFonts w:hint="eastAsia"/>
                      <w:lang w:val="en-US" w:eastAsia="zh-CN"/>
                    </w:rPr>
                    <w:t>收集尘</w:t>
                  </w:r>
                </w:p>
              </w:tc>
              <w:tc>
                <w:tcPr>
                  <w:tcW w:w="811" w:type="pct"/>
                  <w:tcBorders>
                    <w:tl2br w:val="nil"/>
                    <w:tr2bl w:val="nil"/>
                  </w:tcBorders>
                  <w:shd w:val="clear" w:color="auto" w:fill="FFFFFF"/>
                  <w:vAlign w:val="center"/>
                </w:tcPr>
                <w:p>
                  <w:pPr>
                    <w:pStyle w:val="33"/>
                    <w:rPr>
                      <w:lang w:val="en-US" w:eastAsia="zh-CN"/>
                    </w:rPr>
                  </w:pPr>
                  <w:r>
                    <w:rPr>
                      <w:rFonts w:hint="eastAsia"/>
                      <w:lang w:val="en-US" w:eastAsia="zh-CN"/>
                    </w:rPr>
                    <w:t>302-001-66</w:t>
                  </w:r>
                </w:p>
              </w:tc>
              <w:tc>
                <w:tcPr>
                  <w:tcW w:w="435" w:type="pct"/>
                  <w:vMerge w:val="continue"/>
                  <w:tcBorders>
                    <w:tl2br w:val="nil"/>
                    <w:tr2bl w:val="nil"/>
                  </w:tcBorders>
                  <w:shd w:val="clear" w:color="auto" w:fill="FFFFFF"/>
                  <w:vAlign w:val="center"/>
                </w:tcPr>
                <w:p>
                  <w:pPr>
                    <w:pStyle w:val="33"/>
                    <w:rPr>
                      <w:lang w:val="en-US" w:eastAsia="zh-CN"/>
                    </w:rPr>
                  </w:pPr>
                </w:p>
              </w:tc>
              <w:tc>
                <w:tcPr>
                  <w:tcW w:w="397" w:type="pct"/>
                  <w:tcBorders>
                    <w:tl2br w:val="nil"/>
                    <w:tr2bl w:val="nil"/>
                  </w:tcBorders>
                  <w:shd w:val="clear" w:color="auto" w:fill="FFFFFF"/>
                  <w:vAlign w:val="center"/>
                </w:tcPr>
                <w:p>
                  <w:pPr>
                    <w:pStyle w:val="33"/>
                    <w:rPr>
                      <w:lang w:val="en-US" w:eastAsia="zh-CN"/>
                    </w:rPr>
                  </w:pPr>
                  <w:r>
                    <w:rPr>
                      <w:rFonts w:hint="eastAsia"/>
                      <w:lang w:val="en-US" w:eastAsia="zh-CN"/>
                    </w:rPr>
                    <w:t>0.314</w:t>
                  </w:r>
                </w:p>
              </w:tc>
              <w:tc>
                <w:tcPr>
                  <w:tcW w:w="2123" w:type="pct"/>
                  <w:tcBorders>
                    <w:tl2br w:val="nil"/>
                    <w:tr2bl w:val="nil"/>
                  </w:tcBorders>
                  <w:shd w:val="clear" w:color="auto" w:fill="FFFFFF"/>
                  <w:vAlign w:val="center"/>
                </w:tcPr>
                <w:p>
                  <w:pPr>
                    <w:pStyle w:val="33"/>
                    <w:rPr>
                      <w:lang w:val="en-US" w:eastAsia="zh-CN"/>
                    </w:rPr>
                  </w:pPr>
                  <w:r>
                    <w:rPr>
                      <w:rFonts w:hint="eastAsia"/>
                      <w:lang w:val="en-US" w:eastAsia="zh-CN"/>
                    </w:rPr>
                    <w:t>回用于生产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48" w:type="pct"/>
                  <w:tcBorders>
                    <w:tl2br w:val="nil"/>
                    <w:tr2bl w:val="nil"/>
                  </w:tcBorders>
                  <w:shd w:val="clear" w:color="auto" w:fill="FFFFFF"/>
                  <w:vAlign w:val="center"/>
                </w:tcPr>
                <w:p>
                  <w:pPr>
                    <w:pStyle w:val="33"/>
                    <w:rPr>
                      <w:lang w:val="en-US" w:eastAsia="zh-CN"/>
                    </w:rPr>
                  </w:pPr>
                  <w:r>
                    <w:rPr>
                      <w:lang w:val="en-US" w:eastAsia="zh-CN"/>
                    </w:rPr>
                    <w:t>4</w:t>
                  </w:r>
                </w:p>
              </w:tc>
              <w:tc>
                <w:tcPr>
                  <w:tcW w:w="883" w:type="pct"/>
                  <w:tcBorders>
                    <w:tl2br w:val="nil"/>
                    <w:tr2bl w:val="nil"/>
                  </w:tcBorders>
                  <w:shd w:val="clear" w:color="auto" w:fill="FFFFFF"/>
                  <w:vAlign w:val="center"/>
                </w:tcPr>
                <w:p>
                  <w:pPr>
                    <w:pStyle w:val="33"/>
                    <w:rPr>
                      <w:lang w:val="en-US" w:eastAsia="zh-CN"/>
                    </w:rPr>
                  </w:pPr>
                  <w:r>
                    <w:rPr>
                      <w:rFonts w:hint="eastAsia"/>
                      <w:lang w:val="en-US" w:eastAsia="zh-CN"/>
                    </w:rPr>
                    <w:t>废包装物</w:t>
                  </w:r>
                </w:p>
              </w:tc>
              <w:tc>
                <w:tcPr>
                  <w:tcW w:w="811" w:type="pct"/>
                  <w:tcBorders>
                    <w:tl2br w:val="nil"/>
                    <w:tr2bl w:val="nil"/>
                  </w:tcBorders>
                  <w:shd w:val="clear" w:color="auto" w:fill="FFFFFF"/>
                  <w:vAlign w:val="center"/>
                </w:tcPr>
                <w:p>
                  <w:pPr>
                    <w:pStyle w:val="33"/>
                    <w:rPr>
                      <w:lang w:val="en-US" w:eastAsia="zh-CN"/>
                    </w:rPr>
                  </w:pPr>
                  <w:r>
                    <w:rPr>
                      <w:rFonts w:hint="eastAsia"/>
                      <w:lang w:val="en-US" w:eastAsia="zh-CN"/>
                    </w:rPr>
                    <w:t>223-001-07</w:t>
                  </w:r>
                </w:p>
              </w:tc>
              <w:tc>
                <w:tcPr>
                  <w:tcW w:w="435" w:type="pct"/>
                  <w:vMerge w:val="continue"/>
                  <w:tcBorders>
                    <w:tl2br w:val="nil"/>
                    <w:tr2bl w:val="nil"/>
                  </w:tcBorders>
                  <w:shd w:val="clear" w:color="auto" w:fill="FFFFFF"/>
                  <w:vAlign w:val="center"/>
                </w:tcPr>
                <w:p>
                  <w:pPr>
                    <w:pStyle w:val="33"/>
                    <w:rPr>
                      <w:lang w:val="en-US" w:eastAsia="zh-CN"/>
                    </w:rPr>
                  </w:pPr>
                </w:p>
              </w:tc>
              <w:tc>
                <w:tcPr>
                  <w:tcW w:w="397" w:type="pct"/>
                  <w:tcBorders>
                    <w:tl2br w:val="nil"/>
                    <w:tr2bl w:val="nil"/>
                  </w:tcBorders>
                  <w:shd w:val="clear" w:color="auto" w:fill="FFFFFF"/>
                  <w:vAlign w:val="center"/>
                </w:tcPr>
                <w:p>
                  <w:pPr>
                    <w:pStyle w:val="33"/>
                    <w:rPr>
                      <w:lang w:val="en-US" w:eastAsia="zh-CN"/>
                    </w:rPr>
                  </w:pPr>
                  <w:r>
                    <w:rPr>
                      <w:rFonts w:hint="eastAsia"/>
                      <w:lang w:val="en-US" w:eastAsia="zh-CN"/>
                    </w:rPr>
                    <w:t>0.1</w:t>
                  </w:r>
                </w:p>
              </w:tc>
              <w:tc>
                <w:tcPr>
                  <w:tcW w:w="2123" w:type="pct"/>
                  <w:tcBorders>
                    <w:tl2br w:val="nil"/>
                    <w:tr2bl w:val="nil"/>
                  </w:tcBorders>
                  <w:shd w:val="clear" w:color="auto" w:fill="FFFFFF"/>
                  <w:vAlign w:val="center"/>
                </w:tcPr>
                <w:p>
                  <w:pPr>
                    <w:pStyle w:val="33"/>
                    <w:rPr>
                      <w:lang w:val="en-US" w:eastAsia="zh-CN"/>
                    </w:rPr>
                  </w:pPr>
                  <w:r>
                    <w:rPr>
                      <w:rFonts w:hint="eastAsia"/>
                      <w:lang w:val="en-US" w:eastAsia="zh-CN"/>
                    </w:rPr>
                    <w:t>收集后外售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48" w:type="pct"/>
                  <w:tcBorders>
                    <w:tl2br w:val="nil"/>
                    <w:tr2bl w:val="nil"/>
                  </w:tcBorders>
                  <w:shd w:val="clear" w:color="auto" w:fill="FFFFFF"/>
                  <w:vAlign w:val="center"/>
                </w:tcPr>
                <w:p>
                  <w:pPr>
                    <w:pStyle w:val="33"/>
                    <w:rPr>
                      <w:lang w:val="en-US" w:eastAsia="zh-CN"/>
                    </w:rPr>
                  </w:pPr>
                  <w:r>
                    <w:rPr>
                      <w:lang w:val="en-US" w:eastAsia="zh-CN"/>
                    </w:rPr>
                    <w:t>5</w:t>
                  </w:r>
                </w:p>
              </w:tc>
              <w:tc>
                <w:tcPr>
                  <w:tcW w:w="883" w:type="pct"/>
                  <w:tcBorders>
                    <w:tl2br w:val="nil"/>
                    <w:tr2bl w:val="nil"/>
                  </w:tcBorders>
                  <w:shd w:val="clear" w:color="auto" w:fill="FFFFFF"/>
                  <w:vAlign w:val="center"/>
                </w:tcPr>
                <w:p>
                  <w:pPr>
                    <w:pStyle w:val="33"/>
                    <w:rPr>
                      <w:lang w:val="en-US" w:eastAsia="zh-CN"/>
                    </w:rPr>
                  </w:pPr>
                  <w:r>
                    <w:rPr>
                      <w:rFonts w:hint="eastAsia"/>
                      <w:lang w:val="en-US" w:eastAsia="zh-CN"/>
                    </w:rPr>
                    <w:t>废脱模剂桶</w:t>
                  </w:r>
                </w:p>
              </w:tc>
              <w:tc>
                <w:tcPr>
                  <w:tcW w:w="811" w:type="pct"/>
                  <w:tcBorders>
                    <w:tl2br w:val="nil"/>
                    <w:tr2bl w:val="nil"/>
                  </w:tcBorders>
                  <w:shd w:val="clear" w:color="auto" w:fill="FFFFFF"/>
                  <w:vAlign w:val="center"/>
                </w:tcPr>
                <w:p>
                  <w:pPr>
                    <w:pStyle w:val="33"/>
                    <w:rPr>
                      <w:lang w:val="en-US" w:eastAsia="zh-CN"/>
                    </w:rPr>
                  </w:pPr>
                  <w:r>
                    <w:rPr>
                      <w:rFonts w:hint="eastAsia"/>
                      <w:lang w:val="en-US" w:eastAsia="zh-CN"/>
                    </w:rPr>
                    <w:t>292-001-06</w:t>
                  </w:r>
                </w:p>
              </w:tc>
              <w:tc>
                <w:tcPr>
                  <w:tcW w:w="435" w:type="pct"/>
                  <w:vMerge w:val="continue"/>
                  <w:tcBorders>
                    <w:tl2br w:val="nil"/>
                    <w:tr2bl w:val="nil"/>
                  </w:tcBorders>
                  <w:shd w:val="clear" w:color="auto" w:fill="FFFFFF"/>
                  <w:vAlign w:val="center"/>
                </w:tcPr>
                <w:p>
                  <w:pPr>
                    <w:pStyle w:val="33"/>
                    <w:rPr>
                      <w:lang w:val="en-US" w:eastAsia="zh-CN"/>
                    </w:rPr>
                  </w:pPr>
                </w:p>
              </w:tc>
              <w:tc>
                <w:tcPr>
                  <w:tcW w:w="397" w:type="pct"/>
                  <w:tcBorders>
                    <w:tl2br w:val="nil"/>
                    <w:tr2bl w:val="nil"/>
                  </w:tcBorders>
                  <w:shd w:val="clear" w:color="auto" w:fill="FFFFFF"/>
                  <w:vAlign w:val="center"/>
                </w:tcPr>
                <w:p>
                  <w:pPr>
                    <w:pStyle w:val="33"/>
                    <w:rPr>
                      <w:lang w:val="en-US" w:eastAsia="zh-CN"/>
                    </w:rPr>
                  </w:pPr>
                  <w:r>
                    <w:rPr>
                      <w:rFonts w:hint="eastAsia"/>
                      <w:lang w:val="en-US" w:eastAsia="zh-CN"/>
                    </w:rPr>
                    <w:t>0.013</w:t>
                  </w:r>
                </w:p>
              </w:tc>
              <w:tc>
                <w:tcPr>
                  <w:tcW w:w="2123" w:type="pct"/>
                  <w:tcBorders>
                    <w:tl2br w:val="nil"/>
                    <w:tr2bl w:val="nil"/>
                  </w:tcBorders>
                  <w:shd w:val="clear" w:color="auto" w:fill="FFFFFF"/>
                  <w:vAlign w:val="center"/>
                </w:tcPr>
                <w:p>
                  <w:pPr>
                    <w:pStyle w:val="33"/>
                    <w:rPr>
                      <w:lang w:val="en-US" w:eastAsia="zh-CN"/>
                    </w:rPr>
                  </w:pPr>
                  <w:r>
                    <w:rPr>
                      <w:rFonts w:hint="eastAsia"/>
                      <w:lang w:val="en-US" w:eastAsia="zh-CN"/>
                    </w:rPr>
                    <w:t>厂家回收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48" w:type="pct"/>
                  <w:tcBorders>
                    <w:tl2br w:val="nil"/>
                    <w:tr2bl w:val="nil"/>
                  </w:tcBorders>
                  <w:shd w:val="clear" w:color="auto" w:fill="FFFFFF"/>
                  <w:vAlign w:val="center"/>
                </w:tcPr>
                <w:p>
                  <w:pPr>
                    <w:pStyle w:val="33"/>
                    <w:rPr>
                      <w:lang w:val="en-US" w:eastAsia="zh-CN"/>
                    </w:rPr>
                  </w:pPr>
                  <w:r>
                    <w:rPr>
                      <w:lang w:val="en-US" w:eastAsia="zh-CN"/>
                    </w:rPr>
                    <w:t>6</w:t>
                  </w:r>
                </w:p>
              </w:tc>
              <w:tc>
                <w:tcPr>
                  <w:tcW w:w="883" w:type="pct"/>
                  <w:tcBorders>
                    <w:tl2br w:val="nil"/>
                    <w:tr2bl w:val="nil"/>
                  </w:tcBorders>
                  <w:shd w:val="clear" w:color="auto" w:fill="FFFFFF"/>
                  <w:vAlign w:val="center"/>
                </w:tcPr>
                <w:p>
                  <w:pPr>
                    <w:pStyle w:val="33"/>
                    <w:rPr>
                      <w:lang w:val="en-US" w:eastAsia="zh-CN"/>
                    </w:rPr>
                  </w:pPr>
                  <w:r>
                    <w:rPr>
                      <w:rFonts w:hint="eastAsia"/>
                      <w:lang w:val="en-US" w:eastAsia="zh-CN"/>
                    </w:rPr>
                    <w:t>含油沾染物</w:t>
                  </w:r>
                </w:p>
              </w:tc>
              <w:tc>
                <w:tcPr>
                  <w:tcW w:w="811" w:type="pct"/>
                  <w:tcBorders>
                    <w:tl2br w:val="nil"/>
                    <w:tr2bl w:val="nil"/>
                  </w:tcBorders>
                  <w:shd w:val="clear" w:color="auto" w:fill="FFFFFF"/>
                  <w:vAlign w:val="center"/>
                </w:tcPr>
                <w:p>
                  <w:pPr>
                    <w:pStyle w:val="33"/>
                    <w:rPr>
                      <w:lang w:val="en-US" w:eastAsia="zh-CN"/>
                    </w:rPr>
                  </w:pPr>
                  <w:r>
                    <w:rPr>
                      <w:rFonts w:hint="eastAsia"/>
                      <w:lang w:val="en-US" w:eastAsia="zh-CN"/>
                    </w:rPr>
                    <w:t>900-041-49</w:t>
                  </w:r>
                </w:p>
              </w:tc>
              <w:tc>
                <w:tcPr>
                  <w:tcW w:w="435" w:type="pct"/>
                  <w:vMerge w:val="continue"/>
                  <w:tcBorders>
                    <w:tl2br w:val="nil"/>
                    <w:tr2bl w:val="nil"/>
                  </w:tcBorders>
                  <w:shd w:val="clear" w:color="auto" w:fill="FFFFFF"/>
                  <w:vAlign w:val="center"/>
                </w:tcPr>
                <w:p>
                  <w:pPr>
                    <w:pStyle w:val="33"/>
                    <w:rPr>
                      <w:lang w:val="en-US" w:eastAsia="zh-CN"/>
                    </w:rPr>
                  </w:pPr>
                </w:p>
              </w:tc>
              <w:tc>
                <w:tcPr>
                  <w:tcW w:w="397" w:type="pct"/>
                  <w:tcBorders>
                    <w:tl2br w:val="nil"/>
                    <w:tr2bl w:val="nil"/>
                  </w:tcBorders>
                  <w:shd w:val="clear" w:color="auto" w:fill="FFFFFF"/>
                  <w:vAlign w:val="center"/>
                </w:tcPr>
                <w:p>
                  <w:pPr>
                    <w:pStyle w:val="33"/>
                    <w:rPr>
                      <w:lang w:val="en-US" w:eastAsia="zh-CN"/>
                    </w:rPr>
                  </w:pPr>
                  <w:r>
                    <w:rPr>
                      <w:rFonts w:hint="eastAsia"/>
                      <w:lang w:val="en-US" w:eastAsia="zh-CN"/>
                    </w:rPr>
                    <w:t>0.1</w:t>
                  </w:r>
                </w:p>
              </w:tc>
              <w:tc>
                <w:tcPr>
                  <w:tcW w:w="2123" w:type="pct"/>
                  <w:vMerge w:val="restart"/>
                  <w:tcBorders>
                    <w:tl2br w:val="nil"/>
                    <w:tr2bl w:val="nil"/>
                  </w:tcBorders>
                  <w:shd w:val="clear" w:color="auto" w:fill="FFFFFF"/>
                  <w:vAlign w:val="center"/>
                </w:tcPr>
                <w:p>
                  <w:pPr>
                    <w:pStyle w:val="33"/>
                    <w:rPr>
                      <w:lang w:val="en-US" w:eastAsia="zh-CN"/>
                    </w:rPr>
                  </w:pPr>
                  <w:r>
                    <w:rPr>
                      <w:rFonts w:hint="eastAsia"/>
                      <w:lang w:val="en-US" w:eastAsia="zh-CN"/>
                    </w:rPr>
                    <w:t>委托环卫部门清运处置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48" w:type="pct"/>
                  <w:tcBorders>
                    <w:tl2br w:val="nil"/>
                    <w:tr2bl w:val="nil"/>
                  </w:tcBorders>
                  <w:shd w:val="clear" w:color="auto" w:fill="FFFFFF"/>
                  <w:vAlign w:val="center"/>
                </w:tcPr>
                <w:p>
                  <w:pPr>
                    <w:pStyle w:val="33"/>
                    <w:rPr>
                      <w:lang w:val="en-US" w:eastAsia="zh-CN"/>
                    </w:rPr>
                  </w:pPr>
                  <w:r>
                    <w:rPr>
                      <w:lang w:val="en-US" w:eastAsia="zh-CN"/>
                    </w:rPr>
                    <w:t>7</w:t>
                  </w:r>
                </w:p>
              </w:tc>
              <w:tc>
                <w:tcPr>
                  <w:tcW w:w="883" w:type="pct"/>
                  <w:tcBorders>
                    <w:tl2br w:val="nil"/>
                    <w:tr2bl w:val="nil"/>
                  </w:tcBorders>
                  <w:shd w:val="clear" w:color="auto" w:fill="FFFFFF"/>
                  <w:vAlign w:val="center"/>
                </w:tcPr>
                <w:p>
                  <w:pPr>
                    <w:pStyle w:val="33"/>
                    <w:rPr>
                      <w:lang w:val="en-US" w:eastAsia="zh-CN"/>
                    </w:rPr>
                  </w:pPr>
                  <w:r>
                    <w:rPr>
                      <w:rFonts w:hint="eastAsia"/>
                      <w:lang w:val="en-US" w:eastAsia="zh-CN"/>
                    </w:rPr>
                    <w:t>生活垃圾</w:t>
                  </w:r>
                </w:p>
              </w:tc>
              <w:tc>
                <w:tcPr>
                  <w:tcW w:w="811" w:type="pct"/>
                  <w:tcBorders>
                    <w:tl2br w:val="nil"/>
                    <w:tr2bl w:val="nil"/>
                  </w:tcBorders>
                  <w:shd w:val="clear" w:color="auto" w:fill="FFFFFF"/>
                  <w:vAlign w:val="center"/>
                </w:tcPr>
                <w:p>
                  <w:pPr>
                    <w:pStyle w:val="33"/>
                    <w:rPr>
                      <w:lang w:val="en-US" w:eastAsia="zh-CN"/>
                    </w:rPr>
                  </w:pPr>
                  <w:r>
                    <w:rPr>
                      <w:rFonts w:hint="eastAsia"/>
                      <w:lang w:val="en-US" w:eastAsia="zh-CN"/>
                    </w:rPr>
                    <w:t>/</w:t>
                  </w:r>
                </w:p>
              </w:tc>
              <w:tc>
                <w:tcPr>
                  <w:tcW w:w="435" w:type="pct"/>
                  <w:vMerge w:val="continue"/>
                  <w:tcBorders>
                    <w:tl2br w:val="nil"/>
                    <w:tr2bl w:val="nil"/>
                  </w:tcBorders>
                  <w:shd w:val="clear" w:color="auto" w:fill="FFFFFF"/>
                  <w:vAlign w:val="center"/>
                </w:tcPr>
                <w:p>
                  <w:pPr>
                    <w:pStyle w:val="33"/>
                    <w:rPr>
                      <w:lang w:val="en-US" w:eastAsia="zh-CN"/>
                    </w:rPr>
                  </w:pPr>
                </w:p>
              </w:tc>
              <w:tc>
                <w:tcPr>
                  <w:tcW w:w="397" w:type="pct"/>
                  <w:tcBorders>
                    <w:tl2br w:val="nil"/>
                    <w:tr2bl w:val="nil"/>
                  </w:tcBorders>
                  <w:shd w:val="clear" w:color="auto" w:fill="FFFFFF"/>
                  <w:vAlign w:val="center"/>
                </w:tcPr>
                <w:p>
                  <w:pPr>
                    <w:pStyle w:val="33"/>
                    <w:rPr>
                      <w:lang w:val="en-US" w:eastAsia="zh-CN"/>
                    </w:rPr>
                  </w:pPr>
                  <w:r>
                    <w:rPr>
                      <w:rFonts w:hint="eastAsia"/>
                      <w:lang w:val="en-US" w:eastAsia="zh-CN"/>
                    </w:rPr>
                    <w:t>1.05</w:t>
                  </w:r>
                </w:p>
              </w:tc>
              <w:tc>
                <w:tcPr>
                  <w:tcW w:w="2123" w:type="pct"/>
                  <w:vMerge w:val="continue"/>
                  <w:tcBorders>
                    <w:tl2br w:val="nil"/>
                    <w:tr2bl w:val="nil"/>
                  </w:tcBorders>
                  <w:shd w:val="clear" w:color="auto" w:fill="FFFFFF"/>
                  <w:vAlign w:val="center"/>
                </w:tcPr>
                <w:p>
                  <w:pPr>
                    <w:pStyle w:val="33"/>
                    <w:rPr>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48" w:type="pct"/>
                  <w:tcBorders>
                    <w:tl2br w:val="nil"/>
                    <w:tr2bl w:val="nil"/>
                  </w:tcBorders>
                  <w:shd w:val="clear" w:color="auto" w:fill="FFFFFF"/>
                  <w:vAlign w:val="center"/>
                </w:tcPr>
                <w:p>
                  <w:pPr>
                    <w:pStyle w:val="33"/>
                    <w:rPr>
                      <w:lang w:val="en-US" w:eastAsia="zh-CN"/>
                    </w:rPr>
                  </w:pPr>
                  <w:r>
                    <w:rPr>
                      <w:rFonts w:hint="eastAsia"/>
                      <w:lang w:val="en-US" w:eastAsia="zh-CN"/>
                    </w:rPr>
                    <w:t>8</w:t>
                  </w:r>
                </w:p>
              </w:tc>
              <w:tc>
                <w:tcPr>
                  <w:tcW w:w="883" w:type="pct"/>
                  <w:tcBorders>
                    <w:tl2br w:val="nil"/>
                    <w:tr2bl w:val="nil"/>
                  </w:tcBorders>
                  <w:shd w:val="clear" w:color="auto" w:fill="FFFFFF"/>
                  <w:vAlign w:val="center"/>
                </w:tcPr>
                <w:p>
                  <w:pPr>
                    <w:pStyle w:val="33"/>
                    <w:rPr>
                      <w:lang w:val="en-US" w:eastAsia="zh-CN"/>
                    </w:rPr>
                  </w:pPr>
                  <w:r>
                    <w:rPr>
                      <w:rFonts w:hint="eastAsia"/>
                      <w:lang w:val="en-US" w:eastAsia="zh-CN"/>
                    </w:rPr>
                    <w:t>废活性炭</w:t>
                  </w:r>
                </w:p>
              </w:tc>
              <w:tc>
                <w:tcPr>
                  <w:tcW w:w="811" w:type="pct"/>
                  <w:tcBorders>
                    <w:tl2br w:val="nil"/>
                    <w:tr2bl w:val="nil"/>
                  </w:tcBorders>
                  <w:shd w:val="clear" w:color="auto" w:fill="FFFFFF"/>
                  <w:vAlign w:val="center"/>
                </w:tcPr>
                <w:p>
                  <w:pPr>
                    <w:pStyle w:val="33"/>
                    <w:rPr>
                      <w:lang w:val="en-US" w:eastAsia="zh-CN"/>
                    </w:rPr>
                  </w:pPr>
                  <w:r>
                    <w:rPr>
                      <w:rFonts w:hint="eastAsia"/>
                      <w:lang w:val="en-US" w:eastAsia="zh-CN"/>
                    </w:rPr>
                    <w:t>900-039-49</w:t>
                  </w:r>
                </w:p>
              </w:tc>
              <w:tc>
                <w:tcPr>
                  <w:tcW w:w="435" w:type="pct"/>
                  <w:vMerge w:val="restart"/>
                  <w:tcBorders>
                    <w:tl2br w:val="nil"/>
                    <w:tr2bl w:val="nil"/>
                  </w:tcBorders>
                  <w:shd w:val="clear" w:color="auto" w:fill="FFFFFF"/>
                  <w:vAlign w:val="center"/>
                </w:tcPr>
                <w:p>
                  <w:pPr>
                    <w:pStyle w:val="33"/>
                    <w:rPr>
                      <w:rFonts w:hint="eastAsia"/>
                      <w:lang w:val="en-US" w:eastAsia="zh-CN"/>
                    </w:rPr>
                  </w:pPr>
                  <w:r>
                    <w:rPr>
                      <w:rFonts w:hint="eastAsia"/>
                      <w:lang w:val="en-US" w:eastAsia="zh-CN"/>
                    </w:rPr>
                    <w:t>危险</w:t>
                  </w:r>
                </w:p>
                <w:p>
                  <w:pPr>
                    <w:pStyle w:val="33"/>
                    <w:rPr>
                      <w:lang w:val="en-US" w:eastAsia="zh-CN"/>
                    </w:rPr>
                  </w:pPr>
                  <w:r>
                    <w:rPr>
                      <w:rFonts w:hint="eastAsia"/>
                      <w:lang w:val="en-US" w:eastAsia="zh-CN"/>
                    </w:rPr>
                    <w:t>废物</w:t>
                  </w:r>
                </w:p>
              </w:tc>
              <w:tc>
                <w:tcPr>
                  <w:tcW w:w="397" w:type="pct"/>
                  <w:tcBorders>
                    <w:tl2br w:val="nil"/>
                    <w:tr2bl w:val="nil"/>
                  </w:tcBorders>
                  <w:shd w:val="clear" w:color="auto" w:fill="FFFFFF"/>
                  <w:vAlign w:val="center"/>
                </w:tcPr>
                <w:p>
                  <w:pPr>
                    <w:pStyle w:val="33"/>
                    <w:rPr>
                      <w:lang w:val="en-US" w:eastAsia="zh-CN"/>
                    </w:rPr>
                  </w:pPr>
                  <w:r>
                    <w:rPr>
                      <w:rFonts w:hint="eastAsia"/>
                      <w:lang w:val="en-US" w:eastAsia="zh-CN"/>
                    </w:rPr>
                    <w:t>1.316</w:t>
                  </w:r>
                </w:p>
              </w:tc>
              <w:tc>
                <w:tcPr>
                  <w:tcW w:w="2123" w:type="pct"/>
                  <w:vMerge w:val="restart"/>
                  <w:tcBorders>
                    <w:tl2br w:val="nil"/>
                    <w:tr2bl w:val="nil"/>
                  </w:tcBorders>
                  <w:shd w:val="clear" w:color="auto" w:fill="FFFFFF"/>
                  <w:vAlign w:val="center"/>
                </w:tcPr>
                <w:p>
                  <w:pPr>
                    <w:pStyle w:val="33"/>
                    <w:rPr>
                      <w:rFonts w:hint="eastAsia"/>
                      <w:color w:val="0000FF"/>
                      <w:lang w:val="en-US" w:eastAsia="zh-CN"/>
                    </w:rPr>
                  </w:pPr>
                  <w:r>
                    <w:rPr>
                      <w:rFonts w:hint="eastAsia"/>
                      <w:color w:val="0000FF"/>
                      <w:lang w:val="en-US" w:eastAsia="zh-CN"/>
                    </w:rPr>
                    <w:t>危废暂存间，委托有资质的单位处置</w:t>
                  </w:r>
                </w:p>
                <w:p>
                  <w:pPr>
                    <w:pStyle w:val="33"/>
                    <w:rPr>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48" w:type="pct"/>
                  <w:tcBorders>
                    <w:tl2br w:val="nil"/>
                    <w:tr2bl w:val="nil"/>
                  </w:tcBorders>
                  <w:shd w:val="clear" w:color="auto" w:fill="FFFFFF"/>
                  <w:vAlign w:val="center"/>
                </w:tcPr>
                <w:p>
                  <w:pPr>
                    <w:pStyle w:val="33"/>
                    <w:rPr>
                      <w:lang w:val="en-US" w:eastAsia="zh-CN"/>
                    </w:rPr>
                  </w:pPr>
                  <w:r>
                    <w:rPr>
                      <w:rFonts w:hint="eastAsia"/>
                      <w:lang w:val="en-US" w:eastAsia="zh-CN"/>
                    </w:rPr>
                    <w:t>9</w:t>
                  </w:r>
                </w:p>
              </w:tc>
              <w:tc>
                <w:tcPr>
                  <w:tcW w:w="883" w:type="pct"/>
                  <w:tcBorders>
                    <w:tl2br w:val="nil"/>
                    <w:tr2bl w:val="nil"/>
                  </w:tcBorders>
                  <w:shd w:val="clear" w:color="auto" w:fill="FFFFFF"/>
                  <w:vAlign w:val="center"/>
                </w:tcPr>
                <w:p>
                  <w:pPr>
                    <w:pStyle w:val="33"/>
                    <w:rPr>
                      <w:lang w:val="en-US" w:eastAsia="zh-CN"/>
                    </w:rPr>
                  </w:pPr>
                  <w:r>
                    <w:rPr>
                      <w:rFonts w:hint="eastAsia"/>
                      <w:lang w:val="en-US" w:eastAsia="zh-CN"/>
                    </w:rPr>
                    <w:t>废弃UV灯管</w:t>
                  </w:r>
                </w:p>
              </w:tc>
              <w:tc>
                <w:tcPr>
                  <w:tcW w:w="811" w:type="pct"/>
                  <w:tcBorders>
                    <w:tl2br w:val="nil"/>
                    <w:tr2bl w:val="nil"/>
                  </w:tcBorders>
                  <w:shd w:val="clear" w:color="auto" w:fill="FFFFFF"/>
                  <w:vAlign w:val="center"/>
                </w:tcPr>
                <w:p>
                  <w:pPr>
                    <w:pStyle w:val="33"/>
                    <w:rPr>
                      <w:lang w:val="en-US" w:eastAsia="zh-CN"/>
                    </w:rPr>
                  </w:pPr>
                  <w:r>
                    <w:rPr>
                      <w:rFonts w:hint="eastAsia"/>
                      <w:lang w:val="en-US" w:eastAsia="zh-CN"/>
                    </w:rPr>
                    <w:t>900-023-29</w:t>
                  </w:r>
                </w:p>
              </w:tc>
              <w:tc>
                <w:tcPr>
                  <w:tcW w:w="435" w:type="pct"/>
                  <w:vMerge w:val="continue"/>
                  <w:tcBorders>
                    <w:tl2br w:val="nil"/>
                    <w:tr2bl w:val="nil"/>
                  </w:tcBorders>
                  <w:shd w:val="clear" w:color="auto" w:fill="FFFFFF"/>
                  <w:vAlign w:val="center"/>
                </w:tcPr>
                <w:p>
                  <w:pPr>
                    <w:pStyle w:val="33"/>
                    <w:rPr>
                      <w:lang w:val="en-US" w:eastAsia="zh-CN"/>
                    </w:rPr>
                  </w:pPr>
                </w:p>
              </w:tc>
              <w:tc>
                <w:tcPr>
                  <w:tcW w:w="397" w:type="pct"/>
                  <w:tcBorders>
                    <w:tl2br w:val="nil"/>
                    <w:tr2bl w:val="nil"/>
                  </w:tcBorders>
                  <w:shd w:val="clear" w:color="auto" w:fill="FFFFFF"/>
                  <w:vAlign w:val="center"/>
                </w:tcPr>
                <w:p>
                  <w:pPr>
                    <w:pStyle w:val="33"/>
                    <w:rPr>
                      <w:lang w:val="en-US" w:eastAsia="zh-CN"/>
                    </w:rPr>
                  </w:pPr>
                  <w:r>
                    <w:rPr>
                      <w:rFonts w:hint="eastAsia"/>
                      <w:lang w:val="en-US" w:eastAsia="zh-CN"/>
                    </w:rPr>
                    <w:t>0.01</w:t>
                  </w:r>
                </w:p>
              </w:tc>
              <w:tc>
                <w:tcPr>
                  <w:tcW w:w="2123" w:type="pct"/>
                  <w:vMerge w:val="continue"/>
                  <w:tcBorders>
                    <w:tl2br w:val="nil"/>
                    <w:tr2bl w:val="nil"/>
                  </w:tcBorders>
                  <w:shd w:val="clear" w:color="auto" w:fill="FFFFFF"/>
                  <w:vAlign w:val="center"/>
                </w:tcPr>
                <w:p>
                  <w:pPr>
                    <w:pStyle w:val="33"/>
                    <w:rPr>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48" w:type="pct"/>
                  <w:tcBorders>
                    <w:tl2br w:val="nil"/>
                    <w:tr2bl w:val="nil"/>
                  </w:tcBorders>
                  <w:shd w:val="clear" w:color="auto" w:fill="FFFFFF"/>
                  <w:vAlign w:val="center"/>
                </w:tcPr>
                <w:p>
                  <w:pPr>
                    <w:pStyle w:val="33"/>
                    <w:rPr>
                      <w:lang w:val="en-US" w:eastAsia="zh-CN"/>
                    </w:rPr>
                  </w:pPr>
                  <w:r>
                    <w:rPr>
                      <w:rFonts w:hint="eastAsia"/>
                      <w:lang w:val="en-US" w:eastAsia="zh-CN"/>
                    </w:rPr>
                    <w:t>10</w:t>
                  </w:r>
                </w:p>
              </w:tc>
              <w:tc>
                <w:tcPr>
                  <w:tcW w:w="883" w:type="pct"/>
                  <w:tcBorders>
                    <w:tl2br w:val="nil"/>
                    <w:tr2bl w:val="nil"/>
                  </w:tcBorders>
                  <w:shd w:val="clear" w:color="auto" w:fill="FFFFFF"/>
                  <w:vAlign w:val="center"/>
                </w:tcPr>
                <w:p>
                  <w:pPr>
                    <w:pStyle w:val="33"/>
                    <w:rPr>
                      <w:lang w:val="en-US" w:eastAsia="zh-CN"/>
                    </w:rPr>
                  </w:pPr>
                  <w:r>
                    <w:rPr>
                      <w:rFonts w:hint="eastAsia"/>
                      <w:lang w:val="en-US" w:eastAsia="zh-CN"/>
                    </w:rPr>
                    <w:t>废乳液桶</w:t>
                  </w:r>
                </w:p>
              </w:tc>
              <w:tc>
                <w:tcPr>
                  <w:tcW w:w="811" w:type="pct"/>
                  <w:tcBorders>
                    <w:tl2br w:val="nil"/>
                    <w:tr2bl w:val="nil"/>
                  </w:tcBorders>
                  <w:shd w:val="clear" w:color="auto" w:fill="FFFFFF"/>
                  <w:vAlign w:val="center"/>
                </w:tcPr>
                <w:p>
                  <w:pPr>
                    <w:pStyle w:val="33"/>
                    <w:rPr>
                      <w:lang w:val="en-US" w:eastAsia="zh-CN"/>
                    </w:rPr>
                  </w:pPr>
                  <w:r>
                    <w:rPr>
                      <w:rFonts w:hint="eastAsia"/>
                      <w:lang w:val="en-US" w:eastAsia="zh-CN"/>
                    </w:rPr>
                    <w:t>900-041-49</w:t>
                  </w:r>
                </w:p>
              </w:tc>
              <w:tc>
                <w:tcPr>
                  <w:tcW w:w="435" w:type="pct"/>
                  <w:vMerge w:val="continue"/>
                  <w:tcBorders>
                    <w:tl2br w:val="nil"/>
                    <w:tr2bl w:val="nil"/>
                  </w:tcBorders>
                  <w:shd w:val="clear" w:color="auto" w:fill="FFFFFF"/>
                  <w:vAlign w:val="center"/>
                </w:tcPr>
                <w:p>
                  <w:pPr>
                    <w:pStyle w:val="33"/>
                  </w:pPr>
                </w:p>
              </w:tc>
              <w:tc>
                <w:tcPr>
                  <w:tcW w:w="397" w:type="pct"/>
                  <w:tcBorders>
                    <w:tl2br w:val="nil"/>
                    <w:tr2bl w:val="nil"/>
                  </w:tcBorders>
                  <w:shd w:val="clear" w:color="auto" w:fill="FFFFFF"/>
                  <w:vAlign w:val="center"/>
                </w:tcPr>
                <w:p>
                  <w:pPr>
                    <w:pStyle w:val="33"/>
                    <w:rPr>
                      <w:lang w:val="en-US" w:eastAsia="zh-CN"/>
                    </w:rPr>
                  </w:pPr>
                  <w:r>
                    <w:rPr>
                      <w:rFonts w:hint="eastAsia"/>
                      <w:lang w:val="en-US" w:eastAsia="zh-CN"/>
                    </w:rPr>
                    <w:t>0.06</w:t>
                  </w:r>
                </w:p>
              </w:tc>
              <w:tc>
                <w:tcPr>
                  <w:tcW w:w="2123" w:type="pct"/>
                  <w:vMerge w:val="continue"/>
                  <w:tcBorders>
                    <w:tl2br w:val="nil"/>
                    <w:tr2bl w:val="nil"/>
                  </w:tcBorders>
                  <w:shd w:val="clear" w:color="auto" w:fill="FFFFFF"/>
                  <w:vAlign w:val="center"/>
                </w:tcPr>
                <w:p>
                  <w:pPr>
                    <w:pStyle w:val="33"/>
                    <w:rPr>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48" w:type="pct"/>
                  <w:tcBorders>
                    <w:tl2br w:val="nil"/>
                    <w:tr2bl w:val="nil"/>
                  </w:tcBorders>
                  <w:shd w:val="clear" w:color="auto" w:fill="FFFFFF"/>
                  <w:vAlign w:val="center"/>
                </w:tcPr>
                <w:p>
                  <w:pPr>
                    <w:pStyle w:val="33"/>
                    <w:rPr>
                      <w:lang w:val="en-US" w:eastAsia="zh-CN"/>
                    </w:rPr>
                  </w:pPr>
                  <w:r>
                    <w:rPr>
                      <w:rFonts w:hint="eastAsia"/>
                      <w:lang w:val="en-US" w:eastAsia="zh-CN"/>
                    </w:rPr>
                    <w:t>11</w:t>
                  </w:r>
                </w:p>
              </w:tc>
              <w:tc>
                <w:tcPr>
                  <w:tcW w:w="883" w:type="pct"/>
                  <w:tcBorders>
                    <w:tl2br w:val="nil"/>
                    <w:tr2bl w:val="nil"/>
                  </w:tcBorders>
                  <w:shd w:val="clear" w:color="auto" w:fill="FFFFFF"/>
                  <w:vAlign w:val="center"/>
                </w:tcPr>
                <w:p>
                  <w:pPr>
                    <w:pStyle w:val="33"/>
                    <w:rPr>
                      <w:lang w:val="en-US" w:eastAsia="zh-CN"/>
                    </w:rPr>
                  </w:pPr>
                  <w:r>
                    <w:rPr>
                      <w:rFonts w:hint="eastAsia"/>
                      <w:lang w:val="en-US" w:eastAsia="zh-CN"/>
                    </w:rPr>
                    <w:t>废机油</w:t>
                  </w:r>
                </w:p>
              </w:tc>
              <w:tc>
                <w:tcPr>
                  <w:tcW w:w="811" w:type="pct"/>
                  <w:tcBorders>
                    <w:tl2br w:val="nil"/>
                    <w:tr2bl w:val="nil"/>
                  </w:tcBorders>
                  <w:shd w:val="clear" w:color="auto" w:fill="FFFFFF"/>
                  <w:vAlign w:val="center"/>
                </w:tcPr>
                <w:p>
                  <w:pPr>
                    <w:pStyle w:val="33"/>
                    <w:rPr>
                      <w:lang w:val="en-US" w:eastAsia="zh-CN"/>
                    </w:rPr>
                  </w:pPr>
                  <w:r>
                    <w:rPr>
                      <w:rFonts w:hint="eastAsia"/>
                      <w:lang w:val="en-US" w:eastAsia="zh-CN"/>
                    </w:rPr>
                    <w:t>900-249-08</w:t>
                  </w:r>
                </w:p>
              </w:tc>
              <w:tc>
                <w:tcPr>
                  <w:tcW w:w="435" w:type="pct"/>
                  <w:vMerge w:val="continue"/>
                  <w:tcBorders>
                    <w:tl2br w:val="nil"/>
                    <w:tr2bl w:val="nil"/>
                  </w:tcBorders>
                  <w:shd w:val="clear" w:color="auto" w:fill="FFFFFF"/>
                  <w:vAlign w:val="center"/>
                </w:tcPr>
                <w:p>
                  <w:pPr>
                    <w:pStyle w:val="33"/>
                    <w:rPr>
                      <w:lang w:val="en-US" w:eastAsia="zh-CN"/>
                    </w:rPr>
                  </w:pPr>
                </w:p>
              </w:tc>
              <w:tc>
                <w:tcPr>
                  <w:tcW w:w="397" w:type="pct"/>
                  <w:tcBorders>
                    <w:tl2br w:val="nil"/>
                    <w:tr2bl w:val="nil"/>
                  </w:tcBorders>
                  <w:shd w:val="clear" w:color="auto" w:fill="FFFFFF"/>
                  <w:vAlign w:val="center"/>
                </w:tcPr>
                <w:p>
                  <w:pPr>
                    <w:pStyle w:val="33"/>
                    <w:rPr>
                      <w:lang w:val="en-US" w:eastAsia="zh-CN"/>
                    </w:rPr>
                  </w:pPr>
                  <w:r>
                    <w:rPr>
                      <w:lang w:val="en-US" w:eastAsia="zh-CN"/>
                    </w:rPr>
                    <w:t>0.</w:t>
                  </w:r>
                  <w:r>
                    <w:rPr>
                      <w:rFonts w:hint="eastAsia"/>
                      <w:lang w:val="en-US" w:eastAsia="zh-CN"/>
                    </w:rPr>
                    <w:t>01</w:t>
                  </w:r>
                </w:p>
              </w:tc>
              <w:tc>
                <w:tcPr>
                  <w:tcW w:w="2123" w:type="pct"/>
                  <w:tcBorders>
                    <w:tl2br w:val="nil"/>
                    <w:tr2bl w:val="nil"/>
                  </w:tcBorders>
                  <w:shd w:val="clear" w:color="auto" w:fill="FFFFFF"/>
                  <w:vAlign w:val="center"/>
                </w:tcPr>
                <w:p>
                  <w:pPr>
                    <w:pStyle w:val="33"/>
                    <w:rPr>
                      <w:lang w:val="en-US" w:eastAsia="zh-CN"/>
                    </w:rPr>
                  </w:pPr>
                  <w:r>
                    <w:rPr>
                      <w:rFonts w:hint="eastAsia"/>
                      <w:lang w:val="en-US" w:eastAsia="zh-CN"/>
                    </w:rPr>
                    <w:t>收集后装在密闭桶中暂存于危废暂存间，委托有危废资质的单位处置</w:t>
                  </w:r>
                </w:p>
              </w:tc>
            </w:tr>
          </w:tbl>
          <w:p>
            <w:pPr>
              <w:pStyle w:val="6"/>
              <w:numPr>
                <w:ilvl w:val="1"/>
                <w:numId w:val="20"/>
              </w:numPr>
              <w:jc w:val="both"/>
              <w:outlineLvl w:val="2"/>
            </w:pPr>
            <w:r>
              <w:rPr>
                <w:rFonts w:hint="eastAsia"/>
              </w:rPr>
              <w:t>固废治理措施及其可行性论证</w:t>
            </w:r>
          </w:p>
          <w:p>
            <w:pPr>
              <w:pStyle w:val="20"/>
              <w:ind w:firstLine="480"/>
              <w:jc w:val="both"/>
            </w:pPr>
            <w:r>
              <w:rPr>
                <w:rFonts w:hint="eastAsia"/>
              </w:rPr>
              <w:t>昌吉市生活垃圾综合处理厂，位于昌吉市榆树沟镇312国道53km处，建于2002年，占地面积1320亩，处理规模为近期日处理能力450t/d，远期日处理能力600t/d。本项目一般固体废物排污总量为1.45t/d。根据上述分析，本项目一般固体废物由昌吉市生活垃圾填埋场处理，措施可行，符合《一般工业固体废物贮存、处置场污染控制标准》（GB18599-2001）及修改单中相关标准。</w:t>
            </w:r>
          </w:p>
          <w:p>
            <w:pPr>
              <w:pStyle w:val="6"/>
              <w:jc w:val="both"/>
              <w:outlineLvl w:val="2"/>
            </w:pPr>
            <w:r>
              <w:rPr>
                <w:rFonts w:hint="eastAsia"/>
              </w:rPr>
              <w:t>4.2 危险废物防治措施及环境管理要求</w:t>
            </w:r>
          </w:p>
          <w:p>
            <w:pPr>
              <w:pStyle w:val="20"/>
              <w:ind w:firstLine="480"/>
              <w:jc w:val="both"/>
            </w:pPr>
            <w:r>
              <w:rPr>
                <w:rFonts w:hint="eastAsia"/>
              </w:rPr>
              <w:t>根据《国家危险废物名录》（2021版）和《建设项目危险废物环境影响评价指南》（公告2017年第43号）的相关要求，本项目危险废物主要为废机油、废乳液桶、废活性炭、废UV灯管。本环评要求在厂区南侧设置面积为</w:t>
            </w:r>
            <w:r>
              <w:rPr>
                <w:rFonts w:hint="eastAsia"/>
                <w:lang w:val="en-US" w:eastAsia="zh-CN"/>
              </w:rPr>
              <w:t>10</w:t>
            </w:r>
            <w:r>
              <w:rPr>
                <w:rFonts w:hint="eastAsia"/>
              </w:rPr>
              <w:t>m</w:t>
            </w:r>
            <w:r>
              <w:rPr>
                <w:rFonts w:hint="eastAsia"/>
                <w:vertAlign w:val="superscript"/>
              </w:rPr>
              <w:t>2</w:t>
            </w:r>
            <w:r>
              <w:rPr>
                <w:rFonts w:hint="eastAsia"/>
              </w:rPr>
              <w:t>的危废暂存间，妥善暂存项目产生的危险废物，定期委托有危废处理资质的单位处置。</w:t>
            </w:r>
          </w:p>
          <w:p>
            <w:pPr>
              <w:pStyle w:val="20"/>
              <w:ind w:firstLine="480"/>
              <w:jc w:val="both"/>
            </w:pPr>
            <w:r>
              <w:rPr>
                <w:rFonts w:hint="eastAsia"/>
              </w:rPr>
              <w:t>危废暂存间的建设必须满足《危险废物贮存污染控制标准》(GB18597-2001)的相关要求。对危险废物的收集、暂存和运输按国家标准有如下要求：</w:t>
            </w:r>
          </w:p>
          <w:p>
            <w:pPr>
              <w:pStyle w:val="20"/>
              <w:numPr>
                <w:ilvl w:val="0"/>
                <w:numId w:val="24"/>
              </w:numPr>
              <w:ind w:firstLine="480"/>
              <w:jc w:val="both"/>
            </w:pPr>
            <w:r>
              <w:t>按照《建设项目危险废物环境影响评价指南》的要求，做好危险废物暂存间的“四防措施”（防风、防雨、防晒、防渗漏）。</w:t>
            </w:r>
          </w:p>
          <w:p>
            <w:pPr>
              <w:pStyle w:val="20"/>
              <w:numPr>
                <w:ilvl w:val="0"/>
                <w:numId w:val="24"/>
              </w:numPr>
              <w:ind w:firstLine="458"/>
              <w:jc w:val="both"/>
              <w:rPr>
                <w:w w:val="96"/>
              </w:rPr>
            </w:pPr>
            <w:r>
              <w:rPr>
                <w:w w:val="96"/>
              </w:rPr>
              <w:t>各类危险废物即时产生及时处理，分类暂存于专门的收集桶内，放置于危废暂存区，定期交由有相应类别危废处理资质的单位统一收集处理。</w:t>
            </w:r>
          </w:p>
          <w:p>
            <w:pPr>
              <w:pStyle w:val="20"/>
              <w:numPr>
                <w:ilvl w:val="0"/>
                <w:numId w:val="24"/>
              </w:numPr>
              <w:ind w:firstLine="480"/>
              <w:jc w:val="both"/>
            </w:pPr>
            <w:r>
              <w:t>营运期加强管理，定期对危废暂存容器进行检查，确保暂存过程中不因容器变形被腐蚀等因素造成危废泄露或异味大量冒出。</w:t>
            </w:r>
          </w:p>
          <w:p>
            <w:pPr>
              <w:pStyle w:val="20"/>
              <w:numPr>
                <w:ilvl w:val="0"/>
                <w:numId w:val="24"/>
              </w:numPr>
              <w:ind w:firstLine="480"/>
              <w:jc w:val="both"/>
            </w:pPr>
            <w:r>
              <w:t>严格按照《危险废物标志牌式样》标准对</w:t>
            </w:r>
            <w:r>
              <w:rPr>
                <w:rFonts w:hint="eastAsia"/>
              </w:rPr>
              <w:t>项目区</w:t>
            </w:r>
            <w:r>
              <w:t>危险废物环境管理的相关设施、场所识别标志和危险废物识别标志样式（形状、颜色、图案）和内容准确标识完整。对暂存库进行分区划线，分类贮存。按照《危废台账模板》格式，如实和规范记录各类危废贮存情况。认真填写名称、种类、数量、来源、出入库时间、去向、交接人签字等内容。</w:t>
            </w:r>
          </w:p>
          <w:p>
            <w:pPr>
              <w:pStyle w:val="20"/>
              <w:numPr>
                <w:ilvl w:val="0"/>
                <w:numId w:val="24"/>
              </w:numPr>
              <w:ind w:firstLine="480"/>
              <w:jc w:val="both"/>
            </w:pPr>
            <w:r>
              <w:t>结合《危险废物贮存污染控制标准》(GB18597-2001) (2013年修正）的要求：基础必须防渗，防渗层为至少1m厚粘土层（渗透系数≤10</w:t>
            </w:r>
            <w:r>
              <w:rPr>
                <w:vertAlign w:val="superscript"/>
              </w:rPr>
              <w:t>-7</w:t>
            </w:r>
            <w:r>
              <w:t>cm/s），或2mm厚高密度聚乙烯，或至少2mm厚的其它人工材料，渗透系数≤10</w:t>
            </w:r>
            <w:r>
              <w:rPr>
                <w:vertAlign w:val="superscript"/>
              </w:rPr>
              <w:t>-10</w:t>
            </w:r>
            <w:r>
              <w:t>cm/s；堆放危险废物的高度应根据地面承载能力确定；衬里放在一个基础或底座上；衬里要能够覆盖危险废物或其溶出物可能涉及到的范围；衬里材料与堆放危险废物相容：在衬里上设计、建造浸出液收集消除系统；应设计建造径流疏导系统，保证能防止25年一遇的暴雨不会流到危险废物堆里：危险废物堆内设计雨水收集池，并能收集25年一遇的暴雨24小时降水量；危险废物堆要防风、防雨、防晒、防渗；产生量大的危险废物可以散装方式堆放贮存在按上述要求设计的废物堆里；不相容的危险废物不能堆放在一起；总贮存量不超过300kg(L)的危险废物要放入符合标准的容器内，加上标签，容器放入坚固的柜或箱中，柜或箱应设多个直径不少于30毫米的排气孔。不相容危险废物要分别存放或存放在不渗透间隔分开的区域内，每个部分都应有防漏裙脚或储漏盘，防漏裙脚或储漏盘的材料要与危险废物相容。</w:t>
            </w:r>
          </w:p>
          <w:p>
            <w:pPr>
              <w:pStyle w:val="20"/>
              <w:numPr>
                <w:ilvl w:val="0"/>
                <w:numId w:val="24"/>
              </w:numPr>
              <w:ind w:left="0" w:leftChars="0" w:firstLine="480" w:firstLineChars="200"/>
              <w:jc w:val="both"/>
              <w:rPr>
                <w:color w:val="0000FF"/>
              </w:rPr>
            </w:pPr>
            <w:r>
              <w:rPr>
                <w:color w:val="0000FF"/>
              </w:rPr>
              <w:t>运营期产生的危险废物应严格按照</w:t>
            </w:r>
            <w:r>
              <w:rPr>
                <w:rFonts w:hint="eastAsia"/>
                <w:color w:val="0000FF"/>
                <w:lang w:val="en-US" w:eastAsia="zh-CN"/>
              </w:rPr>
              <w:t>原环境保护总局</w:t>
            </w:r>
            <w:r>
              <w:rPr>
                <w:color w:val="0000FF"/>
              </w:rPr>
              <w:t>《危险废物转移联单管理办法》国家环境保护总局令第5号</w:t>
            </w:r>
            <w:r>
              <w:rPr>
                <w:rFonts w:hint="eastAsia"/>
                <w:color w:val="0000FF"/>
                <w:lang w:val="en-US" w:eastAsia="zh-CN"/>
              </w:rPr>
              <w:t>进行转移、处置。</w:t>
            </w:r>
          </w:p>
          <w:p>
            <w:pPr>
              <w:pStyle w:val="20"/>
              <w:ind w:firstLine="480"/>
              <w:jc w:val="both"/>
            </w:pPr>
            <w:r>
              <w:rPr>
                <w:rFonts w:hint="eastAsia"/>
              </w:rPr>
              <w:t>综上，本项目产生的各类固体废物均能得到妥善处置，对周围环境影响较小。</w:t>
            </w:r>
          </w:p>
          <w:p>
            <w:pPr>
              <w:pStyle w:val="5"/>
              <w:numPr>
                <w:ilvl w:val="0"/>
                <w:numId w:val="20"/>
              </w:numPr>
              <w:jc w:val="both"/>
              <w:outlineLvl w:val="1"/>
            </w:pPr>
            <w:r>
              <w:rPr>
                <w:rFonts w:hint="eastAsia"/>
              </w:rPr>
              <w:t>地下水、土壤污染影响及防治措施</w:t>
            </w:r>
          </w:p>
          <w:p>
            <w:pPr>
              <w:pStyle w:val="6"/>
              <w:jc w:val="both"/>
              <w:outlineLvl w:val="2"/>
            </w:pPr>
            <w:r>
              <w:rPr>
                <w:rFonts w:hint="eastAsia"/>
              </w:rPr>
              <w:t>5.1 地下水、土壤污染影响分析</w:t>
            </w:r>
          </w:p>
          <w:p>
            <w:pPr>
              <w:pStyle w:val="20"/>
              <w:ind w:firstLine="480"/>
              <w:jc w:val="both"/>
            </w:pPr>
            <w:r>
              <w:t>项目建设期，对废水、污水、固体废物进行合理化处理，不会造成地下水污染；运营期内，无生产废水排放，生活污水全部排至园区下水管网，固体废物统一清运处理，在采取防渗措施、加强渗漏检测的前提下，正常工况不会对地下水水质产生影响；但是，在</w:t>
            </w:r>
            <w:r>
              <w:rPr>
                <w:rFonts w:hint="eastAsia"/>
              </w:rPr>
              <w:t>危废暂存间</w:t>
            </w:r>
            <w:r>
              <w:t>防渗层破裂时，如发生渗漏的情况下，会对地下水造成一定的影响。</w:t>
            </w:r>
          </w:p>
          <w:p>
            <w:pPr>
              <w:pStyle w:val="20"/>
              <w:ind w:firstLine="480"/>
              <w:jc w:val="both"/>
            </w:pPr>
            <w:r>
              <w:t>为防止项目对地下水造成污染，环评提出做好以下防治措施：</w:t>
            </w:r>
          </w:p>
          <w:p>
            <w:pPr>
              <w:pStyle w:val="6"/>
              <w:jc w:val="both"/>
              <w:outlineLvl w:val="2"/>
            </w:pPr>
            <w:r>
              <w:rPr>
                <w:rFonts w:hint="eastAsia"/>
              </w:rPr>
              <w:t>5.2 防治措施</w:t>
            </w:r>
          </w:p>
          <w:p>
            <w:pPr>
              <w:pStyle w:val="20"/>
              <w:ind w:firstLine="480"/>
              <w:jc w:val="both"/>
            </w:pPr>
            <w:r>
              <w:rPr>
                <w:rFonts w:hint="eastAsia"/>
              </w:rPr>
              <w:t>针对本项目可能对地下水造成的污染情况，依据《环境影响评价技术导则地下水环境》（</w:t>
            </w:r>
            <w:r>
              <w:t>HJ610-2016</w:t>
            </w:r>
            <w:r>
              <w:rPr>
                <w:rFonts w:hint="eastAsia"/>
              </w:rPr>
              <w:t>）的要求，本报告建议建设单位拟采取防止地下水污染的保护措施如下：</w:t>
            </w:r>
          </w:p>
          <w:p>
            <w:pPr>
              <w:pStyle w:val="20"/>
              <w:ind w:firstLine="480"/>
              <w:jc w:val="both"/>
              <w:rPr>
                <w:rFonts w:hint="eastAsia" w:eastAsia="宋体"/>
                <w:lang w:eastAsia="zh-CN"/>
              </w:rPr>
            </w:pPr>
            <w:r>
              <w:t>对照《环境影响技术导则—地下水环境》（HJ610-2016）地下水污染防渗分区参照表，</w:t>
            </w:r>
            <w:r>
              <w:rPr>
                <w:rFonts w:hint="eastAsia"/>
              </w:rPr>
              <w:t>危废暂存间为重点防渗区、沉淀池</w:t>
            </w:r>
            <w:r>
              <w:t>为一般防渗区，</w:t>
            </w:r>
            <w:r>
              <w:rPr>
                <w:rFonts w:hint="eastAsia"/>
                <w:lang w:val="en-US" w:eastAsia="zh-CN"/>
              </w:rPr>
              <w:t>厂房</w:t>
            </w:r>
            <w:r>
              <w:t>为简单防渗区。</w:t>
            </w:r>
            <w:r>
              <w:rPr>
                <w:rFonts w:hint="eastAsia"/>
                <w:lang w:eastAsia="zh-CN"/>
              </w:rPr>
              <w:t>（</w:t>
            </w:r>
            <w:r>
              <w:rPr>
                <w:rFonts w:hint="eastAsia"/>
                <w:lang w:val="en-US" w:eastAsia="zh-CN"/>
              </w:rPr>
              <w:t>附图8</w:t>
            </w:r>
            <w:r>
              <w:rPr>
                <w:rFonts w:hint="eastAsia"/>
                <w:lang w:eastAsia="zh-CN"/>
              </w:rPr>
              <w:t>）</w:t>
            </w:r>
          </w:p>
          <w:p>
            <w:pPr>
              <w:pStyle w:val="20"/>
              <w:numPr>
                <w:ilvl w:val="0"/>
                <w:numId w:val="25"/>
              </w:numPr>
              <w:ind w:firstLine="480"/>
              <w:jc w:val="both"/>
            </w:pPr>
            <w:r>
              <w:rPr>
                <w:rFonts w:hint="eastAsia"/>
              </w:rPr>
              <w:t>重点防渗区</w:t>
            </w:r>
          </w:p>
          <w:p>
            <w:pPr>
              <w:pStyle w:val="20"/>
              <w:ind w:firstLine="480"/>
              <w:jc w:val="both"/>
            </w:pPr>
            <w:r>
              <w:rPr>
                <w:rFonts w:hint="eastAsia"/>
              </w:rPr>
              <w:t>根据</w:t>
            </w:r>
            <w:r>
              <w:t>《危险废物贮存污染控制标准》（GB18597-2001）相关规定进行设置，基础必须严格防渗，防渗层为至少1m厚粘土层（渗透系数≦10</w:t>
            </w:r>
            <w:r>
              <w:rPr>
                <w:vertAlign w:val="superscript"/>
              </w:rPr>
              <w:t>-7</w:t>
            </w:r>
            <w:r>
              <w:t>cm/s），或2mm厚高密度聚乙烯，或至少2mm厚的其它人工材料，渗透系数≦10</w:t>
            </w:r>
            <w:r>
              <w:rPr>
                <w:vertAlign w:val="superscript"/>
              </w:rPr>
              <w:t>-10</w:t>
            </w:r>
            <w:r>
              <w:t>cm/s；堆放危险废物的高度应根据地面承载能力确定；并设置明显的危险废物贮存标志，贮存期限不得超过国家规定；</w:t>
            </w:r>
          </w:p>
          <w:p>
            <w:pPr>
              <w:pStyle w:val="20"/>
              <w:numPr>
                <w:ilvl w:val="0"/>
                <w:numId w:val="25"/>
              </w:numPr>
              <w:ind w:firstLine="480"/>
              <w:jc w:val="both"/>
            </w:pPr>
            <w:r>
              <w:rPr>
                <w:rFonts w:hint="eastAsia"/>
              </w:rPr>
              <w:t>一般防渗区</w:t>
            </w:r>
          </w:p>
          <w:p>
            <w:pPr>
              <w:pStyle w:val="20"/>
              <w:ind w:firstLine="480"/>
              <w:jc w:val="both"/>
            </w:pPr>
            <w:r>
              <w:rPr>
                <w:rFonts w:hint="eastAsia"/>
              </w:rPr>
              <w:t>沉淀池</w:t>
            </w:r>
            <w:r>
              <w:t>采用了混凝土池防渗。池体用钢筋混凝土，池底涂环氧树脂防腐防渗，池体内表面刷涂水泥基渗透结晶型防渗涂料，渗透系数≤1×10</w:t>
            </w:r>
            <w:r>
              <w:rPr>
                <w:vertAlign w:val="superscript"/>
              </w:rPr>
              <w:t>-1</w:t>
            </w:r>
            <w:r>
              <w:rPr>
                <w:rFonts w:hint="eastAsia"/>
                <w:vertAlign w:val="superscript"/>
              </w:rPr>
              <w:t>0</w:t>
            </w:r>
            <w:r>
              <w:t>cm/s）。对比防渗技术要求，本项目</w:t>
            </w:r>
            <w:r>
              <w:rPr>
                <w:rFonts w:hint="eastAsia"/>
              </w:rPr>
              <w:t>一般</w:t>
            </w:r>
            <w:r>
              <w:t>防渗区采取的防渗措施满足防渗技术要求。</w:t>
            </w:r>
          </w:p>
          <w:p>
            <w:pPr>
              <w:pStyle w:val="20"/>
              <w:numPr>
                <w:ilvl w:val="0"/>
                <w:numId w:val="25"/>
              </w:numPr>
              <w:ind w:firstLine="480"/>
              <w:jc w:val="both"/>
            </w:pPr>
            <w:r>
              <w:t xml:space="preserve">简单防渗区 </w:t>
            </w:r>
          </w:p>
          <w:p>
            <w:pPr>
              <w:pStyle w:val="20"/>
              <w:ind w:firstLine="480"/>
              <w:jc w:val="both"/>
            </w:pPr>
            <w:r>
              <w:t>简单防渗区为</w:t>
            </w:r>
            <w:r>
              <w:rPr>
                <w:rFonts w:hint="eastAsia"/>
                <w:lang w:val="en-US" w:eastAsia="zh-CN"/>
              </w:rPr>
              <w:t>厂房</w:t>
            </w:r>
            <w:r>
              <w:t>、厂区道路等，采用水泥硬化。</w:t>
            </w:r>
          </w:p>
          <w:p>
            <w:pPr>
              <w:pStyle w:val="5"/>
              <w:numPr>
                <w:ilvl w:val="0"/>
                <w:numId w:val="20"/>
              </w:numPr>
              <w:jc w:val="both"/>
              <w:outlineLvl w:val="1"/>
            </w:pPr>
            <w:r>
              <w:rPr>
                <w:rFonts w:hint="eastAsia"/>
              </w:rPr>
              <w:t>环境风险分析</w:t>
            </w:r>
          </w:p>
          <w:p>
            <w:pPr>
              <w:pStyle w:val="20"/>
              <w:bidi w:val="0"/>
              <w:jc w:val="both"/>
            </w:pPr>
            <w:r>
              <w:rPr>
                <w:rFonts w:hint="eastAsia"/>
                <w:lang w:val="en-US" w:eastAsia="zh-CN"/>
              </w:rPr>
              <w:t>根据本项目生产工艺和原辅材料的使用，对照</w:t>
            </w:r>
            <w:r>
              <w:t>建设项目环境风险评价技术导则》（HJ169-2018）</w:t>
            </w:r>
            <w:r>
              <w:rPr>
                <w:rFonts w:hint="eastAsia"/>
              </w:rPr>
              <w:t>附录B</w:t>
            </w:r>
            <w:r>
              <w:rPr>
                <w:rFonts w:hint="eastAsia"/>
                <w:lang w:eastAsia="zh-CN"/>
              </w:rPr>
              <w:t>，</w:t>
            </w:r>
            <w:r>
              <w:rPr>
                <w:rFonts w:hint="eastAsia"/>
              </w:rPr>
              <w:t>本项目可能发生的环境风险事故为</w:t>
            </w:r>
            <w:r>
              <w:rPr>
                <w:rFonts w:hint="eastAsia"/>
                <w:lang w:val="en-US" w:eastAsia="zh-CN"/>
              </w:rPr>
              <w:t>EPS原材料，</w:t>
            </w:r>
            <w:r>
              <w:rPr>
                <w:rFonts w:hint="eastAsia"/>
              </w:rPr>
              <w:t>苯板</w:t>
            </w:r>
            <w:r>
              <w:rPr>
                <w:rFonts w:hint="eastAsia"/>
                <w:lang w:eastAsia="zh-CN"/>
              </w:rPr>
              <w:t>、</w:t>
            </w:r>
            <w:r>
              <w:rPr>
                <w:rFonts w:hint="eastAsia"/>
                <w:lang w:val="en-US" w:eastAsia="zh-CN"/>
              </w:rPr>
              <w:t>废机油。</w:t>
            </w:r>
            <w:r>
              <w:rPr>
                <w:rFonts w:hint="eastAsia" w:ascii="Times New Roman" w:hAnsi="Times New Roman" w:eastAsia="宋体"/>
                <w:color w:val="0000FF"/>
                <w:lang w:val="en-US" w:eastAsia="zh-CN"/>
              </w:rPr>
              <w:t>易</w:t>
            </w:r>
            <w:r>
              <w:rPr>
                <w:rFonts w:hint="eastAsia" w:ascii="Times New Roman" w:hAnsi="Times New Roman" w:eastAsia="宋体"/>
                <w:color w:val="0000FF"/>
              </w:rPr>
              <w:t>发生火灾事故，对事故区域以及周边区域环境质量产生影响。原材料苯板属于可燃性危险源。苯板未被列入《建设项目环境风险评价技术导则》（HJ169-2018）附录B和《危险化学品重大危险源辨识》（GB18218-2018）监控目录，属非重大危险源。</w:t>
            </w:r>
            <w:r>
              <w:rPr>
                <w:rFonts w:hint="eastAsia" w:ascii="Times New Roman" w:hAnsi="Times New Roman" w:eastAsia="宋体"/>
                <w:color w:val="0000FF"/>
                <w:lang w:val="en-US" w:eastAsia="zh-CN"/>
              </w:rPr>
              <w:t>本项目</w:t>
            </w:r>
            <w:r>
              <w:rPr>
                <w:rFonts w:hint="eastAsia" w:ascii="Times New Roman" w:hAnsi="Times New Roman" w:eastAsia="宋体"/>
                <w:color w:val="0000FF"/>
              </w:rPr>
              <w:t>危险物质Q值判定结果详见表4-16。</w:t>
            </w:r>
          </w:p>
          <w:p>
            <w:pPr>
              <w:pStyle w:val="32"/>
            </w:pPr>
            <w:r>
              <w:rPr>
                <w:rFonts w:hint="eastAsia"/>
              </w:rPr>
              <w:t>表4-16    Q值计算表</w:t>
            </w:r>
          </w:p>
          <w:tbl>
            <w:tblPr>
              <w:tblStyle w:val="25"/>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117"/>
              <w:gridCol w:w="2029"/>
              <w:gridCol w:w="1432"/>
              <w:gridCol w:w="15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tcBorders>
                    <w:bottom w:val="single" w:color="000000" w:sz="12" w:space="0"/>
                    <w:tl2br w:val="nil"/>
                    <w:tr2bl w:val="nil"/>
                  </w:tcBorders>
                </w:tcPr>
                <w:p>
                  <w:pPr>
                    <w:pStyle w:val="33"/>
                    <w:widowControl w:val="0"/>
                    <w:rPr>
                      <w:b/>
                      <w:bCs/>
                      <w:lang w:val="en-US" w:eastAsia="zh-CN"/>
                    </w:rPr>
                  </w:pPr>
                  <w:r>
                    <w:rPr>
                      <w:rFonts w:hint="eastAsia"/>
                      <w:b/>
                      <w:bCs/>
                      <w:lang w:val="en-US" w:eastAsia="zh-CN"/>
                    </w:rPr>
                    <w:t>序号</w:t>
                  </w:r>
                </w:p>
              </w:tc>
              <w:tc>
                <w:tcPr>
                  <w:tcW w:w="1345" w:type="pct"/>
                  <w:tcBorders>
                    <w:bottom w:val="single" w:color="000000" w:sz="12" w:space="0"/>
                    <w:tl2br w:val="nil"/>
                    <w:tr2bl w:val="nil"/>
                  </w:tcBorders>
                </w:tcPr>
                <w:p>
                  <w:pPr>
                    <w:pStyle w:val="33"/>
                    <w:widowControl w:val="0"/>
                    <w:rPr>
                      <w:b/>
                      <w:bCs/>
                      <w:lang w:val="en-US" w:eastAsia="zh-CN"/>
                    </w:rPr>
                  </w:pPr>
                  <w:r>
                    <w:rPr>
                      <w:rFonts w:hint="eastAsia"/>
                      <w:b/>
                      <w:bCs/>
                      <w:lang w:val="en-US" w:eastAsia="zh-CN"/>
                    </w:rPr>
                    <w:t>原料名称</w:t>
                  </w:r>
                </w:p>
              </w:tc>
              <w:tc>
                <w:tcPr>
                  <w:tcW w:w="1289" w:type="pct"/>
                  <w:tcBorders>
                    <w:bottom w:val="single" w:color="000000" w:sz="12" w:space="0"/>
                    <w:tl2br w:val="nil"/>
                    <w:tr2bl w:val="nil"/>
                  </w:tcBorders>
                </w:tcPr>
                <w:p>
                  <w:pPr>
                    <w:pStyle w:val="33"/>
                    <w:widowControl w:val="0"/>
                    <w:rPr>
                      <w:b/>
                      <w:bCs/>
                      <w:lang w:val="en-US" w:eastAsia="zh-CN"/>
                    </w:rPr>
                  </w:pPr>
                  <w:r>
                    <w:rPr>
                      <w:rFonts w:hint="eastAsia"/>
                      <w:b/>
                      <w:bCs/>
                      <w:lang w:val="en-US" w:eastAsia="zh-CN"/>
                    </w:rPr>
                    <w:t>厂界最大储存量qi</w:t>
                  </w:r>
                </w:p>
              </w:tc>
              <w:tc>
                <w:tcPr>
                  <w:tcW w:w="909" w:type="pct"/>
                  <w:tcBorders>
                    <w:bottom w:val="single" w:color="000000" w:sz="12" w:space="0"/>
                    <w:tl2br w:val="nil"/>
                    <w:tr2bl w:val="nil"/>
                  </w:tcBorders>
                </w:tcPr>
                <w:p>
                  <w:pPr>
                    <w:pStyle w:val="33"/>
                    <w:widowControl w:val="0"/>
                    <w:rPr>
                      <w:b/>
                      <w:bCs/>
                      <w:lang w:val="en-US" w:eastAsia="zh-CN"/>
                    </w:rPr>
                  </w:pPr>
                  <w:r>
                    <w:rPr>
                      <w:rFonts w:hint="eastAsia"/>
                      <w:b/>
                      <w:bCs/>
                      <w:lang w:val="en-US" w:eastAsia="zh-CN"/>
                    </w:rPr>
                    <w:t>临界量Qi</w:t>
                  </w:r>
                </w:p>
              </w:tc>
              <w:tc>
                <w:tcPr>
                  <w:tcW w:w="1001" w:type="pct"/>
                  <w:tcBorders>
                    <w:bottom w:val="single" w:color="000000" w:sz="12" w:space="0"/>
                    <w:tl2br w:val="nil"/>
                    <w:tr2bl w:val="nil"/>
                  </w:tcBorders>
                </w:tcPr>
                <w:p>
                  <w:pPr>
                    <w:pStyle w:val="33"/>
                    <w:widowControl w:val="0"/>
                    <w:rPr>
                      <w:b/>
                      <w:bCs/>
                      <w:lang w:val="en-US" w:eastAsia="zh-CN"/>
                    </w:rPr>
                  </w:pPr>
                  <w:r>
                    <w:rPr>
                      <w:rFonts w:hint="eastAsia"/>
                      <w:b/>
                      <w:bCs/>
                      <w:lang w:val="en-US" w:eastAsia="zh-CN"/>
                    </w:rPr>
                    <w:t>qi/Qi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tcBorders>
                    <w:top w:val="single" w:color="000000" w:sz="12" w:space="0"/>
                    <w:tl2br w:val="nil"/>
                    <w:tr2bl w:val="nil"/>
                  </w:tcBorders>
                </w:tcPr>
                <w:p>
                  <w:pPr>
                    <w:pStyle w:val="33"/>
                    <w:widowControl w:val="0"/>
                    <w:rPr>
                      <w:lang w:val="en-US" w:eastAsia="zh-CN"/>
                    </w:rPr>
                  </w:pPr>
                  <w:r>
                    <w:rPr>
                      <w:rFonts w:hint="eastAsia"/>
                      <w:lang w:val="en-US" w:eastAsia="zh-CN"/>
                    </w:rPr>
                    <w:t>1</w:t>
                  </w:r>
                </w:p>
              </w:tc>
              <w:tc>
                <w:tcPr>
                  <w:tcW w:w="1345" w:type="pct"/>
                  <w:tcBorders>
                    <w:top w:val="single" w:color="000000" w:sz="12" w:space="0"/>
                    <w:tl2br w:val="nil"/>
                    <w:tr2bl w:val="nil"/>
                  </w:tcBorders>
                </w:tcPr>
                <w:p>
                  <w:pPr>
                    <w:pStyle w:val="33"/>
                    <w:widowControl w:val="0"/>
                    <w:rPr>
                      <w:lang w:val="en-US" w:eastAsia="zh-CN"/>
                    </w:rPr>
                  </w:pPr>
                  <w:r>
                    <w:rPr>
                      <w:rFonts w:hint="eastAsia"/>
                      <w:lang w:val="en-US" w:eastAsia="zh-CN"/>
                    </w:rPr>
                    <w:t>废机油</w:t>
                  </w:r>
                </w:p>
              </w:tc>
              <w:tc>
                <w:tcPr>
                  <w:tcW w:w="1289" w:type="pct"/>
                  <w:tcBorders>
                    <w:top w:val="single" w:color="000000" w:sz="12" w:space="0"/>
                    <w:tl2br w:val="nil"/>
                    <w:tr2bl w:val="nil"/>
                  </w:tcBorders>
                </w:tcPr>
                <w:p>
                  <w:pPr>
                    <w:pStyle w:val="33"/>
                    <w:widowControl w:val="0"/>
                    <w:rPr>
                      <w:lang w:val="en-US" w:eastAsia="zh-CN"/>
                    </w:rPr>
                  </w:pPr>
                  <w:r>
                    <w:rPr>
                      <w:rFonts w:hint="eastAsia"/>
                      <w:lang w:val="en-US" w:eastAsia="zh-CN"/>
                    </w:rPr>
                    <w:t>1</w:t>
                  </w:r>
                </w:p>
              </w:tc>
              <w:tc>
                <w:tcPr>
                  <w:tcW w:w="909" w:type="pct"/>
                  <w:tcBorders>
                    <w:top w:val="single" w:color="000000" w:sz="12" w:space="0"/>
                    <w:tl2br w:val="nil"/>
                    <w:tr2bl w:val="nil"/>
                  </w:tcBorders>
                </w:tcPr>
                <w:p>
                  <w:pPr>
                    <w:pStyle w:val="33"/>
                    <w:widowControl w:val="0"/>
                    <w:rPr>
                      <w:lang w:val="en-US" w:eastAsia="zh-CN"/>
                    </w:rPr>
                  </w:pPr>
                  <w:r>
                    <w:rPr>
                      <w:rFonts w:hint="eastAsia"/>
                      <w:lang w:val="en-US" w:eastAsia="zh-CN"/>
                    </w:rPr>
                    <w:t>2500</w:t>
                  </w:r>
                </w:p>
              </w:tc>
              <w:tc>
                <w:tcPr>
                  <w:tcW w:w="1001" w:type="pct"/>
                  <w:tcBorders>
                    <w:top w:val="single" w:color="000000" w:sz="12" w:space="0"/>
                    <w:tl2br w:val="nil"/>
                    <w:tr2bl w:val="nil"/>
                  </w:tcBorders>
                </w:tcPr>
                <w:p>
                  <w:pPr>
                    <w:pStyle w:val="33"/>
                    <w:widowControl w:val="0"/>
                    <w:rPr>
                      <w:lang w:val="en-US" w:eastAsia="zh-CN"/>
                    </w:rPr>
                  </w:pPr>
                  <w:r>
                    <w:rPr>
                      <w:rFonts w:hint="eastAsia"/>
                      <w:lang w:val="en-US" w:eastAsia="zh-CN"/>
                    </w:rPr>
                    <w:t>0.0004</w:t>
                  </w:r>
                </w:p>
              </w:tc>
            </w:tr>
          </w:tbl>
          <w:p>
            <w:pPr>
              <w:pStyle w:val="20"/>
              <w:ind w:firstLine="480"/>
              <w:jc w:val="both"/>
            </w:pPr>
            <w:r>
              <w:t xml:space="preserve">根据《建设项目环境风险评价技术导则》（ HJ169-2018）附录 </w:t>
            </w:r>
            <w:r>
              <w:rPr>
                <w:rFonts w:hint="eastAsia"/>
              </w:rPr>
              <w:t>C</w:t>
            </w:r>
            <w:r>
              <w:t xml:space="preserve"> 中 C.1.1“当 Q＜1，该项目风险潜势为Ⅰ级”，因此本项目评价工作等级为简单分析</w:t>
            </w:r>
            <w:r>
              <w:rPr>
                <w:rFonts w:hint="eastAsia"/>
              </w:rPr>
              <w:t>。建设项目环境风险简单分析内容见表4-17。</w:t>
            </w:r>
          </w:p>
          <w:p>
            <w:pPr>
              <w:pStyle w:val="32"/>
            </w:pPr>
            <w:r>
              <w:rPr>
                <w:rFonts w:hint="eastAsia"/>
              </w:rPr>
              <w:t>表4-17    建设项目环境风险简单分析内容表</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649"/>
              <w:gridCol w:w="1776"/>
              <w:gridCol w:w="1379"/>
              <w:gridCol w:w="18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5" w:type="pct"/>
                  <w:tcBorders>
                    <w:bottom w:val="single" w:color="auto" w:sz="12" w:space="0"/>
                  </w:tcBorders>
                  <w:vAlign w:val="center"/>
                </w:tcPr>
                <w:p>
                  <w:pPr>
                    <w:pStyle w:val="33"/>
                    <w:widowControl w:val="0"/>
                    <w:rPr>
                      <w:b/>
                      <w:bCs/>
                      <w:lang w:val="en-US" w:eastAsia="zh-CN"/>
                    </w:rPr>
                  </w:pPr>
                  <w:r>
                    <w:rPr>
                      <w:rFonts w:hint="eastAsia"/>
                      <w:b/>
                      <w:bCs/>
                      <w:lang w:val="en-US" w:eastAsia="zh-CN"/>
                    </w:rPr>
                    <w:t>建设项目名称</w:t>
                  </w:r>
                </w:p>
              </w:tc>
              <w:tc>
                <w:tcPr>
                  <w:tcW w:w="3594" w:type="pct"/>
                  <w:gridSpan w:val="4"/>
                  <w:tcBorders>
                    <w:bottom w:val="single" w:color="auto" w:sz="12" w:space="0"/>
                  </w:tcBorders>
                  <w:vAlign w:val="center"/>
                </w:tcPr>
                <w:p>
                  <w:pPr>
                    <w:pStyle w:val="33"/>
                    <w:widowControl w:val="0"/>
                    <w:rPr>
                      <w:b/>
                      <w:bCs/>
                      <w:lang w:val="en-US" w:eastAsia="zh-CN"/>
                    </w:rPr>
                  </w:pPr>
                  <w:r>
                    <w:rPr>
                      <w:rFonts w:hint="default"/>
                      <w:b/>
                      <w:bCs/>
                      <w:lang w:val="en-US" w:eastAsia="zh-CN"/>
                    </w:rPr>
                    <w:t>年产3万m</w:t>
                  </w:r>
                  <w:r>
                    <w:rPr>
                      <w:rFonts w:hint="default"/>
                      <w:b/>
                      <w:bCs/>
                      <w:vertAlign w:val="superscript"/>
                      <w:lang w:val="en-US" w:eastAsia="zh-CN"/>
                    </w:rPr>
                    <w:t>2</w:t>
                  </w:r>
                  <w:r>
                    <w:rPr>
                      <w:rFonts w:hint="default"/>
                      <w:b/>
                      <w:bCs/>
                      <w:lang w:val="en-US" w:eastAsia="zh-CN"/>
                    </w:rPr>
                    <w:t>GRC及EPS水泥装饰制品项目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5" w:type="pct"/>
                  <w:tcBorders>
                    <w:top w:val="single" w:color="auto" w:sz="12" w:space="0"/>
                    <w:tl2br w:val="nil"/>
                    <w:tr2bl w:val="nil"/>
                  </w:tcBorders>
                  <w:vAlign w:val="center"/>
                </w:tcPr>
                <w:p>
                  <w:pPr>
                    <w:pStyle w:val="33"/>
                    <w:widowControl w:val="0"/>
                    <w:rPr>
                      <w:b/>
                      <w:bCs/>
                      <w:lang w:val="en-US" w:eastAsia="zh-CN"/>
                    </w:rPr>
                  </w:pPr>
                  <w:r>
                    <w:rPr>
                      <w:rFonts w:hint="eastAsia"/>
                      <w:b/>
                      <w:bCs/>
                      <w:lang w:val="en-US" w:eastAsia="zh-CN"/>
                    </w:rPr>
                    <w:t>建设地点</w:t>
                  </w:r>
                </w:p>
              </w:tc>
              <w:tc>
                <w:tcPr>
                  <w:tcW w:w="3594" w:type="pct"/>
                  <w:gridSpan w:val="4"/>
                  <w:tcBorders>
                    <w:top w:val="single" w:color="auto" w:sz="12" w:space="0"/>
                    <w:tl2br w:val="nil"/>
                    <w:tr2bl w:val="nil"/>
                  </w:tcBorders>
                  <w:vAlign w:val="center"/>
                </w:tcPr>
                <w:p>
                  <w:pPr>
                    <w:pStyle w:val="33"/>
                    <w:widowControl w:val="0"/>
                    <w:rPr>
                      <w:lang w:val="en-US" w:eastAsia="zh-CN"/>
                    </w:rPr>
                  </w:pPr>
                  <w:r>
                    <w:rPr>
                      <w:lang w:val="en-US" w:eastAsia="zh-CN"/>
                    </w:rPr>
                    <w:t>昌吉回族自治州昌吉市高新区建材园区N-10号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5" w:type="pct"/>
                  <w:tcBorders>
                    <w:tl2br w:val="nil"/>
                    <w:tr2bl w:val="nil"/>
                  </w:tcBorders>
                  <w:vAlign w:val="center"/>
                </w:tcPr>
                <w:p>
                  <w:pPr>
                    <w:pStyle w:val="33"/>
                    <w:widowControl w:val="0"/>
                    <w:rPr>
                      <w:b/>
                      <w:bCs/>
                      <w:lang w:val="en-US" w:eastAsia="zh-CN"/>
                    </w:rPr>
                  </w:pPr>
                  <w:r>
                    <w:rPr>
                      <w:rFonts w:hint="eastAsia"/>
                      <w:b/>
                      <w:bCs/>
                      <w:lang w:val="en-US" w:eastAsia="zh-CN"/>
                    </w:rPr>
                    <w:t>地理坐标</w:t>
                  </w:r>
                </w:p>
              </w:tc>
              <w:tc>
                <w:tcPr>
                  <w:tcW w:w="412" w:type="pct"/>
                  <w:tcBorders>
                    <w:tl2br w:val="nil"/>
                    <w:tr2bl w:val="nil"/>
                  </w:tcBorders>
                  <w:vAlign w:val="center"/>
                </w:tcPr>
                <w:p>
                  <w:pPr>
                    <w:pStyle w:val="33"/>
                    <w:widowControl w:val="0"/>
                    <w:rPr>
                      <w:lang w:val="en-US" w:eastAsia="zh-CN"/>
                    </w:rPr>
                  </w:pPr>
                  <w:r>
                    <w:rPr>
                      <w:rFonts w:hint="eastAsia"/>
                      <w:lang w:val="en-US" w:eastAsia="zh-CN"/>
                    </w:rPr>
                    <w:t>经度</w:t>
                  </w:r>
                </w:p>
              </w:tc>
              <w:tc>
                <w:tcPr>
                  <w:tcW w:w="1128" w:type="pct"/>
                  <w:tcBorders>
                    <w:tl2br w:val="nil"/>
                    <w:tr2bl w:val="nil"/>
                  </w:tcBorders>
                  <w:vAlign w:val="center"/>
                </w:tcPr>
                <w:p>
                  <w:pPr>
                    <w:pStyle w:val="33"/>
                    <w:widowControl w:val="0"/>
                    <w:rPr>
                      <w:lang w:val="en-US" w:eastAsia="zh-CN"/>
                    </w:rPr>
                  </w:pPr>
                  <w:r>
                    <w:rPr>
                      <w:rFonts w:hint="eastAsia"/>
                      <w:lang w:val="en-US" w:eastAsia="zh-CN"/>
                    </w:rPr>
                    <w:t>87.13716478</w:t>
                  </w:r>
                </w:p>
              </w:tc>
              <w:tc>
                <w:tcPr>
                  <w:tcW w:w="876" w:type="pct"/>
                  <w:tcBorders>
                    <w:tl2br w:val="nil"/>
                    <w:tr2bl w:val="nil"/>
                  </w:tcBorders>
                  <w:vAlign w:val="center"/>
                </w:tcPr>
                <w:p>
                  <w:pPr>
                    <w:pStyle w:val="33"/>
                    <w:widowControl w:val="0"/>
                    <w:rPr>
                      <w:lang w:val="en-US" w:eastAsia="zh-CN"/>
                    </w:rPr>
                  </w:pPr>
                  <w:r>
                    <w:rPr>
                      <w:rFonts w:hint="eastAsia"/>
                      <w:lang w:val="en-US" w:eastAsia="zh-CN"/>
                    </w:rPr>
                    <w:t>纬度</w:t>
                  </w:r>
                </w:p>
              </w:tc>
              <w:tc>
                <w:tcPr>
                  <w:tcW w:w="1178" w:type="pct"/>
                  <w:tcBorders>
                    <w:tl2br w:val="nil"/>
                    <w:tr2bl w:val="nil"/>
                  </w:tcBorders>
                  <w:vAlign w:val="center"/>
                </w:tcPr>
                <w:p>
                  <w:pPr>
                    <w:pStyle w:val="33"/>
                    <w:widowControl w:val="0"/>
                    <w:rPr>
                      <w:lang w:val="en-US" w:eastAsia="zh-CN"/>
                    </w:rPr>
                  </w:pPr>
                  <w:r>
                    <w:rPr>
                      <w:rFonts w:hint="eastAsia"/>
                      <w:lang w:val="en-US" w:eastAsia="zh-CN"/>
                    </w:rPr>
                    <w:t>44.09029365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5" w:type="pct"/>
                  <w:tcBorders>
                    <w:tl2br w:val="nil"/>
                    <w:tr2bl w:val="nil"/>
                  </w:tcBorders>
                  <w:vAlign w:val="center"/>
                </w:tcPr>
                <w:p>
                  <w:pPr>
                    <w:pStyle w:val="33"/>
                    <w:widowControl w:val="0"/>
                    <w:rPr>
                      <w:b/>
                      <w:bCs/>
                      <w:lang w:val="en-US" w:eastAsia="zh-CN"/>
                    </w:rPr>
                  </w:pPr>
                  <w:r>
                    <w:rPr>
                      <w:rFonts w:hint="eastAsia"/>
                      <w:b/>
                      <w:bCs/>
                      <w:lang w:val="en-US" w:eastAsia="zh-CN"/>
                    </w:rPr>
                    <w:t>主要危险物质及分布</w:t>
                  </w:r>
                </w:p>
              </w:tc>
              <w:tc>
                <w:tcPr>
                  <w:tcW w:w="3594" w:type="pct"/>
                  <w:gridSpan w:val="4"/>
                  <w:tcBorders>
                    <w:tl2br w:val="nil"/>
                    <w:tr2bl w:val="nil"/>
                  </w:tcBorders>
                  <w:vAlign w:val="center"/>
                </w:tcPr>
                <w:p>
                  <w:pPr>
                    <w:pStyle w:val="33"/>
                    <w:widowControl w:val="0"/>
                    <w:jc w:val="left"/>
                    <w:rPr>
                      <w:rFonts w:hint="eastAsia"/>
                      <w:b w:val="0"/>
                      <w:bCs w:val="0"/>
                      <w:lang w:val="en-US" w:eastAsia="zh-CN"/>
                    </w:rPr>
                  </w:pPr>
                  <w:r>
                    <w:rPr>
                      <w:rFonts w:hint="eastAsia"/>
                      <w:b w:val="0"/>
                      <w:bCs w:val="0"/>
                      <w:lang w:val="en-US" w:eastAsia="zh-CN"/>
                    </w:rPr>
                    <w:t>废机油  危废暂存间</w:t>
                  </w:r>
                </w:p>
                <w:p>
                  <w:pPr>
                    <w:pStyle w:val="34"/>
                    <w:ind w:left="0" w:leftChars="0" w:firstLine="0" w:firstLineChars="0"/>
                    <w:jc w:val="left"/>
                    <w:rPr>
                      <w:rFonts w:hint="default"/>
                      <w:lang w:val="en-US" w:eastAsia="zh-CN"/>
                    </w:rPr>
                  </w:pPr>
                  <w:r>
                    <w:rPr>
                      <w:rFonts w:hint="eastAsia" w:ascii="Times New Roman" w:hAnsi="Times New Roman" w:eastAsia="宋体" w:cs="Times New Roman"/>
                      <w:b w:val="0"/>
                      <w:bCs w:val="0"/>
                      <w:kern w:val="2"/>
                      <w:sz w:val="21"/>
                      <w:szCs w:val="24"/>
                      <w:lang w:val="en-US" w:eastAsia="zh-CN" w:bidi="ar-SA"/>
                    </w:rPr>
                    <w:t>苯  板  原料堆场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5" w:type="pct"/>
                  <w:tcBorders>
                    <w:tl2br w:val="nil"/>
                    <w:tr2bl w:val="nil"/>
                  </w:tcBorders>
                  <w:vAlign w:val="center"/>
                </w:tcPr>
                <w:p>
                  <w:pPr>
                    <w:pStyle w:val="33"/>
                    <w:widowControl w:val="0"/>
                    <w:rPr>
                      <w:b/>
                      <w:bCs/>
                      <w:lang w:val="en-US" w:eastAsia="zh-CN"/>
                    </w:rPr>
                  </w:pPr>
                  <w:r>
                    <w:rPr>
                      <w:rFonts w:hint="eastAsia"/>
                      <w:b/>
                      <w:bCs/>
                      <w:lang w:val="en-US" w:eastAsia="zh-CN"/>
                    </w:rPr>
                    <w:t>环境影响途径及危害后果（大气、地表水、地下水等）</w:t>
                  </w:r>
                </w:p>
              </w:tc>
              <w:tc>
                <w:tcPr>
                  <w:tcW w:w="3594" w:type="pct"/>
                  <w:gridSpan w:val="4"/>
                  <w:tcBorders>
                    <w:tl2br w:val="nil"/>
                    <w:tr2bl w:val="nil"/>
                  </w:tcBorders>
                  <w:vAlign w:val="center"/>
                </w:tcPr>
                <w:p>
                  <w:pPr>
                    <w:pStyle w:val="33"/>
                    <w:widowControl w:val="0"/>
                    <w:jc w:val="both"/>
                    <w:rPr>
                      <w:lang w:val="en-US" w:eastAsia="zh-CN"/>
                    </w:rPr>
                  </w:pPr>
                  <w:r>
                    <w:rPr>
                      <w:rFonts w:hint="eastAsia"/>
                      <w:lang w:val="en-US" w:eastAsia="zh-CN"/>
                    </w:rPr>
                    <w:t>大气：项目废气治理设施故障，导致事故性排放，所含的有害物质会对周围环境和人群的身体造成伤害；项目生产车间若发生火灾事故时，建筑墙体、设备燃烧爆炸等会产生二氧化硫、一氧化碳、有机废气有毒有害物质，同时项目内的火灾产生的颗粒物会飞扬，气体排放随风向外扩散，在不利风向时，周围企业、员工等均会受到不同程度的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5" w:type="pct"/>
                  <w:tcBorders>
                    <w:tl2br w:val="nil"/>
                    <w:tr2bl w:val="nil"/>
                  </w:tcBorders>
                  <w:vAlign w:val="center"/>
                </w:tcPr>
                <w:p>
                  <w:pPr>
                    <w:pStyle w:val="33"/>
                    <w:widowControl w:val="0"/>
                    <w:rPr>
                      <w:b/>
                      <w:bCs/>
                      <w:lang w:val="en-US" w:eastAsia="zh-CN"/>
                    </w:rPr>
                  </w:pPr>
                  <w:r>
                    <w:rPr>
                      <w:rFonts w:hint="eastAsia"/>
                      <w:b/>
                      <w:bCs/>
                      <w:lang w:val="en-US" w:eastAsia="zh-CN"/>
                    </w:rPr>
                    <w:t>风险防范措施</w:t>
                  </w:r>
                </w:p>
              </w:tc>
              <w:tc>
                <w:tcPr>
                  <w:tcW w:w="3594" w:type="pct"/>
                  <w:gridSpan w:val="4"/>
                  <w:tcBorders>
                    <w:tl2br w:val="nil"/>
                    <w:tr2bl w:val="nil"/>
                  </w:tcBorders>
                  <w:vAlign w:val="center"/>
                </w:tcPr>
                <w:p>
                  <w:pPr>
                    <w:pStyle w:val="33"/>
                    <w:widowControl w:val="0"/>
                    <w:numPr>
                      <w:ilvl w:val="0"/>
                      <w:numId w:val="26"/>
                    </w:numPr>
                    <w:jc w:val="both"/>
                    <w:rPr>
                      <w:lang w:val="en-US" w:eastAsia="zh-CN"/>
                    </w:rPr>
                  </w:pPr>
                  <w:r>
                    <w:rPr>
                      <w:lang w:val="en-US" w:eastAsia="zh-CN"/>
                    </w:rPr>
                    <w:t>设置安全管理机构或配备专职安全管理人员，建立健全各岗位安全生产责任制、安全操作规程及其他各项规章制度，定期对从业人员进行专业技术培训、安全教育培训。</w:t>
                  </w:r>
                </w:p>
                <w:p>
                  <w:pPr>
                    <w:pStyle w:val="33"/>
                    <w:widowControl w:val="0"/>
                    <w:numPr>
                      <w:ilvl w:val="0"/>
                      <w:numId w:val="26"/>
                    </w:numPr>
                    <w:jc w:val="both"/>
                    <w:rPr>
                      <w:lang w:val="en-US" w:eastAsia="zh-CN"/>
                    </w:rPr>
                  </w:pPr>
                  <w:r>
                    <w:rPr>
                      <w:lang w:val="en-US" w:eastAsia="zh-CN"/>
                    </w:rPr>
                    <w:t>定期对废气处理设施进行检测和维修，降低因设备故障造成的事故排放的概率。制定事故应急处置方案，一旦发生设备故障，生产线立即停机，直到故障点完成维修为止。</w:t>
                  </w:r>
                </w:p>
                <w:p>
                  <w:pPr>
                    <w:pStyle w:val="33"/>
                    <w:widowControl w:val="0"/>
                    <w:numPr>
                      <w:ilvl w:val="0"/>
                      <w:numId w:val="26"/>
                    </w:numPr>
                    <w:jc w:val="both"/>
                    <w:rPr>
                      <w:lang w:val="en-US" w:eastAsia="zh-CN"/>
                    </w:rPr>
                  </w:pPr>
                  <w:r>
                    <w:rPr>
                      <w:lang w:val="en-US" w:eastAsia="zh-CN"/>
                    </w:rPr>
                    <w:t>厂房须按规范配置相关消防工程并通过主管部门验收。一旦发生火灾，产生的废气对环境和周围人体健康有较大的影响，应采取必要的防范和急救措施：发现起火时应首先判明起火的部位和燃烧的物质，并迅速报警。在消防队未到达前，灭火人员应根据不同的起火物质，采用正确有效的灭火方法，如断开电源，撤离周围的易燃易爆物质，根据现场情况选择正确的灭火用具等。起火现场必须由专人负责，统一指挥，防止混乱，避免发生倒塌、坠落伤人事故和人员中毒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5" w:type="pct"/>
                  <w:tcBorders>
                    <w:tl2br w:val="nil"/>
                    <w:tr2bl w:val="nil"/>
                  </w:tcBorders>
                  <w:vAlign w:val="center"/>
                </w:tcPr>
                <w:p>
                  <w:pPr>
                    <w:pStyle w:val="33"/>
                    <w:widowControl w:val="0"/>
                    <w:rPr>
                      <w:b/>
                      <w:bCs/>
                      <w:lang w:val="en-US" w:eastAsia="zh-CN"/>
                    </w:rPr>
                  </w:pPr>
                  <w:r>
                    <w:rPr>
                      <w:rFonts w:hint="eastAsia"/>
                      <w:b/>
                      <w:bCs/>
                      <w:lang w:val="en-US" w:eastAsia="zh-CN"/>
                    </w:rPr>
                    <w:t>填报说明</w:t>
                  </w:r>
                </w:p>
                <w:p>
                  <w:pPr>
                    <w:pStyle w:val="33"/>
                    <w:widowControl w:val="0"/>
                    <w:rPr>
                      <w:b/>
                      <w:bCs/>
                      <w:lang w:val="en-US" w:eastAsia="zh-CN"/>
                    </w:rPr>
                  </w:pPr>
                  <w:r>
                    <w:rPr>
                      <w:rFonts w:hint="eastAsia"/>
                      <w:b/>
                      <w:bCs/>
                      <w:lang w:val="en-US" w:eastAsia="zh-CN"/>
                    </w:rPr>
                    <w:t>（列出项目相关信息及评价说明）</w:t>
                  </w:r>
                </w:p>
              </w:tc>
              <w:tc>
                <w:tcPr>
                  <w:tcW w:w="3594" w:type="pct"/>
                  <w:gridSpan w:val="4"/>
                  <w:tcBorders>
                    <w:tl2br w:val="nil"/>
                    <w:tr2bl w:val="nil"/>
                  </w:tcBorders>
                  <w:vAlign w:val="center"/>
                </w:tcPr>
                <w:p>
                  <w:pPr>
                    <w:pStyle w:val="33"/>
                    <w:widowControl w:val="0"/>
                    <w:jc w:val="both"/>
                    <w:rPr>
                      <w:lang w:val="en-US" w:eastAsia="zh-CN"/>
                    </w:rPr>
                  </w:pPr>
                  <w:r>
                    <w:rPr>
                      <w:lang w:val="en-US" w:eastAsia="zh-CN"/>
                    </w:rPr>
                    <w:t xml:space="preserve">本根据《建设项目环境风险评价技术导则》（ HJ169-2018）附录 </w:t>
                  </w:r>
                  <w:r>
                    <w:rPr>
                      <w:rFonts w:hint="eastAsia"/>
                      <w:lang w:val="en-US" w:eastAsia="zh-CN"/>
                    </w:rPr>
                    <w:t>C</w:t>
                  </w:r>
                  <w:r>
                    <w:rPr>
                      <w:lang w:val="en-US" w:eastAsia="zh-CN"/>
                    </w:rPr>
                    <w:t xml:space="preserve"> 。同时以《危险化学品重大危险源辨识》（GB18218-2018）和环境敏感程度等因素为依据，本项目主要</w:t>
                  </w:r>
                  <w:r>
                    <w:rPr>
                      <w:rFonts w:hint="eastAsia"/>
                      <w:lang w:val="en-US" w:eastAsia="zh-CN"/>
                    </w:rPr>
                    <w:t>危险物质为废机油</w:t>
                  </w:r>
                  <w:r>
                    <w:rPr>
                      <w:lang w:val="en-US" w:eastAsia="zh-CN"/>
                    </w:rPr>
                    <w:t>。本项目评价工作等级为简单分析。</w:t>
                  </w:r>
                </w:p>
              </w:tc>
            </w:tr>
          </w:tbl>
          <w:p>
            <w:pPr>
              <w:pStyle w:val="6"/>
              <w:numPr>
                <w:ilvl w:val="0"/>
                <w:numId w:val="0"/>
              </w:numPr>
              <w:bidi w:val="0"/>
              <w:ind w:leftChars="0"/>
              <w:jc w:val="both"/>
              <w:rPr>
                <w:rFonts w:hint="eastAsia"/>
              </w:rPr>
            </w:pPr>
            <w:r>
              <w:rPr>
                <w:rFonts w:hint="eastAsia"/>
                <w:lang w:val="en-US" w:eastAsia="zh-CN"/>
              </w:rPr>
              <w:t xml:space="preserve">6.1 </w:t>
            </w:r>
            <w:r>
              <w:rPr>
                <w:rFonts w:hint="eastAsia"/>
              </w:rPr>
              <w:t>环境风险防控措施及应急要求</w:t>
            </w:r>
          </w:p>
          <w:p>
            <w:pPr>
              <w:pStyle w:val="20"/>
              <w:bidi w:val="0"/>
              <w:jc w:val="both"/>
              <w:rPr>
                <w:rFonts w:hint="eastAsia"/>
              </w:rPr>
            </w:pPr>
            <w:r>
              <w:rPr>
                <w:rFonts w:hint="eastAsia"/>
              </w:rPr>
              <w:t>拟建项目存在发生火灾事故的可能，具有一定的风险性。如果安全措施全面落实到位，则事故的概率将会降低，但不会为零。项目在设计、建造和运行过程中要科学规划、合理布局、严格执行设计防火规范，严格遵守安全生产制度，提高操作人员的素质和水平，以减少事故的发生。一旦发生事故，根据具体情况采取应急措施，迅速切断泄漏源，防止事故进一步扩大。</w:t>
            </w:r>
          </w:p>
          <w:p>
            <w:pPr>
              <w:pStyle w:val="20"/>
              <w:numPr>
                <w:ilvl w:val="0"/>
                <w:numId w:val="27"/>
              </w:numPr>
              <w:bidi w:val="0"/>
              <w:jc w:val="both"/>
            </w:pPr>
            <w:r>
              <w:rPr>
                <w:rFonts w:hint="eastAsia"/>
              </w:rPr>
              <w:t>建立完善的安全生产管理制度和消防安全规定，制定设备操作规程并严格遵照执行；</w:t>
            </w:r>
          </w:p>
          <w:p>
            <w:pPr>
              <w:pStyle w:val="20"/>
              <w:numPr>
                <w:ilvl w:val="0"/>
                <w:numId w:val="27"/>
              </w:numPr>
              <w:bidi w:val="0"/>
              <w:ind w:left="0" w:leftChars="0" w:firstLine="480" w:firstLineChars="200"/>
              <w:jc w:val="both"/>
            </w:pPr>
            <w:r>
              <w:rPr>
                <w:rFonts w:hint="eastAsia"/>
              </w:rPr>
              <w:t>生产车间等应按照《建筑设计防火规范》等文件的要求设置消防给水和灭火设施、火灾探测及火灾报警系统。生产车间、库房配备灭火器、消防栓等消防器材；</w:t>
            </w:r>
          </w:p>
          <w:p>
            <w:pPr>
              <w:pStyle w:val="20"/>
              <w:numPr>
                <w:ilvl w:val="0"/>
                <w:numId w:val="27"/>
              </w:numPr>
              <w:bidi w:val="0"/>
              <w:ind w:left="0" w:leftChars="0" w:firstLine="480" w:firstLineChars="200"/>
              <w:jc w:val="both"/>
            </w:pPr>
            <w:r>
              <w:rPr>
                <w:rFonts w:hint="eastAsia"/>
              </w:rPr>
              <w:t>在有较大危险因素的有关设施、设备上，如压力容器、变压器等处均应设置明显的安全警示标志。</w:t>
            </w:r>
          </w:p>
          <w:p>
            <w:pPr>
              <w:pStyle w:val="20"/>
              <w:numPr>
                <w:ilvl w:val="0"/>
                <w:numId w:val="27"/>
              </w:numPr>
              <w:bidi w:val="0"/>
              <w:ind w:left="0" w:leftChars="0" w:firstLine="480" w:firstLineChars="200"/>
              <w:jc w:val="both"/>
            </w:pPr>
            <w:r>
              <w:rPr>
                <w:rFonts w:hint="eastAsia"/>
              </w:rPr>
              <w:t>生产区域应加强管理，杜绝火种及违章违纪现象，进入车辆必须装阻火器。</w:t>
            </w:r>
          </w:p>
          <w:p>
            <w:pPr>
              <w:pStyle w:val="20"/>
              <w:bidi w:val="0"/>
              <w:jc w:val="both"/>
            </w:pPr>
            <w:r>
              <w:rPr>
                <w:rFonts w:hint="eastAsia"/>
              </w:rPr>
              <w:t>（5）加强员工的思想、道德教育，提高员工的责任心和主观能动性：完善并严格遵守相关的操作规程，加强岗位培训，落实岗位责任制，加强设备管理。</w:t>
            </w:r>
          </w:p>
          <w:p>
            <w:pPr>
              <w:pStyle w:val="5"/>
              <w:numPr>
                <w:ilvl w:val="0"/>
                <w:numId w:val="20"/>
              </w:numPr>
              <w:ind w:left="0" w:leftChars="0" w:firstLine="0" w:firstLineChars="0"/>
              <w:jc w:val="both"/>
              <w:outlineLvl w:val="1"/>
            </w:pPr>
            <w:r>
              <w:t>环保投资估算</w:t>
            </w:r>
          </w:p>
          <w:p>
            <w:pPr>
              <w:pStyle w:val="20"/>
              <w:ind w:firstLine="480"/>
              <w:jc w:val="both"/>
            </w:pPr>
            <w:r>
              <w:t>本项目总投资</w:t>
            </w:r>
            <w:r>
              <w:rPr>
                <w:rFonts w:hint="eastAsia"/>
              </w:rPr>
              <w:t>200</w:t>
            </w:r>
            <w:r>
              <w:t>万元，环保投资</w:t>
            </w:r>
            <w:r>
              <w:rPr>
                <w:rFonts w:hint="eastAsia"/>
                <w:lang w:val="en-US" w:eastAsia="zh-CN"/>
              </w:rPr>
              <w:t>15.8</w:t>
            </w:r>
            <w:r>
              <w:t>万元，占总投资的</w:t>
            </w:r>
            <w:r>
              <w:rPr>
                <w:rFonts w:hint="eastAsia"/>
                <w:lang w:val="en-US" w:eastAsia="zh-CN"/>
              </w:rPr>
              <w:t>7</w:t>
            </w:r>
            <w:r>
              <w:rPr>
                <w:rFonts w:hint="eastAsia"/>
              </w:rPr>
              <w:t>.</w:t>
            </w:r>
            <w:r>
              <w:rPr>
                <w:rFonts w:hint="eastAsia"/>
                <w:lang w:val="en-US" w:eastAsia="zh-CN"/>
              </w:rPr>
              <w:t>9</w:t>
            </w:r>
            <w:r>
              <w:t>%。本项目环保工程主要包括废气治理工程、噪声治理工程，具体见表</w:t>
            </w:r>
            <w:r>
              <w:rPr>
                <w:rFonts w:hint="eastAsia"/>
              </w:rPr>
              <w:t>4-18</w:t>
            </w:r>
            <w:r>
              <w:t>。</w:t>
            </w:r>
          </w:p>
          <w:p>
            <w:pPr>
              <w:pStyle w:val="32"/>
            </w:pPr>
            <w:r>
              <w:t>表</w:t>
            </w:r>
            <w:r>
              <w:rPr>
                <w:rFonts w:hint="eastAsia"/>
              </w:rPr>
              <w:t xml:space="preserve">4-18   </w:t>
            </w:r>
            <w:r>
              <w:t>环保工程项目及投资估算</w:t>
            </w:r>
          </w:p>
          <w:tbl>
            <w:tblPr>
              <w:tblStyle w:val="24"/>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77"/>
              <w:gridCol w:w="4017"/>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tcBorders>
                    <w:top w:val="single" w:color="auto" w:sz="12" w:space="0"/>
                    <w:left w:val="nil"/>
                    <w:bottom w:val="single" w:color="auto" w:sz="12" w:space="0"/>
                    <w:right w:val="single" w:color="auto" w:sz="4" w:space="0"/>
                  </w:tcBorders>
                  <w:vAlign w:val="center"/>
                </w:tcPr>
                <w:p>
                  <w:pPr>
                    <w:pStyle w:val="33"/>
                    <w:rPr>
                      <w:b/>
                      <w:bCs/>
                    </w:rPr>
                  </w:pPr>
                  <w:r>
                    <w:rPr>
                      <w:b/>
                      <w:bCs/>
                    </w:rPr>
                    <w:t>序号</w:t>
                  </w:r>
                </w:p>
              </w:tc>
              <w:tc>
                <w:tcPr>
                  <w:tcW w:w="968" w:type="pct"/>
                  <w:tcBorders>
                    <w:top w:val="single" w:color="auto" w:sz="12" w:space="0"/>
                    <w:left w:val="nil"/>
                    <w:bottom w:val="single" w:color="auto" w:sz="12" w:space="0"/>
                    <w:right w:val="single" w:color="auto" w:sz="4" w:space="0"/>
                  </w:tcBorders>
                  <w:vAlign w:val="center"/>
                </w:tcPr>
                <w:p>
                  <w:pPr>
                    <w:pStyle w:val="33"/>
                    <w:rPr>
                      <w:b/>
                      <w:bCs/>
                    </w:rPr>
                  </w:pPr>
                  <w:r>
                    <w:rPr>
                      <w:b/>
                      <w:bCs/>
                    </w:rPr>
                    <w:t>内容</w:t>
                  </w:r>
                </w:p>
              </w:tc>
              <w:tc>
                <w:tcPr>
                  <w:tcW w:w="2630" w:type="pct"/>
                  <w:tcBorders>
                    <w:top w:val="single" w:color="auto" w:sz="12" w:space="0"/>
                    <w:left w:val="nil"/>
                    <w:bottom w:val="single" w:color="auto" w:sz="12" w:space="0"/>
                    <w:right w:val="single" w:color="auto" w:sz="4" w:space="0"/>
                  </w:tcBorders>
                  <w:vAlign w:val="center"/>
                </w:tcPr>
                <w:p>
                  <w:pPr>
                    <w:pStyle w:val="33"/>
                    <w:rPr>
                      <w:b/>
                      <w:bCs/>
                    </w:rPr>
                  </w:pPr>
                  <w:r>
                    <w:rPr>
                      <w:b/>
                      <w:bCs/>
                    </w:rPr>
                    <w:t>环保设施</w:t>
                  </w:r>
                </w:p>
              </w:tc>
              <w:tc>
                <w:tcPr>
                  <w:tcW w:w="893" w:type="pct"/>
                  <w:tcBorders>
                    <w:top w:val="single" w:color="auto" w:sz="12" w:space="0"/>
                    <w:left w:val="nil"/>
                    <w:bottom w:val="single" w:color="auto" w:sz="12" w:space="0"/>
                    <w:right w:val="nil"/>
                  </w:tcBorders>
                  <w:vAlign w:val="center"/>
                </w:tcPr>
                <w:p>
                  <w:pPr>
                    <w:pStyle w:val="33"/>
                    <w:rPr>
                      <w:b/>
                      <w:bCs/>
                    </w:rPr>
                  </w:pPr>
                  <w:r>
                    <w:rPr>
                      <w:b/>
                      <w:bCs/>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tcBorders>
                    <w:top w:val="single" w:color="auto" w:sz="4" w:space="0"/>
                    <w:left w:val="nil"/>
                    <w:bottom w:val="single" w:color="auto" w:sz="4" w:space="0"/>
                    <w:right w:val="single" w:color="auto" w:sz="4" w:space="0"/>
                  </w:tcBorders>
                  <w:vAlign w:val="center"/>
                </w:tcPr>
                <w:p>
                  <w:pPr>
                    <w:pStyle w:val="33"/>
                  </w:pPr>
                  <w:r>
                    <w:t>1</w:t>
                  </w:r>
                </w:p>
              </w:tc>
              <w:tc>
                <w:tcPr>
                  <w:tcW w:w="968" w:type="pct"/>
                  <w:tcBorders>
                    <w:top w:val="single" w:color="auto" w:sz="4" w:space="0"/>
                    <w:left w:val="nil"/>
                    <w:bottom w:val="single" w:color="auto" w:sz="4" w:space="0"/>
                    <w:right w:val="single" w:color="auto" w:sz="4" w:space="0"/>
                  </w:tcBorders>
                  <w:vAlign w:val="center"/>
                </w:tcPr>
                <w:p>
                  <w:pPr>
                    <w:pStyle w:val="33"/>
                    <w:rPr>
                      <w:lang w:eastAsia="zh-CN"/>
                    </w:rPr>
                  </w:pPr>
                  <w:r>
                    <w:rPr>
                      <w:rFonts w:hint="eastAsia"/>
                      <w:lang w:eastAsia="zh-CN"/>
                    </w:rPr>
                    <w:t>废水治理</w:t>
                  </w:r>
                </w:p>
              </w:tc>
              <w:tc>
                <w:tcPr>
                  <w:tcW w:w="2630" w:type="pct"/>
                  <w:tcBorders>
                    <w:top w:val="single" w:color="auto" w:sz="4" w:space="0"/>
                    <w:left w:val="nil"/>
                    <w:bottom w:val="single" w:color="auto" w:sz="4" w:space="0"/>
                    <w:right w:val="single" w:color="auto" w:sz="4" w:space="0"/>
                  </w:tcBorders>
                  <w:vAlign w:val="center"/>
                </w:tcPr>
                <w:p>
                  <w:pPr>
                    <w:pStyle w:val="33"/>
                    <w:rPr>
                      <w:lang w:val="en-US" w:eastAsia="zh-CN"/>
                    </w:rPr>
                  </w:pPr>
                  <w:r>
                    <w:rPr>
                      <w:rFonts w:hint="eastAsia"/>
                      <w:lang w:val="en-US" w:eastAsia="zh-CN"/>
                    </w:rPr>
                    <w:t>新建</w:t>
                  </w:r>
                  <w:r>
                    <w:rPr>
                      <w:rFonts w:hint="eastAsia"/>
                      <w:lang w:eastAsia="zh-CN"/>
                    </w:rPr>
                    <w:t>沉淀池</w:t>
                  </w:r>
                </w:p>
              </w:tc>
              <w:tc>
                <w:tcPr>
                  <w:tcW w:w="893" w:type="pct"/>
                  <w:tcBorders>
                    <w:top w:val="single" w:color="auto" w:sz="4" w:space="0"/>
                    <w:left w:val="nil"/>
                    <w:bottom w:val="single" w:color="auto" w:sz="4" w:space="0"/>
                    <w:right w:val="nil"/>
                  </w:tcBorders>
                  <w:vAlign w:val="center"/>
                </w:tcPr>
                <w:p>
                  <w:pPr>
                    <w:pStyle w:val="33"/>
                    <w:rPr>
                      <w:lang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tcBorders>
                    <w:top w:val="single" w:color="auto" w:sz="4" w:space="0"/>
                    <w:left w:val="nil"/>
                    <w:bottom w:val="single" w:color="auto" w:sz="4" w:space="0"/>
                    <w:right w:val="single" w:color="auto" w:sz="4" w:space="0"/>
                  </w:tcBorders>
                  <w:vAlign w:val="center"/>
                </w:tcPr>
                <w:p>
                  <w:pPr>
                    <w:pStyle w:val="33"/>
                  </w:pPr>
                  <w:r>
                    <w:t>2</w:t>
                  </w:r>
                </w:p>
              </w:tc>
              <w:tc>
                <w:tcPr>
                  <w:tcW w:w="968" w:type="pct"/>
                  <w:tcBorders>
                    <w:top w:val="single" w:color="auto" w:sz="4" w:space="0"/>
                    <w:left w:val="nil"/>
                    <w:bottom w:val="single" w:color="auto" w:sz="4" w:space="0"/>
                    <w:right w:val="single" w:color="auto" w:sz="4" w:space="0"/>
                  </w:tcBorders>
                  <w:vAlign w:val="center"/>
                </w:tcPr>
                <w:p>
                  <w:pPr>
                    <w:pStyle w:val="33"/>
                  </w:pPr>
                  <w:r>
                    <w:t>噪声治理</w:t>
                  </w:r>
                </w:p>
              </w:tc>
              <w:tc>
                <w:tcPr>
                  <w:tcW w:w="2630" w:type="pct"/>
                  <w:tcBorders>
                    <w:top w:val="single" w:color="auto" w:sz="4" w:space="0"/>
                    <w:left w:val="nil"/>
                    <w:bottom w:val="single" w:color="auto" w:sz="4" w:space="0"/>
                    <w:right w:val="single" w:color="auto" w:sz="4" w:space="0"/>
                  </w:tcBorders>
                  <w:vAlign w:val="center"/>
                </w:tcPr>
                <w:p>
                  <w:pPr>
                    <w:pStyle w:val="33"/>
                    <w:rPr>
                      <w:lang w:val="en-US" w:eastAsia="zh-CN"/>
                    </w:rPr>
                  </w:pPr>
                  <w:r>
                    <w:rPr>
                      <w:rFonts w:hint="eastAsia"/>
                      <w:lang w:val="en-US" w:eastAsia="zh-CN"/>
                    </w:rPr>
                    <w:t>加强维修养护，</w:t>
                  </w:r>
                  <w:r>
                    <w:rPr>
                      <w:lang w:val="en-US" w:eastAsia="zh-CN"/>
                    </w:rPr>
                    <w:t>基础减震，厂房隔音</w:t>
                  </w:r>
                </w:p>
              </w:tc>
              <w:tc>
                <w:tcPr>
                  <w:tcW w:w="893" w:type="pct"/>
                  <w:tcBorders>
                    <w:top w:val="single" w:color="auto" w:sz="4" w:space="0"/>
                    <w:left w:val="nil"/>
                    <w:bottom w:val="single" w:color="auto" w:sz="4" w:space="0"/>
                    <w:right w:val="nil"/>
                  </w:tcBorders>
                  <w:vAlign w:val="center"/>
                </w:tcPr>
                <w:p>
                  <w:pPr>
                    <w:pStyle w:val="33"/>
                    <w:rPr>
                      <w:lang w:val="en-US" w:eastAsia="zh-CN"/>
                    </w:rPr>
                  </w:pPr>
                  <w:r>
                    <w:rPr>
                      <w:rFonts w:hint="eastAsia"/>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tcBorders>
                    <w:top w:val="single" w:color="auto" w:sz="4" w:space="0"/>
                    <w:left w:val="nil"/>
                    <w:right w:val="single" w:color="auto" w:sz="4" w:space="0"/>
                  </w:tcBorders>
                  <w:vAlign w:val="center"/>
                </w:tcPr>
                <w:p>
                  <w:pPr>
                    <w:pStyle w:val="33"/>
                  </w:pPr>
                  <w:r>
                    <w:t>3</w:t>
                  </w:r>
                </w:p>
              </w:tc>
              <w:tc>
                <w:tcPr>
                  <w:tcW w:w="968" w:type="pct"/>
                  <w:tcBorders>
                    <w:top w:val="single" w:color="auto" w:sz="4" w:space="0"/>
                    <w:left w:val="nil"/>
                    <w:right w:val="single" w:color="auto" w:sz="4" w:space="0"/>
                  </w:tcBorders>
                  <w:vAlign w:val="center"/>
                </w:tcPr>
                <w:p>
                  <w:pPr>
                    <w:pStyle w:val="33"/>
                    <w:rPr>
                      <w:lang w:eastAsia="zh-CN"/>
                    </w:rPr>
                  </w:pPr>
                  <w:r>
                    <w:rPr>
                      <w:lang w:eastAsia="zh-CN"/>
                    </w:rPr>
                    <w:t>废气治理</w:t>
                  </w:r>
                </w:p>
              </w:tc>
              <w:tc>
                <w:tcPr>
                  <w:tcW w:w="2630" w:type="pct"/>
                  <w:tcBorders>
                    <w:top w:val="single" w:color="auto" w:sz="4" w:space="0"/>
                    <w:left w:val="nil"/>
                    <w:bottom w:val="single" w:color="auto" w:sz="4" w:space="0"/>
                    <w:right w:val="single" w:color="auto" w:sz="4" w:space="0"/>
                  </w:tcBorders>
                  <w:vAlign w:val="center"/>
                </w:tcPr>
                <w:p>
                  <w:pPr>
                    <w:pStyle w:val="33"/>
                    <w:numPr>
                      <w:ilvl w:val="0"/>
                      <w:numId w:val="28"/>
                    </w:numPr>
                    <w:jc w:val="left"/>
                    <w:rPr>
                      <w:lang w:val="en-US"/>
                    </w:rPr>
                  </w:pPr>
                  <w:r>
                    <w:rPr>
                      <w:rFonts w:hint="eastAsia"/>
                      <w:lang w:val="en-US"/>
                    </w:rPr>
                    <w:t>集气罩+UV光氧+活性炭+15m排气筒</w:t>
                  </w:r>
                </w:p>
                <w:p>
                  <w:pPr>
                    <w:pStyle w:val="33"/>
                    <w:numPr>
                      <w:ilvl w:val="0"/>
                      <w:numId w:val="28"/>
                    </w:numPr>
                    <w:jc w:val="left"/>
                    <w:rPr>
                      <w:lang w:val="en-US" w:eastAsia="zh-CN"/>
                    </w:rPr>
                  </w:pPr>
                  <w:r>
                    <w:rPr>
                      <w:rFonts w:hint="eastAsia"/>
                      <w:lang w:val="en-US" w:eastAsia="zh-CN"/>
                    </w:rPr>
                    <w:t>集气罩+布袋除尘器+15m排气筒</w:t>
                  </w:r>
                </w:p>
                <w:p/>
                <w:p/>
              </w:tc>
              <w:tc>
                <w:tcPr>
                  <w:tcW w:w="893" w:type="pct"/>
                  <w:tcBorders>
                    <w:top w:val="single" w:color="auto" w:sz="4" w:space="0"/>
                    <w:left w:val="nil"/>
                    <w:bottom w:val="single" w:color="auto" w:sz="4" w:space="0"/>
                    <w:right w:val="nil"/>
                  </w:tcBorders>
                  <w:vAlign w:val="center"/>
                </w:tcPr>
                <w:p>
                  <w:pPr>
                    <w:pStyle w:val="33"/>
                    <w:rPr>
                      <w:rFonts w:hint="default"/>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tcBorders>
                    <w:top w:val="single" w:color="auto" w:sz="4" w:space="0"/>
                    <w:left w:val="nil"/>
                    <w:bottom w:val="single" w:color="auto" w:sz="4" w:space="0"/>
                    <w:right w:val="single" w:color="auto" w:sz="4" w:space="0"/>
                  </w:tcBorders>
                  <w:vAlign w:val="center"/>
                </w:tcPr>
                <w:p>
                  <w:pPr>
                    <w:pStyle w:val="33"/>
                  </w:pPr>
                  <w:r>
                    <w:t>4</w:t>
                  </w:r>
                </w:p>
              </w:tc>
              <w:tc>
                <w:tcPr>
                  <w:tcW w:w="968" w:type="pct"/>
                  <w:tcBorders>
                    <w:top w:val="single" w:color="auto" w:sz="4" w:space="0"/>
                    <w:left w:val="nil"/>
                    <w:bottom w:val="single" w:color="auto" w:sz="4" w:space="0"/>
                    <w:right w:val="single" w:color="auto" w:sz="4" w:space="0"/>
                  </w:tcBorders>
                  <w:vAlign w:val="center"/>
                </w:tcPr>
                <w:p>
                  <w:pPr>
                    <w:pStyle w:val="33"/>
                  </w:pPr>
                  <w:r>
                    <w:t>固废治理</w:t>
                  </w:r>
                </w:p>
              </w:tc>
              <w:tc>
                <w:tcPr>
                  <w:tcW w:w="2630" w:type="pct"/>
                  <w:tcBorders>
                    <w:top w:val="single" w:color="auto" w:sz="4" w:space="0"/>
                    <w:left w:val="nil"/>
                    <w:bottom w:val="single" w:color="auto" w:sz="4" w:space="0"/>
                    <w:right w:val="single" w:color="auto" w:sz="4" w:space="0"/>
                  </w:tcBorders>
                  <w:vAlign w:val="center"/>
                </w:tcPr>
                <w:p>
                  <w:pPr>
                    <w:pStyle w:val="33"/>
                    <w:rPr>
                      <w:rFonts w:hint="default" w:eastAsia="宋体"/>
                      <w:lang w:val="en-US" w:eastAsia="zh-CN"/>
                    </w:rPr>
                  </w:pPr>
                  <w:r>
                    <w:rPr>
                      <w:rFonts w:hint="eastAsia"/>
                      <w:lang w:eastAsia="zh-CN"/>
                    </w:rPr>
                    <w:t>垃圾箱、</w:t>
                  </w:r>
                  <w:r>
                    <w:rPr>
                      <w:rFonts w:hint="eastAsia"/>
                      <w:lang w:val="en-US" w:eastAsia="zh-CN"/>
                    </w:rPr>
                    <w:t>一般固废暂存间</w:t>
                  </w:r>
                </w:p>
              </w:tc>
              <w:tc>
                <w:tcPr>
                  <w:tcW w:w="893" w:type="pct"/>
                  <w:tcBorders>
                    <w:top w:val="single" w:color="auto" w:sz="4" w:space="0"/>
                    <w:left w:val="nil"/>
                    <w:bottom w:val="single" w:color="auto" w:sz="4" w:space="0"/>
                    <w:right w:val="nil"/>
                  </w:tcBorders>
                  <w:vAlign w:val="center"/>
                </w:tcPr>
                <w:p>
                  <w:pPr>
                    <w:pStyle w:val="33"/>
                    <w:rPr>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7" w:type="pct"/>
                  <w:tcBorders>
                    <w:top w:val="single" w:color="auto" w:sz="4" w:space="0"/>
                    <w:left w:val="nil"/>
                    <w:bottom w:val="single" w:color="auto" w:sz="4" w:space="0"/>
                    <w:right w:val="single" w:color="auto" w:sz="4" w:space="0"/>
                  </w:tcBorders>
                  <w:vAlign w:val="center"/>
                </w:tcPr>
                <w:p>
                  <w:pPr>
                    <w:pStyle w:val="33"/>
                    <w:rPr>
                      <w:lang w:val="en-US" w:eastAsia="zh-CN"/>
                    </w:rPr>
                  </w:pPr>
                  <w:r>
                    <w:rPr>
                      <w:rFonts w:hint="eastAsia"/>
                      <w:lang w:val="en-US" w:eastAsia="zh-CN"/>
                    </w:rPr>
                    <w:t>5</w:t>
                  </w:r>
                </w:p>
              </w:tc>
              <w:tc>
                <w:tcPr>
                  <w:tcW w:w="968" w:type="pct"/>
                  <w:tcBorders>
                    <w:top w:val="single" w:color="auto" w:sz="4" w:space="0"/>
                    <w:left w:val="nil"/>
                    <w:bottom w:val="single" w:color="auto" w:sz="4" w:space="0"/>
                    <w:right w:val="single" w:color="auto" w:sz="4" w:space="0"/>
                  </w:tcBorders>
                  <w:vAlign w:val="center"/>
                </w:tcPr>
                <w:p>
                  <w:pPr>
                    <w:pStyle w:val="33"/>
                    <w:rPr>
                      <w:lang w:val="en-US" w:eastAsia="zh-CN"/>
                    </w:rPr>
                  </w:pPr>
                  <w:r>
                    <w:rPr>
                      <w:rFonts w:hint="eastAsia"/>
                      <w:lang w:val="en-US" w:eastAsia="zh-CN"/>
                    </w:rPr>
                    <w:t>危废治理</w:t>
                  </w:r>
                </w:p>
              </w:tc>
              <w:tc>
                <w:tcPr>
                  <w:tcW w:w="2630" w:type="pct"/>
                  <w:tcBorders>
                    <w:top w:val="single" w:color="auto" w:sz="4" w:space="0"/>
                    <w:left w:val="nil"/>
                    <w:bottom w:val="single" w:color="auto" w:sz="4" w:space="0"/>
                    <w:right w:val="single" w:color="auto" w:sz="4" w:space="0"/>
                  </w:tcBorders>
                  <w:vAlign w:val="center"/>
                </w:tcPr>
                <w:p>
                  <w:pPr>
                    <w:pStyle w:val="33"/>
                    <w:rPr>
                      <w:lang w:val="en-US" w:eastAsia="zh-CN"/>
                    </w:rPr>
                  </w:pPr>
                  <w:r>
                    <w:rPr>
                      <w:rFonts w:hint="eastAsia"/>
                      <w:lang w:val="en-US" w:eastAsia="zh-CN"/>
                    </w:rPr>
                    <w:t>10m</w:t>
                  </w:r>
                  <w:r>
                    <w:rPr>
                      <w:rFonts w:hint="eastAsia"/>
                      <w:vertAlign w:val="superscript"/>
                      <w:lang w:val="en-US" w:eastAsia="zh-CN"/>
                    </w:rPr>
                    <w:t>3</w:t>
                  </w:r>
                  <w:r>
                    <w:rPr>
                      <w:rFonts w:hint="eastAsia"/>
                      <w:lang w:val="en-US" w:eastAsia="zh-CN"/>
                    </w:rPr>
                    <w:t>危废暂存间</w:t>
                  </w:r>
                </w:p>
              </w:tc>
              <w:tc>
                <w:tcPr>
                  <w:tcW w:w="893" w:type="pct"/>
                  <w:tcBorders>
                    <w:top w:val="single" w:color="auto" w:sz="4" w:space="0"/>
                    <w:left w:val="nil"/>
                    <w:bottom w:val="single" w:color="auto" w:sz="4" w:space="0"/>
                    <w:right w:val="nil"/>
                  </w:tcBorders>
                  <w:vAlign w:val="center"/>
                </w:tcPr>
                <w:p>
                  <w:pPr>
                    <w:pStyle w:val="33"/>
                    <w:rPr>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6" w:type="pct"/>
                  <w:gridSpan w:val="3"/>
                  <w:tcBorders>
                    <w:top w:val="single" w:color="auto" w:sz="4" w:space="0"/>
                    <w:left w:val="nil"/>
                    <w:bottom w:val="single" w:color="auto" w:sz="12" w:space="0"/>
                    <w:right w:val="single" w:color="auto" w:sz="4" w:space="0"/>
                  </w:tcBorders>
                  <w:vAlign w:val="center"/>
                </w:tcPr>
                <w:p>
                  <w:pPr>
                    <w:pStyle w:val="33"/>
                  </w:pPr>
                  <w:r>
                    <w:t>合计</w:t>
                  </w:r>
                </w:p>
              </w:tc>
              <w:tc>
                <w:tcPr>
                  <w:tcW w:w="893" w:type="pct"/>
                  <w:tcBorders>
                    <w:top w:val="single" w:color="auto" w:sz="4" w:space="0"/>
                    <w:left w:val="nil"/>
                    <w:bottom w:val="single" w:color="auto" w:sz="12" w:space="0"/>
                    <w:right w:val="nil"/>
                  </w:tcBorders>
                  <w:vAlign w:val="center"/>
                </w:tcPr>
                <w:p>
                  <w:pPr>
                    <w:pStyle w:val="33"/>
                    <w:rPr>
                      <w:rFonts w:hint="default"/>
                      <w:lang w:val="en-US" w:eastAsia="zh-CN"/>
                    </w:rPr>
                  </w:pPr>
                  <w:r>
                    <w:rPr>
                      <w:rFonts w:hint="eastAsia"/>
                      <w:lang w:val="en-US" w:eastAsia="zh-CN"/>
                    </w:rPr>
                    <w:t>15.8</w:t>
                  </w:r>
                </w:p>
              </w:tc>
            </w:tr>
          </w:tbl>
          <w:p>
            <w:pPr>
              <w:pStyle w:val="20"/>
              <w:ind w:firstLine="0" w:firstLineChars="0"/>
              <w:jc w:val="both"/>
            </w:pPr>
          </w:p>
          <w:p>
            <w:pPr>
              <w:pStyle w:val="20"/>
              <w:ind w:firstLine="0" w:firstLineChars="0"/>
              <w:jc w:val="both"/>
            </w:pPr>
          </w:p>
          <w:p>
            <w:pPr>
              <w:pStyle w:val="20"/>
              <w:ind w:firstLine="0" w:firstLineChars="0"/>
              <w:jc w:val="both"/>
            </w:pPr>
          </w:p>
          <w:p>
            <w:pPr>
              <w:pStyle w:val="20"/>
              <w:ind w:firstLine="0" w:firstLineChars="0"/>
              <w:jc w:val="both"/>
            </w:pPr>
          </w:p>
          <w:p>
            <w:pPr>
              <w:pStyle w:val="20"/>
              <w:ind w:firstLine="0" w:firstLineChars="0"/>
              <w:jc w:val="both"/>
            </w:pPr>
          </w:p>
          <w:p>
            <w:pPr>
              <w:pStyle w:val="20"/>
              <w:ind w:firstLine="0" w:firstLineChars="0"/>
              <w:jc w:val="both"/>
            </w:pPr>
          </w:p>
          <w:p>
            <w:pPr>
              <w:pStyle w:val="20"/>
              <w:ind w:firstLine="0" w:firstLineChars="0"/>
              <w:jc w:val="both"/>
            </w:pPr>
          </w:p>
          <w:p>
            <w:pPr>
              <w:pStyle w:val="20"/>
              <w:ind w:firstLine="0" w:firstLineChars="0"/>
              <w:jc w:val="both"/>
            </w:pPr>
          </w:p>
          <w:p>
            <w:pPr>
              <w:pStyle w:val="20"/>
              <w:ind w:firstLine="0" w:firstLineChars="0"/>
              <w:jc w:val="both"/>
            </w:pPr>
          </w:p>
          <w:p>
            <w:pPr>
              <w:pStyle w:val="20"/>
              <w:ind w:firstLine="0" w:firstLineChars="0"/>
              <w:jc w:val="both"/>
            </w:pPr>
          </w:p>
          <w:p>
            <w:pPr>
              <w:pStyle w:val="20"/>
              <w:ind w:firstLine="0" w:firstLineChars="0"/>
              <w:jc w:val="both"/>
            </w:pPr>
          </w:p>
          <w:p>
            <w:pPr>
              <w:pStyle w:val="20"/>
              <w:ind w:firstLine="0" w:firstLineChars="0"/>
              <w:jc w:val="both"/>
            </w:pPr>
          </w:p>
        </w:tc>
      </w:tr>
    </w:tbl>
    <w:p>
      <w:pPr>
        <w:jc w:val="both"/>
        <w:sectPr>
          <w:pgSz w:w="11906" w:h="16838"/>
          <w:pgMar w:top="1440" w:right="1800" w:bottom="1440" w:left="1800" w:header="851" w:footer="992" w:gutter="0"/>
          <w:cols w:space="425" w:num="1"/>
          <w:docGrid w:type="lines" w:linePitch="312" w:charSpace="0"/>
        </w:sectPr>
      </w:pPr>
    </w:p>
    <w:p>
      <w:pPr>
        <w:pStyle w:val="4"/>
        <w:numPr>
          <w:ilvl w:val="0"/>
          <w:numId w:val="1"/>
        </w:numPr>
      </w:pPr>
      <w:bookmarkStart w:id="4" w:name="_Hlk54167917"/>
      <w:r>
        <w:rPr>
          <w:rFonts w:hint="eastAsia"/>
        </w:rPr>
        <w:t>环境保护措施监督检查清单</w:t>
      </w:r>
      <w:bookmarkEnd w:id="4"/>
    </w:p>
    <w:tbl>
      <w:tblPr>
        <w:tblStyle w:val="25"/>
        <w:tblW w:w="85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36"/>
        <w:gridCol w:w="1475"/>
        <w:gridCol w:w="1700"/>
        <w:gridCol w:w="28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8" w:type="dxa"/>
            <w:tcBorders>
              <w:tl2br w:val="single" w:color="auto" w:sz="4" w:space="0"/>
            </w:tcBorders>
            <w:vAlign w:val="center"/>
          </w:tcPr>
          <w:p>
            <w:pPr>
              <w:jc w:val="center"/>
            </w:pPr>
            <w:r>
              <w:rPr>
                <w:rFonts w:hint="eastAsia"/>
              </w:rPr>
              <w:t xml:space="preserve"> 内容</w:t>
            </w:r>
          </w:p>
          <w:p>
            <w:pPr>
              <w:jc w:val="both"/>
            </w:pPr>
            <w:r>
              <w:rPr>
                <w:rFonts w:hint="eastAsia"/>
              </w:rPr>
              <w:t>要素</w:t>
            </w:r>
          </w:p>
        </w:tc>
        <w:tc>
          <w:tcPr>
            <w:tcW w:w="1736" w:type="dxa"/>
            <w:tcBorders>
              <w:tl2br w:val="nil"/>
              <w:tr2bl w:val="nil"/>
            </w:tcBorders>
            <w:vAlign w:val="center"/>
          </w:tcPr>
          <w:p>
            <w:pPr>
              <w:jc w:val="center"/>
            </w:pPr>
            <w:r>
              <w:rPr>
                <w:rFonts w:hint="eastAsia" w:ascii="宋体" w:hAnsi="宋体" w:cs="宋体"/>
                <w:szCs w:val="21"/>
              </w:rPr>
              <w:t>排放口(编号、名称)/污染源</w:t>
            </w:r>
          </w:p>
        </w:tc>
        <w:tc>
          <w:tcPr>
            <w:tcW w:w="1475" w:type="dxa"/>
            <w:tcBorders>
              <w:tl2br w:val="nil"/>
              <w:tr2bl w:val="nil"/>
            </w:tcBorders>
            <w:vAlign w:val="center"/>
          </w:tcPr>
          <w:p>
            <w:pPr>
              <w:jc w:val="center"/>
            </w:pPr>
            <w:r>
              <w:rPr>
                <w:rFonts w:hint="eastAsia" w:ascii="宋体" w:hAnsi="宋体" w:cs="宋体"/>
                <w:szCs w:val="21"/>
              </w:rPr>
              <w:t>污染物项目</w:t>
            </w:r>
          </w:p>
        </w:tc>
        <w:tc>
          <w:tcPr>
            <w:tcW w:w="1700" w:type="dxa"/>
            <w:tcBorders>
              <w:tl2br w:val="nil"/>
              <w:tr2bl w:val="nil"/>
            </w:tcBorders>
            <w:vAlign w:val="center"/>
          </w:tcPr>
          <w:p>
            <w:pPr>
              <w:jc w:val="center"/>
            </w:pPr>
            <w:r>
              <w:rPr>
                <w:rFonts w:hint="eastAsia" w:ascii="宋体" w:hAnsi="宋体" w:cs="宋体"/>
                <w:szCs w:val="21"/>
              </w:rPr>
              <w:t>环境保护措施</w:t>
            </w:r>
          </w:p>
        </w:tc>
        <w:tc>
          <w:tcPr>
            <w:tcW w:w="2804" w:type="dxa"/>
            <w:tcBorders>
              <w:tl2br w:val="nil"/>
              <w:tr2bl w:val="nil"/>
            </w:tcBorders>
            <w:vAlign w:val="center"/>
          </w:tcPr>
          <w:p>
            <w:pPr>
              <w:jc w:val="center"/>
            </w:pPr>
            <w:r>
              <w:rPr>
                <w:rFonts w:hint="eastAsia" w:ascii="宋体" w:hAnsi="宋体" w:cs="宋体"/>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restart"/>
            <w:tcBorders>
              <w:tl2br w:val="nil"/>
              <w:tr2bl w:val="nil"/>
            </w:tcBorders>
            <w:vAlign w:val="center"/>
          </w:tcPr>
          <w:p>
            <w:pPr>
              <w:jc w:val="center"/>
            </w:pPr>
            <w:r>
              <w:rPr>
                <w:rFonts w:hint="eastAsia" w:ascii="宋体" w:hAnsi="宋体" w:cs="宋体"/>
                <w:szCs w:val="21"/>
              </w:rPr>
              <w:t>大气环境</w:t>
            </w:r>
          </w:p>
        </w:tc>
        <w:tc>
          <w:tcPr>
            <w:tcW w:w="1736" w:type="dxa"/>
            <w:tcBorders>
              <w:tl2br w:val="nil"/>
              <w:tr2bl w:val="nil"/>
            </w:tcBorders>
            <w:vAlign w:val="center"/>
          </w:tcPr>
          <w:p>
            <w:pPr>
              <w:jc w:val="center"/>
              <w:rPr>
                <w:rFonts w:cs="Times New Roman"/>
                <w:b w:val="0"/>
                <w:bCs/>
              </w:rPr>
            </w:pPr>
            <w:r>
              <w:rPr>
                <w:rFonts w:hint="eastAsia" w:cs="Times New Roman"/>
                <w:b w:val="0"/>
                <w:bCs/>
              </w:rPr>
              <w:t>混料</w:t>
            </w:r>
            <w:r>
              <w:rPr>
                <w:rFonts w:cs="Times New Roman"/>
                <w:b w:val="0"/>
                <w:bCs/>
              </w:rPr>
              <w:t>排放口</w:t>
            </w:r>
          </w:p>
          <w:p>
            <w:pPr>
              <w:jc w:val="center"/>
              <w:rPr>
                <w:rFonts w:cs="Times New Roman"/>
              </w:rPr>
            </w:pPr>
            <w:r>
              <w:rPr>
                <w:rFonts w:cs="Times New Roman"/>
                <w:b w:val="0"/>
                <w:bCs/>
              </w:rPr>
              <w:t>（DA001）</w:t>
            </w:r>
          </w:p>
        </w:tc>
        <w:tc>
          <w:tcPr>
            <w:tcW w:w="1475" w:type="dxa"/>
            <w:tcBorders>
              <w:tl2br w:val="nil"/>
              <w:tr2bl w:val="nil"/>
            </w:tcBorders>
            <w:vAlign w:val="center"/>
          </w:tcPr>
          <w:p>
            <w:pPr>
              <w:jc w:val="center"/>
              <w:rPr>
                <w:rFonts w:cs="Times New Roman"/>
                <w:b w:val="0"/>
                <w:bCs/>
              </w:rPr>
            </w:pPr>
            <w:r>
              <w:rPr>
                <w:rFonts w:cs="Times New Roman"/>
                <w:b w:val="0"/>
                <w:bCs/>
              </w:rPr>
              <w:t>粉尘</w:t>
            </w:r>
          </w:p>
        </w:tc>
        <w:tc>
          <w:tcPr>
            <w:tcW w:w="1700" w:type="dxa"/>
            <w:tcBorders>
              <w:tl2br w:val="nil"/>
              <w:tr2bl w:val="nil"/>
            </w:tcBorders>
            <w:vAlign w:val="center"/>
          </w:tcPr>
          <w:p>
            <w:pPr>
              <w:jc w:val="center"/>
              <w:rPr>
                <w:rFonts w:cs="Times New Roman"/>
                <w:b w:val="0"/>
                <w:bCs/>
              </w:rPr>
            </w:pPr>
            <w:r>
              <w:rPr>
                <w:rFonts w:cs="Times New Roman"/>
                <w:b w:val="0"/>
                <w:bCs/>
              </w:rPr>
              <w:t>布袋除尘器+15m排气筒</w:t>
            </w:r>
          </w:p>
        </w:tc>
        <w:tc>
          <w:tcPr>
            <w:tcW w:w="2804" w:type="dxa"/>
            <w:tcBorders>
              <w:tl2br w:val="nil"/>
              <w:tr2bl w:val="nil"/>
            </w:tcBorders>
            <w:vAlign w:val="center"/>
          </w:tcPr>
          <w:p>
            <w:pPr>
              <w:pStyle w:val="31"/>
              <w:rPr>
                <w:rFonts w:cs="Times New Roman"/>
              </w:rPr>
            </w:pPr>
            <w:r>
              <w:rPr>
                <w:rFonts w:cs="Times New Roman"/>
              </w:rPr>
              <w:t>《水泥工业大气污染物排放标准》（GB4915-2013）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tcBorders>
              <w:tl2br w:val="nil"/>
              <w:tr2bl w:val="nil"/>
            </w:tcBorders>
            <w:vAlign w:val="center"/>
          </w:tcPr>
          <w:p>
            <w:pPr>
              <w:jc w:val="center"/>
              <w:rPr>
                <w:rFonts w:ascii="宋体" w:hAnsi="宋体" w:cs="宋体"/>
                <w:szCs w:val="21"/>
              </w:rPr>
            </w:pPr>
          </w:p>
        </w:tc>
        <w:tc>
          <w:tcPr>
            <w:tcW w:w="1736" w:type="dxa"/>
            <w:tcBorders>
              <w:tl2br w:val="nil"/>
              <w:tr2bl w:val="nil"/>
            </w:tcBorders>
            <w:vAlign w:val="center"/>
          </w:tcPr>
          <w:p>
            <w:pPr>
              <w:jc w:val="center"/>
              <w:rPr>
                <w:rFonts w:cs="Times New Roman"/>
                <w:b w:val="0"/>
                <w:bCs/>
              </w:rPr>
            </w:pPr>
            <w:r>
              <w:rPr>
                <w:rFonts w:hint="eastAsia" w:cs="Times New Roman"/>
                <w:b w:val="0"/>
                <w:bCs/>
              </w:rPr>
              <w:t>有机废气排放口（</w:t>
            </w:r>
            <w:r>
              <w:rPr>
                <w:rFonts w:cs="Times New Roman"/>
                <w:b w:val="0"/>
                <w:bCs/>
              </w:rPr>
              <w:t>DA00</w:t>
            </w:r>
            <w:r>
              <w:rPr>
                <w:rFonts w:hint="eastAsia" w:cs="Times New Roman"/>
                <w:b w:val="0"/>
                <w:bCs/>
              </w:rPr>
              <w:t>2）</w:t>
            </w:r>
          </w:p>
        </w:tc>
        <w:tc>
          <w:tcPr>
            <w:tcW w:w="1475" w:type="dxa"/>
            <w:tcBorders>
              <w:tl2br w:val="nil"/>
              <w:tr2bl w:val="nil"/>
            </w:tcBorders>
            <w:vAlign w:val="center"/>
          </w:tcPr>
          <w:p>
            <w:pPr>
              <w:jc w:val="center"/>
              <w:rPr>
                <w:rFonts w:cs="Times New Roman"/>
                <w:b w:val="0"/>
                <w:bCs/>
              </w:rPr>
            </w:pPr>
            <w:r>
              <w:rPr>
                <w:rFonts w:hint="eastAsia" w:cs="Times New Roman"/>
                <w:b w:val="0"/>
                <w:bCs/>
              </w:rPr>
              <w:t>非甲烷总烃</w:t>
            </w:r>
          </w:p>
        </w:tc>
        <w:tc>
          <w:tcPr>
            <w:tcW w:w="1700" w:type="dxa"/>
            <w:tcBorders>
              <w:tl2br w:val="nil"/>
              <w:tr2bl w:val="nil"/>
            </w:tcBorders>
            <w:vAlign w:val="center"/>
          </w:tcPr>
          <w:p>
            <w:pPr>
              <w:jc w:val="center"/>
              <w:rPr>
                <w:rFonts w:cs="Times New Roman"/>
                <w:b w:val="0"/>
                <w:bCs/>
              </w:rPr>
            </w:pPr>
            <w:r>
              <w:rPr>
                <w:rFonts w:hint="eastAsia" w:cs="Times New Roman"/>
                <w:b w:val="0"/>
                <w:bCs/>
              </w:rPr>
              <w:t>UV光氧活性炭+15m排气筒</w:t>
            </w:r>
          </w:p>
        </w:tc>
        <w:tc>
          <w:tcPr>
            <w:tcW w:w="2804" w:type="dxa"/>
            <w:tcBorders>
              <w:tl2br w:val="nil"/>
              <w:tr2bl w:val="nil"/>
            </w:tcBorders>
            <w:vAlign w:val="center"/>
          </w:tcPr>
          <w:p>
            <w:pPr>
              <w:pStyle w:val="31"/>
              <w:rPr>
                <w:rFonts w:cs="Times New Roman"/>
              </w:rPr>
            </w:pPr>
            <w:r>
              <w:rPr>
                <w:rFonts w:cs="Times New Roma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tcBorders>
              <w:tl2br w:val="nil"/>
              <w:tr2bl w:val="nil"/>
            </w:tcBorders>
            <w:vAlign w:val="center"/>
          </w:tcPr>
          <w:p>
            <w:pPr>
              <w:jc w:val="center"/>
              <w:rPr>
                <w:rFonts w:ascii="宋体" w:hAnsi="宋体" w:cs="宋体"/>
                <w:szCs w:val="21"/>
              </w:rPr>
            </w:pPr>
          </w:p>
        </w:tc>
        <w:tc>
          <w:tcPr>
            <w:tcW w:w="1736" w:type="dxa"/>
            <w:vMerge w:val="restart"/>
            <w:tcBorders>
              <w:tl2br w:val="nil"/>
              <w:tr2bl w:val="nil"/>
            </w:tcBorders>
            <w:vAlign w:val="center"/>
          </w:tcPr>
          <w:p>
            <w:pPr>
              <w:jc w:val="center"/>
              <w:rPr>
                <w:rFonts w:cs="Times New Roman"/>
                <w:b w:val="0"/>
                <w:bCs/>
              </w:rPr>
            </w:pPr>
            <w:r>
              <w:rPr>
                <w:rFonts w:cs="Times New Roman"/>
                <w:b w:val="0"/>
                <w:bCs/>
              </w:rPr>
              <w:t>厂界</w:t>
            </w:r>
          </w:p>
        </w:tc>
        <w:tc>
          <w:tcPr>
            <w:tcW w:w="1475" w:type="dxa"/>
            <w:tcBorders>
              <w:tl2br w:val="nil"/>
              <w:tr2bl w:val="nil"/>
            </w:tcBorders>
            <w:vAlign w:val="center"/>
          </w:tcPr>
          <w:p>
            <w:pPr>
              <w:jc w:val="center"/>
              <w:rPr>
                <w:rFonts w:cs="Times New Roman"/>
                <w:b w:val="0"/>
                <w:bCs/>
              </w:rPr>
            </w:pPr>
            <w:r>
              <w:rPr>
                <w:rFonts w:cs="Times New Roman"/>
                <w:b w:val="0"/>
                <w:bCs/>
              </w:rPr>
              <w:t>粉尘</w:t>
            </w:r>
          </w:p>
        </w:tc>
        <w:tc>
          <w:tcPr>
            <w:tcW w:w="1700" w:type="dxa"/>
            <w:tcBorders>
              <w:tl2br w:val="nil"/>
              <w:tr2bl w:val="nil"/>
            </w:tcBorders>
            <w:vAlign w:val="center"/>
          </w:tcPr>
          <w:p>
            <w:pPr>
              <w:jc w:val="center"/>
              <w:rPr>
                <w:rFonts w:cs="Times New Roman"/>
                <w:b w:val="0"/>
                <w:bCs/>
              </w:rPr>
            </w:pPr>
            <w:r>
              <w:rPr>
                <w:rFonts w:cs="Times New Roman"/>
                <w:b w:val="0"/>
                <w:bCs/>
              </w:rPr>
              <w:t>厂房封闭</w:t>
            </w:r>
            <w:r>
              <w:rPr>
                <w:rFonts w:hint="eastAsia" w:cs="Times New Roman"/>
                <w:b w:val="0"/>
                <w:bCs/>
              </w:rPr>
              <w:t>、</w:t>
            </w:r>
            <w:r>
              <w:rPr>
                <w:rFonts w:cs="Times New Roman"/>
                <w:b w:val="0"/>
                <w:bCs/>
              </w:rPr>
              <w:t>洒水降尘</w:t>
            </w:r>
          </w:p>
        </w:tc>
        <w:tc>
          <w:tcPr>
            <w:tcW w:w="2804" w:type="dxa"/>
            <w:tcBorders>
              <w:tl2br w:val="nil"/>
              <w:tr2bl w:val="nil"/>
            </w:tcBorders>
            <w:vAlign w:val="center"/>
          </w:tcPr>
          <w:p>
            <w:pPr>
              <w:pStyle w:val="31"/>
              <w:rPr>
                <w:rFonts w:cs="Times New Roman"/>
              </w:rPr>
            </w:pPr>
            <w:r>
              <w:rPr>
                <w:rFonts w:cs="Times New Roman"/>
              </w:rPr>
              <w:t>《水泥工业大气污染物排放标准》（GB4915-2013）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tcBorders>
              <w:tl2br w:val="nil"/>
              <w:tr2bl w:val="nil"/>
            </w:tcBorders>
            <w:vAlign w:val="center"/>
          </w:tcPr>
          <w:p>
            <w:pPr>
              <w:jc w:val="center"/>
              <w:rPr>
                <w:rFonts w:ascii="宋体" w:hAnsi="宋体" w:cs="宋体"/>
                <w:szCs w:val="21"/>
              </w:rPr>
            </w:pPr>
          </w:p>
        </w:tc>
        <w:tc>
          <w:tcPr>
            <w:tcW w:w="1736" w:type="dxa"/>
            <w:vMerge w:val="continue"/>
            <w:tcBorders>
              <w:tl2br w:val="nil"/>
              <w:tr2bl w:val="nil"/>
            </w:tcBorders>
            <w:vAlign w:val="center"/>
          </w:tcPr>
          <w:p>
            <w:pPr>
              <w:jc w:val="center"/>
              <w:rPr>
                <w:rFonts w:cs="Times New Roman"/>
                <w:b w:val="0"/>
                <w:bCs/>
              </w:rPr>
            </w:pPr>
          </w:p>
        </w:tc>
        <w:tc>
          <w:tcPr>
            <w:tcW w:w="1475" w:type="dxa"/>
            <w:tcBorders>
              <w:tl2br w:val="nil"/>
              <w:tr2bl w:val="nil"/>
            </w:tcBorders>
            <w:vAlign w:val="center"/>
          </w:tcPr>
          <w:p>
            <w:pPr>
              <w:jc w:val="center"/>
              <w:rPr>
                <w:rFonts w:cs="Times New Roman"/>
                <w:b w:val="0"/>
                <w:bCs/>
              </w:rPr>
            </w:pPr>
            <w:r>
              <w:rPr>
                <w:rFonts w:hint="eastAsia" w:cs="Times New Roman"/>
                <w:b w:val="0"/>
                <w:bCs/>
              </w:rPr>
              <w:t>非甲烷总烃</w:t>
            </w:r>
          </w:p>
        </w:tc>
        <w:tc>
          <w:tcPr>
            <w:tcW w:w="1700" w:type="dxa"/>
            <w:tcBorders>
              <w:tl2br w:val="nil"/>
              <w:tr2bl w:val="nil"/>
            </w:tcBorders>
            <w:vAlign w:val="center"/>
          </w:tcPr>
          <w:p>
            <w:pPr>
              <w:jc w:val="center"/>
              <w:rPr>
                <w:rFonts w:cs="Times New Roman"/>
                <w:b w:val="0"/>
                <w:bCs/>
              </w:rPr>
            </w:pPr>
            <w:r>
              <w:rPr>
                <w:rFonts w:hint="eastAsia" w:cs="Times New Roman"/>
                <w:b w:val="0"/>
                <w:bCs/>
              </w:rPr>
              <w:t>加强通风</w:t>
            </w:r>
          </w:p>
        </w:tc>
        <w:tc>
          <w:tcPr>
            <w:tcW w:w="2804" w:type="dxa"/>
            <w:tcBorders>
              <w:tl2br w:val="nil"/>
              <w:tr2bl w:val="nil"/>
            </w:tcBorders>
            <w:vAlign w:val="center"/>
          </w:tcPr>
          <w:p>
            <w:pPr>
              <w:pStyle w:val="31"/>
              <w:rPr>
                <w:rFonts w:cs="Times New Roman"/>
              </w:rPr>
            </w:pPr>
            <w:r>
              <w:rPr>
                <w:rFonts w:cs="Times New Roman"/>
              </w:rPr>
              <w:t>《大气污染物综合排放标准》（GB16297-1996）</w:t>
            </w:r>
            <w:r>
              <w:rPr>
                <w:rFonts w:hint="eastAsia" w:cs="Times New Roman"/>
              </w:rPr>
              <w:t>；</w:t>
            </w:r>
            <w:r>
              <w:rPr>
                <w:rFonts w:cs="Times New Roman"/>
              </w:rPr>
              <w:t>《挥发性有机物无组织排放控制标准》</w:t>
            </w:r>
            <w:r>
              <w:rPr>
                <w:rFonts w:hint="eastAsia" w:cs="Times New Roman"/>
              </w:rPr>
              <w:t>（</w:t>
            </w:r>
            <w:r>
              <w:rPr>
                <w:rFonts w:cs="Times New Roman"/>
              </w:rPr>
              <w:t>GB 37822-2019</w:t>
            </w: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restart"/>
            <w:tcBorders>
              <w:tl2br w:val="nil"/>
              <w:tr2bl w:val="nil"/>
            </w:tcBorders>
            <w:vAlign w:val="center"/>
          </w:tcPr>
          <w:p>
            <w:pPr>
              <w:jc w:val="center"/>
              <w:rPr>
                <w:rFonts w:ascii="宋体" w:hAnsi="宋体" w:cs="宋体"/>
                <w:szCs w:val="21"/>
              </w:rPr>
            </w:pPr>
            <w:r>
              <w:rPr>
                <w:rFonts w:hint="eastAsia" w:ascii="宋体" w:hAnsi="宋体" w:cs="宋体"/>
                <w:szCs w:val="21"/>
              </w:rPr>
              <w:t>地</w:t>
            </w:r>
          </w:p>
          <w:p>
            <w:pPr>
              <w:jc w:val="center"/>
              <w:rPr>
                <w:rFonts w:ascii="宋体" w:hAnsi="宋体" w:cs="宋体"/>
                <w:szCs w:val="21"/>
              </w:rPr>
            </w:pPr>
            <w:r>
              <w:rPr>
                <w:rFonts w:hint="eastAsia" w:ascii="宋体" w:hAnsi="宋体" w:cs="宋体"/>
                <w:szCs w:val="21"/>
              </w:rPr>
              <w:t>表</w:t>
            </w:r>
          </w:p>
          <w:p>
            <w:pPr>
              <w:jc w:val="center"/>
              <w:rPr>
                <w:rFonts w:ascii="宋体" w:hAnsi="宋体" w:cs="宋体"/>
                <w:szCs w:val="21"/>
              </w:rPr>
            </w:pPr>
            <w:r>
              <w:rPr>
                <w:rFonts w:hint="eastAsia" w:ascii="宋体" w:hAnsi="宋体" w:cs="宋体"/>
                <w:szCs w:val="21"/>
              </w:rPr>
              <w:t>水</w:t>
            </w:r>
          </w:p>
          <w:p>
            <w:pPr>
              <w:jc w:val="center"/>
              <w:rPr>
                <w:rFonts w:ascii="宋体" w:hAnsi="宋体" w:cs="宋体"/>
                <w:szCs w:val="21"/>
              </w:rPr>
            </w:pPr>
            <w:r>
              <w:rPr>
                <w:rFonts w:hint="eastAsia" w:ascii="宋体" w:hAnsi="宋体" w:cs="宋体"/>
                <w:szCs w:val="21"/>
              </w:rPr>
              <w:t>环</w:t>
            </w:r>
          </w:p>
          <w:p>
            <w:pPr>
              <w:jc w:val="center"/>
              <w:rPr>
                <w:rFonts w:ascii="宋体" w:hAnsi="宋体" w:cs="宋体"/>
                <w:sz w:val="21"/>
                <w:szCs w:val="21"/>
              </w:rPr>
            </w:pPr>
            <w:r>
              <w:rPr>
                <w:rFonts w:hint="eastAsia" w:ascii="宋体" w:hAnsi="宋体" w:cs="宋体"/>
                <w:szCs w:val="21"/>
              </w:rPr>
              <w:t>境</w:t>
            </w:r>
          </w:p>
        </w:tc>
        <w:tc>
          <w:tcPr>
            <w:tcW w:w="1736" w:type="dxa"/>
            <w:tcBorders>
              <w:tl2br w:val="nil"/>
              <w:tr2bl w:val="nil"/>
            </w:tcBorders>
            <w:vAlign w:val="center"/>
          </w:tcPr>
          <w:p>
            <w:pPr>
              <w:jc w:val="center"/>
              <w:rPr>
                <w:rFonts w:cs="Times New Roman"/>
                <w:b w:val="0"/>
                <w:bCs/>
              </w:rPr>
            </w:pPr>
            <w:r>
              <w:rPr>
                <w:rFonts w:cs="Times New Roman"/>
                <w:b w:val="0"/>
                <w:bCs/>
              </w:rPr>
              <w:t>生产废水</w:t>
            </w:r>
          </w:p>
        </w:tc>
        <w:tc>
          <w:tcPr>
            <w:tcW w:w="1475" w:type="dxa"/>
            <w:tcBorders>
              <w:tl2br w:val="nil"/>
              <w:tr2bl w:val="nil"/>
            </w:tcBorders>
            <w:vAlign w:val="center"/>
          </w:tcPr>
          <w:p>
            <w:pPr>
              <w:widowControl/>
              <w:jc w:val="center"/>
              <w:rPr>
                <w:rFonts w:cs="Times New Roman"/>
                <w:b w:val="0"/>
                <w:bCs/>
              </w:rPr>
            </w:pPr>
            <w:r>
              <w:rPr>
                <w:rFonts w:cs="Times New Roman"/>
                <w:b w:val="0"/>
                <w:bCs/>
              </w:rPr>
              <w:t>SS</w:t>
            </w:r>
          </w:p>
        </w:tc>
        <w:tc>
          <w:tcPr>
            <w:tcW w:w="1700" w:type="dxa"/>
            <w:tcBorders>
              <w:tl2br w:val="nil"/>
              <w:tr2bl w:val="nil"/>
            </w:tcBorders>
            <w:vAlign w:val="center"/>
          </w:tcPr>
          <w:p>
            <w:pPr>
              <w:jc w:val="center"/>
              <w:rPr>
                <w:rFonts w:cs="Times New Roman"/>
                <w:b w:val="0"/>
                <w:bCs/>
              </w:rPr>
            </w:pPr>
            <w:r>
              <w:rPr>
                <w:rFonts w:cs="Times New Roman"/>
                <w:b w:val="0"/>
                <w:bCs/>
              </w:rPr>
              <w:t>沉淀池</w:t>
            </w:r>
          </w:p>
        </w:tc>
        <w:tc>
          <w:tcPr>
            <w:tcW w:w="2804" w:type="dxa"/>
            <w:tcBorders>
              <w:tl2br w:val="nil"/>
              <w:tr2bl w:val="nil"/>
            </w:tcBorders>
            <w:vAlign w:val="center"/>
          </w:tcPr>
          <w:p>
            <w:pPr>
              <w:pStyle w:val="31"/>
              <w:rPr>
                <w:rFonts w:cs="Times New Roman"/>
              </w:rPr>
            </w:pPr>
            <w:r>
              <w:rPr>
                <w:rFonts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tcBorders>
              <w:tl2br w:val="nil"/>
              <w:tr2bl w:val="nil"/>
            </w:tcBorders>
            <w:vAlign w:val="center"/>
          </w:tcPr>
          <w:p>
            <w:pPr>
              <w:jc w:val="center"/>
            </w:pPr>
          </w:p>
        </w:tc>
        <w:tc>
          <w:tcPr>
            <w:tcW w:w="1736" w:type="dxa"/>
            <w:tcBorders>
              <w:tl2br w:val="nil"/>
              <w:tr2bl w:val="nil"/>
            </w:tcBorders>
            <w:vAlign w:val="center"/>
          </w:tcPr>
          <w:p>
            <w:pPr>
              <w:jc w:val="center"/>
              <w:rPr>
                <w:rFonts w:cs="Times New Roman"/>
                <w:b w:val="0"/>
                <w:bCs/>
              </w:rPr>
            </w:pPr>
            <w:r>
              <w:rPr>
                <w:rFonts w:cs="Times New Roman"/>
                <w:b w:val="0"/>
                <w:bCs/>
              </w:rPr>
              <w:t>生活污水</w:t>
            </w:r>
          </w:p>
        </w:tc>
        <w:tc>
          <w:tcPr>
            <w:tcW w:w="1475" w:type="dxa"/>
            <w:tcBorders>
              <w:tl2br w:val="nil"/>
              <w:tr2bl w:val="nil"/>
            </w:tcBorders>
            <w:vAlign w:val="center"/>
          </w:tcPr>
          <w:p>
            <w:pPr>
              <w:jc w:val="center"/>
              <w:rPr>
                <w:rFonts w:cs="Times New Roman"/>
                <w:b w:val="0"/>
                <w:bCs/>
              </w:rPr>
            </w:pPr>
            <w:r>
              <w:rPr>
                <w:rFonts w:cs="Times New Roman"/>
                <w:b w:val="0"/>
                <w:bCs/>
              </w:rPr>
              <w:t>COD</w:t>
            </w:r>
            <w:r>
              <w:rPr>
                <w:rFonts w:cs="Times New Roman"/>
                <w:b w:val="0"/>
                <w:bCs/>
                <w:vertAlign w:val="subscript"/>
              </w:rPr>
              <w:t>Cr</w:t>
            </w:r>
            <w:r>
              <w:rPr>
                <w:rFonts w:cs="Times New Roman"/>
                <w:b w:val="0"/>
                <w:bCs/>
              </w:rPr>
              <w:t>、BOD</w:t>
            </w:r>
            <w:r>
              <w:rPr>
                <w:rFonts w:cs="Times New Roman"/>
                <w:b w:val="0"/>
                <w:bCs/>
                <w:vertAlign w:val="subscript"/>
              </w:rPr>
              <w:t>5</w:t>
            </w:r>
            <w:r>
              <w:rPr>
                <w:rFonts w:cs="Times New Roman"/>
                <w:b w:val="0"/>
                <w:bCs/>
              </w:rPr>
              <w:t>、SS、NH</w:t>
            </w:r>
            <w:r>
              <w:rPr>
                <w:rFonts w:cs="Times New Roman"/>
                <w:b w:val="0"/>
                <w:bCs/>
                <w:vertAlign w:val="subscript"/>
              </w:rPr>
              <w:t>3</w:t>
            </w:r>
            <w:r>
              <w:rPr>
                <w:rFonts w:cs="Times New Roman"/>
                <w:b w:val="0"/>
                <w:bCs/>
              </w:rPr>
              <w:t>-N</w:t>
            </w:r>
          </w:p>
        </w:tc>
        <w:tc>
          <w:tcPr>
            <w:tcW w:w="1700" w:type="dxa"/>
            <w:tcBorders>
              <w:tl2br w:val="nil"/>
              <w:tr2bl w:val="nil"/>
            </w:tcBorders>
            <w:vAlign w:val="center"/>
          </w:tcPr>
          <w:p>
            <w:pPr>
              <w:jc w:val="center"/>
              <w:rPr>
                <w:rFonts w:cs="Times New Roman"/>
                <w:b w:val="0"/>
                <w:bCs/>
              </w:rPr>
            </w:pPr>
            <w:r>
              <w:rPr>
                <w:rFonts w:cs="Times New Roman"/>
                <w:b w:val="0"/>
                <w:bCs/>
              </w:rPr>
              <w:t>园区污水管网</w:t>
            </w:r>
          </w:p>
        </w:tc>
        <w:tc>
          <w:tcPr>
            <w:tcW w:w="2804" w:type="dxa"/>
            <w:tcBorders>
              <w:tl2br w:val="nil"/>
              <w:tr2bl w:val="nil"/>
            </w:tcBorders>
            <w:vAlign w:val="center"/>
          </w:tcPr>
          <w:p>
            <w:pPr>
              <w:jc w:val="center"/>
              <w:rPr>
                <w:rFonts w:cs="Times New Roman"/>
                <w:b w:val="0"/>
                <w:bCs/>
              </w:rPr>
            </w:pPr>
            <w:r>
              <w:rPr>
                <w:rFonts w:cs="Times New Roman"/>
                <w:b w:val="0"/>
                <w:bCs/>
              </w:rPr>
              <w:t>《污水综合排放标准》（GB8978-1996）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tcBorders>
              <w:tl2br w:val="nil"/>
              <w:tr2bl w:val="nil"/>
            </w:tcBorders>
            <w:vAlign w:val="center"/>
          </w:tcPr>
          <w:p>
            <w:pPr>
              <w:jc w:val="center"/>
              <w:rPr>
                <w:rFonts w:ascii="宋体" w:hAnsi="宋体" w:cs="宋体"/>
                <w:szCs w:val="21"/>
              </w:rPr>
            </w:pPr>
            <w:r>
              <w:rPr>
                <w:rFonts w:hint="eastAsia" w:ascii="宋体" w:hAnsi="宋体" w:cs="宋体"/>
                <w:szCs w:val="21"/>
              </w:rPr>
              <w:t>声</w:t>
            </w:r>
          </w:p>
          <w:p>
            <w:pPr>
              <w:jc w:val="center"/>
              <w:rPr>
                <w:rFonts w:ascii="宋体" w:hAnsi="宋体" w:cs="宋体"/>
                <w:szCs w:val="21"/>
              </w:rPr>
            </w:pPr>
            <w:r>
              <w:rPr>
                <w:rFonts w:hint="eastAsia" w:ascii="宋体" w:hAnsi="宋体" w:cs="宋体"/>
                <w:szCs w:val="21"/>
              </w:rPr>
              <w:t>环</w:t>
            </w:r>
          </w:p>
          <w:p>
            <w:pPr>
              <w:jc w:val="center"/>
              <w:rPr>
                <w:rFonts w:ascii="宋体" w:hAnsi="宋体" w:cs="宋体"/>
                <w:sz w:val="21"/>
                <w:szCs w:val="21"/>
              </w:rPr>
            </w:pPr>
            <w:r>
              <w:rPr>
                <w:rFonts w:hint="eastAsia" w:ascii="宋体" w:hAnsi="宋体" w:cs="宋体"/>
                <w:szCs w:val="21"/>
              </w:rPr>
              <w:t>境</w:t>
            </w:r>
          </w:p>
        </w:tc>
        <w:tc>
          <w:tcPr>
            <w:tcW w:w="1736" w:type="dxa"/>
            <w:tcBorders>
              <w:tl2br w:val="nil"/>
              <w:tr2bl w:val="nil"/>
            </w:tcBorders>
            <w:vAlign w:val="center"/>
          </w:tcPr>
          <w:p>
            <w:pPr>
              <w:jc w:val="center"/>
              <w:rPr>
                <w:rFonts w:cs="Times New Roman"/>
                <w:b w:val="0"/>
                <w:bCs/>
              </w:rPr>
            </w:pPr>
            <w:r>
              <w:rPr>
                <w:rFonts w:cs="Times New Roman"/>
                <w:b w:val="0"/>
                <w:bCs/>
              </w:rPr>
              <w:t>厂界四周</w:t>
            </w:r>
          </w:p>
        </w:tc>
        <w:tc>
          <w:tcPr>
            <w:tcW w:w="1475" w:type="dxa"/>
            <w:tcBorders>
              <w:tl2br w:val="nil"/>
              <w:tr2bl w:val="nil"/>
            </w:tcBorders>
            <w:vAlign w:val="center"/>
          </w:tcPr>
          <w:p>
            <w:pPr>
              <w:jc w:val="center"/>
              <w:rPr>
                <w:rFonts w:cs="Times New Roman"/>
                <w:b w:val="0"/>
                <w:bCs/>
              </w:rPr>
            </w:pPr>
            <w:r>
              <w:rPr>
                <w:rFonts w:cs="Times New Roman"/>
                <w:b w:val="0"/>
                <w:bCs/>
              </w:rPr>
              <w:t>等效A声级</w:t>
            </w:r>
          </w:p>
        </w:tc>
        <w:tc>
          <w:tcPr>
            <w:tcW w:w="1700" w:type="dxa"/>
            <w:tcBorders>
              <w:tl2br w:val="nil"/>
              <w:tr2bl w:val="nil"/>
            </w:tcBorders>
            <w:vAlign w:val="center"/>
          </w:tcPr>
          <w:p>
            <w:pPr>
              <w:jc w:val="center"/>
              <w:rPr>
                <w:rFonts w:cs="Times New Roman"/>
                <w:b w:val="0"/>
                <w:bCs/>
              </w:rPr>
            </w:pPr>
            <w:r>
              <w:rPr>
                <w:rFonts w:cs="Times New Roman"/>
                <w:b w:val="0"/>
                <w:bCs/>
              </w:rPr>
              <w:t>用低噪声设备、基础减震、厂房隔音</w:t>
            </w:r>
          </w:p>
        </w:tc>
        <w:tc>
          <w:tcPr>
            <w:tcW w:w="2804" w:type="dxa"/>
            <w:tcBorders>
              <w:tl2br w:val="nil"/>
              <w:tr2bl w:val="nil"/>
            </w:tcBorders>
            <w:vAlign w:val="center"/>
          </w:tcPr>
          <w:p>
            <w:pPr>
              <w:jc w:val="center"/>
              <w:rPr>
                <w:rFonts w:cs="Times New Roman"/>
                <w:b w:val="0"/>
                <w:bCs/>
              </w:rPr>
            </w:pPr>
            <w:r>
              <w:rPr>
                <w:rFonts w:cs="Times New Roman"/>
                <w:b w:val="0"/>
                <w:bCs/>
              </w:rPr>
              <w:t>《工业企业厂界环境噪声排放标准》（GB12348-2008）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jc w:val="center"/>
              <w:rPr>
                <w:rFonts w:ascii="宋体" w:hAnsi="宋体" w:cs="宋体"/>
                <w:sz w:val="21"/>
                <w:szCs w:val="21"/>
              </w:rPr>
            </w:pPr>
            <w:r>
              <w:rPr>
                <w:rFonts w:hint="eastAsia" w:ascii="宋体" w:hAnsi="宋体" w:cs="宋体"/>
                <w:szCs w:val="21"/>
              </w:rPr>
              <w:t>电磁辐射</w:t>
            </w:r>
          </w:p>
        </w:tc>
        <w:tc>
          <w:tcPr>
            <w:tcW w:w="1736" w:type="dxa"/>
            <w:vAlign w:val="center"/>
          </w:tcPr>
          <w:p>
            <w:pPr>
              <w:jc w:val="center"/>
              <w:rPr>
                <w:rFonts w:cs="Times New Roman"/>
                <w:b w:val="0"/>
                <w:bCs/>
              </w:rPr>
            </w:pPr>
            <w:r>
              <w:rPr>
                <w:rFonts w:cs="Times New Roman"/>
                <w:b w:val="0"/>
                <w:bCs/>
              </w:rPr>
              <w:t>/</w:t>
            </w:r>
          </w:p>
        </w:tc>
        <w:tc>
          <w:tcPr>
            <w:tcW w:w="1475" w:type="dxa"/>
            <w:vAlign w:val="center"/>
          </w:tcPr>
          <w:p>
            <w:pPr>
              <w:jc w:val="center"/>
              <w:rPr>
                <w:rFonts w:cs="Times New Roman"/>
                <w:b w:val="0"/>
                <w:bCs/>
              </w:rPr>
            </w:pPr>
            <w:r>
              <w:rPr>
                <w:rFonts w:cs="Times New Roman"/>
                <w:b w:val="0"/>
                <w:bCs/>
              </w:rPr>
              <w:t>/</w:t>
            </w:r>
          </w:p>
        </w:tc>
        <w:tc>
          <w:tcPr>
            <w:tcW w:w="1700" w:type="dxa"/>
            <w:vAlign w:val="center"/>
          </w:tcPr>
          <w:p>
            <w:pPr>
              <w:jc w:val="center"/>
              <w:rPr>
                <w:rFonts w:cs="Times New Roman"/>
                <w:b w:val="0"/>
                <w:bCs/>
              </w:rPr>
            </w:pPr>
            <w:r>
              <w:rPr>
                <w:rFonts w:cs="Times New Roman"/>
                <w:b w:val="0"/>
                <w:bCs/>
              </w:rPr>
              <w:t>/</w:t>
            </w:r>
          </w:p>
        </w:tc>
        <w:tc>
          <w:tcPr>
            <w:tcW w:w="2804" w:type="dxa"/>
            <w:vAlign w:val="center"/>
          </w:tcPr>
          <w:p>
            <w:pPr>
              <w:jc w:val="center"/>
              <w:rPr>
                <w:rFonts w:cs="Times New Roman"/>
                <w:b w:val="0"/>
                <w:bCs/>
              </w:rPr>
            </w:pPr>
            <w:r>
              <w:rPr>
                <w:rFonts w:cs="Times New Roman"/>
                <w:b w:val="0"/>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restart"/>
            <w:vAlign w:val="center"/>
          </w:tcPr>
          <w:p>
            <w:pPr>
              <w:jc w:val="center"/>
              <w:rPr>
                <w:rFonts w:ascii="宋体" w:hAnsi="宋体" w:cs="宋体"/>
                <w:sz w:val="21"/>
                <w:szCs w:val="21"/>
              </w:rPr>
            </w:pPr>
            <w:r>
              <w:rPr>
                <w:rFonts w:hint="eastAsia" w:ascii="宋体" w:hAnsi="宋体" w:cs="宋体"/>
                <w:szCs w:val="21"/>
              </w:rPr>
              <w:t>固体废物</w:t>
            </w:r>
          </w:p>
        </w:tc>
        <w:tc>
          <w:tcPr>
            <w:tcW w:w="1736" w:type="dxa"/>
            <w:vMerge w:val="restart"/>
            <w:vAlign w:val="center"/>
          </w:tcPr>
          <w:p>
            <w:pPr>
              <w:pStyle w:val="31"/>
              <w:rPr>
                <w:rFonts w:cs="Times New Roman"/>
                <w:bCs/>
              </w:rPr>
            </w:pPr>
            <w:r>
              <w:rPr>
                <w:rFonts w:hint="eastAsia" w:cs="Times New Roman"/>
                <w:bCs/>
              </w:rPr>
              <w:t>一般固废</w:t>
            </w:r>
          </w:p>
        </w:tc>
        <w:tc>
          <w:tcPr>
            <w:tcW w:w="1475" w:type="dxa"/>
            <w:vAlign w:val="center"/>
          </w:tcPr>
          <w:p>
            <w:pPr>
              <w:pStyle w:val="31"/>
              <w:bidi w:val="0"/>
            </w:pPr>
            <w:r>
              <w:rPr>
                <w:rFonts w:hint="eastAsia"/>
              </w:rPr>
              <w:t>废边角料</w:t>
            </w:r>
          </w:p>
        </w:tc>
        <w:tc>
          <w:tcPr>
            <w:tcW w:w="1700" w:type="dxa"/>
            <w:vAlign w:val="center"/>
          </w:tcPr>
          <w:p>
            <w:pPr>
              <w:pStyle w:val="31"/>
              <w:bidi w:val="0"/>
            </w:pPr>
            <w:r>
              <w:rPr>
                <w:rFonts w:hint="eastAsia"/>
              </w:rPr>
              <w:t>收集后外售</w:t>
            </w:r>
          </w:p>
        </w:tc>
        <w:tc>
          <w:tcPr>
            <w:tcW w:w="2804" w:type="dxa"/>
            <w:vMerge w:val="restart"/>
            <w:vAlign w:val="center"/>
          </w:tcPr>
          <w:p>
            <w:pPr>
              <w:pStyle w:val="31"/>
              <w:jc w:val="left"/>
              <w:rPr>
                <w:rFonts w:cs="Times New Roman"/>
                <w:bCs/>
              </w:rPr>
            </w:pPr>
            <w:r>
              <w:rPr>
                <w:rFonts w:hint="eastAsia" w:cs="宋体"/>
                <w:szCs w:val="21"/>
              </w:rPr>
              <w:t>《一般工业固体废物贮存和填埋污染控制标准》（GB18599-2020）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jc w:val="center"/>
              <w:rPr>
                <w:rFonts w:ascii="宋体" w:hAnsi="宋体" w:cs="宋体"/>
                <w:szCs w:val="21"/>
              </w:rPr>
            </w:pPr>
          </w:p>
        </w:tc>
        <w:tc>
          <w:tcPr>
            <w:tcW w:w="1736" w:type="dxa"/>
            <w:vMerge w:val="continue"/>
            <w:vAlign w:val="center"/>
          </w:tcPr>
          <w:p>
            <w:pPr>
              <w:pStyle w:val="31"/>
              <w:rPr>
                <w:rFonts w:cs="Times New Roman"/>
                <w:bCs/>
              </w:rPr>
            </w:pPr>
          </w:p>
        </w:tc>
        <w:tc>
          <w:tcPr>
            <w:tcW w:w="1475" w:type="dxa"/>
            <w:vAlign w:val="center"/>
          </w:tcPr>
          <w:p>
            <w:pPr>
              <w:pStyle w:val="31"/>
              <w:bidi w:val="0"/>
            </w:pPr>
            <w:r>
              <w:rPr>
                <w:rFonts w:hint="eastAsia"/>
              </w:rPr>
              <w:t>不合格品</w:t>
            </w:r>
          </w:p>
        </w:tc>
        <w:tc>
          <w:tcPr>
            <w:tcW w:w="1700" w:type="dxa"/>
            <w:vAlign w:val="center"/>
          </w:tcPr>
          <w:p>
            <w:pPr>
              <w:pStyle w:val="31"/>
              <w:bidi w:val="0"/>
            </w:pPr>
            <w:r>
              <w:rPr>
                <w:rFonts w:hint="eastAsia"/>
              </w:rPr>
              <w:t>环卫部门处置</w:t>
            </w:r>
          </w:p>
        </w:tc>
        <w:tc>
          <w:tcPr>
            <w:tcW w:w="2804" w:type="dxa"/>
            <w:vMerge w:val="continue"/>
            <w:vAlign w:val="center"/>
          </w:tcPr>
          <w:p>
            <w:pPr>
              <w:pStyle w:val="31"/>
              <w:jc w:val="left"/>
              <w:rPr>
                <w:rFonts w:cs="Times New Roman"/>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jc w:val="center"/>
              <w:rPr>
                <w:rFonts w:ascii="宋体" w:hAnsi="宋体" w:cs="宋体"/>
                <w:szCs w:val="21"/>
              </w:rPr>
            </w:pPr>
          </w:p>
        </w:tc>
        <w:tc>
          <w:tcPr>
            <w:tcW w:w="1736" w:type="dxa"/>
            <w:vMerge w:val="continue"/>
            <w:vAlign w:val="center"/>
          </w:tcPr>
          <w:p>
            <w:pPr>
              <w:pStyle w:val="31"/>
              <w:rPr>
                <w:rFonts w:cs="Times New Roman"/>
                <w:bCs/>
              </w:rPr>
            </w:pPr>
          </w:p>
        </w:tc>
        <w:tc>
          <w:tcPr>
            <w:tcW w:w="1475" w:type="dxa"/>
            <w:vAlign w:val="center"/>
          </w:tcPr>
          <w:p>
            <w:pPr>
              <w:pStyle w:val="31"/>
              <w:bidi w:val="0"/>
            </w:pPr>
            <w:r>
              <w:rPr>
                <w:rFonts w:hint="eastAsia"/>
              </w:rPr>
              <w:t>收集尘</w:t>
            </w:r>
          </w:p>
        </w:tc>
        <w:tc>
          <w:tcPr>
            <w:tcW w:w="1700" w:type="dxa"/>
            <w:vAlign w:val="center"/>
          </w:tcPr>
          <w:p>
            <w:pPr>
              <w:pStyle w:val="31"/>
              <w:bidi w:val="0"/>
            </w:pPr>
            <w:r>
              <w:rPr>
                <w:rFonts w:hint="eastAsia"/>
              </w:rPr>
              <w:t>回用</w:t>
            </w:r>
          </w:p>
        </w:tc>
        <w:tc>
          <w:tcPr>
            <w:tcW w:w="2804" w:type="dxa"/>
            <w:vMerge w:val="continue"/>
            <w:vAlign w:val="center"/>
          </w:tcPr>
          <w:p>
            <w:pPr>
              <w:pStyle w:val="31"/>
              <w:jc w:val="left"/>
              <w:rPr>
                <w:rFonts w:cs="Times New Roman"/>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jc w:val="center"/>
              <w:rPr>
                <w:rFonts w:ascii="宋体" w:hAnsi="宋体" w:cs="宋体"/>
                <w:szCs w:val="21"/>
              </w:rPr>
            </w:pPr>
          </w:p>
        </w:tc>
        <w:tc>
          <w:tcPr>
            <w:tcW w:w="1736" w:type="dxa"/>
            <w:vMerge w:val="continue"/>
            <w:vAlign w:val="center"/>
          </w:tcPr>
          <w:p>
            <w:pPr>
              <w:pStyle w:val="31"/>
              <w:rPr>
                <w:rFonts w:cs="Times New Roman"/>
                <w:bCs/>
              </w:rPr>
            </w:pPr>
          </w:p>
        </w:tc>
        <w:tc>
          <w:tcPr>
            <w:tcW w:w="1475" w:type="dxa"/>
            <w:vAlign w:val="center"/>
          </w:tcPr>
          <w:p>
            <w:pPr>
              <w:pStyle w:val="31"/>
              <w:bidi w:val="0"/>
            </w:pPr>
            <w:r>
              <w:rPr>
                <w:rFonts w:hint="eastAsia"/>
              </w:rPr>
              <w:t>废包装物</w:t>
            </w:r>
          </w:p>
        </w:tc>
        <w:tc>
          <w:tcPr>
            <w:tcW w:w="1700" w:type="dxa"/>
            <w:vAlign w:val="center"/>
          </w:tcPr>
          <w:p>
            <w:pPr>
              <w:pStyle w:val="31"/>
              <w:bidi w:val="0"/>
            </w:pPr>
            <w:r>
              <w:rPr>
                <w:rFonts w:hint="eastAsia"/>
              </w:rPr>
              <w:t>收集后外售</w:t>
            </w:r>
          </w:p>
        </w:tc>
        <w:tc>
          <w:tcPr>
            <w:tcW w:w="2804" w:type="dxa"/>
            <w:vMerge w:val="continue"/>
            <w:vAlign w:val="center"/>
          </w:tcPr>
          <w:p>
            <w:pPr>
              <w:pStyle w:val="31"/>
              <w:jc w:val="left"/>
              <w:rPr>
                <w:rFonts w:cs="Times New Roman"/>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jc w:val="center"/>
              <w:rPr>
                <w:rFonts w:ascii="宋体" w:hAnsi="宋体" w:cs="宋体"/>
                <w:szCs w:val="21"/>
              </w:rPr>
            </w:pPr>
          </w:p>
        </w:tc>
        <w:tc>
          <w:tcPr>
            <w:tcW w:w="1736" w:type="dxa"/>
            <w:vMerge w:val="continue"/>
            <w:vAlign w:val="center"/>
          </w:tcPr>
          <w:p>
            <w:pPr>
              <w:pStyle w:val="31"/>
              <w:rPr>
                <w:rFonts w:cs="Times New Roman"/>
              </w:rPr>
            </w:pPr>
          </w:p>
        </w:tc>
        <w:tc>
          <w:tcPr>
            <w:tcW w:w="1475" w:type="dxa"/>
            <w:vAlign w:val="center"/>
          </w:tcPr>
          <w:p>
            <w:pPr>
              <w:pStyle w:val="31"/>
              <w:bidi w:val="0"/>
            </w:pPr>
            <w:r>
              <w:rPr>
                <w:rFonts w:hint="eastAsia"/>
              </w:rPr>
              <w:t>废脱模剂桶</w:t>
            </w:r>
          </w:p>
        </w:tc>
        <w:tc>
          <w:tcPr>
            <w:tcW w:w="1700" w:type="dxa"/>
            <w:vAlign w:val="center"/>
          </w:tcPr>
          <w:p>
            <w:pPr>
              <w:pStyle w:val="31"/>
              <w:bidi w:val="0"/>
            </w:pPr>
            <w:r>
              <w:rPr>
                <w:rFonts w:hint="eastAsia"/>
              </w:rPr>
              <w:t>厂家回收</w:t>
            </w:r>
          </w:p>
        </w:tc>
        <w:tc>
          <w:tcPr>
            <w:tcW w:w="2804" w:type="dxa"/>
            <w:vMerge w:val="continue"/>
            <w:vAlign w:val="center"/>
          </w:tcPr>
          <w:p>
            <w:pPr>
              <w:pStyle w:val="31"/>
              <w:jc w:val="left"/>
              <w:rPr>
                <w:rFonts w:cs="Times New Roman"/>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jc w:val="center"/>
              <w:rPr>
                <w:rFonts w:ascii="宋体" w:hAnsi="宋体" w:cs="宋体"/>
                <w:szCs w:val="21"/>
              </w:rPr>
            </w:pPr>
          </w:p>
        </w:tc>
        <w:tc>
          <w:tcPr>
            <w:tcW w:w="1736" w:type="dxa"/>
            <w:vMerge w:val="continue"/>
            <w:vAlign w:val="center"/>
          </w:tcPr>
          <w:p>
            <w:pPr>
              <w:pStyle w:val="31"/>
              <w:jc w:val="left"/>
              <w:rPr>
                <w:rFonts w:cs="Times New Roman"/>
                <w:bCs/>
              </w:rPr>
            </w:pPr>
          </w:p>
        </w:tc>
        <w:tc>
          <w:tcPr>
            <w:tcW w:w="1475" w:type="dxa"/>
            <w:vAlign w:val="center"/>
          </w:tcPr>
          <w:p>
            <w:pPr>
              <w:pStyle w:val="31"/>
              <w:bidi w:val="0"/>
            </w:pPr>
            <w:r>
              <w:rPr>
                <w:rFonts w:hint="eastAsia"/>
              </w:rPr>
              <w:t>含油沾染物</w:t>
            </w:r>
          </w:p>
        </w:tc>
        <w:tc>
          <w:tcPr>
            <w:tcW w:w="1700" w:type="dxa"/>
            <w:vMerge w:val="restart"/>
            <w:vAlign w:val="center"/>
          </w:tcPr>
          <w:p>
            <w:pPr>
              <w:pStyle w:val="31"/>
              <w:bidi w:val="0"/>
            </w:pPr>
            <w:r>
              <w:rPr>
                <w:rFonts w:hint="eastAsia"/>
              </w:rPr>
              <w:t>环卫部门处置</w:t>
            </w:r>
          </w:p>
        </w:tc>
        <w:tc>
          <w:tcPr>
            <w:tcW w:w="2804" w:type="dxa"/>
            <w:vMerge w:val="continue"/>
            <w:vAlign w:val="center"/>
          </w:tcPr>
          <w:p>
            <w:pPr>
              <w:pStyle w:val="3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jc w:val="center"/>
              <w:rPr>
                <w:rFonts w:ascii="宋体" w:hAnsi="宋体" w:cs="宋体"/>
                <w:szCs w:val="21"/>
              </w:rPr>
            </w:pPr>
          </w:p>
        </w:tc>
        <w:tc>
          <w:tcPr>
            <w:tcW w:w="1736" w:type="dxa"/>
            <w:vMerge w:val="continue"/>
            <w:vAlign w:val="center"/>
          </w:tcPr>
          <w:p>
            <w:pPr>
              <w:pStyle w:val="31"/>
              <w:jc w:val="left"/>
              <w:rPr>
                <w:rFonts w:cs="Times New Roman"/>
                <w:bCs/>
              </w:rPr>
            </w:pPr>
          </w:p>
        </w:tc>
        <w:tc>
          <w:tcPr>
            <w:tcW w:w="1475" w:type="dxa"/>
            <w:vAlign w:val="center"/>
          </w:tcPr>
          <w:p>
            <w:pPr>
              <w:pStyle w:val="31"/>
              <w:bidi w:val="0"/>
            </w:pPr>
            <w:r>
              <w:rPr>
                <w:rFonts w:hint="eastAsia"/>
              </w:rPr>
              <w:t>生活垃圾</w:t>
            </w:r>
          </w:p>
        </w:tc>
        <w:tc>
          <w:tcPr>
            <w:tcW w:w="1700" w:type="dxa"/>
            <w:vMerge w:val="continue"/>
            <w:vAlign w:val="center"/>
          </w:tcPr>
          <w:p>
            <w:pPr>
              <w:pStyle w:val="31"/>
              <w:bidi w:val="0"/>
            </w:pPr>
          </w:p>
        </w:tc>
        <w:tc>
          <w:tcPr>
            <w:tcW w:w="2804" w:type="dxa"/>
            <w:vMerge w:val="continue"/>
            <w:vAlign w:val="center"/>
          </w:tcPr>
          <w:p>
            <w:pPr>
              <w:pStyle w:val="3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jc w:val="center"/>
              <w:rPr>
                <w:rFonts w:ascii="宋体" w:hAnsi="宋体" w:cs="宋体"/>
                <w:szCs w:val="21"/>
              </w:rPr>
            </w:pPr>
          </w:p>
        </w:tc>
        <w:tc>
          <w:tcPr>
            <w:tcW w:w="1736" w:type="dxa"/>
            <w:vMerge w:val="restart"/>
            <w:vAlign w:val="center"/>
          </w:tcPr>
          <w:p>
            <w:pPr>
              <w:pStyle w:val="31"/>
              <w:rPr>
                <w:rFonts w:cs="Times New Roman"/>
              </w:rPr>
            </w:pPr>
            <w:r>
              <w:rPr>
                <w:rFonts w:hint="eastAsia" w:cs="Times New Roman"/>
              </w:rPr>
              <w:t>危险废物</w:t>
            </w:r>
          </w:p>
        </w:tc>
        <w:tc>
          <w:tcPr>
            <w:tcW w:w="1475" w:type="dxa"/>
            <w:vAlign w:val="center"/>
          </w:tcPr>
          <w:p>
            <w:pPr>
              <w:pStyle w:val="31"/>
              <w:bidi w:val="0"/>
            </w:pPr>
            <w:r>
              <w:rPr>
                <w:rFonts w:hint="eastAsia"/>
              </w:rPr>
              <w:t>废乳液桶</w:t>
            </w:r>
          </w:p>
        </w:tc>
        <w:tc>
          <w:tcPr>
            <w:tcW w:w="1700" w:type="dxa"/>
            <w:vMerge w:val="restart"/>
            <w:vAlign w:val="center"/>
          </w:tcPr>
          <w:p>
            <w:pPr>
              <w:pStyle w:val="31"/>
              <w:bidi w:val="0"/>
              <w:jc w:val="left"/>
            </w:pPr>
            <w:r>
              <w:rPr>
                <w:rFonts w:hint="eastAsia"/>
              </w:rPr>
              <w:t>暂存于危废暂存间交由有资质的单位清运处理</w:t>
            </w:r>
          </w:p>
        </w:tc>
        <w:tc>
          <w:tcPr>
            <w:tcW w:w="2804" w:type="dxa"/>
            <w:vMerge w:val="restart"/>
            <w:vAlign w:val="center"/>
          </w:tcPr>
          <w:p>
            <w:pPr>
              <w:pStyle w:val="31"/>
            </w:pPr>
            <w:r>
              <w:rPr>
                <w:rFonts w:hint="eastAsia"/>
              </w:rPr>
              <w:t>《</w:t>
            </w:r>
            <w:r>
              <w:t>危险废物贮存污染控制标准</w:t>
            </w:r>
            <w:r>
              <w:rPr>
                <w:rFonts w:hint="eastAsia"/>
              </w:rPr>
              <w:t>》（GB18597-2001）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jc w:val="center"/>
              <w:rPr>
                <w:rFonts w:ascii="宋体" w:hAnsi="宋体" w:cs="宋体"/>
                <w:szCs w:val="21"/>
              </w:rPr>
            </w:pPr>
          </w:p>
        </w:tc>
        <w:tc>
          <w:tcPr>
            <w:tcW w:w="1736" w:type="dxa"/>
            <w:vMerge w:val="continue"/>
            <w:vAlign w:val="center"/>
          </w:tcPr>
          <w:p>
            <w:pPr>
              <w:pStyle w:val="31"/>
              <w:rPr>
                <w:rFonts w:cs="Times New Roman"/>
              </w:rPr>
            </w:pPr>
          </w:p>
        </w:tc>
        <w:tc>
          <w:tcPr>
            <w:tcW w:w="1475" w:type="dxa"/>
            <w:vAlign w:val="center"/>
          </w:tcPr>
          <w:p>
            <w:pPr>
              <w:pStyle w:val="31"/>
              <w:bidi w:val="0"/>
            </w:pPr>
            <w:r>
              <w:rPr>
                <w:rFonts w:hint="eastAsia"/>
              </w:rPr>
              <w:t>废活性炭</w:t>
            </w:r>
          </w:p>
        </w:tc>
        <w:tc>
          <w:tcPr>
            <w:tcW w:w="1700" w:type="dxa"/>
            <w:vMerge w:val="continue"/>
            <w:vAlign w:val="center"/>
          </w:tcPr>
          <w:p>
            <w:pPr>
              <w:pStyle w:val="31"/>
              <w:bidi w:val="0"/>
              <w:jc w:val="left"/>
            </w:pPr>
          </w:p>
        </w:tc>
        <w:tc>
          <w:tcPr>
            <w:tcW w:w="2804" w:type="dxa"/>
            <w:vMerge w:val="continue"/>
            <w:vAlign w:val="center"/>
          </w:tcPr>
          <w:p>
            <w:pPr>
              <w:pStyle w:val="3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jc w:val="center"/>
              <w:rPr>
                <w:rFonts w:ascii="宋体" w:hAnsi="宋体" w:cs="宋体"/>
                <w:szCs w:val="21"/>
              </w:rPr>
            </w:pPr>
          </w:p>
        </w:tc>
        <w:tc>
          <w:tcPr>
            <w:tcW w:w="1736" w:type="dxa"/>
            <w:vMerge w:val="continue"/>
            <w:vAlign w:val="center"/>
          </w:tcPr>
          <w:p>
            <w:pPr>
              <w:pStyle w:val="31"/>
              <w:rPr>
                <w:rFonts w:cs="Times New Roman"/>
              </w:rPr>
            </w:pPr>
          </w:p>
        </w:tc>
        <w:tc>
          <w:tcPr>
            <w:tcW w:w="1475" w:type="dxa"/>
            <w:vAlign w:val="center"/>
          </w:tcPr>
          <w:p>
            <w:pPr>
              <w:pStyle w:val="31"/>
              <w:bidi w:val="0"/>
            </w:pPr>
            <w:r>
              <w:rPr>
                <w:rFonts w:hint="eastAsia"/>
              </w:rPr>
              <w:t>废UV灯管</w:t>
            </w:r>
          </w:p>
        </w:tc>
        <w:tc>
          <w:tcPr>
            <w:tcW w:w="1700" w:type="dxa"/>
            <w:vMerge w:val="continue"/>
            <w:vAlign w:val="center"/>
          </w:tcPr>
          <w:p>
            <w:pPr>
              <w:pStyle w:val="31"/>
              <w:jc w:val="left"/>
              <w:rPr>
                <w:rFonts w:cs="Times New Roman"/>
              </w:rPr>
            </w:pPr>
          </w:p>
        </w:tc>
        <w:tc>
          <w:tcPr>
            <w:tcW w:w="2804" w:type="dxa"/>
            <w:vMerge w:val="continue"/>
            <w:vAlign w:val="center"/>
          </w:tcPr>
          <w:p>
            <w:pPr>
              <w:pStyle w:val="3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jc w:val="center"/>
              <w:rPr>
                <w:rFonts w:ascii="宋体" w:hAnsi="宋体" w:cs="宋体"/>
                <w:szCs w:val="21"/>
              </w:rPr>
            </w:pPr>
          </w:p>
        </w:tc>
        <w:tc>
          <w:tcPr>
            <w:tcW w:w="1736" w:type="dxa"/>
            <w:vMerge w:val="continue"/>
            <w:vAlign w:val="center"/>
          </w:tcPr>
          <w:p>
            <w:pPr>
              <w:pStyle w:val="31"/>
              <w:rPr>
                <w:rFonts w:cs="Times New Roman"/>
              </w:rPr>
            </w:pPr>
          </w:p>
        </w:tc>
        <w:tc>
          <w:tcPr>
            <w:tcW w:w="1475" w:type="dxa"/>
            <w:vAlign w:val="center"/>
          </w:tcPr>
          <w:p>
            <w:pPr>
              <w:pStyle w:val="31"/>
              <w:bidi w:val="0"/>
            </w:pPr>
            <w:r>
              <w:rPr>
                <w:rFonts w:hint="eastAsia"/>
              </w:rPr>
              <w:t>废机油</w:t>
            </w:r>
          </w:p>
        </w:tc>
        <w:tc>
          <w:tcPr>
            <w:tcW w:w="1700" w:type="dxa"/>
            <w:vMerge w:val="continue"/>
            <w:vAlign w:val="center"/>
          </w:tcPr>
          <w:p>
            <w:pPr>
              <w:pStyle w:val="31"/>
              <w:jc w:val="left"/>
              <w:rPr>
                <w:rFonts w:cs="Times New Roman"/>
                <w:bCs/>
              </w:rPr>
            </w:pPr>
          </w:p>
        </w:tc>
        <w:tc>
          <w:tcPr>
            <w:tcW w:w="2804" w:type="dxa"/>
            <w:vMerge w:val="continue"/>
            <w:vAlign w:val="center"/>
          </w:tcPr>
          <w:p>
            <w:pPr>
              <w:pStyle w:val="3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jc w:val="center"/>
              <w:rPr>
                <w:rFonts w:ascii="宋体" w:hAnsi="宋体" w:cs="宋体"/>
                <w:sz w:val="21"/>
                <w:szCs w:val="21"/>
              </w:rPr>
            </w:pPr>
            <w:r>
              <w:rPr>
                <w:rFonts w:hint="eastAsia" w:ascii="宋体" w:hAnsi="宋体" w:cs="宋体"/>
                <w:szCs w:val="21"/>
              </w:rPr>
              <w:t>土壤及地下水污染防治措施</w:t>
            </w:r>
          </w:p>
        </w:tc>
        <w:tc>
          <w:tcPr>
            <w:tcW w:w="7715" w:type="dxa"/>
            <w:gridSpan w:val="4"/>
            <w:vAlign w:val="center"/>
          </w:tcPr>
          <w:p>
            <w:pPr>
              <w:pStyle w:val="20"/>
              <w:ind w:firstLine="480"/>
              <w:jc w:val="both"/>
            </w:pPr>
            <w:r>
              <w:t>项目厂区地面均已硬化处理，不存在土壤</w:t>
            </w:r>
            <w:r>
              <w:rPr>
                <w:rFonts w:hint="eastAsia"/>
              </w:rPr>
              <w:t>及地下水</w:t>
            </w:r>
            <w:r>
              <w:t>污染途径，且厂界周边无土壤</w:t>
            </w:r>
            <w:r>
              <w:rPr>
                <w:rFonts w:hint="eastAsia"/>
              </w:rPr>
              <w:t>及地下水</w:t>
            </w:r>
            <w:r>
              <w:t>敏感目</w:t>
            </w:r>
            <w:r>
              <w:rPr>
                <w:rFonts w:hint="eastAsia"/>
              </w:rPr>
              <w:t>标</w:t>
            </w:r>
            <w: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jc w:val="center"/>
              <w:rPr>
                <w:rFonts w:ascii="宋体" w:hAnsi="宋体" w:cs="宋体"/>
                <w:sz w:val="21"/>
                <w:szCs w:val="21"/>
              </w:rPr>
            </w:pPr>
            <w:r>
              <w:rPr>
                <w:rFonts w:hint="eastAsia" w:ascii="宋体" w:hAnsi="宋体" w:cs="宋体"/>
                <w:szCs w:val="21"/>
              </w:rPr>
              <w:t>生态保护措施</w:t>
            </w:r>
          </w:p>
        </w:tc>
        <w:tc>
          <w:tcPr>
            <w:tcW w:w="7715" w:type="dxa"/>
            <w:gridSpan w:val="4"/>
            <w:vAlign w:val="center"/>
          </w:tcPr>
          <w:p>
            <w:pPr>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jc w:val="center"/>
              <w:rPr>
                <w:rFonts w:ascii="宋体" w:hAnsi="宋体" w:cs="宋体"/>
                <w:spacing w:val="-8"/>
                <w:szCs w:val="21"/>
              </w:rPr>
            </w:pPr>
            <w:r>
              <w:rPr>
                <w:rFonts w:hint="eastAsia" w:ascii="宋体" w:hAnsi="宋体" w:cs="宋体"/>
                <w:spacing w:val="-8"/>
                <w:szCs w:val="21"/>
              </w:rPr>
              <w:t>环境风险</w:t>
            </w:r>
          </w:p>
          <w:p>
            <w:pPr>
              <w:jc w:val="center"/>
              <w:rPr>
                <w:rFonts w:ascii="宋体" w:hAnsi="宋体" w:cs="宋体"/>
                <w:spacing w:val="-8"/>
                <w:sz w:val="21"/>
                <w:szCs w:val="21"/>
              </w:rPr>
            </w:pPr>
            <w:r>
              <w:rPr>
                <w:rFonts w:hint="eastAsia" w:ascii="宋体" w:hAnsi="宋体" w:cs="宋体"/>
                <w:spacing w:val="-8"/>
                <w:szCs w:val="21"/>
              </w:rPr>
              <w:t>防范措施</w:t>
            </w:r>
          </w:p>
        </w:tc>
        <w:tc>
          <w:tcPr>
            <w:tcW w:w="7715" w:type="dxa"/>
            <w:gridSpan w:val="4"/>
            <w:vAlign w:val="center"/>
          </w:tcPr>
          <w:p>
            <w:pPr>
              <w:pStyle w:val="20"/>
              <w:numPr>
                <w:ilvl w:val="0"/>
                <w:numId w:val="29"/>
              </w:numPr>
              <w:ind w:firstLine="480"/>
              <w:jc w:val="both"/>
              <w:rPr>
                <w:rFonts w:cs="Times New Roman"/>
              </w:rPr>
            </w:pPr>
            <w:r>
              <w:rPr>
                <w:rFonts w:cs="Times New Roman"/>
              </w:rPr>
              <w:t>项目区设置消防设备，发生火灾事故时，消防水能够及时投入使用；</w:t>
            </w:r>
          </w:p>
          <w:p>
            <w:pPr>
              <w:pStyle w:val="20"/>
              <w:numPr>
                <w:ilvl w:val="0"/>
                <w:numId w:val="29"/>
              </w:numPr>
              <w:ind w:firstLine="480"/>
              <w:jc w:val="both"/>
              <w:rPr>
                <w:rFonts w:cs="Times New Roman"/>
              </w:rPr>
            </w:pPr>
            <w:r>
              <w:rPr>
                <w:rFonts w:cs="Times New Roman"/>
              </w:rPr>
              <w:t>车间配备完善的消防系统，设有手提式干粉灭火器、泡沫灭火器、消防栓等消防设备；</w:t>
            </w:r>
          </w:p>
          <w:p>
            <w:pPr>
              <w:pStyle w:val="20"/>
              <w:numPr>
                <w:ilvl w:val="0"/>
                <w:numId w:val="29"/>
              </w:numPr>
              <w:ind w:firstLine="480"/>
              <w:jc w:val="both"/>
              <w:rPr>
                <w:rFonts w:cs="Times New Roman"/>
              </w:rPr>
            </w:pPr>
            <w:r>
              <w:rPr>
                <w:rFonts w:cs="Times New Roman"/>
              </w:rPr>
              <w:t>发生火灾时除应急人员外，其他人员立即疏散至上风处，并立即隔离150m，应急人员戴防毒面具，穿消防防护服，尽快切断火源、转移可燃、助燃物质，进行灭火处理，减少火灾对周边环境和人员的影响；</w:t>
            </w:r>
          </w:p>
          <w:p>
            <w:pPr>
              <w:pStyle w:val="20"/>
              <w:numPr>
                <w:ilvl w:val="0"/>
                <w:numId w:val="29"/>
              </w:numPr>
              <w:ind w:left="0" w:leftChars="0" w:firstLine="480" w:firstLineChars="200"/>
              <w:jc w:val="both"/>
              <w:rPr>
                <w:rFonts w:ascii="宋体" w:hAnsi="宋体" w:cs="宋体"/>
              </w:rPr>
            </w:pPr>
            <w:r>
              <w:rPr>
                <w:rFonts w:cs="Times New Roman"/>
              </w:rPr>
              <w:t>严格执行国家、行业有关安全生产的法规和标准规范进行设计和建设，经营过程应注意防火、防静电。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78" w:hRule="atLeast"/>
        </w:trPr>
        <w:tc>
          <w:tcPr>
            <w:tcW w:w="818" w:type="dxa"/>
            <w:vAlign w:val="center"/>
          </w:tcPr>
          <w:p>
            <w:pPr>
              <w:jc w:val="center"/>
              <w:rPr>
                <w:rFonts w:ascii="宋体" w:hAnsi="宋体" w:cs="宋体"/>
                <w:spacing w:val="-8"/>
                <w:szCs w:val="21"/>
              </w:rPr>
            </w:pPr>
            <w:r>
              <w:rPr>
                <w:rFonts w:hint="eastAsia" w:ascii="宋体" w:hAnsi="宋体" w:cs="宋体"/>
                <w:spacing w:val="-8"/>
                <w:szCs w:val="21"/>
              </w:rPr>
              <w:t>其他环境</w:t>
            </w:r>
          </w:p>
          <w:p>
            <w:pPr>
              <w:jc w:val="center"/>
              <w:rPr>
                <w:rFonts w:ascii="宋体" w:hAnsi="宋体" w:cs="宋体"/>
                <w:spacing w:val="-8"/>
                <w:sz w:val="21"/>
                <w:szCs w:val="21"/>
              </w:rPr>
            </w:pPr>
            <w:r>
              <w:rPr>
                <w:rFonts w:hint="eastAsia" w:ascii="宋体" w:hAnsi="宋体" w:cs="宋体"/>
                <w:spacing w:val="-8"/>
                <w:szCs w:val="21"/>
              </w:rPr>
              <w:t>管理要求</w:t>
            </w:r>
          </w:p>
        </w:tc>
        <w:tc>
          <w:tcPr>
            <w:tcW w:w="7715" w:type="dxa"/>
            <w:gridSpan w:val="4"/>
            <w:vAlign w:val="center"/>
          </w:tcPr>
          <w:p>
            <w:pPr>
              <w:jc w:val="center"/>
            </w:pPr>
            <w:r>
              <w:rPr>
                <w:rFonts w:hint="eastAsia"/>
              </w:rPr>
              <w:t>/</w:t>
            </w:r>
          </w:p>
        </w:tc>
      </w:tr>
    </w:tbl>
    <w:p>
      <w:pPr>
        <w:jc w:val="both"/>
        <w:sectPr>
          <w:pgSz w:w="11906" w:h="16838"/>
          <w:pgMar w:top="1440" w:right="1800" w:bottom="1440" w:left="1800" w:header="851" w:footer="992" w:gutter="0"/>
          <w:cols w:space="425" w:num="1"/>
          <w:docGrid w:type="lines" w:linePitch="312" w:charSpace="0"/>
        </w:sectPr>
      </w:pPr>
    </w:p>
    <w:p>
      <w:pPr>
        <w:pStyle w:val="4"/>
        <w:numPr>
          <w:ilvl w:val="0"/>
          <w:numId w:val="1"/>
        </w:numPr>
      </w:pPr>
      <w:r>
        <w:rPr>
          <w:rFonts w:hint="eastAsia"/>
        </w:rPr>
        <w:t>结论</w:t>
      </w:r>
    </w:p>
    <w:tbl>
      <w:tblPr>
        <w:tblStyle w:val="25"/>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tcPr>
          <w:p>
            <w:pPr>
              <w:pStyle w:val="20"/>
              <w:ind w:firstLine="480"/>
              <w:jc w:val="both"/>
            </w:pPr>
            <w:r>
              <w:rPr>
                <w:rFonts w:hint="eastAsia"/>
              </w:rPr>
              <w:t>昌吉市建晟昊装饰材料有限公司位于昌吉回族自治州昌吉市高新区建材园区N-10号，符合国家产业政策，其厂址选择基本可行、厂区布局合理。采用的生产工艺和设备较为先进，污染防治措施技术可行，废水、废气、噪声达标排放，固废妥善处置。项目投产后具有良好的经济效益和一定的社会效益。在工程建设中，严格执行建设项目</w:t>
            </w:r>
            <w:r>
              <w:t>“</w:t>
            </w:r>
            <w:r>
              <w:rPr>
                <w:rFonts w:hint="eastAsia"/>
              </w:rPr>
              <w:t>三同时</w:t>
            </w:r>
            <w:r>
              <w:t>”</w:t>
            </w:r>
            <w:r>
              <w:rPr>
                <w:rFonts w:hint="eastAsia"/>
              </w:rPr>
              <w:t>制度，使各项环保治理措施得以落实，在工程运行过程中加强生产安全管理，从环境保护角度论证，本项目的建设是可行的。</w:t>
            </w:r>
          </w:p>
          <w:p>
            <w:pPr>
              <w:jc w:val="both"/>
            </w:pPr>
          </w:p>
          <w:p>
            <w:pPr>
              <w:pStyle w:val="9"/>
              <w:ind w:left="482"/>
              <w:jc w:val="both"/>
            </w:pPr>
          </w:p>
          <w:p>
            <w:pPr>
              <w:pStyle w:val="13"/>
              <w:jc w:val="both"/>
            </w:pPr>
          </w:p>
          <w:p>
            <w:pPr>
              <w:pStyle w:val="14"/>
              <w:jc w:val="both"/>
            </w:pPr>
          </w:p>
          <w:p>
            <w:pPr>
              <w:pStyle w:val="14"/>
              <w:jc w:val="both"/>
            </w:pPr>
          </w:p>
          <w:p>
            <w:pPr>
              <w:pStyle w:val="14"/>
              <w:jc w:val="both"/>
            </w:pPr>
          </w:p>
          <w:p>
            <w:pPr>
              <w:pStyle w:val="14"/>
              <w:jc w:val="both"/>
            </w:pPr>
          </w:p>
          <w:p>
            <w:pPr>
              <w:pStyle w:val="14"/>
              <w:jc w:val="both"/>
            </w:pPr>
          </w:p>
          <w:p>
            <w:pPr>
              <w:pStyle w:val="14"/>
              <w:jc w:val="both"/>
            </w:pPr>
          </w:p>
          <w:p>
            <w:pPr>
              <w:pStyle w:val="14"/>
              <w:jc w:val="both"/>
            </w:pPr>
          </w:p>
          <w:p>
            <w:pPr>
              <w:pStyle w:val="14"/>
              <w:jc w:val="both"/>
            </w:pPr>
          </w:p>
          <w:p>
            <w:pPr>
              <w:pStyle w:val="14"/>
              <w:jc w:val="both"/>
            </w:pPr>
          </w:p>
          <w:p>
            <w:pPr>
              <w:pStyle w:val="14"/>
              <w:jc w:val="both"/>
            </w:pPr>
          </w:p>
          <w:p>
            <w:pPr>
              <w:pStyle w:val="14"/>
              <w:jc w:val="both"/>
            </w:pPr>
          </w:p>
          <w:p>
            <w:pPr>
              <w:pStyle w:val="14"/>
              <w:jc w:val="both"/>
            </w:pPr>
          </w:p>
        </w:tc>
      </w:tr>
    </w:tbl>
    <w:p>
      <w:pPr>
        <w:jc w:val="both"/>
        <w:sectPr>
          <w:pgSz w:w="11906" w:h="16838"/>
          <w:pgMar w:top="1440" w:right="1800" w:bottom="1440" w:left="1800" w:header="851" w:footer="992" w:gutter="0"/>
          <w:cols w:space="425" w:num="1"/>
          <w:docGrid w:type="lines" w:linePitch="312" w:charSpace="0"/>
        </w:sectPr>
      </w:pPr>
    </w:p>
    <w:p>
      <w:pPr>
        <w:rPr>
          <w:rFonts w:eastAsia="黑体" w:cs="Times New Roman"/>
          <w:sz w:val="38"/>
          <w:szCs w:val="38"/>
        </w:rPr>
      </w:pPr>
      <w:r>
        <w:rPr>
          <w:rFonts w:eastAsia="黑体" w:cs="Times New Roman"/>
          <w:sz w:val="38"/>
          <w:szCs w:val="38"/>
        </w:rPr>
        <w:t>附表</w:t>
      </w:r>
    </w:p>
    <w:p>
      <w:pPr>
        <w:jc w:val="center"/>
        <w:rPr>
          <w:rFonts w:eastAsia="黑体" w:cs="Times New Roman"/>
          <w:sz w:val="38"/>
          <w:szCs w:val="38"/>
        </w:rPr>
      </w:pPr>
      <w:r>
        <w:rPr>
          <w:rFonts w:eastAsia="黑体" w:cs="Times New Roman"/>
          <w:sz w:val="38"/>
          <w:szCs w:val="38"/>
        </w:rPr>
        <w:t>建设项目污染物排放量汇总表</w:t>
      </w:r>
    </w:p>
    <w:tbl>
      <w:tblPr>
        <w:tblStyle w:val="24"/>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298"/>
        <w:gridCol w:w="1981"/>
        <w:gridCol w:w="1276"/>
        <w:gridCol w:w="1833"/>
        <w:gridCol w:w="1710"/>
        <w:gridCol w:w="1600"/>
        <w:gridCol w:w="1981"/>
        <w:gridCol w:w="1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tcBorders>
              <w:tl2br w:val="single" w:color="auto" w:sz="4" w:space="0"/>
            </w:tcBorders>
            <w:tcMar>
              <w:left w:w="28" w:type="dxa"/>
              <w:right w:w="28" w:type="dxa"/>
            </w:tcMar>
            <w:vAlign w:val="center"/>
          </w:tcPr>
          <w:p>
            <w:pPr>
              <w:pStyle w:val="41"/>
              <w:spacing w:beforeLines="0" w:afterLines="0" w:line="240" w:lineRule="auto"/>
              <w:rPr>
                <w:rFonts w:ascii="Times New Roman" w:eastAsia="黑体" w:cs="Times New Roman"/>
                <w:snapToGrid w:val="0"/>
                <w:spacing w:val="-6"/>
                <w:kern w:val="21"/>
                <w:sz w:val="21"/>
                <w:szCs w:val="21"/>
              </w:rPr>
            </w:pPr>
            <w:r>
              <w:rPr>
                <w:rFonts w:hint="eastAsia" w:ascii="Times New Roman" w:eastAsia="黑体" w:cs="Times New Roman"/>
                <w:snapToGrid w:val="0"/>
                <w:spacing w:val="-6"/>
                <w:kern w:val="21"/>
                <w:sz w:val="21"/>
                <w:szCs w:val="21"/>
              </w:rPr>
              <w:t xml:space="preserve">    </w:t>
            </w:r>
            <w:r>
              <w:rPr>
                <w:rFonts w:ascii="Times New Roman" w:eastAsia="黑体" w:cs="Times New Roman"/>
                <w:snapToGrid w:val="0"/>
                <w:spacing w:val="-6"/>
                <w:kern w:val="21"/>
                <w:sz w:val="21"/>
                <w:szCs w:val="21"/>
              </w:rPr>
              <w:t>项目</w:t>
            </w:r>
          </w:p>
          <w:p>
            <w:pPr>
              <w:pStyle w:val="41"/>
              <w:spacing w:beforeLines="0" w:afterLines="0" w:line="240" w:lineRule="auto"/>
              <w:jc w:val="both"/>
              <w:rPr>
                <w:rFonts w:ascii="Times New Roman" w:eastAsia="黑体" w:cs="Times New Roman"/>
                <w:snapToGrid w:val="0"/>
                <w:spacing w:val="-6"/>
                <w:kern w:val="21"/>
                <w:sz w:val="21"/>
                <w:szCs w:val="21"/>
              </w:rPr>
            </w:pPr>
            <w:r>
              <w:rPr>
                <w:rFonts w:ascii="Times New Roman" w:eastAsia="黑体" w:cs="Times New Roman"/>
                <w:snapToGrid w:val="0"/>
                <w:spacing w:val="-6"/>
                <w:kern w:val="21"/>
                <w:sz w:val="21"/>
                <w:szCs w:val="21"/>
              </w:rPr>
              <w:t>分类</w:t>
            </w:r>
          </w:p>
        </w:tc>
        <w:tc>
          <w:tcPr>
            <w:tcW w:w="463" w:type="pct"/>
            <w:tcMar>
              <w:left w:w="28" w:type="dxa"/>
              <w:right w:w="28" w:type="dxa"/>
            </w:tcMar>
            <w:vAlign w:val="center"/>
          </w:tcPr>
          <w:p>
            <w:pPr>
              <w:pStyle w:val="41"/>
              <w:spacing w:beforeLines="0" w:afterLines="0" w:line="240" w:lineRule="auto"/>
              <w:rPr>
                <w:rFonts w:ascii="Times New Roman" w:eastAsia="黑体" w:cs="Times New Roman"/>
                <w:snapToGrid w:val="0"/>
                <w:spacing w:val="-6"/>
                <w:kern w:val="21"/>
                <w:sz w:val="21"/>
                <w:szCs w:val="21"/>
              </w:rPr>
            </w:pPr>
            <w:r>
              <w:rPr>
                <w:rFonts w:ascii="Times New Roman" w:eastAsia="黑体" w:cs="Times New Roman"/>
                <w:snapToGrid w:val="0"/>
                <w:spacing w:val="-6"/>
                <w:kern w:val="21"/>
                <w:sz w:val="21"/>
                <w:szCs w:val="21"/>
              </w:rPr>
              <w:t>污染物名称</w:t>
            </w:r>
          </w:p>
        </w:tc>
        <w:tc>
          <w:tcPr>
            <w:tcW w:w="707" w:type="pct"/>
            <w:tcMar>
              <w:left w:w="28" w:type="dxa"/>
              <w:right w:w="28" w:type="dxa"/>
            </w:tcMar>
            <w:vAlign w:val="center"/>
          </w:tcPr>
          <w:p>
            <w:pPr>
              <w:pStyle w:val="41"/>
              <w:spacing w:beforeLines="0" w:afterLines="0" w:line="240" w:lineRule="auto"/>
              <w:rPr>
                <w:rFonts w:ascii="Times New Roman" w:eastAsia="黑体" w:cs="Times New Roman"/>
                <w:snapToGrid w:val="0"/>
                <w:spacing w:val="-6"/>
                <w:kern w:val="21"/>
                <w:sz w:val="21"/>
                <w:szCs w:val="21"/>
              </w:rPr>
            </w:pPr>
            <w:r>
              <w:rPr>
                <w:rFonts w:ascii="Times New Roman" w:eastAsia="黑体" w:cs="Times New Roman"/>
                <w:snapToGrid w:val="0"/>
                <w:spacing w:val="-6"/>
                <w:kern w:val="21"/>
                <w:sz w:val="21"/>
                <w:szCs w:val="21"/>
              </w:rPr>
              <w:t>现有工程排放量</w:t>
            </w:r>
          </w:p>
          <w:p>
            <w:pPr>
              <w:pStyle w:val="41"/>
              <w:spacing w:beforeLines="0" w:afterLines="0" w:line="240" w:lineRule="auto"/>
              <w:rPr>
                <w:rFonts w:ascii="Times New Roman" w:eastAsia="黑体" w:cs="Times New Roman"/>
                <w:snapToGrid w:val="0"/>
                <w:spacing w:val="-6"/>
                <w:kern w:val="21"/>
                <w:sz w:val="21"/>
                <w:szCs w:val="21"/>
              </w:rPr>
            </w:pPr>
            <w:r>
              <w:rPr>
                <w:rFonts w:ascii="Times New Roman" w:eastAsia="黑体" w:cs="Times New Roman"/>
                <w:snapToGrid w:val="0"/>
                <w:spacing w:val="-6"/>
                <w:kern w:val="21"/>
                <w:sz w:val="21"/>
                <w:szCs w:val="21"/>
              </w:rPr>
              <w:t>（固体废物产生量）</w:t>
            </w:r>
            <w:r>
              <w:rPr>
                <w:rFonts w:ascii="Times New Roman" w:eastAsia="黑体" w:cs="Times New Roman"/>
                <w:snapToGrid w:val="0"/>
                <w:spacing w:val="-6"/>
                <w:kern w:val="21"/>
                <w:sz w:val="21"/>
                <w:szCs w:val="21"/>
              </w:rPr>
              <w:fldChar w:fldCharType="begin"/>
            </w:r>
            <w:r>
              <w:rPr>
                <w:rFonts w:ascii="Times New Roman" w:eastAsia="黑体" w:cs="Times New Roman"/>
                <w:snapToGrid w:val="0"/>
                <w:spacing w:val="-6"/>
                <w:kern w:val="21"/>
                <w:sz w:val="21"/>
                <w:szCs w:val="21"/>
              </w:rPr>
              <w:instrText xml:space="preserve"> = 1 \* GB3 \* MERGEFORMAT </w:instrText>
            </w:r>
            <w:r>
              <w:rPr>
                <w:rFonts w:ascii="Times New Roman" w:eastAsia="黑体" w:cs="Times New Roman"/>
                <w:snapToGrid w:val="0"/>
                <w:spacing w:val="-6"/>
                <w:kern w:val="21"/>
                <w:sz w:val="21"/>
                <w:szCs w:val="21"/>
              </w:rPr>
              <w:fldChar w:fldCharType="separate"/>
            </w:r>
            <w:r>
              <w:rPr>
                <w:rFonts w:ascii="Times New Roman" w:eastAsia="黑体" w:cs="Times New Roman"/>
                <w:kern w:val="2"/>
                <w:sz w:val="21"/>
                <w:szCs w:val="21"/>
              </w:rPr>
              <w:t>①</w:t>
            </w:r>
            <w:r>
              <w:rPr>
                <w:rFonts w:ascii="Times New Roman" w:eastAsia="黑体" w:cs="Times New Roman"/>
                <w:snapToGrid w:val="0"/>
                <w:spacing w:val="-6"/>
                <w:kern w:val="21"/>
                <w:sz w:val="21"/>
                <w:szCs w:val="21"/>
              </w:rPr>
              <w:fldChar w:fldCharType="end"/>
            </w:r>
          </w:p>
        </w:tc>
        <w:tc>
          <w:tcPr>
            <w:tcW w:w="455" w:type="pct"/>
            <w:tcMar>
              <w:left w:w="28" w:type="dxa"/>
              <w:right w:w="28" w:type="dxa"/>
            </w:tcMar>
            <w:vAlign w:val="center"/>
          </w:tcPr>
          <w:p>
            <w:pPr>
              <w:pStyle w:val="41"/>
              <w:spacing w:beforeLines="0" w:afterLines="0" w:line="240" w:lineRule="auto"/>
              <w:rPr>
                <w:rFonts w:ascii="Times New Roman" w:eastAsia="黑体" w:cs="Times New Roman"/>
                <w:snapToGrid w:val="0"/>
                <w:spacing w:val="-6"/>
                <w:kern w:val="21"/>
                <w:sz w:val="21"/>
                <w:szCs w:val="21"/>
              </w:rPr>
            </w:pPr>
            <w:r>
              <w:rPr>
                <w:rFonts w:ascii="Times New Roman" w:eastAsia="黑体" w:cs="Times New Roman"/>
                <w:snapToGrid w:val="0"/>
                <w:spacing w:val="-6"/>
                <w:kern w:val="21"/>
                <w:sz w:val="21"/>
                <w:szCs w:val="21"/>
              </w:rPr>
              <w:t>现有工程许可排放量</w:t>
            </w:r>
            <w:r>
              <w:rPr>
                <w:rFonts w:ascii="Times New Roman" w:eastAsia="黑体" w:cs="Times New Roman"/>
                <w:snapToGrid w:val="0"/>
                <w:spacing w:val="-6"/>
                <w:kern w:val="21"/>
                <w:sz w:val="21"/>
                <w:szCs w:val="21"/>
              </w:rPr>
              <w:fldChar w:fldCharType="begin"/>
            </w:r>
            <w:r>
              <w:rPr>
                <w:rFonts w:ascii="Times New Roman" w:eastAsia="黑体" w:cs="Times New Roman"/>
                <w:snapToGrid w:val="0"/>
                <w:spacing w:val="-6"/>
                <w:kern w:val="21"/>
                <w:sz w:val="21"/>
                <w:szCs w:val="21"/>
              </w:rPr>
              <w:instrText xml:space="preserve"> = 2 \* GB3 \* MERGEFORMAT </w:instrText>
            </w:r>
            <w:r>
              <w:rPr>
                <w:rFonts w:ascii="Times New Roman" w:eastAsia="黑体" w:cs="Times New Roman"/>
                <w:snapToGrid w:val="0"/>
                <w:spacing w:val="-6"/>
                <w:kern w:val="21"/>
                <w:sz w:val="21"/>
                <w:szCs w:val="21"/>
              </w:rPr>
              <w:fldChar w:fldCharType="separate"/>
            </w:r>
            <w:r>
              <w:rPr>
                <w:rFonts w:ascii="Times New Roman" w:eastAsia="黑体" w:cs="Times New Roman"/>
                <w:snapToGrid w:val="0"/>
                <w:spacing w:val="-6"/>
                <w:kern w:val="21"/>
                <w:sz w:val="21"/>
                <w:szCs w:val="21"/>
              </w:rPr>
              <w:t>②</w:t>
            </w:r>
            <w:r>
              <w:rPr>
                <w:rFonts w:ascii="Times New Roman" w:eastAsia="黑体" w:cs="Times New Roman"/>
                <w:snapToGrid w:val="0"/>
                <w:spacing w:val="-6"/>
                <w:kern w:val="21"/>
                <w:sz w:val="21"/>
                <w:szCs w:val="21"/>
              </w:rPr>
              <w:fldChar w:fldCharType="end"/>
            </w:r>
          </w:p>
        </w:tc>
        <w:tc>
          <w:tcPr>
            <w:tcW w:w="654" w:type="pct"/>
            <w:tcMar>
              <w:left w:w="28" w:type="dxa"/>
              <w:right w:w="28" w:type="dxa"/>
            </w:tcMar>
            <w:vAlign w:val="center"/>
          </w:tcPr>
          <w:p>
            <w:pPr>
              <w:pStyle w:val="41"/>
              <w:spacing w:beforeLines="0" w:afterLines="0" w:line="240" w:lineRule="auto"/>
              <w:rPr>
                <w:rFonts w:ascii="Times New Roman" w:eastAsia="黑体" w:cs="Times New Roman"/>
                <w:snapToGrid w:val="0"/>
                <w:spacing w:val="-6"/>
                <w:kern w:val="21"/>
                <w:sz w:val="21"/>
                <w:szCs w:val="21"/>
              </w:rPr>
            </w:pPr>
            <w:r>
              <w:rPr>
                <w:rFonts w:ascii="Times New Roman" w:eastAsia="黑体" w:cs="Times New Roman"/>
                <w:snapToGrid w:val="0"/>
                <w:spacing w:val="-6"/>
                <w:kern w:val="21"/>
                <w:sz w:val="21"/>
                <w:szCs w:val="21"/>
              </w:rPr>
              <w:t>在建工程排放量（固体废物产生量）</w:t>
            </w:r>
            <w:r>
              <w:rPr>
                <w:rFonts w:ascii="Times New Roman" w:eastAsia="黑体" w:cs="Times New Roman"/>
                <w:snapToGrid w:val="0"/>
                <w:spacing w:val="-6"/>
                <w:kern w:val="21"/>
                <w:sz w:val="21"/>
                <w:szCs w:val="21"/>
              </w:rPr>
              <w:fldChar w:fldCharType="begin"/>
            </w:r>
            <w:r>
              <w:rPr>
                <w:rFonts w:ascii="Times New Roman" w:eastAsia="黑体" w:cs="Times New Roman"/>
                <w:snapToGrid w:val="0"/>
                <w:spacing w:val="-6"/>
                <w:kern w:val="21"/>
                <w:sz w:val="21"/>
                <w:szCs w:val="21"/>
              </w:rPr>
              <w:instrText xml:space="preserve"> = 3 \* GB3 \* MERGEFORMAT </w:instrText>
            </w:r>
            <w:r>
              <w:rPr>
                <w:rFonts w:ascii="Times New Roman" w:eastAsia="黑体" w:cs="Times New Roman"/>
                <w:snapToGrid w:val="0"/>
                <w:spacing w:val="-6"/>
                <w:kern w:val="21"/>
                <w:sz w:val="21"/>
                <w:szCs w:val="21"/>
              </w:rPr>
              <w:fldChar w:fldCharType="separate"/>
            </w:r>
            <w:r>
              <w:rPr>
                <w:rFonts w:ascii="Times New Roman" w:eastAsia="黑体" w:cs="Times New Roman"/>
                <w:kern w:val="2"/>
                <w:sz w:val="21"/>
                <w:szCs w:val="21"/>
              </w:rPr>
              <w:t>③</w:t>
            </w:r>
            <w:r>
              <w:rPr>
                <w:rFonts w:ascii="Times New Roman" w:eastAsia="黑体" w:cs="Times New Roman"/>
                <w:snapToGrid w:val="0"/>
                <w:spacing w:val="-6"/>
                <w:kern w:val="21"/>
                <w:sz w:val="21"/>
                <w:szCs w:val="21"/>
              </w:rPr>
              <w:fldChar w:fldCharType="end"/>
            </w:r>
          </w:p>
        </w:tc>
        <w:tc>
          <w:tcPr>
            <w:tcW w:w="610" w:type="pct"/>
            <w:tcMar>
              <w:left w:w="28" w:type="dxa"/>
              <w:right w:w="28" w:type="dxa"/>
            </w:tcMar>
            <w:vAlign w:val="center"/>
          </w:tcPr>
          <w:p>
            <w:pPr>
              <w:pStyle w:val="41"/>
              <w:spacing w:beforeLines="0" w:afterLines="0" w:line="240" w:lineRule="auto"/>
              <w:rPr>
                <w:rFonts w:ascii="Times New Roman" w:eastAsia="黑体" w:cs="Times New Roman"/>
                <w:snapToGrid w:val="0"/>
                <w:spacing w:val="-6"/>
                <w:kern w:val="21"/>
                <w:sz w:val="21"/>
                <w:szCs w:val="21"/>
              </w:rPr>
            </w:pPr>
            <w:r>
              <w:rPr>
                <w:rFonts w:ascii="Times New Roman" w:eastAsia="黑体" w:cs="Times New Roman"/>
                <w:snapToGrid w:val="0"/>
                <w:spacing w:val="-6"/>
                <w:kern w:val="21"/>
                <w:sz w:val="21"/>
                <w:szCs w:val="21"/>
              </w:rPr>
              <w:t>本项目排放量（固体废物产生量）</w:t>
            </w:r>
            <w:r>
              <w:rPr>
                <w:rFonts w:ascii="Times New Roman" w:eastAsia="黑体" w:cs="Times New Roman"/>
                <w:snapToGrid w:val="0"/>
                <w:spacing w:val="-6"/>
                <w:kern w:val="21"/>
                <w:sz w:val="21"/>
                <w:szCs w:val="21"/>
              </w:rPr>
              <w:fldChar w:fldCharType="begin"/>
            </w:r>
            <w:r>
              <w:rPr>
                <w:rFonts w:ascii="Times New Roman" w:eastAsia="黑体" w:cs="Times New Roman"/>
                <w:snapToGrid w:val="0"/>
                <w:spacing w:val="-6"/>
                <w:kern w:val="21"/>
                <w:sz w:val="21"/>
                <w:szCs w:val="21"/>
              </w:rPr>
              <w:instrText xml:space="preserve"> = 4 \* GB3 \* MERGEFORMAT </w:instrText>
            </w:r>
            <w:r>
              <w:rPr>
                <w:rFonts w:ascii="Times New Roman" w:eastAsia="黑体" w:cs="Times New Roman"/>
                <w:snapToGrid w:val="0"/>
                <w:spacing w:val="-6"/>
                <w:kern w:val="21"/>
                <w:sz w:val="21"/>
                <w:szCs w:val="21"/>
              </w:rPr>
              <w:fldChar w:fldCharType="separate"/>
            </w:r>
            <w:r>
              <w:rPr>
                <w:rFonts w:ascii="Times New Roman" w:eastAsia="黑体" w:cs="Times New Roman"/>
                <w:kern w:val="2"/>
                <w:sz w:val="21"/>
                <w:szCs w:val="21"/>
              </w:rPr>
              <w:t>④</w:t>
            </w:r>
            <w:r>
              <w:rPr>
                <w:rFonts w:ascii="Times New Roman" w:eastAsia="黑体" w:cs="Times New Roman"/>
                <w:snapToGrid w:val="0"/>
                <w:spacing w:val="-6"/>
                <w:kern w:val="21"/>
                <w:sz w:val="21"/>
                <w:szCs w:val="21"/>
              </w:rPr>
              <w:fldChar w:fldCharType="end"/>
            </w:r>
          </w:p>
        </w:tc>
        <w:tc>
          <w:tcPr>
            <w:tcW w:w="571" w:type="pct"/>
            <w:tcMar>
              <w:left w:w="28" w:type="dxa"/>
              <w:right w:w="28" w:type="dxa"/>
            </w:tcMar>
            <w:vAlign w:val="center"/>
          </w:tcPr>
          <w:p>
            <w:pPr>
              <w:pStyle w:val="41"/>
              <w:spacing w:beforeLines="0" w:afterLines="0" w:line="240" w:lineRule="auto"/>
              <w:rPr>
                <w:rFonts w:ascii="Times New Roman" w:eastAsia="黑体" w:cs="Times New Roman"/>
                <w:snapToGrid w:val="0"/>
                <w:spacing w:val="-16"/>
                <w:kern w:val="21"/>
                <w:sz w:val="21"/>
                <w:szCs w:val="21"/>
              </w:rPr>
            </w:pPr>
            <w:r>
              <w:rPr>
                <w:rFonts w:ascii="Times New Roman" w:eastAsia="黑体" w:cs="Times New Roman"/>
                <w:snapToGrid w:val="0"/>
                <w:spacing w:val="-16"/>
                <w:kern w:val="21"/>
                <w:sz w:val="21"/>
                <w:szCs w:val="21"/>
              </w:rPr>
              <w:t>以新带老削减量（新建项目不填）</w:t>
            </w:r>
            <w:r>
              <w:rPr>
                <w:rFonts w:ascii="Times New Roman" w:eastAsia="黑体" w:cs="Times New Roman"/>
                <w:snapToGrid w:val="0"/>
                <w:spacing w:val="-16"/>
                <w:kern w:val="21"/>
                <w:sz w:val="21"/>
                <w:szCs w:val="21"/>
              </w:rPr>
              <w:fldChar w:fldCharType="begin"/>
            </w:r>
            <w:r>
              <w:rPr>
                <w:rFonts w:ascii="Times New Roman" w:eastAsia="黑体" w:cs="Times New Roman"/>
                <w:snapToGrid w:val="0"/>
                <w:spacing w:val="-16"/>
                <w:kern w:val="21"/>
                <w:sz w:val="21"/>
                <w:szCs w:val="21"/>
              </w:rPr>
              <w:instrText xml:space="preserve"> = 5 \* GB3 \* MERGEFORMAT </w:instrText>
            </w:r>
            <w:r>
              <w:rPr>
                <w:rFonts w:ascii="Times New Roman" w:eastAsia="黑体" w:cs="Times New Roman"/>
                <w:snapToGrid w:val="0"/>
                <w:spacing w:val="-16"/>
                <w:kern w:val="21"/>
                <w:sz w:val="21"/>
                <w:szCs w:val="21"/>
              </w:rPr>
              <w:fldChar w:fldCharType="separate"/>
            </w:r>
            <w:r>
              <w:rPr>
                <w:rFonts w:ascii="Times New Roman" w:eastAsia="黑体" w:cs="Times New Roman"/>
                <w:kern w:val="2"/>
                <w:sz w:val="21"/>
                <w:szCs w:val="21"/>
              </w:rPr>
              <w:t>⑤</w:t>
            </w:r>
            <w:r>
              <w:rPr>
                <w:rFonts w:ascii="Times New Roman" w:eastAsia="黑体" w:cs="Times New Roman"/>
                <w:snapToGrid w:val="0"/>
                <w:spacing w:val="-16"/>
                <w:kern w:val="21"/>
                <w:sz w:val="21"/>
                <w:szCs w:val="21"/>
              </w:rPr>
              <w:fldChar w:fldCharType="end"/>
            </w:r>
          </w:p>
        </w:tc>
        <w:tc>
          <w:tcPr>
            <w:tcW w:w="707" w:type="pct"/>
            <w:tcMar>
              <w:left w:w="28" w:type="dxa"/>
              <w:right w:w="28" w:type="dxa"/>
            </w:tcMar>
            <w:vAlign w:val="center"/>
          </w:tcPr>
          <w:p>
            <w:pPr>
              <w:pStyle w:val="41"/>
              <w:spacing w:beforeLines="0" w:afterLines="0" w:line="240" w:lineRule="auto"/>
              <w:rPr>
                <w:rFonts w:ascii="Times New Roman" w:eastAsia="黑体" w:cs="Times New Roman"/>
                <w:snapToGrid w:val="0"/>
                <w:spacing w:val="-16"/>
                <w:kern w:val="21"/>
                <w:sz w:val="21"/>
                <w:szCs w:val="21"/>
              </w:rPr>
            </w:pPr>
            <w:r>
              <w:rPr>
                <w:rFonts w:ascii="Times New Roman" w:eastAsia="黑体" w:cs="Times New Roman"/>
                <w:snapToGrid w:val="0"/>
                <w:spacing w:val="-16"/>
                <w:kern w:val="21"/>
                <w:sz w:val="21"/>
                <w:szCs w:val="21"/>
              </w:rPr>
              <w:t>本项目建成后全厂排放量（固体废物产生量）</w:t>
            </w:r>
            <w:r>
              <w:rPr>
                <w:rFonts w:ascii="Times New Roman" w:eastAsia="黑体" w:cs="Times New Roman"/>
                <w:snapToGrid w:val="0"/>
                <w:spacing w:val="-16"/>
                <w:kern w:val="21"/>
                <w:sz w:val="21"/>
                <w:szCs w:val="21"/>
              </w:rPr>
              <w:fldChar w:fldCharType="begin"/>
            </w:r>
            <w:r>
              <w:rPr>
                <w:rFonts w:ascii="Times New Roman" w:eastAsia="黑体" w:cs="Times New Roman"/>
                <w:snapToGrid w:val="0"/>
                <w:spacing w:val="-16"/>
                <w:kern w:val="21"/>
                <w:sz w:val="21"/>
                <w:szCs w:val="21"/>
              </w:rPr>
              <w:instrText xml:space="preserve"> = 6 \* GB3 \* MERGEFORMAT </w:instrText>
            </w:r>
            <w:r>
              <w:rPr>
                <w:rFonts w:ascii="Times New Roman" w:eastAsia="黑体" w:cs="Times New Roman"/>
                <w:snapToGrid w:val="0"/>
                <w:spacing w:val="-16"/>
                <w:kern w:val="21"/>
                <w:sz w:val="21"/>
                <w:szCs w:val="21"/>
              </w:rPr>
              <w:fldChar w:fldCharType="separate"/>
            </w:r>
            <w:r>
              <w:rPr>
                <w:rFonts w:ascii="Times New Roman" w:eastAsia="黑体" w:cs="Times New Roman"/>
                <w:kern w:val="2"/>
                <w:sz w:val="21"/>
                <w:szCs w:val="21"/>
              </w:rPr>
              <w:t>⑥</w:t>
            </w:r>
            <w:r>
              <w:rPr>
                <w:rFonts w:ascii="Times New Roman" w:eastAsia="黑体" w:cs="Times New Roman"/>
                <w:snapToGrid w:val="0"/>
                <w:spacing w:val="-16"/>
                <w:kern w:val="21"/>
                <w:sz w:val="21"/>
                <w:szCs w:val="21"/>
              </w:rPr>
              <w:fldChar w:fldCharType="end"/>
            </w:r>
          </w:p>
        </w:tc>
        <w:tc>
          <w:tcPr>
            <w:tcW w:w="445" w:type="pct"/>
            <w:tcMar>
              <w:left w:w="28" w:type="dxa"/>
              <w:right w:w="28" w:type="dxa"/>
            </w:tcMar>
            <w:vAlign w:val="center"/>
          </w:tcPr>
          <w:p>
            <w:pPr>
              <w:pStyle w:val="41"/>
              <w:spacing w:beforeLines="0" w:afterLines="0" w:line="240" w:lineRule="auto"/>
              <w:rPr>
                <w:rFonts w:ascii="Times New Roman" w:eastAsia="黑体" w:cs="Times New Roman"/>
                <w:snapToGrid w:val="0"/>
                <w:spacing w:val="-6"/>
                <w:kern w:val="21"/>
                <w:sz w:val="21"/>
                <w:szCs w:val="21"/>
              </w:rPr>
            </w:pPr>
            <w:r>
              <w:rPr>
                <w:rFonts w:ascii="Times New Roman" w:eastAsia="黑体" w:cs="Times New Roman"/>
                <w:snapToGrid w:val="0"/>
                <w:spacing w:val="-6"/>
                <w:kern w:val="21"/>
                <w:sz w:val="21"/>
                <w:szCs w:val="21"/>
              </w:rPr>
              <w:t>变化量</w:t>
            </w:r>
          </w:p>
          <w:p>
            <w:pPr>
              <w:pStyle w:val="41"/>
              <w:spacing w:beforeLines="0" w:afterLines="0" w:line="240" w:lineRule="auto"/>
              <w:rPr>
                <w:rFonts w:ascii="Times New Roman" w:eastAsia="黑体" w:cs="Times New Roman"/>
                <w:snapToGrid w:val="0"/>
                <w:spacing w:val="-6"/>
                <w:kern w:val="21"/>
                <w:sz w:val="21"/>
                <w:szCs w:val="21"/>
              </w:rPr>
            </w:pPr>
            <w:r>
              <w:rPr>
                <w:rFonts w:ascii="Times New Roman" w:eastAsia="黑体" w:cs="Times New Roman"/>
                <w:snapToGrid w:val="0"/>
                <w:spacing w:val="-6"/>
                <w:kern w:val="21"/>
                <w:sz w:val="21"/>
                <w:szCs w:val="21"/>
              </w:rPr>
              <w:fldChar w:fldCharType="begin"/>
            </w:r>
            <w:r>
              <w:rPr>
                <w:rFonts w:ascii="Times New Roman" w:eastAsia="黑体" w:cs="Times New Roman"/>
                <w:snapToGrid w:val="0"/>
                <w:spacing w:val="-6"/>
                <w:kern w:val="21"/>
                <w:sz w:val="21"/>
                <w:szCs w:val="21"/>
              </w:rPr>
              <w:instrText xml:space="preserve"> = 7 \* GB3 \* MERGEFORMAT </w:instrText>
            </w:r>
            <w:r>
              <w:rPr>
                <w:rFonts w:ascii="Times New Roman" w:eastAsia="黑体" w:cs="Times New Roman"/>
                <w:snapToGrid w:val="0"/>
                <w:spacing w:val="-6"/>
                <w:kern w:val="21"/>
                <w:sz w:val="21"/>
                <w:szCs w:val="21"/>
              </w:rPr>
              <w:fldChar w:fldCharType="separate"/>
            </w:r>
            <w:r>
              <w:rPr>
                <w:rFonts w:ascii="Times New Roman" w:eastAsia="黑体" w:cs="Times New Roman"/>
                <w:kern w:val="2"/>
                <w:sz w:val="21"/>
                <w:szCs w:val="21"/>
              </w:rPr>
              <w:t>⑦</w:t>
            </w:r>
            <w:r>
              <w:rPr>
                <w:rFonts w:ascii="Times New Roman" w:eastAsia="黑体" w:cs="Times New Roman"/>
                <w:snapToGrid w:val="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85" w:type="pct"/>
            <w:vMerge w:val="restart"/>
            <w:vAlign w:val="center"/>
          </w:tcPr>
          <w:p>
            <w:pPr>
              <w:pStyle w:val="41"/>
              <w:spacing w:beforeLines="0" w:afterLines="0" w:line="240" w:lineRule="auto"/>
              <w:rPr>
                <w:rFonts w:ascii="Times New Roman" w:cs="Times New Roman"/>
                <w:b w:val="0"/>
                <w:bCs/>
                <w:snapToGrid w:val="0"/>
                <w:kern w:val="21"/>
                <w:sz w:val="21"/>
                <w:szCs w:val="21"/>
              </w:rPr>
            </w:pPr>
            <w:r>
              <w:rPr>
                <w:rFonts w:ascii="Times New Roman" w:cs="Times New Roman"/>
                <w:b w:val="0"/>
                <w:bCs/>
                <w:snapToGrid w:val="0"/>
                <w:kern w:val="21"/>
                <w:sz w:val="21"/>
                <w:szCs w:val="21"/>
              </w:rPr>
              <w:t>废气</w:t>
            </w:r>
          </w:p>
        </w:tc>
        <w:tc>
          <w:tcPr>
            <w:tcW w:w="463" w:type="pct"/>
            <w:vAlign w:val="center"/>
          </w:tcPr>
          <w:p>
            <w:pPr>
              <w:jc w:val="center"/>
              <w:rPr>
                <w:rFonts w:cs="Times New Roman"/>
                <w:b w:val="0"/>
                <w:bCs/>
                <w:snapToGrid w:val="0"/>
                <w:kern w:val="21"/>
                <w:sz w:val="21"/>
                <w:szCs w:val="21"/>
              </w:rPr>
            </w:pPr>
            <w:r>
              <w:rPr>
                <w:rFonts w:cs="Times New Roman"/>
                <w:b w:val="0"/>
                <w:bCs/>
                <w:sz w:val="21"/>
                <w:szCs w:val="21"/>
              </w:rPr>
              <w:t>颗粒物</w:t>
            </w:r>
          </w:p>
        </w:tc>
        <w:tc>
          <w:tcPr>
            <w:tcW w:w="707"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455"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54"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0.0</w:t>
            </w:r>
            <w:r>
              <w:rPr>
                <w:rFonts w:hint="eastAsia" w:cs="Times New Roman"/>
                <w:b w:val="0"/>
                <w:bCs/>
                <w:sz w:val="21"/>
                <w:szCs w:val="21"/>
                <w:lang w:val="en-US" w:eastAsia="zh-CN"/>
              </w:rPr>
              <w:t>361</w:t>
            </w:r>
            <w:r>
              <w:rPr>
                <w:rFonts w:hint="eastAsia" w:cs="Times New Roman"/>
                <w:b w:val="0"/>
                <w:bCs/>
                <w:sz w:val="21"/>
                <w:szCs w:val="21"/>
              </w:rPr>
              <w:t>t/a</w:t>
            </w:r>
          </w:p>
        </w:tc>
        <w:tc>
          <w:tcPr>
            <w:tcW w:w="571"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0.0</w:t>
            </w:r>
            <w:r>
              <w:rPr>
                <w:rFonts w:hint="eastAsia" w:cs="Times New Roman"/>
                <w:b w:val="0"/>
                <w:bCs/>
                <w:sz w:val="21"/>
                <w:szCs w:val="21"/>
                <w:lang w:val="en-US" w:eastAsia="zh-CN"/>
              </w:rPr>
              <w:t>361</w:t>
            </w:r>
            <w:r>
              <w:rPr>
                <w:rFonts w:hint="eastAsia" w:cs="Times New Roman"/>
                <w:b w:val="0"/>
                <w:bCs/>
                <w:sz w:val="21"/>
                <w:szCs w:val="21"/>
              </w:rPr>
              <w:t>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+0.0</w:t>
            </w:r>
            <w:r>
              <w:rPr>
                <w:rFonts w:hint="eastAsia" w:cs="Times New Roman"/>
                <w:b w:val="0"/>
                <w:bCs/>
                <w:sz w:val="21"/>
                <w:szCs w:val="21"/>
                <w:lang w:val="en-US" w:eastAsia="zh-CN"/>
              </w:rPr>
              <w:t>361</w:t>
            </w:r>
            <w:r>
              <w:rPr>
                <w:rFonts w:hint="eastAsia" w:cs="Times New Roman"/>
                <w:b w:val="0"/>
                <w:bCs/>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jc w:val="center"/>
              <w:rPr>
                <w:rFonts w:cs="Times New Roman"/>
                <w:b w:val="0"/>
                <w:bCs/>
                <w:sz w:val="21"/>
                <w:szCs w:val="21"/>
              </w:rPr>
            </w:pPr>
            <w:r>
              <w:rPr>
                <w:rFonts w:hint="eastAsia" w:cs="Times New Roman"/>
                <w:b w:val="0"/>
                <w:bCs/>
                <w:sz w:val="21"/>
                <w:szCs w:val="21"/>
              </w:rPr>
              <w:t>非甲烷总烃</w:t>
            </w:r>
          </w:p>
        </w:tc>
        <w:tc>
          <w:tcPr>
            <w:tcW w:w="707" w:type="pct"/>
            <w:vAlign w:val="center"/>
          </w:tcPr>
          <w:p>
            <w:pPr>
              <w:spacing w:line="360" w:lineRule="auto"/>
              <w:jc w:val="center"/>
              <w:rPr>
                <w:rFonts w:cs="Times New Roman"/>
                <w:snapToGrid w:val="0"/>
                <w:kern w:val="21"/>
                <w:sz w:val="21"/>
                <w:szCs w:val="21"/>
              </w:rPr>
            </w:pPr>
            <w:r>
              <w:rPr>
                <w:rFonts w:cs="Times New Roman"/>
                <w:snapToGrid w:val="0"/>
                <w:kern w:val="21"/>
                <w:sz w:val="21"/>
                <w:szCs w:val="21"/>
              </w:rPr>
              <w:t>/</w:t>
            </w:r>
          </w:p>
        </w:tc>
        <w:tc>
          <w:tcPr>
            <w:tcW w:w="455" w:type="pct"/>
            <w:vAlign w:val="center"/>
          </w:tcPr>
          <w:p>
            <w:pPr>
              <w:spacing w:line="360" w:lineRule="auto"/>
              <w:jc w:val="center"/>
              <w:rPr>
                <w:rFonts w:cs="Times New Roman"/>
                <w:snapToGrid w:val="0"/>
                <w:kern w:val="21"/>
                <w:sz w:val="21"/>
                <w:szCs w:val="21"/>
              </w:rPr>
            </w:pPr>
            <w:r>
              <w:rPr>
                <w:rFonts w:cs="Times New Roman"/>
                <w:snapToGrid w:val="0"/>
                <w:kern w:val="21"/>
                <w:sz w:val="21"/>
                <w:szCs w:val="21"/>
              </w:rPr>
              <w:t>/</w:t>
            </w:r>
          </w:p>
        </w:tc>
        <w:tc>
          <w:tcPr>
            <w:tcW w:w="654" w:type="pct"/>
            <w:vAlign w:val="center"/>
          </w:tcPr>
          <w:p>
            <w:pPr>
              <w:spacing w:line="360" w:lineRule="auto"/>
              <w:jc w:val="center"/>
              <w:rPr>
                <w:rFonts w:cs="Times New Roman"/>
                <w:snapToGrid w:val="0"/>
                <w:kern w:val="21"/>
                <w:sz w:val="21"/>
                <w:szCs w:val="21"/>
              </w:rPr>
            </w:pPr>
            <w:r>
              <w:rPr>
                <w:rFonts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0.0</w:t>
            </w:r>
            <w:r>
              <w:rPr>
                <w:rFonts w:hint="eastAsia" w:cs="Times New Roman"/>
                <w:b w:val="0"/>
                <w:bCs/>
                <w:sz w:val="21"/>
                <w:szCs w:val="21"/>
                <w:lang w:val="en-US" w:eastAsia="zh-CN"/>
              </w:rPr>
              <w:t>742</w:t>
            </w:r>
            <w:r>
              <w:rPr>
                <w:rFonts w:hint="eastAsia" w:cs="Times New Roman"/>
                <w:b w:val="0"/>
                <w:bCs/>
                <w:sz w:val="21"/>
                <w:szCs w:val="21"/>
              </w:rPr>
              <w:t>t/a</w:t>
            </w:r>
          </w:p>
        </w:tc>
        <w:tc>
          <w:tcPr>
            <w:tcW w:w="571" w:type="pct"/>
            <w:vAlign w:val="center"/>
          </w:tcPr>
          <w:p>
            <w:pPr>
              <w:pStyle w:val="41"/>
              <w:spacing w:beforeLines="0" w:afterLines="0" w:line="360" w:lineRule="auto"/>
              <w:rPr>
                <w:rFonts w:ascii="Times New Roman" w:cs="Times New Roman"/>
                <w:snapToGrid w:val="0"/>
                <w:kern w:val="21"/>
                <w:sz w:val="21"/>
                <w:szCs w:val="21"/>
              </w:rPr>
            </w:pP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0.0</w:t>
            </w:r>
            <w:r>
              <w:rPr>
                <w:rFonts w:hint="eastAsia" w:cs="Times New Roman"/>
                <w:b w:val="0"/>
                <w:bCs/>
                <w:sz w:val="21"/>
                <w:szCs w:val="21"/>
                <w:lang w:val="en-US" w:eastAsia="zh-CN"/>
              </w:rPr>
              <w:t>742</w:t>
            </w:r>
            <w:r>
              <w:rPr>
                <w:rFonts w:hint="eastAsia" w:cs="Times New Roman"/>
                <w:b w:val="0"/>
                <w:bCs/>
                <w:sz w:val="21"/>
                <w:szCs w:val="21"/>
              </w:rPr>
              <w:t>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+0.0</w:t>
            </w:r>
            <w:r>
              <w:rPr>
                <w:rFonts w:hint="eastAsia" w:cs="Times New Roman"/>
                <w:b w:val="0"/>
                <w:bCs/>
                <w:sz w:val="21"/>
                <w:szCs w:val="21"/>
                <w:lang w:val="en-US" w:eastAsia="zh-CN"/>
              </w:rPr>
              <w:t>742</w:t>
            </w:r>
            <w:r>
              <w:rPr>
                <w:rFonts w:hint="eastAsia" w:cs="Times New Roman"/>
                <w:b w:val="0"/>
                <w:bCs/>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restart"/>
            <w:vAlign w:val="center"/>
          </w:tcPr>
          <w:p>
            <w:pPr>
              <w:pStyle w:val="41"/>
              <w:spacing w:beforeLines="0" w:afterLines="0" w:line="240" w:lineRule="auto"/>
              <w:rPr>
                <w:rFonts w:ascii="Times New Roman" w:cs="Times New Roman"/>
                <w:b w:val="0"/>
                <w:bCs/>
                <w:snapToGrid w:val="0"/>
                <w:kern w:val="21"/>
                <w:sz w:val="21"/>
                <w:szCs w:val="21"/>
              </w:rPr>
            </w:pPr>
            <w:r>
              <w:rPr>
                <w:rFonts w:ascii="Times New Roman" w:cs="Times New Roman"/>
                <w:b w:val="0"/>
                <w:bCs/>
                <w:snapToGrid w:val="0"/>
                <w:kern w:val="21"/>
                <w:sz w:val="21"/>
                <w:szCs w:val="21"/>
              </w:rPr>
              <w:t>废水</w:t>
            </w:r>
          </w:p>
        </w:tc>
        <w:tc>
          <w:tcPr>
            <w:tcW w:w="463" w:type="pct"/>
            <w:vAlign w:val="center"/>
          </w:tcPr>
          <w:p>
            <w:pPr>
              <w:pStyle w:val="41"/>
              <w:spacing w:beforeLines="0" w:afterLines="0" w:line="240" w:lineRule="auto"/>
              <w:rPr>
                <w:rFonts w:ascii="Times New Roman" w:cs="Times New Roman"/>
                <w:b w:val="0"/>
                <w:bCs/>
                <w:snapToGrid w:val="0"/>
                <w:kern w:val="21"/>
                <w:sz w:val="21"/>
                <w:szCs w:val="21"/>
              </w:rPr>
            </w:pPr>
            <w:r>
              <w:rPr>
                <w:rFonts w:ascii="Times New Roman" w:cs="Times New Roman"/>
                <w:b w:val="0"/>
                <w:bCs/>
                <w:snapToGrid w:val="0"/>
                <w:kern w:val="21"/>
                <w:sz w:val="21"/>
                <w:szCs w:val="21"/>
              </w:rPr>
              <w:t>化学需氧量</w:t>
            </w:r>
          </w:p>
        </w:tc>
        <w:tc>
          <w:tcPr>
            <w:tcW w:w="707"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455"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54"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0.029t/a</w:t>
            </w:r>
          </w:p>
        </w:tc>
        <w:tc>
          <w:tcPr>
            <w:tcW w:w="571"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0.029t/a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+0.029t/a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pStyle w:val="41"/>
              <w:spacing w:beforeLines="0" w:afterLines="0" w:line="240" w:lineRule="auto"/>
              <w:rPr>
                <w:rFonts w:ascii="Times New Roman" w:cs="Times New Roman"/>
                <w:b w:val="0"/>
                <w:bCs/>
                <w:snapToGrid w:val="0"/>
                <w:kern w:val="21"/>
                <w:sz w:val="21"/>
                <w:szCs w:val="21"/>
              </w:rPr>
            </w:pPr>
            <w:r>
              <w:rPr>
                <w:rFonts w:ascii="Times New Roman" w:cs="Times New Roman"/>
                <w:b w:val="0"/>
                <w:bCs/>
                <w:snapToGrid w:val="0"/>
                <w:kern w:val="21"/>
                <w:sz w:val="21"/>
                <w:szCs w:val="21"/>
              </w:rPr>
              <w:t>五日生化</w:t>
            </w:r>
          </w:p>
          <w:p>
            <w:pPr>
              <w:pStyle w:val="41"/>
              <w:spacing w:beforeLines="0" w:afterLines="0" w:line="240" w:lineRule="auto"/>
              <w:rPr>
                <w:rFonts w:ascii="Times New Roman" w:cs="Times New Roman"/>
                <w:b w:val="0"/>
                <w:bCs/>
                <w:snapToGrid w:val="0"/>
                <w:kern w:val="21"/>
                <w:sz w:val="21"/>
                <w:szCs w:val="21"/>
              </w:rPr>
            </w:pPr>
            <w:r>
              <w:rPr>
                <w:rFonts w:ascii="Times New Roman" w:cs="Times New Roman"/>
                <w:b w:val="0"/>
                <w:bCs/>
                <w:snapToGrid w:val="0"/>
                <w:kern w:val="21"/>
                <w:sz w:val="21"/>
                <w:szCs w:val="21"/>
              </w:rPr>
              <w:t>需氧量</w:t>
            </w:r>
          </w:p>
        </w:tc>
        <w:tc>
          <w:tcPr>
            <w:tcW w:w="707"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455"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54"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0.021t/a</w:t>
            </w:r>
          </w:p>
        </w:tc>
        <w:tc>
          <w:tcPr>
            <w:tcW w:w="571"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0.021t/a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+0.021t/a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pStyle w:val="41"/>
              <w:spacing w:beforeLines="0" w:afterLines="0" w:line="240" w:lineRule="auto"/>
              <w:rPr>
                <w:rFonts w:ascii="Times New Roman" w:cs="Times New Roman"/>
                <w:b w:val="0"/>
                <w:bCs/>
                <w:snapToGrid w:val="0"/>
                <w:kern w:val="21"/>
                <w:sz w:val="21"/>
                <w:szCs w:val="21"/>
              </w:rPr>
            </w:pPr>
            <w:r>
              <w:rPr>
                <w:rFonts w:ascii="Times New Roman" w:cs="Times New Roman"/>
                <w:b w:val="0"/>
                <w:bCs/>
                <w:snapToGrid w:val="0"/>
                <w:kern w:val="21"/>
                <w:sz w:val="21"/>
                <w:szCs w:val="21"/>
              </w:rPr>
              <w:t>悬浮物</w:t>
            </w:r>
          </w:p>
        </w:tc>
        <w:tc>
          <w:tcPr>
            <w:tcW w:w="707"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455"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54"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0.017t/a</w:t>
            </w:r>
          </w:p>
        </w:tc>
        <w:tc>
          <w:tcPr>
            <w:tcW w:w="571"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0.017t/a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+0.017t/a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pStyle w:val="41"/>
              <w:spacing w:beforeLines="0" w:afterLines="0" w:line="240" w:lineRule="auto"/>
              <w:rPr>
                <w:rFonts w:ascii="Times New Roman" w:cs="Times New Roman"/>
                <w:b w:val="0"/>
                <w:bCs/>
                <w:snapToGrid w:val="0"/>
                <w:kern w:val="21"/>
                <w:sz w:val="21"/>
                <w:szCs w:val="21"/>
              </w:rPr>
            </w:pPr>
            <w:r>
              <w:rPr>
                <w:rFonts w:ascii="Times New Roman" w:cs="Times New Roman"/>
                <w:b w:val="0"/>
                <w:bCs/>
                <w:snapToGrid w:val="0"/>
                <w:kern w:val="21"/>
                <w:sz w:val="21"/>
                <w:szCs w:val="21"/>
              </w:rPr>
              <w:t>氨氮</w:t>
            </w:r>
          </w:p>
        </w:tc>
        <w:tc>
          <w:tcPr>
            <w:tcW w:w="707"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455"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54"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0.003t/a</w:t>
            </w:r>
          </w:p>
        </w:tc>
        <w:tc>
          <w:tcPr>
            <w:tcW w:w="571"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0.003t/a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+0.003t/a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restart"/>
            <w:vAlign w:val="center"/>
          </w:tcPr>
          <w:p>
            <w:pPr>
              <w:pStyle w:val="41"/>
              <w:spacing w:beforeLines="0" w:afterLines="0" w:line="240" w:lineRule="auto"/>
              <w:rPr>
                <w:rFonts w:hint="default" w:ascii="Times New Roman" w:eastAsia="宋体" w:cs="Times New Roman"/>
                <w:b w:val="0"/>
                <w:bCs/>
                <w:snapToGrid w:val="0"/>
                <w:kern w:val="21"/>
                <w:sz w:val="21"/>
                <w:szCs w:val="21"/>
                <w:lang w:val="en-US" w:eastAsia="zh-CN"/>
              </w:rPr>
            </w:pPr>
            <w:r>
              <w:rPr>
                <w:rFonts w:hint="eastAsia" w:ascii="Times New Roman" w:cs="Times New Roman"/>
                <w:b w:val="0"/>
                <w:bCs/>
                <w:snapToGrid w:val="0"/>
                <w:kern w:val="21"/>
                <w:sz w:val="21"/>
                <w:szCs w:val="21"/>
                <w:lang w:val="en-US" w:eastAsia="zh-CN"/>
              </w:rPr>
              <w:t>一般固废</w:t>
            </w:r>
          </w:p>
        </w:tc>
        <w:tc>
          <w:tcPr>
            <w:tcW w:w="463" w:type="pct"/>
            <w:vAlign w:val="center"/>
          </w:tcPr>
          <w:p>
            <w:pPr>
              <w:pStyle w:val="41"/>
              <w:spacing w:beforeLines="0" w:afterLines="0" w:line="240" w:lineRule="auto"/>
              <w:rPr>
                <w:rFonts w:ascii="Times New Roman" w:cs="Times New Roman"/>
                <w:b w:val="0"/>
                <w:bCs/>
                <w:snapToGrid w:val="0"/>
                <w:kern w:val="21"/>
                <w:sz w:val="21"/>
                <w:szCs w:val="21"/>
              </w:rPr>
            </w:pPr>
            <w:r>
              <w:rPr>
                <w:rFonts w:hint="eastAsia" w:ascii="Times New Roman" w:cs="Times New Roman"/>
                <w:b w:val="0"/>
                <w:bCs/>
                <w:snapToGrid w:val="0"/>
                <w:kern w:val="21"/>
                <w:sz w:val="21"/>
                <w:szCs w:val="21"/>
              </w:rPr>
              <w:t>废边角料</w:t>
            </w:r>
          </w:p>
        </w:tc>
        <w:tc>
          <w:tcPr>
            <w:tcW w:w="707"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455"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54" w:type="pct"/>
            <w:vAlign w:val="center"/>
          </w:tcPr>
          <w:p>
            <w:pPr>
              <w:pStyle w:val="13"/>
              <w:spacing w:before="0" w:after="0" w:line="360" w:lineRule="auto"/>
              <w:ind w:right="0"/>
              <w:jc w:val="center"/>
              <w:rPr>
                <w:rFonts w:cs="Times New Roman"/>
                <w:snapToGrid w:val="0"/>
                <w:kern w:val="21"/>
                <w:sz w:val="21"/>
                <w:szCs w:val="21"/>
              </w:rPr>
            </w:pPr>
            <w:r>
              <w:rPr>
                <w:rFonts w:cs="Times New Roman"/>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0.5t/a</w:t>
            </w:r>
          </w:p>
        </w:tc>
        <w:tc>
          <w:tcPr>
            <w:tcW w:w="571"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0.5t/a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pStyle w:val="41"/>
              <w:spacing w:beforeLines="0" w:afterLines="0" w:line="240" w:lineRule="auto"/>
              <w:rPr>
                <w:rFonts w:ascii="Times New Roman" w:cs="Times New Roman"/>
                <w:b w:val="0"/>
                <w:bCs/>
                <w:snapToGrid w:val="0"/>
                <w:kern w:val="21"/>
                <w:sz w:val="21"/>
                <w:szCs w:val="21"/>
              </w:rPr>
            </w:pPr>
            <w:r>
              <w:rPr>
                <w:rFonts w:hint="eastAsia" w:ascii="Times New Roman" w:cs="Times New Roman"/>
                <w:b w:val="0"/>
                <w:bCs/>
                <w:snapToGrid w:val="0"/>
                <w:kern w:val="21"/>
                <w:sz w:val="21"/>
                <w:szCs w:val="21"/>
              </w:rPr>
              <w:t>不合格品</w:t>
            </w:r>
          </w:p>
        </w:tc>
        <w:tc>
          <w:tcPr>
            <w:tcW w:w="707"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455"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54" w:type="pct"/>
            <w:vAlign w:val="center"/>
          </w:tcPr>
          <w:p>
            <w:pPr>
              <w:pStyle w:val="13"/>
              <w:spacing w:before="0" w:after="0" w:line="360" w:lineRule="auto"/>
              <w:ind w:right="0"/>
              <w:jc w:val="center"/>
              <w:rPr>
                <w:rFonts w:cs="Times New Roman"/>
                <w:snapToGrid w:val="0"/>
                <w:kern w:val="21"/>
                <w:sz w:val="21"/>
                <w:szCs w:val="21"/>
              </w:rPr>
            </w:pPr>
            <w:r>
              <w:rPr>
                <w:rFonts w:cs="Times New Roman"/>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0.3t/a</w:t>
            </w:r>
          </w:p>
        </w:tc>
        <w:tc>
          <w:tcPr>
            <w:tcW w:w="571"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0.3t/a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pStyle w:val="41"/>
              <w:spacing w:beforeLines="0" w:afterLines="0" w:line="240" w:lineRule="auto"/>
              <w:rPr>
                <w:rFonts w:ascii="Times New Roman" w:cs="Times New Roman"/>
                <w:b w:val="0"/>
                <w:bCs/>
                <w:snapToGrid w:val="0"/>
                <w:kern w:val="21"/>
                <w:sz w:val="21"/>
                <w:szCs w:val="21"/>
              </w:rPr>
            </w:pPr>
            <w:r>
              <w:rPr>
                <w:rFonts w:hint="eastAsia" w:ascii="Times New Roman" w:cs="Times New Roman"/>
                <w:b w:val="0"/>
                <w:bCs/>
                <w:snapToGrid w:val="0"/>
                <w:kern w:val="21"/>
                <w:sz w:val="21"/>
                <w:szCs w:val="21"/>
              </w:rPr>
              <w:t>收集尘</w:t>
            </w:r>
          </w:p>
        </w:tc>
        <w:tc>
          <w:tcPr>
            <w:tcW w:w="707" w:type="pct"/>
            <w:vAlign w:val="center"/>
          </w:tcPr>
          <w:p>
            <w:pPr>
              <w:pStyle w:val="41"/>
              <w:spacing w:beforeLines="0" w:afterLines="0" w:line="360" w:lineRule="auto"/>
              <w:rPr>
                <w:rFonts w:ascii="Times New Roman" w:cs="Times New Roman"/>
                <w:snapToGrid w:val="0"/>
                <w:kern w:val="21"/>
                <w:sz w:val="21"/>
                <w:szCs w:val="21"/>
              </w:rPr>
            </w:pPr>
            <w:r>
              <w:rPr>
                <w:rFonts w:hint="eastAsia" w:ascii="Times New Roman" w:cs="Times New Roman"/>
                <w:snapToGrid w:val="0"/>
                <w:kern w:val="21"/>
                <w:sz w:val="21"/>
                <w:szCs w:val="21"/>
              </w:rPr>
              <w:t>/</w:t>
            </w:r>
          </w:p>
        </w:tc>
        <w:tc>
          <w:tcPr>
            <w:tcW w:w="455"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654" w:type="pct"/>
            <w:vAlign w:val="center"/>
          </w:tcPr>
          <w:p>
            <w:pPr>
              <w:spacing w:line="360" w:lineRule="auto"/>
              <w:jc w:val="center"/>
              <w:rPr>
                <w:rFonts w:cs="Times New Roman"/>
                <w:sz w:val="21"/>
                <w:szCs w:val="21"/>
              </w:rPr>
            </w:pPr>
            <w:r>
              <w:rPr>
                <w:rFonts w:hint="eastAsia"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0.314t/a</w:t>
            </w:r>
          </w:p>
        </w:tc>
        <w:tc>
          <w:tcPr>
            <w:tcW w:w="571" w:type="pct"/>
            <w:vAlign w:val="center"/>
          </w:tcPr>
          <w:p>
            <w:pPr>
              <w:spacing w:line="360" w:lineRule="auto"/>
              <w:jc w:val="center"/>
              <w:rPr>
                <w:rFonts w:cs="Times New Roman"/>
                <w:snapToGrid w:val="0"/>
                <w:kern w:val="21"/>
                <w:sz w:val="21"/>
                <w:szCs w:val="21"/>
              </w:rPr>
            </w:pPr>
            <w:r>
              <w:rPr>
                <w:rFonts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0.314t/a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+0.314t/a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pStyle w:val="41"/>
              <w:spacing w:beforeLines="0" w:afterLines="0" w:line="240" w:lineRule="auto"/>
              <w:rPr>
                <w:rFonts w:ascii="Times New Roman" w:cs="Times New Roman"/>
                <w:b w:val="0"/>
                <w:bCs/>
                <w:snapToGrid w:val="0"/>
                <w:kern w:val="21"/>
                <w:sz w:val="21"/>
                <w:szCs w:val="21"/>
              </w:rPr>
            </w:pPr>
            <w:r>
              <w:rPr>
                <w:rFonts w:hint="eastAsia" w:ascii="Times New Roman" w:cs="Times New Roman"/>
                <w:b w:val="0"/>
                <w:bCs/>
                <w:snapToGrid w:val="0"/>
                <w:kern w:val="21"/>
                <w:sz w:val="21"/>
                <w:szCs w:val="21"/>
              </w:rPr>
              <w:t>废包装物</w:t>
            </w:r>
          </w:p>
        </w:tc>
        <w:tc>
          <w:tcPr>
            <w:tcW w:w="707"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455"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654" w:type="pct"/>
            <w:vAlign w:val="center"/>
          </w:tcPr>
          <w:p>
            <w:pPr>
              <w:spacing w:line="360" w:lineRule="auto"/>
              <w:jc w:val="center"/>
              <w:rPr>
                <w:rFonts w:cs="Times New Roman"/>
                <w:sz w:val="21"/>
                <w:szCs w:val="21"/>
              </w:rPr>
            </w:pPr>
            <w:r>
              <w:rPr>
                <w:rFonts w:hint="eastAsia"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0.1t/a</w:t>
            </w:r>
          </w:p>
        </w:tc>
        <w:tc>
          <w:tcPr>
            <w:tcW w:w="571" w:type="pct"/>
            <w:vAlign w:val="center"/>
          </w:tcPr>
          <w:p>
            <w:pPr>
              <w:spacing w:line="360" w:lineRule="auto"/>
              <w:jc w:val="center"/>
              <w:rPr>
                <w:rFonts w:cs="Times New Roman"/>
                <w:snapToGrid w:val="0"/>
                <w:kern w:val="21"/>
                <w:sz w:val="21"/>
                <w:szCs w:val="21"/>
              </w:rPr>
            </w:pPr>
            <w:r>
              <w:rPr>
                <w:rFonts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0.1t/a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pStyle w:val="41"/>
              <w:spacing w:beforeLines="0" w:afterLines="0" w:line="240" w:lineRule="auto"/>
              <w:rPr>
                <w:rFonts w:ascii="Times New Roman" w:cs="Times New Roman"/>
                <w:b w:val="0"/>
                <w:bCs/>
                <w:snapToGrid w:val="0"/>
                <w:kern w:val="21"/>
                <w:sz w:val="21"/>
                <w:szCs w:val="21"/>
              </w:rPr>
            </w:pPr>
            <w:r>
              <w:rPr>
                <w:rFonts w:hint="eastAsia" w:ascii="Times New Roman" w:cs="Times New Roman"/>
                <w:b w:val="0"/>
                <w:bCs/>
                <w:snapToGrid w:val="0"/>
                <w:kern w:val="21"/>
                <w:sz w:val="21"/>
                <w:szCs w:val="21"/>
              </w:rPr>
              <w:t>废脱模剂桶</w:t>
            </w:r>
          </w:p>
        </w:tc>
        <w:tc>
          <w:tcPr>
            <w:tcW w:w="707"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455"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654" w:type="pct"/>
            <w:vAlign w:val="center"/>
          </w:tcPr>
          <w:p>
            <w:pPr>
              <w:spacing w:line="360" w:lineRule="auto"/>
              <w:jc w:val="center"/>
              <w:rPr>
                <w:rFonts w:cs="Times New Roman"/>
                <w:sz w:val="21"/>
                <w:szCs w:val="21"/>
              </w:rPr>
            </w:pPr>
            <w:r>
              <w:rPr>
                <w:rFonts w:hint="eastAsia"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0.013t/a</w:t>
            </w:r>
          </w:p>
        </w:tc>
        <w:tc>
          <w:tcPr>
            <w:tcW w:w="571" w:type="pct"/>
            <w:vAlign w:val="center"/>
          </w:tcPr>
          <w:p>
            <w:pPr>
              <w:spacing w:line="360" w:lineRule="auto"/>
              <w:jc w:val="center"/>
              <w:rPr>
                <w:rFonts w:cs="Times New Roman"/>
                <w:snapToGrid w:val="0"/>
                <w:kern w:val="21"/>
                <w:sz w:val="21"/>
                <w:szCs w:val="21"/>
              </w:rPr>
            </w:pPr>
            <w:r>
              <w:rPr>
                <w:rFonts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0.013t/a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+0.013t/a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pStyle w:val="41"/>
              <w:spacing w:beforeLines="0" w:afterLines="0" w:line="240" w:lineRule="auto"/>
              <w:rPr>
                <w:rFonts w:ascii="Times New Roman" w:cs="Times New Roman"/>
                <w:b w:val="0"/>
                <w:bCs/>
                <w:snapToGrid w:val="0"/>
                <w:kern w:val="21"/>
                <w:sz w:val="21"/>
                <w:szCs w:val="21"/>
              </w:rPr>
            </w:pPr>
            <w:r>
              <w:rPr>
                <w:rFonts w:hint="eastAsia" w:ascii="Times New Roman" w:cs="Times New Roman"/>
                <w:b w:val="0"/>
                <w:bCs/>
                <w:snapToGrid w:val="0"/>
                <w:kern w:val="21"/>
                <w:sz w:val="21"/>
                <w:szCs w:val="21"/>
              </w:rPr>
              <w:t>含油沾染物</w:t>
            </w:r>
          </w:p>
        </w:tc>
        <w:tc>
          <w:tcPr>
            <w:tcW w:w="707"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455"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654" w:type="pct"/>
            <w:vAlign w:val="center"/>
          </w:tcPr>
          <w:p>
            <w:pPr>
              <w:spacing w:line="360" w:lineRule="auto"/>
              <w:jc w:val="center"/>
              <w:rPr>
                <w:rFonts w:cs="Times New Roman"/>
                <w:sz w:val="21"/>
                <w:szCs w:val="21"/>
              </w:rPr>
            </w:pPr>
            <w:r>
              <w:rPr>
                <w:rFonts w:hint="eastAsia"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0.1t/a</w:t>
            </w:r>
          </w:p>
        </w:tc>
        <w:tc>
          <w:tcPr>
            <w:tcW w:w="571" w:type="pct"/>
            <w:vAlign w:val="center"/>
          </w:tcPr>
          <w:p>
            <w:pPr>
              <w:spacing w:line="360" w:lineRule="auto"/>
              <w:jc w:val="center"/>
              <w:rPr>
                <w:rFonts w:cs="Times New Roman"/>
                <w:snapToGrid w:val="0"/>
                <w:kern w:val="21"/>
                <w:sz w:val="21"/>
                <w:szCs w:val="21"/>
              </w:rPr>
            </w:pPr>
            <w:r>
              <w:rPr>
                <w:rFonts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0.1t/a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pStyle w:val="41"/>
              <w:spacing w:beforeLines="0" w:afterLines="0" w:line="240" w:lineRule="auto"/>
              <w:rPr>
                <w:rFonts w:ascii="Times New Roman" w:cs="Times New Roman"/>
                <w:b w:val="0"/>
                <w:bCs/>
                <w:snapToGrid w:val="0"/>
                <w:kern w:val="21"/>
                <w:sz w:val="21"/>
                <w:szCs w:val="21"/>
              </w:rPr>
            </w:pPr>
            <w:r>
              <w:rPr>
                <w:rFonts w:hint="eastAsia" w:ascii="Times New Roman" w:cs="Times New Roman"/>
                <w:b w:val="0"/>
                <w:bCs/>
                <w:snapToGrid w:val="0"/>
                <w:kern w:val="21"/>
                <w:sz w:val="21"/>
                <w:szCs w:val="21"/>
              </w:rPr>
              <w:t>生活垃圾</w:t>
            </w:r>
          </w:p>
        </w:tc>
        <w:tc>
          <w:tcPr>
            <w:tcW w:w="707"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455"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654" w:type="pct"/>
            <w:vAlign w:val="center"/>
          </w:tcPr>
          <w:p>
            <w:pPr>
              <w:spacing w:line="360" w:lineRule="auto"/>
              <w:jc w:val="center"/>
              <w:rPr>
                <w:rFonts w:cs="Times New Roman"/>
                <w:sz w:val="21"/>
                <w:szCs w:val="21"/>
              </w:rPr>
            </w:pPr>
            <w:r>
              <w:rPr>
                <w:rFonts w:hint="eastAsia"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1.05t/a</w:t>
            </w:r>
          </w:p>
        </w:tc>
        <w:tc>
          <w:tcPr>
            <w:tcW w:w="571" w:type="pct"/>
            <w:vAlign w:val="center"/>
          </w:tcPr>
          <w:p>
            <w:pPr>
              <w:spacing w:line="360" w:lineRule="auto"/>
              <w:jc w:val="center"/>
              <w:rPr>
                <w:rFonts w:cs="Times New Roman"/>
                <w:snapToGrid w:val="0"/>
                <w:kern w:val="21"/>
                <w:sz w:val="21"/>
                <w:szCs w:val="21"/>
              </w:rPr>
            </w:pPr>
            <w:r>
              <w:rPr>
                <w:rFonts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1.05t/a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+1.05t/a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restart"/>
            <w:vAlign w:val="center"/>
          </w:tcPr>
          <w:p>
            <w:pPr>
              <w:pStyle w:val="41"/>
              <w:spacing w:beforeLines="0" w:afterLines="0" w:line="240" w:lineRule="auto"/>
              <w:rPr>
                <w:rFonts w:ascii="Times New Roman" w:cs="Times New Roman"/>
                <w:b w:val="0"/>
                <w:bCs/>
                <w:snapToGrid w:val="0"/>
                <w:kern w:val="21"/>
                <w:sz w:val="21"/>
                <w:szCs w:val="21"/>
              </w:rPr>
            </w:pPr>
            <w:r>
              <w:rPr>
                <w:rFonts w:ascii="Times New Roman" w:cs="Times New Roman"/>
                <w:b w:val="0"/>
                <w:bCs/>
                <w:snapToGrid w:val="0"/>
                <w:kern w:val="21"/>
                <w:sz w:val="21"/>
                <w:szCs w:val="21"/>
              </w:rPr>
              <w:t>危险</w:t>
            </w:r>
          </w:p>
          <w:p>
            <w:pPr>
              <w:pStyle w:val="41"/>
              <w:spacing w:beforeLines="0" w:afterLines="0" w:line="240" w:lineRule="auto"/>
              <w:rPr>
                <w:rFonts w:ascii="Times New Roman" w:cs="Times New Roman"/>
                <w:b w:val="0"/>
                <w:bCs/>
                <w:snapToGrid w:val="0"/>
                <w:kern w:val="21"/>
                <w:sz w:val="21"/>
                <w:szCs w:val="21"/>
              </w:rPr>
            </w:pPr>
            <w:r>
              <w:rPr>
                <w:rFonts w:ascii="Times New Roman" w:cs="Times New Roman"/>
                <w:b w:val="0"/>
                <w:bCs/>
                <w:snapToGrid w:val="0"/>
                <w:kern w:val="21"/>
                <w:sz w:val="21"/>
                <w:szCs w:val="21"/>
              </w:rPr>
              <w:t>废物</w:t>
            </w:r>
          </w:p>
        </w:tc>
        <w:tc>
          <w:tcPr>
            <w:tcW w:w="463" w:type="pct"/>
            <w:vAlign w:val="center"/>
          </w:tcPr>
          <w:p>
            <w:pPr>
              <w:pStyle w:val="41"/>
              <w:spacing w:beforeLines="0" w:afterLines="0" w:line="240" w:lineRule="auto"/>
              <w:rPr>
                <w:b w:val="0"/>
                <w:bCs/>
                <w:sz w:val="21"/>
                <w:szCs w:val="21"/>
              </w:rPr>
            </w:pPr>
            <w:r>
              <w:rPr>
                <w:rFonts w:hint="eastAsia"/>
                <w:b w:val="0"/>
                <w:bCs/>
                <w:sz w:val="21"/>
                <w:szCs w:val="21"/>
              </w:rPr>
              <w:t>废活性炭</w:t>
            </w:r>
          </w:p>
        </w:tc>
        <w:tc>
          <w:tcPr>
            <w:tcW w:w="707"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455"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54" w:type="pct"/>
            <w:vAlign w:val="center"/>
          </w:tcPr>
          <w:p>
            <w:pPr>
              <w:pStyle w:val="41"/>
              <w:spacing w:beforeLines="0" w:afterLines="0" w:line="360" w:lineRule="auto"/>
              <w:rPr>
                <w:rFonts w:ascii="Times New Roman" w:cs="Times New Roman"/>
                <w:snapToGrid w:val="0"/>
                <w:kern w:val="21"/>
                <w:sz w:val="21"/>
                <w:szCs w:val="21"/>
              </w:rPr>
            </w:pPr>
            <w:r>
              <w:rPr>
                <w:rFonts w:ascii="Times New Roman"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cs="Times New Roman"/>
                <w:b w:val="0"/>
                <w:bCs/>
                <w:sz w:val="21"/>
                <w:szCs w:val="21"/>
              </w:rPr>
              <w:t>1.316</w:t>
            </w:r>
            <w:r>
              <w:rPr>
                <w:rFonts w:hint="eastAsia" w:cs="Times New Roman"/>
                <w:b w:val="0"/>
                <w:bCs/>
                <w:sz w:val="21"/>
                <w:szCs w:val="21"/>
              </w:rPr>
              <w:t>t/a</w:t>
            </w:r>
          </w:p>
        </w:tc>
        <w:tc>
          <w:tcPr>
            <w:tcW w:w="571" w:type="pct"/>
            <w:vAlign w:val="center"/>
          </w:tcPr>
          <w:p>
            <w:pPr>
              <w:spacing w:line="360" w:lineRule="auto"/>
              <w:jc w:val="center"/>
              <w:rPr>
                <w:rFonts w:cs="Times New Roman"/>
                <w:b w:val="0"/>
                <w:bCs/>
                <w:sz w:val="21"/>
                <w:szCs w:val="21"/>
              </w:rPr>
            </w:pPr>
            <w:r>
              <w:rPr>
                <w:rFonts w:cs="Times New Roman"/>
                <w:b w:val="0"/>
                <w:bCs/>
                <w:sz w:val="21"/>
                <w:szCs w:val="21"/>
              </w:rPr>
              <w:t>/</w:t>
            </w:r>
          </w:p>
        </w:tc>
        <w:tc>
          <w:tcPr>
            <w:tcW w:w="707" w:type="pct"/>
            <w:vAlign w:val="center"/>
          </w:tcPr>
          <w:p>
            <w:pPr>
              <w:spacing w:line="360" w:lineRule="auto"/>
              <w:jc w:val="center"/>
              <w:rPr>
                <w:rFonts w:cs="Times New Roman"/>
                <w:b w:val="0"/>
                <w:bCs/>
                <w:sz w:val="21"/>
                <w:szCs w:val="21"/>
              </w:rPr>
            </w:pPr>
            <w:r>
              <w:rPr>
                <w:rFonts w:cs="Times New Roman"/>
                <w:b w:val="0"/>
                <w:bCs/>
                <w:sz w:val="21"/>
                <w:szCs w:val="21"/>
              </w:rPr>
              <w:t>1.316</w:t>
            </w:r>
            <w:r>
              <w:rPr>
                <w:rFonts w:hint="eastAsia" w:cs="Times New Roman"/>
                <w:b w:val="0"/>
                <w:bCs/>
                <w:sz w:val="21"/>
                <w:szCs w:val="21"/>
              </w:rPr>
              <w:t>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w:t>
            </w:r>
            <w:r>
              <w:rPr>
                <w:rFonts w:cs="Times New Roman"/>
                <w:b w:val="0"/>
                <w:bCs/>
                <w:sz w:val="21"/>
                <w:szCs w:val="21"/>
              </w:rPr>
              <w:t>1.316</w:t>
            </w:r>
            <w:r>
              <w:rPr>
                <w:rFonts w:hint="eastAsia" w:cs="Times New Roman"/>
                <w:b w:val="0"/>
                <w:bCs/>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pStyle w:val="41"/>
              <w:spacing w:beforeLines="0" w:afterLines="0" w:line="240" w:lineRule="auto"/>
              <w:rPr>
                <w:b w:val="0"/>
                <w:bCs/>
                <w:sz w:val="21"/>
                <w:szCs w:val="21"/>
              </w:rPr>
            </w:pPr>
            <w:r>
              <w:rPr>
                <w:rFonts w:hint="eastAsia"/>
                <w:b w:val="0"/>
                <w:bCs/>
                <w:sz w:val="21"/>
                <w:szCs w:val="21"/>
              </w:rPr>
              <w:t>废UV灯管</w:t>
            </w:r>
          </w:p>
        </w:tc>
        <w:tc>
          <w:tcPr>
            <w:tcW w:w="707"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455"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654"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0.01t/a</w:t>
            </w:r>
          </w:p>
        </w:tc>
        <w:tc>
          <w:tcPr>
            <w:tcW w:w="571" w:type="pct"/>
            <w:vAlign w:val="center"/>
          </w:tcPr>
          <w:p>
            <w:pPr>
              <w:spacing w:line="360" w:lineRule="auto"/>
              <w:jc w:val="center"/>
              <w:rPr>
                <w:rFonts w:cs="Times New Roman"/>
                <w:b w:val="0"/>
                <w:bCs/>
                <w:sz w:val="21"/>
                <w:szCs w:val="21"/>
              </w:rPr>
            </w:pPr>
            <w:r>
              <w:rPr>
                <w:rFonts w:hint="eastAsia"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0.01t/a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pStyle w:val="41"/>
              <w:spacing w:beforeLines="0" w:afterLines="0" w:line="240" w:lineRule="auto"/>
              <w:rPr>
                <w:b w:val="0"/>
                <w:bCs/>
                <w:sz w:val="21"/>
                <w:szCs w:val="21"/>
              </w:rPr>
            </w:pPr>
            <w:r>
              <w:rPr>
                <w:rFonts w:hint="eastAsia"/>
                <w:b w:val="0"/>
                <w:bCs/>
                <w:sz w:val="21"/>
                <w:szCs w:val="21"/>
              </w:rPr>
              <w:t>废乳液桶</w:t>
            </w:r>
          </w:p>
        </w:tc>
        <w:tc>
          <w:tcPr>
            <w:tcW w:w="707"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455"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654"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0.06t/a</w:t>
            </w:r>
          </w:p>
        </w:tc>
        <w:tc>
          <w:tcPr>
            <w:tcW w:w="571" w:type="pct"/>
            <w:vAlign w:val="center"/>
          </w:tcPr>
          <w:p>
            <w:pPr>
              <w:spacing w:line="360" w:lineRule="auto"/>
              <w:jc w:val="center"/>
              <w:rPr>
                <w:rFonts w:cs="Times New Roman"/>
                <w:b w:val="0"/>
                <w:bCs/>
                <w:sz w:val="21"/>
                <w:szCs w:val="21"/>
              </w:rPr>
            </w:pPr>
            <w:r>
              <w:rPr>
                <w:rFonts w:hint="eastAsia"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0.06t/a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+0.06t/a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vAlign w:val="center"/>
          </w:tcPr>
          <w:p>
            <w:pPr>
              <w:pStyle w:val="41"/>
              <w:spacing w:beforeLines="0" w:afterLines="0" w:line="240" w:lineRule="auto"/>
              <w:rPr>
                <w:rFonts w:ascii="Times New Roman" w:cs="Times New Roman"/>
                <w:b w:val="0"/>
                <w:bCs/>
                <w:snapToGrid w:val="0"/>
                <w:kern w:val="21"/>
                <w:sz w:val="21"/>
                <w:szCs w:val="21"/>
              </w:rPr>
            </w:pPr>
          </w:p>
        </w:tc>
        <w:tc>
          <w:tcPr>
            <w:tcW w:w="463" w:type="pct"/>
            <w:vAlign w:val="center"/>
          </w:tcPr>
          <w:p>
            <w:pPr>
              <w:pStyle w:val="41"/>
              <w:spacing w:beforeLines="0" w:afterLines="0" w:line="240" w:lineRule="auto"/>
              <w:rPr>
                <w:b w:val="0"/>
                <w:bCs/>
                <w:sz w:val="21"/>
                <w:szCs w:val="21"/>
              </w:rPr>
            </w:pPr>
            <w:r>
              <w:rPr>
                <w:rFonts w:hint="eastAsia"/>
                <w:b w:val="0"/>
                <w:bCs/>
                <w:sz w:val="21"/>
                <w:szCs w:val="21"/>
              </w:rPr>
              <w:t>废机油</w:t>
            </w:r>
          </w:p>
        </w:tc>
        <w:tc>
          <w:tcPr>
            <w:tcW w:w="707"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455"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654" w:type="pct"/>
            <w:vAlign w:val="center"/>
          </w:tcPr>
          <w:p>
            <w:pPr>
              <w:spacing w:line="360" w:lineRule="auto"/>
              <w:jc w:val="center"/>
              <w:rPr>
                <w:rFonts w:cs="Times New Roman"/>
                <w:snapToGrid w:val="0"/>
                <w:kern w:val="21"/>
                <w:sz w:val="21"/>
                <w:szCs w:val="21"/>
              </w:rPr>
            </w:pPr>
            <w:r>
              <w:rPr>
                <w:rFonts w:hint="eastAsia" w:cs="Times New Roman"/>
                <w:snapToGrid w:val="0"/>
                <w:kern w:val="21"/>
                <w:sz w:val="21"/>
                <w:szCs w:val="21"/>
              </w:rPr>
              <w:t>/</w:t>
            </w:r>
          </w:p>
        </w:tc>
        <w:tc>
          <w:tcPr>
            <w:tcW w:w="610" w:type="pct"/>
            <w:vAlign w:val="center"/>
          </w:tcPr>
          <w:p>
            <w:pPr>
              <w:spacing w:line="360" w:lineRule="auto"/>
              <w:jc w:val="center"/>
              <w:rPr>
                <w:rFonts w:cs="Times New Roman"/>
                <w:b w:val="0"/>
                <w:bCs/>
                <w:sz w:val="21"/>
                <w:szCs w:val="21"/>
              </w:rPr>
            </w:pPr>
            <w:r>
              <w:rPr>
                <w:rFonts w:hint="eastAsia" w:cs="Times New Roman"/>
                <w:b w:val="0"/>
                <w:bCs/>
                <w:sz w:val="21"/>
                <w:szCs w:val="21"/>
              </w:rPr>
              <w:t>0.01t/a</w:t>
            </w:r>
          </w:p>
        </w:tc>
        <w:tc>
          <w:tcPr>
            <w:tcW w:w="571" w:type="pct"/>
            <w:vAlign w:val="center"/>
          </w:tcPr>
          <w:p>
            <w:pPr>
              <w:spacing w:line="360" w:lineRule="auto"/>
              <w:jc w:val="center"/>
              <w:rPr>
                <w:rFonts w:cs="Times New Roman"/>
                <w:b w:val="0"/>
                <w:bCs/>
                <w:sz w:val="21"/>
                <w:szCs w:val="21"/>
              </w:rPr>
            </w:pPr>
            <w:r>
              <w:rPr>
                <w:rFonts w:hint="eastAsia" w:cs="Times New Roman"/>
                <w:snapToGrid w:val="0"/>
                <w:kern w:val="21"/>
                <w:sz w:val="21"/>
                <w:szCs w:val="21"/>
              </w:rPr>
              <w:t>/</w:t>
            </w:r>
          </w:p>
        </w:tc>
        <w:tc>
          <w:tcPr>
            <w:tcW w:w="707" w:type="pct"/>
            <w:vAlign w:val="center"/>
          </w:tcPr>
          <w:p>
            <w:pPr>
              <w:spacing w:line="360" w:lineRule="auto"/>
              <w:jc w:val="center"/>
              <w:rPr>
                <w:rFonts w:cs="Times New Roman"/>
                <w:b w:val="0"/>
                <w:bCs/>
                <w:sz w:val="21"/>
                <w:szCs w:val="21"/>
              </w:rPr>
            </w:pPr>
            <w:r>
              <w:rPr>
                <w:rFonts w:hint="eastAsia" w:cs="Times New Roman"/>
                <w:b w:val="0"/>
                <w:bCs/>
                <w:sz w:val="21"/>
                <w:szCs w:val="21"/>
              </w:rPr>
              <w:t>0.01t/a</w:t>
            </w:r>
          </w:p>
        </w:tc>
        <w:tc>
          <w:tcPr>
            <w:tcW w:w="445" w:type="pct"/>
            <w:vAlign w:val="center"/>
          </w:tcPr>
          <w:p>
            <w:pPr>
              <w:spacing w:line="360" w:lineRule="auto"/>
              <w:jc w:val="center"/>
              <w:rPr>
                <w:rFonts w:cs="Times New Roman"/>
                <w:b w:val="0"/>
                <w:bCs/>
                <w:sz w:val="21"/>
                <w:szCs w:val="21"/>
              </w:rPr>
            </w:pPr>
            <w:r>
              <w:rPr>
                <w:rFonts w:hint="eastAsia" w:cs="Times New Roman"/>
                <w:b w:val="0"/>
                <w:bCs/>
                <w:sz w:val="21"/>
                <w:szCs w:val="21"/>
              </w:rPr>
              <w:t>+0.01t/a</w:t>
            </w:r>
          </w:p>
        </w:tc>
      </w:tr>
    </w:tbl>
    <w:p>
      <w:pPr>
        <w:pStyle w:val="41"/>
        <w:spacing w:before="249" w:beforeLines="80" w:after="31"/>
        <w:jc w:val="left"/>
        <w:rPr>
          <w:rFonts w:ascii="Times New Roman" w:cs="Times New Roman"/>
          <w:snapToGrid w:val="0"/>
          <w:spacing w:val="-6"/>
          <w:kern w:val="21"/>
          <w:szCs w:val="21"/>
        </w:rPr>
        <w:sectPr>
          <w:pgSz w:w="16838" w:h="11906" w:orient="landscape"/>
          <w:pgMar w:top="1800" w:right="1440" w:bottom="1800" w:left="1440" w:header="851" w:footer="992" w:gutter="0"/>
          <w:cols w:space="425" w:num="1"/>
          <w:docGrid w:type="lines" w:linePitch="312" w:charSpace="0"/>
        </w:sectPr>
      </w:pPr>
      <w:r>
        <w:rPr>
          <w:rFonts w:ascii="Times New Roman" w:cs="Times New Roman"/>
          <w:snapToGrid w:val="0"/>
          <w:kern w:val="21"/>
          <w:szCs w:val="21"/>
        </w:rPr>
        <w:t>注：</w:t>
      </w:r>
      <w:r>
        <w:rPr>
          <w:rFonts w:ascii="Times New Roman" w:cs="Times New Roman"/>
          <w:snapToGrid w:val="0"/>
          <w:spacing w:val="-16"/>
          <w:kern w:val="21"/>
          <w:szCs w:val="21"/>
        </w:rPr>
        <w:fldChar w:fldCharType="begin"/>
      </w:r>
      <w:r>
        <w:rPr>
          <w:rFonts w:ascii="Times New Roman" w:cs="Times New Roman"/>
          <w:snapToGrid w:val="0"/>
          <w:spacing w:val="-16"/>
          <w:kern w:val="21"/>
          <w:szCs w:val="21"/>
        </w:rPr>
        <w:instrText xml:space="preserve"> = 6 \* GB3 \* MERGEFORMAT </w:instrText>
      </w:r>
      <w:r>
        <w:rPr>
          <w:rFonts w:ascii="Times New Roman" w:cs="Times New Roman"/>
          <w:snapToGrid w:val="0"/>
          <w:spacing w:val="-16"/>
          <w:kern w:val="21"/>
          <w:szCs w:val="21"/>
        </w:rPr>
        <w:fldChar w:fldCharType="separate"/>
      </w:r>
      <w:r>
        <w:rPr>
          <w:rFonts w:ascii="Times New Roman" w:cs="Times New Roman"/>
          <w:szCs w:val="21"/>
        </w:rPr>
        <w:t>⑥</w:t>
      </w:r>
      <w:r>
        <w:rPr>
          <w:rFonts w:ascii="Times New Roman" w:cs="Times New Roman"/>
          <w:snapToGrid w:val="0"/>
          <w:spacing w:val="-16"/>
          <w:kern w:val="21"/>
          <w:szCs w:val="21"/>
        </w:rPr>
        <w:fldChar w:fldCharType="end"/>
      </w:r>
      <w:r>
        <w:rPr>
          <w:rFonts w:ascii="Times New Roman" w:cs="Times New Roman"/>
          <w:snapToGrid w:val="0"/>
          <w:spacing w:val="-16"/>
          <w:kern w:val="21"/>
          <w:szCs w:val="21"/>
        </w:rPr>
        <w:t>=</w:t>
      </w:r>
      <w:r>
        <w:rPr>
          <w:rFonts w:ascii="Times New Roman" w:cs="Times New Roman"/>
          <w:snapToGrid w:val="0"/>
          <w:spacing w:val="-6"/>
          <w:kern w:val="21"/>
          <w:szCs w:val="21"/>
        </w:rPr>
        <w:fldChar w:fldCharType="begin"/>
      </w:r>
      <w:r>
        <w:rPr>
          <w:rFonts w:ascii="Times New Roman" w:cs="Times New Roman"/>
          <w:snapToGrid w:val="0"/>
          <w:spacing w:val="-6"/>
          <w:kern w:val="21"/>
          <w:szCs w:val="21"/>
        </w:rPr>
        <w:instrText xml:space="preserve"> = 1 \* GB3 \* MERGEFORMAT </w:instrText>
      </w:r>
      <w:r>
        <w:rPr>
          <w:rFonts w:ascii="Times New Roman" w:cs="Times New Roman"/>
          <w:snapToGrid w:val="0"/>
          <w:spacing w:val="-6"/>
          <w:kern w:val="21"/>
          <w:szCs w:val="21"/>
        </w:rPr>
        <w:fldChar w:fldCharType="separate"/>
      </w:r>
      <w:r>
        <w:rPr>
          <w:rFonts w:ascii="Times New Roman" w:cs="Times New Roman"/>
          <w:szCs w:val="21"/>
        </w:rPr>
        <w:t>①</w:t>
      </w:r>
      <w:r>
        <w:rPr>
          <w:rFonts w:ascii="Times New Roman" w:cs="Times New Roman"/>
          <w:snapToGrid w:val="0"/>
          <w:spacing w:val="-6"/>
          <w:kern w:val="21"/>
          <w:szCs w:val="21"/>
        </w:rPr>
        <w:fldChar w:fldCharType="end"/>
      </w:r>
      <w:r>
        <w:rPr>
          <w:rFonts w:ascii="Times New Roman" w:cs="Times New Roman"/>
          <w:snapToGrid w:val="0"/>
          <w:spacing w:val="-6"/>
          <w:kern w:val="21"/>
          <w:szCs w:val="21"/>
        </w:rPr>
        <w:t>+</w:t>
      </w:r>
      <w:r>
        <w:rPr>
          <w:rFonts w:ascii="Times New Roman" w:cs="Times New Roman"/>
          <w:snapToGrid w:val="0"/>
          <w:spacing w:val="-6"/>
          <w:kern w:val="21"/>
          <w:szCs w:val="21"/>
        </w:rPr>
        <w:fldChar w:fldCharType="begin"/>
      </w:r>
      <w:r>
        <w:rPr>
          <w:rFonts w:ascii="Times New Roman" w:cs="Times New Roman"/>
          <w:snapToGrid w:val="0"/>
          <w:spacing w:val="-6"/>
          <w:kern w:val="21"/>
          <w:szCs w:val="21"/>
        </w:rPr>
        <w:instrText xml:space="preserve"> = 3 \* GB3 \* MERGEFORMAT </w:instrText>
      </w:r>
      <w:r>
        <w:rPr>
          <w:rFonts w:ascii="Times New Roman" w:cs="Times New Roman"/>
          <w:snapToGrid w:val="0"/>
          <w:spacing w:val="-6"/>
          <w:kern w:val="21"/>
          <w:szCs w:val="21"/>
        </w:rPr>
        <w:fldChar w:fldCharType="separate"/>
      </w:r>
      <w:r>
        <w:rPr>
          <w:rFonts w:ascii="Times New Roman" w:cs="Times New Roman"/>
          <w:szCs w:val="21"/>
        </w:rPr>
        <w:t>③</w:t>
      </w:r>
      <w:r>
        <w:rPr>
          <w:rFonts w:ascii="Times New Roman" w:cs="Times New Roman"/>
          <w:snapToGrid w:val="0"/>
          <w:spacing w:val="-6"/>
          <w:kern w:val="21"/>
          <w:szCs w:val="21"/>
        </w:rPr>
        <w:fldChar w:fldCharType="end"/>
      </w:r>
      <w:r>
        <w:rPr>
          <w:rFonts w:ascii="Times New Roman" w:cs="Times New Roman"/>
          <w:snapToGrid w:val="0"/>
          <w:spacing w:val="-6"/>
          <w:kern w:val="21"/>
          <w:szCs w:val="21"/>
        </w:rPr>
        <w:t>+</w:t>
      </w:r>
      <w:r>
        <w:rPr>
          <w:rFonts w:ascii="Times New Roman" w:cs="Times New Roman"/>
          <w:snapToGrid w:val="0"/>
          <w:spacing w:val="-6"/>
          <w:kern w:val="21"/>
          <w:szCs w:val="21"/>
        </w:rPr>
        <w:fldChar w:fldCharType="begin"/>
      </w:r>
      <w:r>
        <w:rPr>
          <w:rFonts w:ascii="Times New Roman" w:cs="Times New Roman"/>
          <w:snapToGrid w:val="0"/>
          <w:spacing w:val="-6"/>
          <w:kern w:val="21"/>
          <w:szCs w:val="21"/>
        </w:rPr>
        <w:instrText xml:space="preserve"> = 4 \* GB3 \* MERGEFORMAT </w:instrText>
      </w:r>
      <w:r>
        <w:rPr>
          <w:rFonts w:ascii="Times New Roman" w:cs="Times New Roman"/>
          <w:snapToGrid w:val="0"/>
          <w:spacing w:val="-6"/>
          <w:kern w:val="21"/>
          <w:szCs w:val="21"/>
        </w:rPr>
        <w:fldChar w:fldCharType="separate"/>
      </w:r>
      <w:r>
        <w:rPr>
          <w:rFonts w:ascii="Times New Roman" w:cs="Times New Roman"/>
          <w:szCs w:val="21"/>
        </w:rPr>
        <w:t>④</w:t>
      </w:r>
      <w:r>
        <w:rPr>
          <w:rFonts w:ascii="Times New Roman" w:cs="Times New Roman"/>
          <w:snapToGrid w:val="0"/>
          <w:spacing w:val="-6"/>
          <w:kern w:val="21"/>
          <w:szCs w:val="21"/>
        </w:rPr>
        <w:fldChar w:fldCharType="end"/>
      </w:r>
      <w:r>
        <w:rPr>
          <w:rFonts w:ascii="Times New Roman" w:cs="Times New Roman"/>
          <w:snapToGrid w:val="0"/>
          <w:spacing w:val="-6"/>
          <w:kern w:val="21"/>
          <w:szCs w:val="21"/>
        </w:rPr>
        <w:t>-</w:t>
      </w:r>
      <w:r>
        <w:rPr>
          <w:rFonts w:ascii="Times New Roman" w:cs="Times New Roman"/>
          <w:snapToGrid w:val="0"/>
          <w:spacing w:val="-16"/>
          <w:kern w:val="21"/>
          <w:szCs w:val="21"/>
        </w:rPr>
        <w:fldChar w:fldCharType="begin"/>
      </w:r>
      <w:r>
        <w:rPr>
          <w:rFonts w:ascii="Times New Roman" w:cs="Times New Roman"/>
          <w:snapToGrid w:val="0"/>
          <w:spacing w:val="-16"/>
          <w:kern w:val="21"/>
          <w:szCs w:val="21"/>
        </w:rPr>
        <w:instrText xml:space="preserve"> = 5 \* GB3 \* MERGEFORMAT </w:instrText>
      </w:r>
      <w:r>
        <w:rPr>
          <w:rFonts w:ascii="Times New Roman" w:cs="Times New Roman"/>
          <w:snapToGrid w:val="0"/>
          <w:spacing w:val="-16"/>
          <w:kern w:val="21"/>
          <w:szCs w:val="21"/>
        </w:rPr>
        <w:fldChar w:fldCharType="separate"/>
      </w:r>
      <w:r>
        <w:rPr>
          <w:rFonts w:ascii="Times New Roman" w:cs="Times New Roman"/>
          <w:szCs w:val="21"/>
        </w:rPr>
        <w:t>⑤</w:t>
      </w:r>
      <w:r>
        <w:rPr>
          <w:rFonts w:ascii="Times New Roman" w:cs="Times New Roman"/>
          <w:snapToGrid w:val="0"/>
          <w:spacing w:val="-16"/>
          <w:kern w:val="21"/>
          <w:szCs w:val="21"/>
        </w:rPr>
        <w:fldChar w:fldCharType="end"/>
      </w:r>
      <w:r>
        <w:rPr>
          <w:rFonts w:ascii="Times New Roman" w:cs="Times New Roman"/>
          <w:snapToGrid w:val="0"/>
          <w:spacing w:val="-16"/>
          <w:kern w:val="21"/>
          <w:szCs w:val="21"/>
        </w:rPr>
        <w:t>；</w:t>
      </w:r>
      <w:r>
        <w:rPr>
          <w:rFonts w:ascii="Times New Roman" w:cs="Times New Roman"/>
          <w:snapToGrid w:val="0"/>
          <w:spacing w:val="-6"/>
          <w:kern w:val="21"/>
          <w:szCs w:val="21"/>
        </w:rPr>
        <w:fldChar w:fldCharType="begin"/>
      </w:r>
      <w:r>
        <w:rPr>
          <w:rFonts w:ascii="Times New Roman" w:cs="Times New Roman"/>
          <w:snapToGrid w:val="0"/>
          <w:spacing w:val="-6"/>
          <w:kern w:val="21"/>
          <w:szCs w:val="21"/>
        </w:rPr>
        <w:instrText xml:space="preserve"> = 7 \* GB3 \* MERGEFORMAT </w:instrText>
      </w:r>
      <w:r>
        <w:rPr>
          <w:rFonts w:ascii="Times New Roman" w:cs="Times New Roman"/>
          <w:snapToGrid w:val="0"/>
          <w:spacing w:val="-6"/>
          <w:kern w:val="21"/>
          <w:szCs w:val="21"/>
        </w:rPr>
        <w:fldChar w:fldCharType="separate"/>
      </w:r>
      <w:r>
        <w:rPr>
          <w:rFonts w:ascii="Times New Roman" w:cs="Times New Roman"/>
          <w:szCs w:val="21"/>
        </w:rPr>
        <w:t>⑦</w:t>
      </w:r>
      <w:r>
        <w:rPr>
          <w:rFonts w:ascii="Times New Roman" w:cs="Times New Roman"/>
          <w:snapToGrid w:val="0"/>
          <w:spacing w:val="-6"/>
          <w:kern w:val="21"/>
          <w:szCs w:val="21"/>
        </w:rPr>
        <w:fldChar w:fldCharType="end"/>
      </w:r>
      <w:r>
        <w:rPr>
          <w:rFonts w:ascii="Times New Roman" w:cs="Times New Roman"/>
          <w:snapToGrid w:val="0"/>
          <w:spacing w:val="-6"/>
          <w:kern w:val="21"/>
          <w:szCs w:val="21"/>
        </w:rPr>
        <w:t>=</w:t>
      </w:r>
      <w:r>
        <w:rPr>
          <w:rFonts w:ascii="Times New Roman" w:cs="Times New Roman"/>
          <w:snapToGrid w:val="0"/>
          <w:spacing w:val="-16"/>
          <w:kern w:val="21"/>
          <w:szCs w:val="21"/>
        </w:rPr>
        <w:fldChar w:fldCharType="begin"/>
      </w:r>
      <w:r>
        <w:rPr>
          <w:rFonts w:ascii="Times New Roman" w:cs="Times New Roman"/>
          <w:snapToGrid w:val="0"/>
          <w:spacing w:val="-16"/>
          <w:kern w:val="21"/>
          <w:szCs w:val="21"/>
        </w:rPr>
        <w:instrText xml:space="preserve"> = 6 \* GB3 \* MERGEFORMAT </w:instrText>
      </w:r>
      <w:r>
        <w:rPr>
          <w:rFonts w:ascii="Times New Roman" w:cs="Times New Roman"/>
          <w:snapToGrid w:val="0"/>
          <w:spacing w:val="-16"/>
          <w:kern w:val="21"/>
          <w:szCs w:val="21"/>
        </w:rPr>
        <w:fldChar w:fldCharType="separate"/>
      </w:r>
      <w:r>
        <w:rPr>
          <w:rFonts w:ascii="Times New Roman" w:cs="Times New Roman"/>
          <w:szCs w:val="21"/>
        </w:rPr>
        <w:t>⑥</w:t>
      </w:r>
      <w:r>
        <w:rPr>
          <w:rFonts w:ascii="Times New Roman" w:cs="Times New Roman"/>
          <w:snapToGrid w:val="0"/>
          <w:spacing w:val="-16"/>
          <w:kern w:val="21"/>
          <w:szCs w:val="21"/>
        </w:rPr>
        <w:fldChar w:fldCharType="end"/>
      </w:r>
      <w:r>
        <w:rPr>
          <w:rFonts w:ascii="Times New Roman" w:cs="Times New Roman"/>
          <w:snapToGrid w:val="0"/>
          <w:spacing w:val="-16"/>
          <w:kern w:val="21"/>
          <w:szCs w:val="21"/>
        </w:rPr>
        <w:t>-</w:t>
      </w:r>
      <w:r>
        <w:rPr>
          <w:rFonts w:ascii="Times New Roman" w:cs="Times New Roman"/>
          <w:snapToGrid w:val="0"/>
          <w:spacing w:val="-6"/>
          <w:kern w:val="21"/>
          <w:szCs w:val="21"/>
        </w:rPr>
        <w:fldChar w:fldCharType="begin"/>
      </w:r>
      <w:r>
        <w:rPr>
          <w:rFonts w:ascii="Times New Roman" w:cs="Times New Roman"/>
          <w:snapToGrid w:val="0"/>
          <w:spacing w:val="-6"/>
          <w:kern w:val="21"/>
          <w:szCs w:val="21"/>
        </w:rPr>
        <w:instrText xml:space="preserve"> = 1 \* GB3 \* MERGEFORMAT </w:instrText>
      </w:r>
      <w:r>
        <w:rPr>
          <w:rFonts w:ascii="Times New Roman" w:cs="Times New Roman"/>
          <w:snapToGrid w:val="0"/>
          <w:spacing w:val="-6"/>
          <w:kern w:val="21"/>
          <w:szCs w:val="21"/>
        </w:rPr>
        <w:fldChar w:fldCharType="separate"/>
      </w:r>
      <w:r>
        <w:rPr>
          <w:rFonts w:ascii="Times New Roman" w:cs="Times New Roman"/>
          <w:szCs w:val="21"/>
        </w:rPr>
        <w:t>①</w:t>
      </w:r>
      <w:r>
        <w:rPr>
          <w:rFonts w:ascii="Times New Roman" w:cs="Times New Roman"/>
          <w:snapToGrid w:val="0"/>
          <w:spacing w:val="-6"/>
          <w:kern w:val="21"/>
          <w:szCs w:val="21"/>
        </w:rPr>
        <w:fldChar w:fldCharType="end"/>
      </w:r>
    </w:p>
    <w:p>
      <w:pPr>
        <w:spacing w:line="360" w:lineRule="auto"/>
        <w:rPr>
          <w:rFonts w:cs="Times New Roman"/>
          <w:bCs/>
          <w:sz w:val="28"/>
          <w:szCs w:val="36"/>
        </w:rPr>
      </w:pPr>
      <w:r>
        <w:rPr>
          <w:rFonts w:cs="Times New Roman"/>
          <w:bCs/>
          <w:sz w:val="28"/>
          <w:szCs w:val="36"/>
        </w:rPr>
        <w:t>附图：</w:t>
      </w:r>
    </w:p>
    <w:p>
      <w:pPr>
        <w:spacing w:line="360" w:lineRule="auto"/>
        <w:ind w:firstLine="480" w:firstLineChars="200"/>
        <w:rPr>
          <w:rFonts w:cs="Times New Roman"/>
          <w:b w:val="0"/>
          <w:bCs/>
          <w:szCs w:val="32"/>
        </w:rPr>
      </w:pPr>
      <w:r>
        <w:rPr>
          <w:rFonts w:cs="Times New Roman"/>
          <w:b w:val="0"/>
          <w:bCs/>
          <w:szCs w:val="32"/>
        </w:rPr>
        <w:t>附图1：项目地理位置图</w:t>
      </w:r>
    </w:p>
    <w:p>
      <w:pPr>
        <w:spacing w:line="360" w:lineRule="auto"/>
        <w:ind w:firstLine="480" w:firstLineChars="200"/>
        <w:rPr>
          <w:rFonts w:cs="Times New Roman"/>
          <w:b w:val="0"/>
          <w:bCs/>
          <w:szCs w:val="32"/>
        </w:rPr>
      </w:pPr>
      <w:r>
        <w:rPr>
          <w:rFonts w:cs="Times New Roman"/>
          <w:b w:val="0"/>
          <w:bCs/>
          <w:szCs w:val="32"/>
        </w:rPr>
        <w:t>附图2：项目园区位置图</w:t>
      </w:r>
    </w:p>
    <w:p>
      <w:pPr>
        <w:spacing w:line="360" w:lineRule="auto"/>
        <w:ind w:firstLine="480" w:firstLineChars="200"/>
        <w:rPr>
          <w:rFonts w:cs="Times New Roman"/>
          <w:b w:val="0"/>
          <w:bCs/>
          <w:szCs w:val="32"/>
        </w:rPr>
      </w:pPr>
      <w:r>
        <w:rPr>
          <w:rFonts w:cs="Times New Roman"/>
          <w:b w:val="0"/>
          <w:bCs/>
          <w:szCs w:val="32"/>
        </w:rPr>
        <w:t>附图</w:t>
      </w:r>
      <w:r>
        <w:rPr>
          <w:rFonts w:hint="eastAsia" w:cs="Times New Roman"/>
          <w:b w:val="0"/>
          <w:bCs/>
          <w:szCs w:val="32"/>
        </w:rPr>
        <w:t>3</w:t>
      </w:r>
      <w:r>
        <w:rPr>
          <w:rFonts w:cs="Times New Roman"/>
          <w:b w:val="0"/>
          <w:bCs/>
          <w:szCs w:val="32"/>
        </w:rPr>
        <w:t>：</w:t>
      </w:r>
      <w:r>
        <w:rPr>
          <w:rFonts w:hint="eastAsia" w:cs="Times New Roman"/>
          <w:b w:val="0"/>
          <w:bCs/>
          <w:szCs w:val="32"/>
        </w:rPr>
        <w:t>项目产业分区图</w:t>
      </w:r>
    </w:p>
    <w:p>
      <w:pPr>
        <w:spacing w:line="360" w:lineRule="auto"/>
        <w:ind w:firstLine="480" w:firstLineChars="200"/>
        <w:rPr>
          <w:rFonts w:cs="Times New Roman"/>
          <w:b w:val="0"/>
          <w:bCs/>
          <w:szCs w:val="32"/>
        </w:rPr>
      </w:pPr>
      <w:r>
        <w:rPr>
          <w:rFonts w:cs="Times New Roman"/>
          <w:b w:val="0"/>
          <w:bCs/>
          <w:szCs w:val="32"/>
        </w:rPr>
        <w:t>附图</w:t>
      </w:r>
      <w:r>
        <w:rPr>
          <w:rFonts w:hint="eastAsia" w:cs="Times New Roman"/>
          <w:b w:val="0"/>
          <w:bCs/>
          <w:szCs w:val="32"/>
        </w:rPr>
        <w:t>4：项目区周边关系图</w:t>
      </w:r>
    </w:p>
    <w:p>
      <w:pPr>
        <w:pStyle w:val="9"/>
        <w:spacing w:after="0" w:line="360" w:lineRule="auto"/>
        <w:ind w:left="0" w:leftChars="0" w:firstLine="480" w:firstLineChars="200"/>
        <w:rPr>
          <w:rFonts w:ascii="Times New Roman" w:hAnsi="Times New Roman" w:cs="Times New Roman"/>
          <w:b w:val="0"/>
          <w:bCs/>
        </w:rPr>
      </w:pPr>
      <w:r>
        <w:rPr>
          <w:rFonts w:ascii="Times New Roman" w:hAnsi="Times New Roman" w:cs="Times New Roman"/>
          <w:b w:val="0"/>
          <w:bCs/>
          <w:kern w:val="2"/>
          <w:sz w:val="24"/>
          <w:szCs w:val="32"/>
        </w:rPr>
        <w:t>附图</w:t>
      </w:r>
      <w:r>
        <w:rPr>
          <w:rFonts w:hint="eastAsia" w:ascii="Times New Roman" w:hAnsi="Times New Roman" w:cs="Times New Roman"/>
          <w:b w:val="0"/>
          <w:bCs/>
          <w:kern w:val="2"/>
          <w:sz w:val="24"/>
          <w:szCs w:val="32"/>
        </w:rPr>
        <w:t>5：</w:t>
      </w:r>
      <w:r>
        <w:rPr>
          <w:rFonts w:ascii="Times New Roman" w:hAnsi="Times New Roman" w:cs="Times New Roman"/>
          <w:b w:val="0"/>
          <w:bCs/>
          <w:sz w:val="24"/>
          <w:szCs w:val="32"/>
        </w:rPr>
        <w:t>平面布置图</w:t>
      </w:r>
    </w:p>
    <w:p>
      <w:pPr>
        <w:spacing w:line="360" w:lineRule="auto"/>
        <w:ind w:firstLine="480" w:firstLineChars="200"/>
        <w:rPr>
          <w:rFonts w:cs="Times New Roman"/>
          <w:b w:val="0"/>
          <w:bCs/>
          <w:szCs w:val="32"/>
        </w:rPr>
      </w:pPr>
      <w:r>
        <w:rPr>
          <w:rFonts w:cs="Times New Roman"/>
          <w:b w:val="0"/>
          <w:bCs/>
          <w:szCs w:val="32"/>
        </w:rPr>
        <w:t>附图</w:t>
      </w:r>
      <w:r>
        <w:rPr>
          <w:rFonts w:hint="eastAsia" w:cs="Times New Roman"/>
          <w:b w:val="0"/>
          <w:bCs/>
          <w:szCs w:val="32"/>
        </w:rPr>
        <w:t>6：监测点位图</w:t>
      </w:r>
    </w:p>
    <w:p>
      <w:pPr>
        <w:pStyle w:val="20"/>
        <w:ind w:firstLine="480"/>
        <w:rPr>
          <w:rFonts w:cs="Times New Roman"/>
          <w:bCs/>
          <w:szCs w:val="32"/>
        </w:rPr>
      </w:pPr>
      <w:r>
        <w:rPr>
          <w:rFonts w:cs="Times New Roman"/>
          <w:bCs/>
          <w:szCs w:val="32"/>
        </w:rPr>
        <w:t>附图</w:t>
      </w:r>
      <w:r>
        <w:rPr>
          <w:rFonts w:hint="eastAsia" w:cs="Times New Roman"/>
          <w:bCs/>
          <w:szCs w:val="32"/>
        </w:rPr>
        <w:t>7：</w:t>
      </w:r>
      <w:r>
        <w:rPr>
          <w:rFonts w:cs="Times New Roman"/>
          <w:bCs/>
          <w:szCs w:val="32"/>
        </w:rPr>
        <w:t>项目环境管控单元图</w:t>
      </w:r>
    </w:p>
    <w:p>
      <w:pPr>
        <w:pStyle w:val="20"/>
        <w:ind w:firstLine="480"/>
        <w:rPr>
          <w:rFonts w:hint="default" w:eastAsia="宋体" w:cs="Times New Roman"/>
          <w:bCs/>
          <w:szCs w:val="32"/>
          <w:lang w:val="en-US" w:eastAsia="zh-CN"/>
        </w:rPr>
      </w:pPr>
      <w:r>
        <w:rPr>
          <w:rFonts w:hint="eastAsia" w:cs="Times New Roman"/>
          <w:bCs/>
          <w:szCs w:val="32"/>
          <w:lang w:val="en-US" w:eastAsia="zh-CN"/>
        </w:rPr>
        <w:t>附图8：项目分区防渗图</w:t>
      </w:r>
    </w:p>
    <w:p>
      <w:pPr>
        <w:pStyle w:val="20"/>
        <w:ind w:firstLine="0" w:firstLineChars="0"/>
        <w:rPr>
          <w:rFonts w:cs="Times New Roman"/>
          <w:b/>
          <w:bCs/>
          <w:sz w:val="28"/>
          <w:szCs w:val="36"/>
        </w:rPr>
      </w:pPr>
    </w:p>
    <w:p>
      <w:pPr>
        <w:pStyle w:val="20"/>
        <w:ind w:firstLine="0" w:firstLineChars="0"/>
        <w:rPr>
          <w:rFonts w:cs="Times New Roman"/>
          <w:b/>
          <w:bCs/>
          <w:sz w:val="28"/>
          <w:szCs w:val="36"/>
        </w:rPr>
      </w:pPr>
      <w:r>
        <w:rPr>
          <w:rFonts w:cs="Times New Roman"/>
          <w:b/>
          <w:bCs/>
          <w:sz w:val="28"/>
          <w:szCs w:val="36"/>
        </w:rPr>
        <w:t>附件：</w:t>
      </w:r>
    </w:p>
    <w:p>
      <w:pPr>
        <w:spacing w:line="360" w:lineRule="auto"/>
        <w:ind w:firstLine="480" w:firstLineChars="200"/>
        <w:rPr>
          <w:rFonts w:cs="Times New Roman"/>
          <w:b w:val="0"/>
          <w:bCs/>
          <w:szCs w:val="32"/>
        </w:rPr>
      </w:pPr>
      <w:r>
        <w:rPr>
          <w:rFonts w:cs="Times New Roman"/>
          <w:b w:val="0"/>
          <w:bCs/>
          <w:szCs w:val="32"/>
        </w:rPr>
        <w:t>附件1：委托书</w:t>
      </w:r>
    </w:p>
    <w:p>
      <w:pPr>
        <w:spacing w:line="360" w:lineRule="auto"/>
        <w:ind w:firstLine="480" w:firstLineChars="200"/>
        <w:rPr>
          <w:rFonts w:cs="Times New Roman"/>
          <w:b w:val="0"/>
          <w:bCs/>
          <w:szCs w:val="32"/>
        </w:rPr>
      </w:pPr>
      <w:r>
        <w:rPr>
          <w:rFonts w:cs="Times New Roman"/>
          <w:b w:val="0"/>
          <w:bCs/>
          <w:szCs w:val="32"/>
        </w:rPr>
        <w:t>附件2：发改委立项文件</w:t>
      </w:r>
    </w:p>
    <w:p>
      <w:pPr>
        <w:spacing w:line="360" w:lineRule="auto"/>
        <w:ind w:firstLine="480" w:firstLineChars="200"/>
        <w:rPr>
          <w:rFonts w:hint="default" w:eastAsia="宋体" w:cs="Times New Roman"/>
          <w:b w:val="0"/>
          <w:bCs/>
          <w:szCs w:val="32"/>
          <w:lang w:val="en-US" w:eastAsia="zh-CN"/>
        </w:rPr>
      </w:pPr>
      <w:r>
        <w:rPr>
          <w:rFonts w:cs="Times New Roman"/>
          <w:b w:val="0"/>
          <w:bCs/>
          <w:szCs w:val="32"/>
        </w:rPr>
        <w:t>附件3：</w:t>
      </w:r>
      <w:r>
        <w:rPr>
          <w:rFonts w:hint="eastAsia" w:cs="Times New Roman"/>
          <w:b w:val="0"/>
          <w:bCs/>
          <w:szCs w:val="32"/>
          <w:lang w:val="en-US" w:eastAsia="zh-CN"/>
        </w:rPr>
        <w:t>营业执照</w:t>
      </w:r>
    </w:p>
    <w:p>
      <w:pPr>
        <w:spacing w:line="360" w:lineRule="auto"/>
        <w:ind w:firstLine="480" w:firstLineChars="200"/>
        <w:rPr>
          <w:rFonts w:cs="Times New Roman"/>
          <w:b w:val="0"/>
          <w:bCs/>
          <w:szCs w:val="32"/>
        </w:rPr>
      </w:pPr>
      <w:r>
        <w:rPr>
          <w:rFonts w:cs="Times New Roman"/>
          <w:b w:val="0"/>
          <w:bCs/>
          <w:szCs w:val="32"/>
        </w:rPr>
        <w:t>附件4：</w:t>
      </w:r>
      <w:r>
        <w:rPr>
          <w:rFonts w:hint="eastAsia" w:cs="Times New Roman"/>
          <w:b w:val="0"/>
          <w:bCs/>
          <w:szCs w:val="32"/>
        </w:rPr>
        <w:t>租赁合同</w:t>
      </w:r>
    </w:p>
    <w:p>
      <w:pPr>
        <w:spacing w:line="360" w:lineRule="auto"/>
        <w:ind w:firstLine="480" w:firstLineChars="200"/>
        <w:rPr>
          <w:rFonts w:hint="eastAsia" w:cs="Times New Roman"/>
          <w:b w:val="0"/>
          <w:bCs/>
          <w:szCs w:val="32"/>
        </w:rPr>
      </w:pPr>
      <w:r>
        <w:rPr>
          <w:rFonts w:hint="eastAsia" w:cs="Times New Roman"/>
          <w:b w:val="0"/>
          <w:bCs/>
          <w:szCs w:val="32"/>
        </w:rPr>
        <w:t>附件5：</w:t>
      </w:r>
      <w:r>
        <w:rPr>
          <w:rFonts w:cs="Times New Roman"/>
          <w:b w:val="0"/>
          <w:bCs/>
          <w:szCs w:val="32"/>
        </w:rPr>
        <w:t>园区规划环评审查意见</w:t>
      </w:r>
    </w:p>
    <w:p>
      <w:pPr>
        <w:spacing w:line="360" w:lineRule="auto"/>
        <w:ind w:firstLine="480" w:firstLineChars="200"/>
        <w:rPr>
          <w:rFonts w:hint="eastAsia" w:cs="Times New Roman"/>
          <w:b w:val="0"/>
          <w:bCs/>
          <w:szCs w:val="32"/>
        </w:rPr>
      </w:pPr>
      <w:r>
        <w:rPr>
          <w:rFonts w:hint="eastAsia" w:cs="Times New Roman"/>
          <w:b w:val="0"/>
          <w:bCs/>
          <w:szCs w:val="32"/>
        </w:rPr>
        <w:t>附件</w:t>
      </w:r>
      <w:r>
        <w:rPr>
          <w:rFonts w:hint="eastAsia" w:cs="Times New Roman"/>
          <w:b w:val="0"/>
          <w:bCs/>
          <w:szCs w:val="32"/>
          <w:lang w:val="en-US" w:eastAsia="zh-CN"/>
        </w:rPr>
        <w:t>6</w:t>
      </w:r>
      <w:r>
        <w:rPr>
          <w:rFonts w:hint="eastAsia" w:cs="Times New Roman"/>
          <w:b w:val="0"/>
          <w:bCs/>
          <w:szCs w:val="32"/>
        </w:rPr>
        <w:t>：监测报告单</w:t>
      </w:r>
    </w:p>
    <w:p>
      <w:pPr>
        <w:pStyle w:val="2"/>
        <w:jc w:val="left"/>
      </w:pPr>
    </w:p>
    <w:p/>
    <w:p>
      <w:pPr>
        <w:pStyle w:val="10"/>
        <w:ind w:left="48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C2902"/>
    <w:multiLevelType w:val="singleLevel"/>
    <w:tmpl w:val="89BC2902"/>
    <w:lvl w:ilvl="0" w:tentative="0">
      <w:start w:val="1"/>
      <w:numFmt w:val="decimal"/>
      <w:suff w:val="space"/>
      <w:lvlText w:val="%1."/>
      <w:lvlJc w:val="left"/>
    </w:lvl>
  </w:abstractNum>
  <w:abstractNum w:abstractNumId="1">
    <w:nsid w:val="8B275E21"/>
    <w:multiLevelType w:val="singleLevel"/>
    <w:tmpl w:val="8B275E21"/>
    <w:lvl w:ilvl="0" w:tentative="0">
      <w:start w:val="1"/>
      <w:numFmt w:val="decimal"/>
      <w:suff w:val="nothing"/>
      <w:lvlText w:val="（%1）"/>
      <w:lvlJc w:val="left"/>
    </w:lvl>
  </w:abstractNum>
  <w:abstractNum w:abstractNumId="2">
    <w:nsid w:val="9096802E"/>
    <w:multiLevelType w:val="singleLevel"/>
    <w:tmpl w:val="9096802E"/>
    <w:lvl w:ilvl="0" w:tentative="0">
      <w:start w:val="1"/>
      <w:numFmt w:val="decimal"/>
      <w:suff w:val="space"/>
      <w:lvlText w:val="（%1）"/>
      <w:lvlJc w:val="left"/>
    </w:lvl>
  </w:abstractNum>
  <w:abstractNum w:abstractNumId="3">
    <w:nsid w:val="A11F30F9"/>
    <w:multiLevelType w:val="singleLevel"/>
    <w:tmpl w:val="A11F30F9"/>
    <w:lvl w:ilvl="0" w:tentative="0">
      <w:start w:val="1"/>
      <w:numFmt w:val="decimalEnclosedCircleChinese"/>
      <w:suff w:val="space"/>
      <w:lvlText w:val="%1"/>
      <w:lvlJc w:val="left"/>
      <w:rPr>
        <w:rFonts w:hint="eastAsia"/>
      </w:rPr>
    </w:lvl>
  </w:abstractNum>
  <w:abstractNum w:abstractNumId="4">
    <w:nsid w:val="A4D6D474"/>
    <w:multiLevelType w:val="singleLevel"/>
    <w:tmpl w:val="A4D6D474"/>
    <w:lvl w:ilvl="0" w:tentative="0">
      <w:start w:val="1"/>
      <w:numFmt w:val="decimal"/>
      <w:suff w:val="space"/>
      <w:lvlText w:val="%1."/>
      <w:lvlJc w:val="left"/>
    </w:lvl>
  </w:abstractNum>
  <w:abstractNum w:abstractNumId="5">
    <w:nsid w:val="B99A8193"/>
    <w:multiLevelType w:val="singleLevel"/>
    <w:tmpl w:val="B99A8193"/>
    <w:lvl w:ilvl="0" w:tentative="0">
      <w:start w:val="1"/>
      <w:numFmt w:val="decimal"/>
      <w:suff w:val="nothing"/>
      <w:lvlText w:val="（%1）"/>
      <w:lvlJc w:val="left"/>
    </w:lvl>
  </w:abstractNum>
  <w:abstractNum w:abstractNumId="6">
    <w:nsid w:val="B9EE77B4"/>
    <w:multiLevelType w:val="singleLevel"/>
    <w:tmpl w:val="B9EE77B4"/>
    <w:lvl w:ilvl="0" w:tentative="0">
      <w:start w:val="1"/>
      <w:numFmt w:val="decimal"/>
      <w:suff w:val="nothing"/>
      <w:lvlText w:val="（%1）"/>
      <w:lvlJc w:val="left"/>
    </w:lvl>
  </w:abstractNum>
  <w:abstractNum w:abstractNumId="7">
    <w:nsid w:val="D0EC41C2"/>
    <w:multiLevelType w:val="singleLevel"/>
    <w:tmpl w:val="D0EC41C2"/>
    <w:lvl w:ilvl="0" w:tentative="0">
      <w:start w:val="1"/>
      <w:numFmt w:val="decimal"/>
      <w:suff w:val="space"/>
      <w:lvlText w:val="%1."/>
      <w:lvlJc w:val="left"/>
    </w:lvl>
  </w:abstractNum>
  <w:abstractNum w:abstractNumId="8">
    <w:nsid w:val="D328BF7F"/>
    <w:multiLevelType w:val="singleLevel"/>
    <w:tmpl w:val="D328BF7F"/>
    <w:lvl w:ilvl="0" w:tentative="0">
      <w:start w:val="1"/>
      <w:numFmt w:val="decimal"/>
      <w:suff w:val="space"/>
      <w:lvlText w:val="（%1）"/>
      <w:lvlJc w:val="left"/>
    </w:lvl>
  </w:abstractNum>
  <w:abstractNum w:abstractNumId="9">
    <w:nsid w:val="D7C4834C"/>
    <w:multiLevelType w:val="multilevel"/>
    <w:tmpl w:val="D7C4834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DE33A77D"/>
    <w:multiLevelType w:val="singleLevel"/>
    <w:tmpl w:val="DE33A77D"/>
    <w:lvl w:ilvl="0" w:tentative="0">
      <w:start w:val="1"/>
      <w:numFmt w:val="chineseCounting"/>
      <w:suff w:val="nothing"/>
      <w:lvlText w:val="%1、"/>
      <w:lvlJc w:val="left"/>
      <w:rPr>
        <w:rFonts w:hint="eastAsia"/>
      </w:rPr>
    </w:lvl>
  </w:abstractNum>
  <w:abstractNum w:abstractNumId="11">
    <w:nsid w:val="ED32D9EB"/>
    <w:multiLevelType w:val="singleLevel"/>
    <w:tmpl w:val="ED32D9EB"/>
    <w:lvl w:ilvl="0" w:tentative="0">
      <w:start w:val="1"/>
      <w:numFmt w:val="decimal"/>
      <w:suff w:val="space"/>
      <w:lvlText w:val="（%1）"/>
      <w:lvlJc w:val="left"/>
    </w:lvl>
  </w:abstractNum>
  <w:abstractNum w:abstractNumId="12">
    <w:nsid w:val="EDCDB384"/>
    <w:multiLevelType w:val="singleLevel"/>
    <w:tmpl w:val="EDCDB384"/>
    <w:lvl w:ilvl="0" w:tentative="0">
      <w:start w:val="1"/>
      <w:numFmt w:val="decimal"/>
      <w:suff w:val="space"/>
      <w:lvlText w:val="（%1）"/>
      <w:lvlJc w:val="left"/>
    </w:lvl>
  </w:abstractNum>
  <w:abstractNum w:abstractNumId="13">
    <w:nsid w:val="F0C0A8C4"/>
    <w:multiLevelType w:val="multilevel"/>
    <w:tmpl w:val="F0C0A8C4"/>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4">
    <w:nsid w:val="F1E32954"/>
    <w:multiLevelType w:val="singleLevel"/>
    <w:tmpl w:val="F1E32954"/>
    <w:lvl w:ilvl="0" w:tentative="0">
      <w:start w:val="1"/>
      <w:numFmt w:val="decimal"/>
      <w:suff w:val="space"/>
      <w:lvlText w:val="（%1）"/>
      <w:lvlJc w:val="left"/>
    </w:lvl>
  </w:abstractNum>
  <w:abstractNum w:abstractNumId="15">
    <w:nsid w:val="FBF54820"/>
    <w:multiLevelType w:val="singleLevel"/>
    <w:tmpl w:val="FBF54820"/>
    <w:lvl w:ilvl="0" w:tentative="0">
      <w:start w:val="1"/>
      <w:numFmt w:val="decimal"/>
      <w:suff w:val="space"/>
      <w:lvlText w:val="%1."/>
      <w:lvlJc w:val="left"/>
    </w:lvl>
  </w:abstractNum>
  <w:abstractNum w:abstractNumId="16">
    <w:nsid w:val="078BFEFE"/>
    <w:multiLevelType w:val="singleLevel"/>
    <w:tmpl w:val="078BFEFE"/>
    <w:lvl w:ilvl="0" w:tentative="0">
      <w:start w:val="1"/>
      <w:numFmt w:val="decimal"/>
      <w:suff w:val="space"/>
      <w:lvlText w:val="（%1）"/>
      <w:lvlJc w:val="left"/>
    </w:lvl>
  </w:abstractNum>
  <w:abstractNum w:abstractNumId="17">
    <w:nsid w:val="0A1AC956"/>
    <w:multiLevelType w:val="singleLevel"/>
    <w:tmpl w:val="0A1AC956"/>
    <w:lvl w:ilvl="0" w:tentative="0">
      <w:start w:val="1"/>
      <w:numFmt w:val="decimal"/>
      <w:suff w:val="space"/>
      <w:lvlText w:val="%1."/>
      <w:lvlJc w:val="left"/>
    </w:lvl>
  </w:abstractNum>
  <w:abstractNum w:abstractNumId="18">
    <w:nsid w:val="10397054"/>
    <w:multiLevelType w:val="singleLevel"/>
    <w:tmpl w:val="10397054"/>
    <w:lvl w:ilvl="0" w:tentative="0">
      <w:start w:val="1"/>
      <w:numFmt w:val="decimal"/>
      <w:suff w:val="space"/>
      <w:lvlText w:val="（%1）"/>
      <w:lvlJc w:val="left"/>
    </w:lvl>
  </w:abstractNum>
  <w:abstractNum w:abstractNumId="19">
    <w:nsid w:val="2AA2DFE6"/>
    <w:multiLevelType w:val="singleLevel"/>
    <w:tmpl w:val="2AA2DFE6"/>
    <w:lvl w:ilvl="0" w:tentative="0">
      <w:start w:val="1"/>
      <w:numFmt w:val="decimal"/>
      <w:suff w:val="space"/>
      <w:lvlText w:val="（%1）"/>
      <w:lvlJc w:val="left"/>
    </w:lvl>
  </w:abstractNum>
  <w:abstractNum w:abstractNumId="20">
    <w:nsid w:val="2C54DFD2"/>
    <w:multiLevelType w:val="singleLevel"/>
    <w:tmpl w:val="2C54DFD2"/>
    <w:lvl w:ilvl="0" w:tentative="0">
      <w:start w:val="1"/>
      <w:numFmt w:val="decimal"/>
      <w:suff w:val="space"/>
      <w:lvlText w:val="%1."/>
      <w:lvlJc w:val="left"/>
    </w:lvl>
  </w:abstractNum>
  <w:abstractNum w:abstractNumId="21">
    <w:nsid w:val="3B5B269C"/>
    <w:multiLevelType w:val="singleLevel"/>
    <w:tmpl w:val="3B5B269C"/>
    <w:lvl w:ilvl="0" w:tentative="0">
      <w:start w:val="1"/>
      <w:numFmt w:val="decimal"/>
      <w:suff w:val="space"/>
      <w:lvlText w:val="（%1）"/>
      <w:lvlJc w:val="left"/>
    </w:lvl>
  </w:abstractNum>
  <w:abstractNum w:abstractNumId="22">
    <w:nsid w:val="406073BD"/>
    <w:multiLevelType w:val="singleLevel"/>
    <w:tmpl w:val="406073BD"/>
    <w:lvl w:ilvl="0" w:tentative="0">
      <w:start w:val="1"/>
      <w:numFmt w:val="decimal"/>
      <w:suff w:val="space"/>
      <w:lvlText w:val="%1."/>
      <w:lvlJc w:val="left"/>
    </w:lvl>
  </w:abstractNum>
  <w:abstractNum w:abstractNumId="23">
    <w:nsid w:val="5783F24F"/>
    <w:multiLevelType w:val="singleLevel"/>
    <w:tmpl w:val="5783F24F"/>
    <w:lvl w:ilvl="0" w:tentative="0">
      <w:start w:val="1"/>
      <w:numFmt w:val="decimal"/>
      <w:suff w:val="space"/>
      <w:lvlText w:val="%1."/>
      <w:lvlJc w:val="left"/>
    </w:lvl>
  </w:abstractNum>
  <w:abstractNum w:abstractNumId="24">
    <w:nsid w:val="57D4EB46"/>
    <w:multiLevelType w:val="singleLevel"/>
    <w:tmpl w:val="57D4EB46"/>
    <w:lvl w:ilvl="0" w:tentative="0">
      <w:start w:val="5"/>
      <w:numFmt w:val="decimal"/>
      <w:suff w:val="space"/>
      <w:lvlText w:val="%1."/>
      <w:lvlJc w:val="left"/>
    </w:lvl>
  </w:abstractNum>
  <w:abstractNum w:abstractNumId="25">
    <w:nsid w:val="6764DBA4"/>
    <w:multiLevelType w:val="singleLevel"/>
    <w:tmpl w:val="6764DBA4"/>
    <w:lvl w:ilvl="0" w:tentative="0">
      <w:start w:val="1"/>
      <w:numFmt w:val="decimal"/>
      <w:suff w:val="space"/>
      <w:lvlText w:val="（%1）"/>
      <w:lvlJc w:val="left"/>
    </w:lvl>
  </w:abstractNum>
  <w:abstractNum w:abstractNumId="26">
    <w:nsid w:val="6A7F22FC"/>
    <w:multiLevelType w:val="singleLevel"/>
    <w:tmpl w:val="6A7F22FC"/>
    <w:lvl w:ilvl="0" w:tentative="0">
      <w:start w:val="1"/>
      <w:numFmt w:val="decimal"/>
      <w:suff w:val="space"/>
      <w:lvlText w:val="%1."/>
      <w:lvlJc w:val="left"/>
    </w:lvl>
  </w:abstractNum>
  <w:abstractNum w:abstractNumId="27">
    <w:nsid w:val="6FBE5367"/>
    <w:multiLevelType w:val="singleLevel"/>
    <w:tmpl w:val="6FBE5367"/>
    <w:lvl w:ilvl="0" w:tentative="0">
      <w:start w:val="1"/>
      <w:numFmt w:val="chineseCounting"/>
      <w:suff w:val="space"/>
      <w:lvlText w:val="（%1）"/>
      <w:lvlJc w:val="left"/>
      <w:rPr>
        <w:rFonts w:hint="eastAsia"/>
      </w:rPr>
    </w:lvl>
  </w:abstractNum>
  <w:abstractNum w:abstractNumId="28">
    <w:nsid w:val="74E3A87A"/>
    <w:multiLevelType w:val="singleLevel"/>
    <w:tmpl w:val="74E3A87A"/>
    <w:lvl w:ilvl="0" w:tentative="0">
      <w:start w:val="1"/>
      <w:numFmt w:val="decimal"/>
      <w:suff w:val="space"/>
      <w:lvlText w:val="（%1）"/>
      <w:lvlJc w:val="left"/>
    </w:lvl>
  </w:abstractNum>
  <w:num w:numId="1">
    <w:abstractNumId w:val="10"/>
  </w:num>
  <w:num w:numId="2">
    <w:abstractNumId w:val="20"/>
  </w:num>
  <w:num w:numId="3">
    <w:abstractNumId w:val="27"/>
  </w:num>
  <w:num w:numId="4">
    <w:abstractNumId w:val="15"/>
  </w:num>
  <w:num w:numId="5">
    <w:abstractNumId w:val="23"/>
  </w:num>
  <w:num w:numId="6">
    <w:abstractNumId w:val="18"/>
  </w:num>
  <w:num w:numId="7">
    <w:abstractNumId w:val="13"/>
  </w:num>
  <w:num w:numId="8">
    <w:abstractNumId w:val="5"/>
  </w:num>
  <w:num w:numId="9">
    <w:abstractNumId w:val="28"/>
  </w:num>
  <w:num w:numId="10">
    <w:abstractNumId w:val="4"/>
  </w:num>
  <w:num w:numId="11">
    <w:abstractNumId w:val="12"/>
  </w:num>
  <w:num w:numId="12">
    <w:abstractNumId w:val="1"/>
  </w:num>
  <w:num w:numId="13">
    <w:abstractNumId w:val="24"/>
  </w:num>
  <w:num w:numId="14">
    <w:abstractNumId w:val="22"/>
  </w:num>
  <w:num w:numId="15">
    <w:abstractNumId w:val="0"/>
  </w:num>
  <w:num w:numId="16">
    <w:abstractNumId w:val="16"/>
  </w:num>
  <w:num w:numId="17">
    <w:abstractNumId w:val="7"/>
  </w:num>
  <w:num w:numId="18">
    <w:abstractNumId w:val="8"/>
  </w:num>
  <w:num w:numId="19">
    <w:abstractNumId w:val="2"/>
  </w:num>
  <w:num w:numId="20">
    <w:abstractNumId w:val="9"/>
  </w:num>
  <w:num w:numId="21">
    <w:abstractNumId w:val="19"/>
  </w:num>
  <w:num w:numId="22">
    <w:abstractNumId w:val="6"/>
  </w:num>
  <w:num w:numId="23">
    <w:abstractNumId w:val="21"/>
  </w:num>
  <w:num w:numId="24">
    <w:abstractNumId w:val="25"/>
  </w:num>
  <w:num w:numId="25">
    <w:abstractNumId w:val="14"/>
  </w:num>
  <w:num w:numId="26">
    <w:abstractNumId w:val="17"/>
  </w:num>
  <w:num w:numId="27">
    <w:abstractNumId w:val="11"/>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968"/>
    <w:rsid w:val="001729AD"/>
    <w:rsid w:val="00177BF8"/>
    <w:rsid w:val="001F32ED"/>
    <w:rsid w:val="003406F6"/>
    <w:rsid w:val="003C5BFE"/>
    <w:rsid w:val="00444968"/>
    <w:rsid w:val="004E78DA"/>
    <w:rsid w:val="00554505"/>
    <w:rsid w:val="005721F5"/>
    <w:rsid w:val="00762AFD"/>
    <w:rsid w:val="00832AE1"/>
    <w:rsid w:val="00964E3E"/>
    <w:rsid w:val="00A962D3"/>
    <w:rsid w:val="00AA2BBE"/>
    <w:rsid w:val="00B04E3E"/>
    <w:rsid w:val="00BB71F7"/>
    <w:rsid w:val="00CD057E"/>
    <w:rsid w:val="00D4132C"/>
    <w:rsid w:val="00D531C8"/>
    <w:rsid w:val="00DB6249"/>
    <w:rsid w:val="00E77EDE"/>
    <w:rsid w:val="00EC4469"/>
    <w:rsid w:val="00F33370"/>
    <w:rsid w:val="00F95485"/>
    <w:rsid w:val="01017DA9"/>
    <w:rsid w:val="01056270"/>
    <w:rsid w:val="010B7D84"/>
    <w:rsid w:val="010E7048"/>
    <w:rsid w:val="011E6501"/>
    <w:rsid w:val="01213866"/>
    <w:rsid w:val="012B197D"/>
    <w:rsid w:val="013A0AF8"/>
    <w:rsid w:val="01455DA0"/>
    <w:rsid w:val="014F71AA"/>
    <w:rsid w:val="015019EC"/>
    <w:rsid w:val="01582307"/>
    <w:rsid w:val="016B2D4A"/>
    <w:rsid w:val="016D10E7"/>
    <w:rsid w:val="01792999"/>
    <w:rsid w:val="0180414B"/>
    <w:rsid w:val="0180690E"/>
    <w:rsid w:val="01813C63"/>
    <w:rsid w:val="01882E0B"/>
    <w:rsid w:val="01887C9C"/>
    <w:rsid w:val="019323AB"/>
    <w:rsid w:val="01A2371D"/>
    <w:rsid w:val="01A469B0"/>
    <w:rsid w:val="01B276DE"/>
    <w:rsid w:val="01B72D1A"/>
    <w:rsid w:val="01BD4306"/>
    <w:rsid w:val="01C050C1"/>
    <w:rsid w:val="01C30851"/>
    <w:rsid w:val="01C66F45"/>
    <w:rsid w:val="01C800BD"/>
    <w:rsid w:val="01DF10DC"/>
    <w:rsid w:val="01E46BDD"/>
    <w:rsid w:val="01E861CD"/>
    <w:rsid w:val="01EB42D0"/>
    <w:rsid w:val="02005BDC"/>
    <w:rsid w:val="02070F9F"/>
    <w:rsid w:val="02091157"/>
    <w:rsid w:val="020914A4"/>
    <w:rsid w:val="020E1B3F"/>
    <w:rsid w:val="02137E7B"/>
    <w:rsid w:val="021D2F78"/>
    <w:rsid w:val="02424AB8"/>
    <w:rsid w:val="02481EB7"/>
    <w:rsid w:val="024D73A5"/>
    <w:rsid w:val="02595C07"/>
    <w:rsid w:val="025C657D"/>
    <w:rsid w:val="0268175C"/>
    <w:rsid w:val="027239EE"/>
    <w:rsid w:val="027361A1"/>
    <w:rsid w:val="02857815"/>
    <w:rsid w:val="02867A8E"/>
    <w:rsid w:val="029210D5"/>
    <w:rsid w:val="02971619"/>
    <w:rsid w:val="02972323"/>
    <w:rsid w:val="02A75843"/>
    <w:rsid w:val="02B1106C"/>
    <w:rsid w:val="02BA0656"/>
    <w:rsid w:val="02C06B04"/>
    <w:rsid w:val="02C2381D"/>
    <w:rsid w:val="02C84698"/>
    <w:rsid w:val="02D301F8"/>
    <w:rsid w:val="02DD1C24"/>
    <w:rsid w:val="02E12850"/>
    <w:rsid w:val="02E5559B"/>
    <w:rsid w:val="02F13611"/>
    <w:rsid w:val="02F272AE"/>
    <w:rsid w:val="02F46CC9"/>
    <w:rsid w:val="02F626E3"/>
    <w:rsid w:val="02F707FC"/>
    <w:rsid w:val="02F85854"/>
    <w:rsid w:val="032411DC"/>
    <w:rsid w:val="03272347"/>
    <w:rsid w:val="032C2878"/>
    <w:rsid w:val="03320F5A"/>
    <w:rsid w:val="03390520"/>
    <w:rsid w:val="0347432C"/>
    <w:rsid w:val="035352B0"/>
    <w:rsid w:val="035D6998"/>
    <w:rsid w:val="036515D6"/>
    <w:rsid w:val="03751B2D"/>
    <w:rsid w:val="039E3388"/>
    <w:rsid w:val="039F1B33"/>
    <w:rsid w:val="03A4687E"/>
    <w:rsid w:val="03A76DA4"/>
    <w:rsid w:val="03A936FF"/>
    <w:rsid w:val="03A97F7B"/>
    <w:rsid w:val="03AA1E13"/>
    <w:rsid w:val="03B05BB9"/>
    <w:rsid w:val="03C82119"/>
    <w:rsid w:val="03C84229"/>
    <w:rsid w:val="03CF5E26"/>
    <w:rsid w:val="03D70AAA"/>
    <w:rsid w:val="03E57F79"/>
    <w:rsid w:val="03E9062F"/>
    <w:rsid w:val="03ED7EAA"/>
    <w:rsid w:val="03F4402D"/>
    <w:rsid w:val="03FA0F1D"/>
    <w:rsid w:val="040B489D"/>
    <w:rsid w:val="040D668A"/>
    <w:rsid w:val="040E2188"/>
    <w:rsid w:val="0425705C"/>
    <w:rsid w:val="04351BCD"/>
    <w:rsid w:val="04394442"/>
    <w:rsid w:val="04426D56"/>
    <w:rsid w:val="0448656B"/>
    <w:rsid w:val="044D6493"/>
    <w:rsid w:val="04616029"/>
    <w:rsid w:val="0465621B"/>
    <w:rsid w:val="04684AC4"/>
    <w:rsid w:val="04685075"/>
    <w:rsid w:val="046C6B64"/>
    <w:rsid w:val="047832A9"/>
    <w:rsid w:val="0479444F"/>
    <w:rsid w:val="047A7090"/>
    <w:rsid w:val="047B44CA"/>
    <w:rsid w:val="047B6BED"/>
    <w:rsid w:val="047D2B8E"/>
    <w:rsid w:val="04801A9E"/>
    <w:rsid w:val="048057D3"/>
    <w:rsid w:val="048B1797"/>
    <w:rsid w:val="048F40B9"/>
    <w:rsid w:val="049C442D"/>
    <w:rsid w:val="04A9268A"/>
    <w:rsid w:val="04B303F2"/>
    <w:rsid w:val="04B350BC"/>
    <w:rsid w:val="04B80386"/>
    <w:rsid w:val="04C10B93"/>
    <w:rsid w:val="04C579DA"/>
    <w:rsid w:val="04CF27E2"/>
    <w:rsid w:val="04DF0E76"/>
    <w:rsid w:val="04E70978"/>
    <w:rsid w:val="04F83787"/>
    <w:rsid w:val="05015B7C"/>
    <w:rsid w:val="05083BA0"/>
    <w:rsid w:val="050D18C6"/>
    <w:rsid w:val="05166D48"/>
    <w:rsid w:val="05172057"/>
    <w:rsid w:val="0518296D"/>
    <w:rsid w:val="05276FC6"/>
    <w:rsid w:val="052C3C0E"/>
    <w:rsid w:val="05313A49"/>
    <w:rsid w:val="054150B8"/>
    <w:rsid w:val="054823D2"/>
    <w:rsid w:val="055C1932"/>
    <w:rsid w:val="056971A0"/>
    <w:rsid w:val="05717BAE"/>
    <w:rsid w:val="05761CD9"/>
    <w:rsid w:val="057D1158"/>
    <w:rsid w:val="05812C55"/>
    <w:rsid w:val="058369F9"/>
    <w:rsid w:val="05836FC7"/>
    <w:rsid w:val="0594620D"/>
    <w:rsid w:val="059C5FA3"/>
    <w:rsid w:val="059D57CB"/>
    <w:rsid w:val="05A34AE1"/>
    <w:rsid w:val="05A94F98"/>
    <w:rsid w:val="05AB0E6E"/>
    <w:rsid w:val="05AC109E"/>
    <w:rsid w:val="05AD2CBF"/>
    <w:rsid w:val="05CD2851"/>
    <w:rsid w:val="05DA3DAA"/>
    <w:rsid w:val="05E023C5"/>
    <w:rsid w:val="06025A06"/>
    <w:rsid w:val="06064032"/>
    <w:rsid w:val="061519A6"/>
    <w:rsid w:val="061B2548"/>
    <w:rsid w:val="061C00A8"/>
    <w:rsid w:val="061C341A"/>
    <w:rsid w:val="062B146D"/>
    <w:rsid w:val="062D5483"/>
    <w:rsid w:val="064A1C94"/>
    <w:rsid w:val="065B02A0"/>
    <w:rsid w:val="065C1B78"/>
    <w:rsid w:val="06710386"/>
    <w:rsid w:val="06732CAD"/>
    <w:rsid w:val="0687075E"/>
    <w:rsid w:val="069065F3"/>
    <w:rsid w:val="069E30D1"/>
    <w:rsid w:val="06A95B70"/>
    <w:rsid w:val="06B478EB"/>
    <w:rsid w:val="06B80E29"/>
    <w:rsid w:val="06B937D6"/>
    <w:rsid w:val="06BD7EB1"/>
    <w:rsid w:val="06C24C18"/>
    <w:rsid w:val="06CF5CA4"/>
    <w:rsid w:val="06DC697B"/>
    <w:rsid w:val="06E519DA"/>
    <w:rsid w:val="06EA1921"/>
    <w:rsid w:val="06EA592F"/>
    <w:rsid w:val="06EC7257"/>
    <w:rsid w:val="07124C2B"/>
    <w:rsid w:val="072B3941"/>
    <w:rsid w:val="07381BC3"/>
    <w:rsid w:val="07387FB0"/>
    <w:rsid w:val="074151A5"/>
    <w:rsid w:val="074854FD"/>
    <w:rsid w:val="0751137D"/>
    <w:rsid w:val="075479AE"/>
    <w:rsid w:val="07554868"/>
    <w:rsid w:val="075B50A5"/>
    <w:rsid w:val="076C3B81"/>
    <w:rsid w:val="078270A5"/>
    <w:rsid w:val="078726FB"/>
    <w:rsid w:val="07922DAA"/>
    <w:rsid w:val="07A66218"/>
    <w:rsid w:val="07A9021B"/>
    <w:rsid w:val="07B65E09"/>
    <w:rsid w:val="07CB0DE8"/>
    <w:rsid w:val="07CB7047"/>
    <w:rsid w:val="07DB2FA7"/>
    <w:rsid w:val="07DE599F"/>
    <w:rsid w:val="07DF7DD1"/>
    <w:rsid w:val="07E02791"/>
    <w:rsid w:val="07E261F6"/>
    <w:rsid w:val="07F13EF7"/>
    <w:rsid w:val="080135BA"/>
    <w:rsid w:val="080B7149"/>
    <w:rsid w:val="080D5FAC"/>
    <w:rsid w:val="08143A78"/>
    <w:rsid w:val="08143F07"/>
    <w:rsid w:val="08174CE7"/>
    <w:rsid w:val="08194EC1"/>
    <w:rsid w:val="082612E9"/>
    <w:rsid w:val="082F43A2"/>
    <w:rsid w:val="08323FD7"/>
    <w:rsid w:val="08356CC9"/>
    <w:rsid w:val="08386B20"/>
    <w:rsid w:val="084925D7"/>
    <w:rsid w:val="084B6833"/>
    <w:rsid w:val="084D5407"/>
    <w:rsid w:val="08504DDE"/>
    <w:rsid w:val="08560EF5"/>
    <w:rsid w:val="086C13DA"/>
    <w:rsid w:val="0876529A"/>
    <w:rsid w:val="0892013F"/>
    <w:rsid w:val="089471CB"/>
    <w:rsid w:val="08996D56"/>
    <w:rsid w:val="089D65FD"/>
    <w:rsid w:val="08C01176"/>
    <w:rsid w:val="08C10475"/>
    <w:rsid w:val="08C22966"/>
    <w:rsid w:val="08D552CA"/>
    <w:rsid w:val="08E80F22"/>
    <w:rsid w:val="08EE43D6"/>
    <w:rsid w:val="08FB20F1"/>
    <w:rsid w:val="08FD652C"/>
    <w:rsid w:val="08FF0070"/>
    <w:rsid w:val="0900337B"/>
    <w:rsid w:val="09010220"/>
    <w:rsid w:val="09041952"/>
    <w:rsid w:val="090B03E6"/>
    <w:rsid w:val="09117FA0"/>
    <w:rsid w:val="09177189"/>
    <w:rsid w:val="092D5F6F"/>
    <w:rsid w:val="092E6D82"/>
    <w:rsid w:val="09371CE5"/>
    <w:rsid w:val="093D7EFE"/>
    <w:rsid w:val="09505852"/>
    <w:rsid w:val="095C557C"/>
    <w:rsid w:val="096C3401"/>
    <w:rsid w:val="09724DCA"/>
    <w:rsid w:val="09787017"/>
    <w:rsid w:val="097F70A9"/>
    <w:rsid w:val="099A1DD0"/>
    <w:rsid w:val="099C6924"/>
    <w:rsid w:val="099D6CDF"/>
    <w:rsid w:val="099F6820"/>
    <w:rsid w:val="09B260ED"/>
    <w:rsid w:val="09B66000"/>
    <w:rsid w:val="09D27AE2"/>
    <w:rsid w:val="09D929A3"/>
    <w:rsid w:val="09EA5569"/>
    <w:rsid w:val="09F0797A"/>
    <w:rsid w:val="09F61D17"/>
    <w:rsid w:val="09F61D4D"/>
    <w:rsid w:val="09F67834"/>
    <w:rsid w:val="09FD4E0E"/>
    <w:rsid w:val="0A042B0D"/>
    <w:rsid w:val="0A055130"/>
    <w:rsid w:val="0A07584F"/>
    <w:rsid w:val="0A0D2C0E"/>
    <w:rsid w:val="0A1D724B"/>
    <w:rsid w:val="0A212C5C"/>
    <w:rsid w:val="0A2D65C3"/>
    <w:rsid w:val="0A307589"/>
    <w:rsid w:val="0A366318"/>
    <w:rsid w:val="0A464557"/>
    <w:rsid w:val="0A56350F"/>
    <w:rsid w:val="0A60088B"/>
    <w:rsid w:val="0A735F6D"/>
    <w:rsid w:val="0A847BB3"/>
    <w:rsid w:val="0A851ADE"/>
    <w:rsid w:val="0A8D52F2"/>
    <w:rsid w:val="0A932438"/>
    <w:rsid w:val="0A9E7981"/>
    <w:rsid w:val="0AAD7774"/>
    <w:rsid w:val="0AB33CEE"/>
    <w:rsid w:val="0AB61302"/>
    <w:rsid w:val="0AC86146"/>
    <w:rsid w:val="0ACE7F39"/>
    <w:rsid w:val="0ACF1D5A"/>
    <w:rsid w:val="0AE1789B"/>
    <w:rsid w:val="0AE30A64"/>
    <w:rsid w:val="0AEB3856"/>
    <w:rsid w:val="0AEF2198"/>
    <w:rsid w:val="0AEF2288"/>
    <w:rsid w:val="0AF53045"/>
    <w:rsid w:val="0AF729B4"/>
    <w:rsid w:val="0AF92B65"/>
    <w:rsid w:val="0AFE5B22"/>
    <w:rsid w:val="0B0E1F15"/>
    <w:rsid w:val="0B0F0EE0"/>
    <w:rsid w:val="0B111D73"/>
    <w:rsid w:val="0B154605"/>
    <w:rsid w:val="0B237BFE"/>
    <w:rsid w:val="0B2A755F"/>
    <w:rsid w:val="0B2D0323"/>
    <w:rsid w:val="0B396AF7"/>
    <w:rsid w:val="0B4B46CA"/>
    <w:rsid w:val="0B4B5D80"/>
    <w:rsid w:val="0B4D7E38"/>
    <w:rsid w:val="0B515EF0"/>
    <w:rsid w:val="0B526C77"/>
    <w:rsid w:val="0B621E3C"/>
    <w:rsid w:val="0B676F7D"/>
    <w:rsid w:val="0B806972"/>
    <w:rsid w:val="0B911D8C"/>
    <w:rsid w:val="0B945DFC"/>
    <w:rsid w:val="0B952722"/>
    <w:rsid w:val="0B9C27E5"/>
    <w:rsid w:val="0B9D1D0A"/>
    <w:rsid w:val="0BA07C0E"/>
    <w:rsid w:val="0BB7132F"/>
    <w:rsid w:val="0BC26BB8"/>
    <w:rsid w:val="0BCE4339"/>
    <w:rsid w:val="0BD03841"/>
    <w:rsid w:val="0BD05882"/>
    <w:rsid w:val="0BDC5EB8"/>
    <w:rsid w:val="0BE21CA7"/>
    <w:rsid w:val="0BE74252"/>
    <w:rsid w:val="0BEB6221"/>
    <w:rsid w:val="0BF1764B"/>
    <w:rsid w:val="0BF44FDB"/>
    <w:rsid w:val="0BFA6DDB"/>
    <w:rsid w:val="0C0435FE"/>
    <w:rsid w:val="0C0770DF"/>
    <w:rsid w:val="0C0B7BEB"/>
    <w:rsid w:val="0C2433AF"/>
    <w:rsid w:val="0C2654F7"/>
    <w:rsid w:val="0C2767A7"/>
    <w:rsid w:val="0C2D0A20"/>
    <w:rsid w:val="0C2E4CB5"/>
    <w:rsid w:val="0C321E24"/>
    <w:rsid w:val="0C4310DA"/>
    <w:rsid w:val="0C5C49CE"/>
    <w:rsid w:val="0C7537D1"/>
    <w:rsid w:val="0C782BCF"/>
    <w:rsid w:val="0C7901FF"/>
    <w:rsid w:val="0C7A22E4"/>
    <w:rsid w:val="0C7B0347"/>
    <w:rsid w:val="0C9E3828"/>
    <w:rsid w:val="0CA75518"/>
    <w:rsid w:val="0CA76B66"/>
    <w:rsid w:val="0CB01BCB"/>
    <w:rsid w:val="0CC64AB5"/>
    <w:rsid w:val="0CCC48A0"/>
    <w:rsid w:val="0CD43409"/>
    <w:rsid w:val="0CD4354F"/>
    <w:rsid w:val="0CE00F27"/>
    <w:rsid w:val="0CED7E5B"/>
    <w:rsid w:val="0CEE6409"/>
    <w:rsid w:val="0CF71746"/>
    <w:rsid w:val="0D0A2995"/>
    <w:rsid w:val="0D1544B2"/>
    <w:rsid w:val="0D177791"/>
    <w:rsid w:val="0D1B1728"/>
    <w:rsid w:val="0D2874BC"/>
    <w:rsid w:val="0D2D6AE8"/>
    <w:rsid w:val="0D3267AB"/>
    <w:rsid w:val="0D327D34"/>
    <w:rsid w:val="0D3B2592"/>
    <w:rsid w:val="0D412EE6"/>
    <w:rsid w:val="0D436DB3"/>
    <w:rsid w:val="0D540657"/>
    <w:rsid w:val="0D5B2C57"/>
    <w:rsid w:val="0D5F1F83"/>
    <w:rsid w:val="0D660C1A"/>
    <w:rsid w:val="0D687C1B"/>
    <w:rsid w:val="0D697D46"/>
    <w:rsid w:val="0D6C68F4"/>
    <w:rsid w:val="0D845AC4"/>
    <w:rsid w:val="0D9D44DD"/>
    <w:rsid w:val="0DA258DC"/>
    <w:rsid w:val="0DA67ADA"/>
    <w:rsid w:val="0DB86DF8"/>
    <w:rsid w:val="0DD71D96"/>
    <w:rsid w:val="0DDE73EA"/>
    <w:rsid w:val="0DF70E8C"/>
    <w:rsid w:val="0DFE2A87"/>
    <w:rsid w:val="0DFE744B"/>
    <w:rsid w:val="0E057123"/>
    <w:rsid w:val="0E0B3D2F"/>
    <w:rsid w:val="0E1500C7"/>
    <w:rsid w:val="0E1B4C75"/>
    <w:rsid w:val="0E266586"/>
    <w:rsid w:val="0E47058B"/>
    <w:rsid w:val="0E503B05"/>
    <w:rsid w:val="0E5256B6"/>
    <w:rsid w:val="0E5B1696"/>
    <w:rsid w:val="0E5F5D88"/>
    <w:rsid w:val="0E656CFE"/>
    <w:rsid w:val="0E8A07EC"/>
    <w:rsid w:val="0E9C43BC"/>
    <w:rsid w:val="0EA015B0"/>
    <w:rsid w:val="0EA24F16"/>
    <w:rsid w:val="0EAA3E90"/>
    <w:rsid w:val="0EAC4537"/>
    <w:rsid w:val="0EB55AE3"/>
    <w:rsid w:val="0EC0072C"/>
    <w:rsid w:val="0EC12110"/>
    <w:rsid w:val="0EC613F3"/>
    <w:rsid w:val="0EC85388"/>
    <w:rsid w:val="0ECF6866"/>
    <w:rsid w:val="0EE62A65"/>
    <w:rsid w:val="0EFC6C85"/>
    <w:rsid w:val="0EFF2700"/>
    <w:rsid w:val="0F023598"/>
    <w:rsid w:val="0F13663C"/>
    <w:rsid w:val="0F1822EC"/>
    <w:rsid w:val="0F2A7F65"/>
    <w:rsid w:val="0F325A64"/>
    <w:rsid w:val="0F3E60C5"/>
    <w:rsid w:val="0F435C60"/>
    <w:rsid w:val="0F546579"/>
    <w:rsid w:val="0F6D14B0"/>
    <w:rsid w:val="0F7F104A"/>
    <w:rsid w:val="0F8F47E3"/>
    <w:rsid w:val="0F927D7E"/>
    <w:rsid w:val="0F985946"/>
    <w:rsid w:val="0F9967CD"/>
    <w:rsid w:val="0FA41FAB"/>
    <w:rsid w:val="0FA57E2B"/>
    <w:rsid w:val="0FAC10EB"/>
    <w:rsid w:val="0FAC154E"/>
    <w:rsid w:val="0FB33F34"/>
    <w:rsid w:val="0FD06360"/>
    <w:rsid w:val="0FD45593"/>
    <w:rsid w:val="0FD8154B"/>
    <w:rsid w:val="0FD86850"/>
    <w:rsid w:val="0FDF0DC1"/>
    <w:rsid w:val="0FEB2F72"/>
    <w:rsid w:val="0FEB6643"/>
    <w:rsid w:val="0FED735A"/>
    <w:rsid w:val="0FF22992"/>
    <w:rsid w:val="10067A3A"/>
    <w:rsid w:val="100F06F5"/>
    <w:rsid w:val="10145E5B"/>
    <w:rsid w:val="101A1FB7"/>
    <w:rsid w:val="10225DF8"/>
    <w:rsid w:val="10235465"/>
    <w:rsid w:val="102D53BB"/>
    <w:rsid w:val="10594DF3"/>
    <w:rsid w:val="10605704"/>
    <w:rsid w:val="10640259"/>
    <w:rsid w:val="106419C8"/>
    <w:rsid w:val="106B58FC"/>
    <w:rsid w:val="106F4130"/>
    <w:rsid w:val="107151C8"/>
    <w:rsid w:val="107C007A"/>
    <w:rsid w:val="10805251"/>
    <w:rsid w:val="108F1A98"/>
    <w:rsid w:val="109167D3"/>
    <w:rsid w:val="10997C68"/>
    <w:rsid w:val="10A0400E"/>
    <w:rsid w:val="10B452D0"/>
    <w:rsid w:val="10BF3671"/>
    <w:rsid w:val="10C031C3"/>
    <w:rsid w:val="10D63309"/>
    <w:rsid w:val="10D651B7"/>
    <w:rsid w:val="10DB6A1D"/>
    <w:rsid w:val="10E351D4"/>
    <w:rsid w:val="10ED62C9"/>
    <w:rsid w:val="10F22F03"/>
    <w:rsid w:val="10F45B00"/>
    <w:rsid w:val="10F74511"/>
    <w:rsid w:val="110F3902"/>
    <w:rsid w:val="11176417"/>
    <w:rsid w:val="11211FC7"/>
    <w:rsid w:val="11272147"/>
    <w:rsid w:val="113D0261"/>
    <w:rsid w:val="11422360"/>
    <w:rsid w:val="114408F4"/>
    <w:rsid w:val="114C581E"/>
    <w:rsid w:val="11591EC2"/>
    <w:rsid w:val="115B4296"/>
    <w:rsid w:val="11694844"/>
    <w:rsid w:val="118F3710"/>
    <w:rsid w:val="119211FE"/>
    <w:rsid w:val="119841A8"/>
    <w:rsid w:val="119C61F9"/>
    <w:rsid w:val="11A84792"/>
    <w:rsid w:val="11AC3E0C"/>
    <w:rsid w:val="11AF610A"/>
    <w:rsid w:val="11B52A7C"/>
    <w:rsid w:val="11B81AD6"/>
    <w:rsid w:val="11B85FD3"/>
    <w:rsid w:val="11C643BE"/>
    <w:rsid w:val="11CF3202"/>
    <w:rsid w:val="11CF6E9F"/>
    <w:rsid w:val="11D64860"/>
    <w:rsid w:val="11D77818"/>
    <w:rsid w:val="11E556EC"/>
    <w:rsid w:val="12074453"/>
    <w:rsid w:val="12092170"/>
    <w:rsid w:val="12187542"/>
    <w:rsid w:val="124D02E6"/>
    <w:rsid w:val="12536C6A"/>
    <w:rsid w:val="12610A27"/>
    <w:rsid w:val="127178AB"/>
    <w:rsid w:val="127A5F29"/>
    <w:rsid w:val="128E6FB3"/>
    <w:rsid w:val="1290137D"/>
    <w:rsid w:val="129267A7"/>
    <w:rsid w:val="12976C4C"/>
    <w:rsid w:val="12A668CB"/>
    <w:rsid w:val="12AE4669"/>
    <w:rsid w:val="12B15F6E"/>
    <w:rsid w:val="12C7391C"/>
    <w:rsid w:val="12FC0B84"/>
    <w:rsid w:val="1312467E"/>
    <w:rsid w:val="132B03E2"/>
    <w:rsid w:val="132E5ABE"/>
    <w:rsid w:val="13325CE5"/>
    <w:rsid w:val="13381148"/>
    <w:rsid w:val="1345144A"/>
    <w:rsid w:val="1348010F"/>
    <w:rsid w:val="134F094E"/>
    <w:rsid w:val="13527516"/>
    <w:rsid w:val="13536BAC"/>
    <w:rsid w:val="13547644"/>
    <w:rsid w:val="136338B5"/>
    <w:rsid w:val="136977CC"/>
    <w:rsid w:val="13747BF6"/>
    <w:rsid w:val="137B6357"/>
    <w:rsid w:val="137F1267"/>
    <w:rsid w:val="138A1D2C"/>
    <w:rsid w:val="138B0DD3"/>
    <w:rsid w:val="138D267C"/>
    <w:rsid w:val="138F413B"/>
    <w:rsid w:val="139679D5"/>
    <w:rsid w:val="13A457B2"/>
    <w:rsid w:val="13CC0F3D"/>
    <w:rsid w:val="13D61C31"/>
    <w:rsid w:val="13E147DA"/>
    <w:rsid w:val="13E40B0D"/>
    <w:rsid w:val="13F932DB"/>
    <w:rsid w:val="13F9553D"/>
    <w:rsid w:val="1419322E"/>
    <w:rsid w:val="14233C4A"/>
    <w:rsid w:val="14292A24"/>
    <w:rsid w:val="14335F47"/>
    <w:rsid w:val="14396C34"/>
    <w:rsid w:val="14476A3E"/>
    <w:rsid w:val="14482DB2"/>
    <w:rsid w:val="144F5A29"/>
    <w:rsid w:val="145267A1"/>
    <w:rsid w:val="14575B69"/>
    <w:rsid w:val="145D2017"/>
    <w:rsid w:val="14606BBF"/>
    <w:rsid w:val="146C7C3C"/>
    <w:rsid w:val="14783D50"/>
    <w:rsid w:val="14803D26"/>
    <w:rsid w:val="148A02AF"/>
    <w:rsid w:val="148E292D"/>
    <w:rsid w:val="14911462"/>
    <w:rsid w:val="149A3476"/>
    <w:rsid w:val="149B2415"/>
    <w:rsid w:val="14A0633F"/>
    <w:rsid w:val="14A3084F"/>
    <w:rsid w:val="14B56D3E"/>
    <w:rsid w:val="14B66F5B"/>
    <w:rsid w:val="14B965D5"/>
    <w:rsid w:val="14C63999"/>
    <w:rsid w:val="14CB7588"/>
    <w:rsid w:val="14CC49A5"/>
    <w:rsid w:val="14CC78F3"/>
    <w:rsid w:val="14D42E2F"/>
    <w:rsid w:val="14DF1BD5"/>
    <w:rsid w:val="14E569FD"/>
    <w:rsid w:val="14E626C6"/>
    <w:rsid w:val="14E953FD"/>
    <w:rsid w:val="14EE541C"/>
    <w:rsid w:val="14FC58F2"/>
    <w:rsid w:val="14FE79A5"/>
    <w:rsid w:val="150117A8"/>
    <w:rsid w:val="150B001C"/>
    <w:rsid w:val="15154F6B"/>
    <w:rsid w:val="151717B9"/>
    <w:rsid w:val="152119E5"/>
    <w:rsid w:val="15244BC2"/>
    <w:rsid w:val="152571A3"/>
    <w:rsid w:val="152E435F"/>
    <w:rsid w:val="152F5FAA"/>
    <w:rsid w:val="15385F6C"/>
    <w:rsid w:val="1574215A"/>
    <w:rsid w:val="15751618"/>
    <w:rsid w:val="157D0E9D"/>
    <w:rsid w:val="157E6EDD"/>
    <w:rsid w:val="157F39E2"/>
    <w:rsid w:val="157F7533"/>
    <w:rsid w:val="15853B7F"/>
    <w:rsid w:val="158C4D72"/>
    <w:rsid w:val="158D3108"/>
    <w:rsid w:val="159C3504"/>
    <w:rsid w:val="159E6824"/>
    <w:rsid w:val="159F1F9D"/>
    <w:rsid w:val="15AC1E7C"/>
    <w:rsid w:val="15AC7CA9"/>
    <w:rsid w:val="15B87207"/>
    <w:rsid w:val="15E45511"/>
    <w:rsid w:val="15E555E5"/>
    <w:rsid w:val="15EB4DF3"/>
    <w:rsid w:val="160022D2"/>
    <w:rsid w:val="160E443B"/>
    <w:rsid w:val="161C1760"/>
    <w:rsid w:val="16214607"/>
    <w:rsid w:val="16254C6D"/>
    <w:rsid w:val="16257E60"/>
    <w:rsid w:val="162D71E8"/>
    <w:rsid w:val="16345E50"/>
    <w:rsid w:val="163F4E55"/>
    <w:rsid w:val="16410673"/>
    <w:rsid w:val="16443A44"/>
    <w:rsid w:val="16501384"/>
    <w:rsid w:val="165D1B84"/>
    <w:rsid w:val="165D6D35"/>
    <w:rsid w:val="16600A22"/>
    <w:rsid w:val="166B221D"/>
    <w:rsid w:val="16706804"/>
    <w:rsid w:val="169408EA"/>
    <w:rsid w:val="16A02B94"/>
    <w:rsid w:val="16A60D5F"/>
    <w:rsid w:val="16A9545F"/>
    <w:rsid w:val="16AC0DAE"/>
    <w:rsid w:val="16B12199"/>
    <w:rsid w:val="16B56E58"/>
    <w:rsid w:val="16B714DA"/>
    <w:rsid w:val="16BF701F"/>
    <w:rsid w:val="16C0050D"/>
    <w:rsid w:val="16CF654F"/>
    <w:rsid w:val="16D87923"/>
    <w:rsid w:val="16E060CA"/>
    <w:rsid w:val="16E60DF9"/>
    <w:rsid w:val="16F32E01"/>
    <w:rsid w:val="17053B89"/>
    <w:rsid w:val="170949A7"/>
    <w:rsid w:val="17120D4B"/>
    <w:rsid w:val="172150F6"/>
    <w:rsid w:val="172171F6"/>
    <w:rsid w:val="172E1417"/>
    <w:rsid w:val="17347E97"/>
    <w:rsid w:val="1741302B"/>
    <w:rsid w:val="17430688"/>
    <w:rsid w:val="174411E0"/>
    <w:rsid w:val="174672E5"/>
    <w:rsid w:val="175A5403"/>
    <w:rsid w:val="17623F54"/>
    <w:rsid w:val="17691BB2"/>
    <w:rsid w:val="17696F5D"/>
    <w:rsid w:val="176B183A"/>
    <w:rsid w:val="176C2B6D"/>
    <w:rsid w:val="176E70B3"/>
    <w:rsid w:val="17756461"/>
    <w:rsid w:val="177A4ECD"/>
    <w:rsid w:val="177B3A8F"/>
    <w:rsid w:val="17815F11"/>
    <w:rsid w:val="178677B1"/>
    <w:rsid w:val="178B0A17"/>
    <w:rsid w:val="178B79B6"/>
    <w:rsid w:val="179A0052"/>
    <w:rsid w:val="17B906D9"/>
    <w:rsid w:val="17C622CB"/>
    <w:rsid w:val="17E87351"/>
    <w:rsid w:val="17EF4FFC"/>
    <w:rsid w:val="1810433F"/>
    <w:rsid w:val="18181E8D"/>
    <w:rsid w:val="182D4122"/>
    <w:rsid w:val="182E4B82"/>
    <w:rsid w:val="182F3072"/>
    <w:rsid w:val="1830442C"/>
    <w:rsid w:val="18334789"/>
    <w:rsid w:val="18354663"/>
    <w:rsid w:val="18386A70"/>
    <w:rsid w:val="184327DE"/>
    <w:rsid w:val="18535ABC"/>
    <w:rsid w:val="18557D7D"/>
    <w:rsid w:val="185F2DAF"/>
    <w:rsid w:val="18623BC4"/>
    <w:rsid w:val="186731FB"/>
    <w:rsid w:val="188B4AFF"/>
    <w:rsid w:val="188F5417"/>
    <w:rsid w:val="18A3668F"/>
    <w:rsid w:val="18A64034"/>
    <w:rsid w:val="18B142EE"/>
    <w:rsid w:val="18B32480"/>
    <w:rsid w:val="18B34A2A"/>
    <w:rsid w:val="18C90D5E"/>
    <w:rsid w:val="18C9634F"/>
    <w:rsid w:val="18D75739"/>
    <w:rsid w:val="18D857B1"/>
    <w:rsid w:val="18E64911"/>
    <w:rsid w:val="18F33E1D"/>
    <w:rsid w:val="18FB1FC5"/>
    <w:rsid w:val="18FB5146"/>
    <w:rsid w:val="19085771"/>
    <w:rsid w:val="190A6308"/>
    <w:rsid w:val="19134827"/>
    <w:rsid w:val="19163C62"/>
    <w:rsid w:val="19224845"/>
    <w:rsid w:val="19285E68"/>
    <w:rsid w:val="192B7897"/>
    <w:rsid w:val="192D1125"/>
    <w:rsid w:val="192F0C9B"/>
    <w:rsid w:val="192F3FF0"/>
    <w:rsid w:val="193337F3"/>
    <w:rsid w:val="19365277"/>
    <w:rsid w:val="19366C94"/>
    <w:rsid w:val="193B5442"/>
    <w:rsid w:val="19477113"/>
    <w:rsid w:val="194C1845"/>
    <w:rsid w:val="194D5AFB"/>
    <w:rsid w:val="195357A7"/>
    <w:rsid w:val="19554B74"/>
    <w:rsid w:val="19571F44"/>
    <w:rsid w:val="195C3F25"/>
    <w:rsid w:val="196F4370"/>
    <w:rsid w:val="197B4380"/>
    <w:rsid w:val="199D742A"/>
    <w:rsid w:val="199F1047"/>
    <w:rsid w:val="19A25499"/>
    <w:rsid w:val="19A3762F"/>
    <w:rsid w:val="19AF6F72"/>
    <w:rsid w:val="19B23971"/>
    <w:rsid w:val="19B80595"/>
    <w:rsid w:val="19BC4F34"/>
    <w:rsid w:val="19BC5F4A"/>
    <w:rsid w:val="19BF795C"/>
    <w:rsid w:val="19C920CF"/>
    <w:rsid w:val="19CC654F"/>
    <w:rsid w:val="19D46A04"/>
    <w:rsid w:val="19D64F75"/>
    <w:rsid w:val="19DA3B60"/>
    <w:rsid w:val="19DF5D29"/>
    <w:rsid w:val="19E07513"/>
    <w:rsid w:val="19E50FDE"/>
    <w:rsid w:val="19FB3C69"/>
    <w:rsid w:val="19FE1E73"/>
    <w:rsid w:val="19FE6418"/>
    <w:rsid w:val="1A054EE9"/>
    <w:rsid w:val="1A1542BA"/>
    <w:rsid w:val="1A18098A"/>
    <w:rsid w:val="1A3D355B"/>
    <w:rsid w:val="1A3F46EA"/>
    <w:rsid w:val="1A435694"/>
    <w:rsid w:val="1A4927E5"/>
    <w:rsid w:val="1A4F3112"/>
    <w:rsid w:val="1A5865FF"/>
    <w:rsid w:val="1A622A0E"/>
    <w:rsid w:val="1A623877"/>
    <w:rsid w:val="1A691988"/>
    <w:rsid w:val="1A6A433D"/>
    <w:rsid w:val="1A6A545B"/>
    <w:rsid w:val="1A74215F"/>
    <w:rsid w:val="1A77464F"/>
    <w:rsid w:val="1A7776EF"/>
    <w:rsid w:val="1A802E6C"/>
    <w:rsid w:val="1A9E5713"/>
    <w:rsid w:val="1AAA66D6"/>
    <w:rsid w:val="1AAE10EC"/>
    <w:rsid w:val="1ABB2456"/>
    <w:rsid w:val="1ABC6045"/>
    <w:rsid w:val="1AC41E88"/>
    <w:rsid w:val="1AC64FF5"/>
    <w:rsid w:val="1AC73FA2"/>
    <w:rsid w:val="1AC968F2"/>
    <w:rsid w:val="1ACA67C8"/>
    <w:rsid w:val="1AD24430"/>
    <w:rsid w:val="1AD30604"/>
    <w:rsid w:val="1AD41CB4"/>
    <w:rsid w:val="1AD873C9"/>
    <w:rsid w:val="1AEF59B8"/>
    <w:rsid w:val="1AF01459"/>
    <w:rsid w:val="1AF90D4D"/>
    <w:rsid w:val="1AFD427F"/>
    <w:rsid w:val="1B0C120E"/>
    <w:rsid w:val="1B12628B"/>
    <w:rsid w:val="1B130D13"/>
    <w:rsid w:val="1B1970BA"/>
    <w:rsid w:val="1B1B7BF4"/>
    <w:rsid w:val="1B2A45A7"/>
    <w:rsid w:val="1B7371D9"/>
    <w:rsid w:val="1B7406C7"/>
    <w:rsid w:val="1B7E67C6"/>
    <w:rsid w:val="1B7F280B"/>
    <w:rsid w:val="1B971BA9"/>
    <w:rsid w:val="1B9F099B"/>
    <w:rsid w:val="1BA168E5"/>
    <w:rsid w:val="1BA517A1"/>
    <w:rsid w:val="1BB04F6B"/>
    <w:rsid w:val="1BB66F61"/>
    <w:rsid w:val="1BB959AA"/>
    <w:rsid w:val="1BC23BDB"/>
    <w:rsid w:val="1BC6633A"/>
    <w:rsid w:val="1BC70323"/>
    <w:rsid w:val="1BC90051"/>
    <w:rsid w:val="1BC97C41"/>
    <w:rsid w:val="1BCD7E6B"/>
    <w:rsid w:val="1BD12E87"/>
    <w:rsid w:val="1BFA5749"/>
    <w:rsid w:val="1C025112"/>
    <w:rsid w:val="1C0565D6"/>
    <w:rsid w:val="1C0E6482"/>
    <w:rsid w:val="1C1C3DE3"/>
    <w:rsid w:val="1C241C3D"/>
    <w:rsid w:val="1C267F4F"/>
    <w:rsid w:val="1C3774FB"/>
    <w:rsid w:val="1C38556E"/>
    <w:rsid w:val="1C490921"/>
    <w:rsid w:val="1C49257F"/>
    <w:rsid w:val="1C501F09"/>
    <w:rsid w:val="1C516588"/>
    <w:rsid w:val="1C5D64D6"/>
    <w:rsid w:val="1C64435B"/>
    <w:rsid w:val="1C675FE8"/>
    <w:rsid w:val="1C842F55"/>
    <w:rsid w:val="1C864F11"/>
    <w:rsid w:val="1C8B140C"/>
    <w:rsid w:val="1C8D11AB"/>
    <w:rsid w:val="1C9E72DC"/>
    <w:rsid w:val="1CB32B6D"/>
    <w:rsid w:val="1CB91DEC"/>
    <w:rsid w:val="1CBA11F6"/>
    <w:rsid w:val="1CBA1486"/>
    <w:rsid w:val="1CC30290"/>
    <w:rsid w:val="1CD36D62"/>
    <w:rsid w:val="1CDE3B0E"/>
    <w:rsid w:val="1CDE6A62"/>
    <w:rsid w:val="1CDF1CDF"/>
    <w:rsid w:val="1CE82A4C"/>
    <w:rsid w:val="1CF67955"/>
    <w:rsid w:val="1D005D35"/>
    <w:rsid w:val="1D076AC5"/>
    <w:rsid w:val="1D154BE0"/>
    <w:rsid w:val="1D196D4E"/>
    <w:rsid w:val="1D221CDF"/>
    <w:rsid w:val="1D222A36"/>
    <w:rsid w:val="1D237AE8"/>
    <w:rsid w:val="1D286EE6"/>
    <w:rsid w:val="1D310521"/>
    <w:rsid w:val="1D3C1A50"/>
    <w:rsid w:val="1D3F6461"/>
    <w:rsid w:val="1D4218D7"/>
    <w:rsid w:val="1D5B1F3A"/>
    <w:rsid w:val="1D5E1BB3"/>
    <w:rsid w:val="1D792DEC"/>
    <w:rsid w:val="1D847DA4"/>
    <w:rsid w:val="1D983F49"/>
    <w:rsid w:val="1DA51673"/>
    <w:rsid w:val="1DAA4B96"/>
    <w:rsid w:val="1DAB5340"/>
    <w:rsid w:val="1DB6013C"/>
    <w:rsid w:val="1DBA25A3"/>
    <w:rsid w:val="1DF816DA"/>
    <w:rsid w:val="1E024C57"/>
    <w:rsid w:val="1E064FE3"/>
    <w:rsid w:val="1E0C42F7"/>
    <w:rsid w:val="1E196591"/>
    <w:rsid w:val="1E1E012C"/>
    <w:rsid w:val="1E1F5BAF"/>
    <w:rsid w:val="1E2178BB"/>
    <w:rsid w:val="1E3B19B4"/>
    <w:rsid w:val="1E5B02F0"/>
    <w:rsid w:val="1E5D6AF5"/>
    <w:rsid w:val="1E65221B"/>
    <w:rsid w:val="1E683EA4"/>
    <w:rsid w:val="1E741642"/>
    <w:rsid w:val="1E806861"/>
    <w:rsid w:val="1E885E5D"/>
    <w:rsid w:val="1E9620D3"/>
    <w:rsid w:val="1E9E12FC"/>
    <w:rsid w:val="1EA53ED8"/>
    <w:rsid w:val="1EAA2F17"/>
    <w:rsid w:val="1EB35599"/>
    <w:rsid w:val="1EBD0844"/>
    <w:rsid w:val="1EC8219B"/>
    <w:rsid w:val="1ED00A87"/>
    <w:rsid w:val="1ED44572"/>
    <w:rsid w:val="1ED50D55"/>
    <w:rsid w:val="1ED51A5D"/>
    <w:rsid w:val="1EDA03BD"/>
    <w:rsid w:val="1EDE6316"/>
    <w:rsid w:val="1EE16BF3"/>
    <w:rsid w:val="1EF13141"/>
    <w:rsid w:val="1EFD123D"/>
    <w:rsid w:val="1F040AF8"/>
    <w:rsid w:val="1F1D7F1A"/>
    <w:rsid w:val="1F2A6AFB"/>
    <w:rsid w:val="1F2D2773"/>
    <w:rsid w:val="1F3A4472"/>
    <w:rsid w:val="1F3E3810"/>
    <w:rsid w:val="1F42345E"/>
    <w:rsid w:val="1F4A2B88"/>
    <w:rsid w:val="1F537636"/>
    <w:rsid w:val="1F5539D8"/>
    <w:rsid w:val="1F5F62D8"/>
    <w:rsid w:val="1F607B77"/>
    <w:rsid w:val="1F751935"/>
    <w:rsid w:val="1F907953"/>
    <w:rsid w:val="1F957292"/>
    <w:rsid w:val="1F9B1ABB"/>
    <w:rsid w:val="1F9C6DF7"/>
    <w:rsid w:val="1FA006BD"/>
    <w:rsid w:val="1FA32C58"/>
    <w:rsid w:val="1FAB59E6"/>
    <w:rsid w:val="1FAC4405"/>
    <w:rsid w:val="1FB017D6"/>
    <w:rsid w:val="1FBF58BF"/>
    <w:rsid w:val="1FC1184A"/>
    <w:rsid w:val="1FC626A9"/>
    <w:rsid w:val="1FD55B10"/>
    <w:rsid w:val="1FDE4EC2"/>
    <w:rsid w:val="1FE62394"/>
    <w:rsid w:val="1FE637D7"/>
    <w:rsid w:val="1FFD24A2"/>
    <w:rsid w:val="1FFD2DED"/>
    <w:rsid w:val="1FFF0860"/>
    <w:rsid w:val="2006263E"/>
    <w:rsid w:val="200F7724"/>
    <w:rsid w:val="20175624"/>
    <w:rsid w:val="202E7842"/>
    <w:rsid w:val="20313FB9"/>
    <w:rsid w:val="20407A64"/>
    <w:rsid w:val="204D77F2"/>
    <w:rsid w:val="205D0C5E"/>
    <w:rsid w:val="20653FD4"/>
    <w:rsid w:val="206B67EA"/>
    <w:rsid w:val="207B7041"/>
    <w:rsid w:val="208A6E97"/>
    <w:rsid w:val="209F1491"/>
    <w:rsid w:val="20AA216E"/>
    <w:rsid w:val="20BD5190"/>
    <w:rsid w:val="20C472B3"/>
    <w:rsid w:val="20D74423"/>
    <w:rsid w:val="20D8591C"/>
    <w:rsid w:val="20DB0AE8"/>
    <w:rsid w:val="20E837A7"/>
    <w:rsid w:val="20EA712D"/>
    <w:rsid w:val="20EC7840"/>
    <w:rsid w:val="20FE314A"/>
    <w:rsid w:val="21103E69"/>
    <w:rsid w:val="21292745"/>
    <w:rsid w:val="214844C3"/>
    <w:rsid w:val="2151502E"/>
    <w:rsid w:val="21534886"/>
    <w:rsid w:val="216530F6"/>
    <w:rsid w:val="216A7931"/>
    <w:rsid w:val="216F189E"/>
    <w:rsid w:val="2181722A"/>
    <w:rsid w:val="21907975"/>
    <w:rsid w:val="219D1A70"/>
    <w:rsid w:val="21A44CD2"/>
    <w:rsid w:val="21A5276F"/>
    <w:rsid w:val="21AB7F4C"/>
    <w:rsid w:val="21BC6F8D"/>
    <w:rsid w:val="21C87E9E"/>
    <w:rsid w:val="21EE1803"/>
    <w:rsid w:val="21F91DA9"/>
    <w:rsid w:val="21F94701"/>
    <w:rsid w:val="22015FEE"/>
    <w:rsid w:val="22092361"/>
    <w:rsid w:val="221254AB"/>
    <w:rsid w:val="22173086"/>
    <w:rsid w:val="222D7221"/>
    <w:rsid w:val="22352FE1"/>
    <w:rsid w:val="223975E1"/>
    <w:rsid w:val="2242103D"/>
    <w:rsid w:val="22426B7E"/>
    <w:rsid w:val="22435608"/>
    <w:rsid w:val="22451F67"/>
    <w:rsid w:val="22470C4C"/>
    <w:rsid w:val="22471527"/>
    <w:rsid w:val="224A27FE"/>
    <w:rsid w:val="22500D5F"/>
    <w:rsid w:val="225C2798"/>
    <w:rsid w:val="22626B9C"/>
    <w:rsid w:val="226A0E31"/>
    <w:rsid w:val="22740402"/>
    <w:rsid w:val="227D186C"/>
    <w:rsid w:val="227F5862"/>
    <w:rsid w:val="22832BF1"/>
    <w:rsid w:val="228A23F9"/>
    <w:rsid w:val="228B3D1C"/>
    <w:rsid w:val="228D1339"/>
    <w:rsid w:val="228D4C74"/>
    <w:rsid w:val="22945508"/>
    <w:rsid w:val="22A923B4"/>
    <w:rsid w:val="22A93987"/>
    <w:rsid w:val="22AD6771"/>
    <w:rsid w:val="22BA03DD"/>
    <w:rsid w:val="22C431AE"/>
    <w:rsid w:val="22C53012"/>
    <w:rsid w:val="22D212B4"/>
    <w:rsid w:val="22E92090"/>
    <w:rsid w:val="22F42E97"/>
    <w:rsid w:val="22F453E2"/>
    <w:rsid w:val="2305371B"/>
    <w:rsid w:val="23124BBF"/>
    <w:rsid w:val="23325965"/>
    <w:rsid w:val="233804A4"/>
    <w:rsid w:val="23396C08"/>
    <w:rsid w:val="233A4B0D"/>
    <w:rsid w:val="233F79FC"/>
    <w:rsid w:val="23573E59"/>
    <w:rsid w:val="235E5A2E"/>
    <w:rsid w:val="23613FE4"/>
    <w:rsid w:val="236B5402"/>
    <w:rsid w:val="237065DA"/>
    <w:rsid w:val="23771688"/>
    <w:rsid w:val="238B640D"/>
    <w:rsid w:val="23A71122"/>
    <w:rsid w:val="23C56ACA"/>
    <w:rsid w:val="23CB0ED0"/>
    <w:rsid w:val="23D50339"/>
    <w:rsid w:val="23ED4F0C"/>
    <w:rsid w:val="23F15E22"/>
    <w:rsid w:val="24006C15"/>
    <w:rsid w:val="24014B33"/>
    <w:rsid w:val="2401637B"/>
    <w:rsid w:val="24037337"/>
    <w:rsid w:val="24064FA3"/>
    <w:rsid w:val="240B41C1"/>
    <w:rsid w:val="24132780"/>
    <w:rsid w:val="241F11F0"/>
    <w:rsid w:val="241F4F39"/>
    <w:rsid w:val="24313BEF"/>
    <w:rsid w:val="243511A0"/>
    <w:rsid w:val="243549A7"/>
    <w:rsid w:val="24372C7C"/>
    <w:rsid w:val="24456F81"/>
    <w:rsid w:val="2468113A"/>
    <w:rsid w:val="246F0BF0"/>
    <w:rsid w:val="24790865"/>
    <w:rsid w:val="247B03C3"/>
    <w:rsid w:val="248E7FDA"/>
    <w:rsid w:val="249371C1"/>
    <w:rsid w:val="24967EF4"/>
    <w:rsid w:val="24A02EFC"/>
    <w:rsid w:val="24A40686"/>
    <w:rsid w:val="24A62614"/>
    <w:rsid w:val="24A864B6"/>
    <w:rsid w:val="24C50917"/>
    <w:rsid w:val="24C71522"/>
    <w:rsid w:val="24CE49EA"/>
    <w:rsid w:val="24D5576B"/>
    <w:rsid w:val="24DC25AF"/>
    <w:rsid w:val="24E90E8E"/>
    <w:rsid w:val="24E94A9B"/>
    <w:rsid w:val="24F72BD5"/>
    <w:rsid w:val="24F8164E"/>
    <w:rsid w:val="25015A99"/>
    <w:rsid w:val="2509511A"/>
    <w:rsid w:val="251033BC"/>
    <w:rsid w:val="25407F86"/>
    <w:rsid w:val="254537D8"/>
    <w:rsid w:val="254D1F81"/>
    <w:rsid w:val="254D4832"/>
    <w:rsid w:val="25502385"/>
    <w:rsid w:val="25532054"/>
    <w:rsid w:val="255501E6"/>
    <w:rsid w:val="25553E19"/>
    <w:rsid w:val="255908BE"/>
    <w:rsid w:val="25617B68"/>
    <w:rsid w:val="256C275E"/>
    <w:rsid w:val="2579284E"/>
    <w:rsid w:val="25797402"/>
    <w:rsid w:val="257C7E29"/>
    <w:rsid w:val="25B7674F"/>
    <w:rsid w:val="25BE15D1"/>
    <w:rsid w:val="25C2529A"/>
    <w:rsid w:val="25CD20F1"/>
    <w:rsid w:val="25D4309B"/>
    <w:rsid w:val="25E33445"/>
    <w:rsid w:val="25EB07A2"/>
    <w:rsid w:val="25F2339B"/>
    <w:rsid w:val="26100F20"/>
    <w:rsid w:val="261E32B9"/>
    <w:rsid w:val="26240869"/>
    <w:rsid w:val="263B39D7"/>
    <w:rsid w:val="264D41A4"/>
    <w:rsid w:val="26572466"/>
    <w:rsid w:val="266B0F56"/>
    <w:rsid w:val="267D1396"/>
    <w:rsid w:val="268624ED"/>
    <w:rsid w:val="26913DF2"/>
    <w:rsid w:val="269229F7"/>
    <w:rsid w:val="26965306"/>
    <w:rsid w:val="26AA5266"/>
    <w:rsid w:val="26C40A9F"/>
    <w:rsid w:val="26C41A4E"/>
    <w:rsid w:val="26CB56EC"/>
    <w:rsid w:val="26D41D9C"/>
    <w:rsid w:val="26D53586"/>
    <w:rsid w:val="26E608E7"/>
    <w:rsid w:val="26E77CDC"/>
    <w:rsid w:val="26E95599"/>
    <w:rsid w:val="26ED609B"/>
    <w:rsid w:val="2705521C"/>
    <w:rsid w:val="270F5985"/>
    <w:rsid w:val="271454AD"/>
    <w:rsid w:val="27185B11"/>
    <w:rsid w:val="271E456D"/>
    <w:rsid w:val="27217E52"/>
    <w:rsid w:val="272711F0"/>
    <w:rsid w:val="272B1609"/>
    <w:rsid w:val="27312852"/>
    <w:rsid w:val="27381C5A"/>
    <w:rsid w:val="273D1941"/>
    <w:rsid w:val="273F2493"/>
    <w:rsid w:val="27450BF0"/>
    <w:rsid w:val="276106AE"/>
    <w:rsid w:val="27767E0B"/>
    <w:rsid w:val="277702D7"/>
    <w:rsid w:val="27867F1C"/>
    <w:rsid w:val="278803F0"/>
    <w:rsid w:val="278D1A4F"/>
    <w:rsid w:val="27A06325"/>
    <w:rsid w:val="27BD0607"/>
    <w:rsid w:val="27BF3FDB"/>
    <w:rsid w:val="27C028F8"/>
    <w:rsid w:val="27C327C5"/>
    <w:rsid w:val="27C46164"/>
    <w:rsid w:val="27CC406E"/>
    <w:rsid w:val="27CD2AFA"/>
    <w:rsid w:val="27E13374"/>
    <w:rsid w:val="27E15298"/>
    <w:rsid w:val="27E81CD8"/>
    <w:rsid w:val="27EA2B2D"/>
    <w:rsid w:val="27EF4666"/>
    <w:rsid w:val="27F76D05"/>
    <w:rsid w:val="27FB38C0"/>
    <w:rsid w:val="280B7E3D"/>
    <w:rsid w:val="280E5984"/>
    <w:rsid w:val="281411CD"/>
    <w:rsid w:val="28187D56"/>
    <w:rsid w:val="28312DD0"/>
    <w:rsid w:val="2835231A"/>
    <w:rsid w:val="283711A1"/>
    <w:rsid w:val="283870F5"/>
    <w:rsid w:val="284B7D9A"/>
    <w:rsid w:val="284E5C24"/>
    <w:rsid w:val="284F342D"/>
    <w:rsid w:val="286E6DDD"/>
    <w:rsid w:val="287134BA"/>
    <w:rsid w:val="28746132"/>
    <w:rsid w:val="287D1FC7"/>
    <w:rsid w:val="2884003E"/>
    <w:rsid w:val="288C0653"/>
    <w:rsid w:val="288F702E"/>
    <w:rsid w:val="28934117"/>
    <w:rsid w:val="289C3008"/>
    <w:rsid w:val="28B33500"/>
    <w:rsid w:val="28B555A8"/>
    <w:rsid w:val="28D07266"/>
    <w:rsid w:val="28D260A6"/>
    <w:rsid w:val="28E17ADF"/>
    <w:rsid w:val="28E725A8"/>
    <w:rsid w:val="28EF1FC5"/>
    <w:rsid w:val="28F22647"/>
    <w:rsid w:val="28FD4B52"/>
    <w:rsid w:val="28FD68C7"/>
    <w:rsid w:val="29074B7D"/>
    <w:rsid w:val="290F79A1"/>
    <w:rsid w:val="291337F0"/>
    <w:rsid w:val="291727AB"/>
    <w:rsid w:val="29273E15"/>
    <w:rsid w:val="29310375"/>
    <w:rsid w:val="293F312A"/>
    <w:rsid w:val="2940510B"/>
    <w:rsid w:val="294262B9"/>
    <w:rsid w:val="29452F38"/>
    <w:rsid w:val="295D6ADE"/>
    <w:rsid w:val="29655B97"/>
    <w:rsid w:val="296D52A1"/>
    <w:rsid w:val="297D5829"/>
    <w:rsid w:val="29834178"/>
    <w:rsid w:val="29865CC7"/>
    <w:rsid w:val="298D7242"/>
    <w:rsid w:val="299B0448"/>
    <w:rsid w:val="299C30F1"/>
    <w:rsid w:val="299F19D2"/>
    <w:rsid w:val="29A45B53"/>
    <w:rsid w:val="29B772F9"/>
    <w:rsid w:val="29C76399"/>
    <w:rsid w:val="29C879A0"/>
    <w:rsid w:val="29E9291C"/>
    <w:rsid w:val="29EB2815"/>
    <w:rsid w:val="29F13249"/>
    <w:rsid w:val="29F514D2"/>
    <w:rsid w:val="2A166020"/>
    <w:rsid w:val="2A1B4642"/>
    <w:rsid w:val="2A1D409C"/>
    <w:rsid w:val="2A277653"/>
    <w:rsid w:val="2A35718D"/>
    <w:rsid w:val="2A3B777E"/>
    <w:rsid w:val="2A3D1827"/>
    <w:rsid w:val="2A4674FE"/>
    <w:rsid w:val="2A4738AF"/>
    <w:rsid w:val="2A5F5886"/>
    <w:rsid w:val="2A611121"/>
    <w:rsid w:val="2A6556BC"/>
    <w:rsid w:val="2A7175A1"/>
    <w:rsid w:val="2A76460B"/>
    <w:rsid w:val="2A7C3F17"/>
    <w:rsid w:val="2A9E7255"/>
    <w:rsid w:val="2AA27047"/>
    <w:rsid w:val="2AA5080F"/>
    <w:rsid w:val="2AA739BC"/>
    <w:rsid w:val="2AA763C5"/>
    <w:rsid w:val="2AAC30E2"/>
    <w:rsid w:val="2ABF7E0F"/>
    <w:rsid w:val="2ACA4DE4"/>
    <w:rsid w:val="2AD73AAA"/>
    <w:rsid w:val="2AE54361"/>
    <w:rsid w:val="2AE80414"/>
    <w:rsid w:val="2AE93057"/>
    <w:rsid w:val="2AF10FC4"/>
    <w:rsid w:val="2AF32D48"/>
    <w:rsid w:val="2AFA1BEF"/>
    <w:rsid w:val="2AFB2D49"/>
    <w:rsid w:val="2B063849"/>
    <w:rsid w:val="2B0A0935"/>
    <w:rsid w:val="2B130CE6"/>
    <w:rsid w:val="2B1319FB"/>
    <w:rsid w:val="2B1A27F1"/>
    <w:rsid w:val="2B227B12"/>
    <w:rsid w:val="2B2515CB"/>
    <w:rsid w:val="2B25752B"/>
    <w:rsid w:val="2B331284"/>
    <w:rsid w:val="2B44271B"/>
    <w:rsid w:val="2B5917F8"/>
    <w:rsid w:val="2B6200F2"/>
    <w:rsid w:val="2B71099F"/>
    <w:rsid w:val="2B7D1204"/>
    <w:rsid w:val="2B7F0A18"/>
    <w:rsid w:val="2B8027DA"/>
    <w:rsid w:val="2B8C3147"/>
    <w:rsid w:val="2B9C0BEF"/>
    <w:rsid w:val="2BA21FAD"/>
    <w:rsid w:val="2BA47C5D"/>
    <w:rsid w:val="2BA8078D"/>
    <w:rsid w:val="2BA94610"/>
    <w:rsid w:val="2BA97ADB"/>
    <w:rsid w:val="2BAB3791"/>
    <w:rsid w:val="2BB61AE5"/>
    <w:rsid w:val="2BB77E48"/>
    <w:rsid w:val="2BC50794"/>
    <w:rsid w:val="2BD00DFF"/>
    <w:rsid w:val="2BE2316D"/>
    <w:rsid w:val="2BE94C96"/>
    <w:rsid w:val="2BEB2F9E"/>
    <w:rsid w:val="2C0460FA"/>
    <w:rsid w:val="2C0D32DF"/>
    <w:rsid w:val="2C0D7863"/>
    <w:rsid w:val="2C1278E8"/>
    <w:rsid w:val="2C1E29BF"/>
    <w:rsid w:val="2C2F3B77"/>
    <w:rsid w:val="2C3936FA"/>
    <w:rsid w:val="2C405E5E"/>
    <w:rsid w:val="2C4400DD"/>
    <w:rsid w:val="2C6B5D65"/>
    <w:rsid w:val="2C6C3678"/>
    <w:rsid w:val="2C6E0B7D"/>
    <w:rsid w:val="2C731569"/>
    <w:rsid w:val="2C8158D6"/>
    <w:rsid w:val="2C8C5B08"/>
    <w:rsid w:val="2C9411C3"/>
    <w:rsid w:val="2C9E7F03"/>
    <w:rsid w:val="2CA2397C"/>
    <w:rsid w:val="2CA43263"/>
    <w:rsid w:val="2CAD4448"/>
    <w:rsid w:val="2CB063BC"/>
    <w:rsid w:val="2CBB2EFA"/>
    <w:rsid w:val="2CBC44CC"/>
    <w:rsid w:val="2CBC5178"/>
    <w:rsid w:val="2CC00849"/>
    <w:rsid w:val="2CC95E54"/>
    <w:rsid w:val="2CD1535C"/>
    <w:rsid w:val="2CD613D6"/>
    <w:rsid w:val="2CDE2BC5"/>
    <w:rsid w:val="2CE65C7D"/>
    <w:rsid w:val="2CF26D71"/>
    <w:rsid w:val="2CF963BF"/>
    <w:rsid w:val="2CFF7460"/>
    <w:rsid w:val="2D000018"/>
    <w:rsid w:val="2D01054B"/>
    <w:rsid w:val="2D112C6B"/>
    <w:rsid w:val="2D155826"/>
    <w:rsid w:val="2D176E9F"/>
    <w:rsid w:val="2D1832E6"/>
    <w:rsid w:val="2D2554B3"/>
    <w:rsid w:val="2D280B7D"/>
    <w:rsid w:val="2D2F0A63"/>
    <w:rsid w:val="2D371F49"/>
    <w:rsid w:val="2D4C6794"/>
    <w:rsid w:val="2D677722"/>
    <w:rsid w:val="2D6C6D9B"/>
    <w:rsid w:val="2D6D0E47"/>
    <w:rsid w:val="2D7C63D0"/>
    <w:rsid w:val="2D7D1B84"/>
    <w:rsid w:val="2D7D2A99"/>
    <w:rsid w:val="2D7F46F6"/>
    <w:rsid w:val="2D8F58B1"/>
    <w:rsid w:val="2D97608D"/>
    <w:rsid w:val="2D977A59"/>
    <w:rsid w:val="2DA5501C"/>
    <w:rsid w:val="2DAA42B1"/>
    <w:rsid w:val="2DAD697B"/>
    <w:rsid w:val="2DB013D1"/>
    <w:rsid w:val="2DB26641"/>
    <w:rsid w:val="2DB50E33"/>
    <w:rsid w:val="2DC22F7B"/>
    <w:rsid w:val="2DC70B3D"/>
    <w:rsid w:val="2DD85724"/>
    <w:rsid w:val="2DDA107B"/>
    <w:rsid w:val="2DE300D1"/>
    <w:rsid w:val="2DEC2A6A"/>
    <w:rsid w:val="2DFB47A1"/>
    <w:rsid w:val="2DFD5886"/>
    <w:rsid w:val="2E1F3018"/>
    <w:rsid w:val="2E200533"/>
    <w:rsid w:val="2E29512F"/>
    <w:rsid w:val="2E2C020B"/>
    <w:rsid w:val="2E310171"/>
    <w:rsid w:val="2E3658D7"/>
    <w:rsid w:val="2E3F7374"/>
    <w:rsid w:val="2E4433EF"/>
    <w:rsid w:val="2E471762"/>
    <w:rsid w:val="2E551887"/>
    <w:rsid w:val="2E675364"/>
    <w:rsid w:val="2E6A510B"/>
    <w:rsid w:val="2E6E4A3B"/>
    <w:rsid w:val="2E7C518F"/>
    <w:rsid w:val="2E800DF1"/>
    <w:rsid w:val="2E80518F"/>
    <w:rsid w:val="2E85490E"/>
    <w:rsid w:val="2E916C04"/>
    <w:rsid w:val="2E932916"/>
    <w:rsid w:val="2E977742"/>
    <w:rsid w:val="2E993F45"/>
    <w:rsid w:val="2E9B33F9"/>
    <w:rsid w:val="2EAB667E"/>
    <w:rsid w:val="2EB12291"/>
    <w:rsid w:val="2EB759A8"/>
    <w:rsid w:val="2EC8033E"/>
    <w:rsid w:val="2ECE050C"/>
    <w:rsid w:val="2EE30433"/>
    <w:rsid w:val="2EED0919"/>
    <w:rsid w:val="2EED4853"/>
    <w:rsid w:val="2EF11762"/>
    <w:rsid w:val="2EF17E5C"/>
    <w:rsid w:val="2EF22560"/>
    <w:rsid w:val="2EF93F4B"/>
    <w:rsid w:val="2EFB3132"/>
    <w:rsid w:val="2EFF6271"/>
    <w:rsid w:val="2F04796F"/>
    <w:rsid w:val="2F0D3DA3"/>
    <w:rsid w:val="2F15600D"/>
    <w:rsid w:val="2F1A08A9"/>
    <w:rsid w:val="2F2615FC"/>
    <w:rsid w:val="2F3C05AB"/>
    <w:rsid w:val="2F4B3B31"/>
    <w:rsid w:val="2F6E4C8D"/>
    <w:rsid w:val="2F7768F0"/>
    <w:rsid w:val="2F7B4AEA"/>
    <w:rsid w:val="2F7D7E3A"/>
    <w:rsid w:val="2F85362A"/>
    <w:rsid w:val="2F917F4B"/>
    <w:rsid w:val="2F932998"/>
    <w:rsid w:val="2F9B0986"/>
    <w:rsid w:val="2FA61233"/>
    <w:rsid w:val="2FBC1590"/>
    <w:rsid w:val="2FC12FC0"/>
    <w:rsid w:val="2FD33799"/>
    <w:rsid w:val="2FD50DC3"/>
    <w:rsid w:val="2FDA0C53"/>
    <w:rsid w:val="2FDE015F"/>
    <w:rsid w:val="2FFE1750"/>
    <w:rsid w:val="2FFE2EB5"/>
    <w:rsid w:val="2FFF765A"/>
    <w:rsid w:val="30036048"/>
    <w:rsid w:val="3006237F"/>
    <w:rsid w:val="30086806"/>
    <w:rsid w:val="3014689D"/>
    <w:rsid w:val="301F545A"/>
    <w:rsid w:val="30236EB0"/>
    <w:rsid w:val="30360F64"/>
    <w:rsid w:val="303872FE"/>
    <w:rsid w:val="303A50FA"/>
    <w:rsid w:val="303B7C6D"/>
    <w:rsid w:val="30400235"/>
    <w:rsid w:val="30564017"/>
    <w:rsid w:val="30601F58"/>
    <w:rsid w:val="30616D08"/>
    <w:rsid w:val="30644A48"/>
    <w:rsid w:val="30852D42"/>
    <w:rsid w:val="309051B6"/>
    <w:rsid w:val="309275A7"/>
    <w:rsid w:val="30A23E47"/>
    <w:rsid w:val="30B24A44"/>
    <w:rsid w:val="30B52813"/>
    <w:rsid w:val="30B57AC2"/>
    <w:rsid w:val="30D00561"/>
    <w:rsid w:val="30D139C1"/>
    <w:rsid w:val="30D14B15"/>
    <w:rsid w:val="30DF2CD7"/>
    <w:rsid w:val="30E36CD9"/>
    <w:rsid w:val="30F85B11"/>
    <w:rsid w:val="30FD197E"/>
    <w:rsid w:val="31233B20"/>
    <w:rsid w:val="3128113D"/>
    <w:rsid w:val="31334FC7"/>
    <w:rsid w:val="31357889"/>
    <w:rsid w:val="3136169B"/>
    <w:rsid w:val="313D6A41"/>
    <w:rsid w:val="314066B1"/>
    <w:rsid w:val="31674B18"/>
    <w:rsid w:val="316E33B4"/>
    <w:rsid w:val="31781143"/>
    <w:rsid w:val="317B2B05"/>
    <w:rsid w:val="318111FC"/>
    <w:rsid w:val="318D30B8"/>
    <w:rsid w:val="318E0D2E"/>
    <w:rsid w:val="3191369A"/>
    <w:rsid w:val="319C2A82"/>
    <w:rsid w:val="31A97850"/>
    <w:rsid w:val="31B12042"/>
    <w:rsid w:val="31BA11D6"/>
    <w:rsid w:val="31C14B20"/>
    <w:rsid w:val="31C75D18"/>
    <w:rsid w:val="31CB053B"/>
    <w:rsid w:val="31E52168"/>
    <w:rsid w:val="31E87A27"/>
    <w:rsid w:val="31F31A6F"/>
    <w:rsid w:val="31F46FF8"/>
    <w:rsid w:val="31FF48D6"/>
    <w:rsid w:val="32092191"/>
    <w:rsid w:val="32136B80"/>
    <w:rsid w:val="322048FB"/>
    <w:rsid w:val="322540B8"/>
    <w:rsid w:val="32361136"/>
    <w:rsid w:val="32543F02"/>
    <w:rsid w:val="3257627A"/>
    <w:rsid w:val="325E36B0"/>
    <w:rsid w:val="3269507D"/>
    <w:rsid w:val="3273007A"/>
    <w:rsid w:val="32735C95"/>
    <w:rsid w:val="327377C9"/>
    <w:rsid w:val="32866CB8"/>
    <w:rsid w:val="328A3FE5"/>
    <w:rsid w:val="329641D3"/>
    <w:rsid w:val="329F776B"/>
    <w:rsid w:val="32A458AF"/>
    <w:rsid w:val="32B72DF8"/>
    <w:rsid w:val="32B97FF0"/>
    <w:rsid w:val="32BE5522"/>
    <w:rsid w:val="32C71C0D"/>
    <w:rsid w:val="32CE0E36"/>
    <w:rsid w:val="32D513D6"/>
    <w:rsid w:val="32DF508C"/>
    <w:rsid w:val="32E6533E"/>
    <w:rsid w:val="32EC6B8F"/>
    <w:rsid w:val="32EC7AEE"/>
    <w:rsid w:val="32F81A91"/>
    <w:rsid w:val="33072A01"/>
    <w:rsid w:val="3312497A"/>
    <w:rsid w:val="33184A7C"/>
    <w:rsid w:val="331F5ACC"/>
    <w:rsid w:val="331F708D"/>
    <w:rsid w:val="33427C94"/>
    <w:rsid w:val="33451BC8"/>
    <w:rsid w:val="335C49A0"/>
    <w:rsid w:val="33641A20"/>
    <w:rsid w:val="33787D75"/>
    <w:rsid w:val="338509E0"/>
    <w:rsid w:val="338F447E"/>
    <w:rsid w:val="339479C4"/>
    <w:rsid w:val="33961DA5"/>
    <w:rsid w:val="339929E5"/>
    <w:rsid w:val="339B3289"/>
    <w:rsid w:val="33A60F1B"/>
    <w:rsid w:val="33AB7BFA"/>
    <w:rsid w:val="33AC2EC2"/>
    <w:rsid w:val="33BE46A4"/>
    <w:rsid w:val="33CF1F9F"/>
    <w:rsid w:val="33D42CE3"/>
    <w:rsid w:val="33D45158"/>
    <w:rsid w:val="33DC4AFC"/>
    <w:rsid w:val="33DE472A"/>
    <w:rsid w:val="33F046A9"/>
    <w:rsid w:val="33F656C4"/>
    <w:rsid w:val="340359B4"/>
    <w:rsid w:val="340364D7"/>
    <w:rsid w:val="340C0251"/>
    <w:rsid w:val="34207B82"/>
    <w:rsid w:val="34230D21"/>
    <w:rsid w:val="342C06C3"/>
    <w:rsid w:val="342C283D"/>
    <w:rsid w:val="342D7CA9"/>
    <w:rsid w:val="343C238F"/>
    <w:rsid w:val="344560E8"/>
    <w:rsid w:val="344828D8"/>
    <w:rsid w:val="346E367C"/>
    <w:rsid w:val="34765F08"/>
    <w:rsid w:val="347B2AE8"/>
    <w:rsid w:val="34B6287C"/>
    <w:rsid w:val="34C20046"/>
    <w:rsid w:val="34C25FEF"/>
    <w:rsid w:val="34C81959"/>
    <w:rsid w:val="34D13A99"/>
    <w:rsid w:val="34D14809"/>
    <w:rsid w:val="34E63D5A"/>
    <w:rsid w:val="34ED26E9"/>
    <w:rsid w:val="34EF18D2"/>
    <w:rsid w:val="34FF46B5"/>
    <w:rsid w:val="350158DF"/>
    <w:rsid w:val="35054751"/>
    <w:rsid w:val="350C796F"/>
    <w:rsid w:val="350D4BE1"/>
    <w:rsid w:val="352411E1"/>
    <w:rsid w:val="352440C8"/>
    <w:rsid w:val="352E4540"/>
    <w:rsid w:val="352F73A0"/>
    <w:rsid w:val="35340A43"/>
    <w:rsid w:val="35365259"/>
    <w:rsid w:val="35370862"/>
    <w:rsid w:val="35422A7F"/>
    <w:rsid w:val="35463542"/>
    <w:rsid w:val="35474883"/>
    <w:rsid w:val="3547620A"/>
    <w:rsid w:val="354B1DD2"/>
    <w:rsid w:val="35516F6C"/>
    <w:rsid w:val="35612418"/>
    <w:rsid w:val="356678EF"/>
    <w:rsid w:val="357E7F2C"/>
    <w:rsid w:val="35817A70"/>
    <w:rsid w:val="359510B7"/>
    <w:rsid w:val="35A1251F"/>
    <w:rsid w:val="35A46F21"/>
    <w:rsid w:val="35A4795E"/>
    <w:rsid w:val="35B96760"/>
    <w:rsid w:val="35C438FC"/>
    <w:rsid w:val="35CE0DDC"/>
    <w:rsid w:val="35F65178"/>
    <w:rsid w:val="361C2DD0"/>
    <w:rsid w:val="36257FD9"/>
    <w:rsid w:val="362E3F9B"/>
    <w:rsid w:val="363179CD"/>
    <w:rsid w:val="363A70F1"/>
    <w:rsid w:val="36424BCE"/>
    <w:rsid w:val="36455FD1"/>
    <w:rsid w:val="365973C2"/>
    <w:rsid w:val="36710FB7"/>
    <w:rsid w:val="36724133"/>
    <w:rsid w:val="3675490E"/>
    <w:rsid w:val="36796878"/>
    <w:rsid w:val="368B2EFE"/>
    <w:rsid w:val="36997D1E"/>
    <w:rsid w:val="369B2C69"/>
    <w:rsid w:val="36A941D3"/>
    <w:rsid w:val="36AE7E4D"/>
    <w:rsid w:val="36C53202"/>
    <w:rsid w:val="36C94C72"/>
    <w:rsid w:val="36CA5F56"/>
    <w:rsid w:val="36ED5923"/>
    <w:rsid w:val="3700060A"/>
    <w:rsid w:val="370056AD"/>
    <w:rsid w:val="37033F75"/>
    <w:rsid w:val="371A4D18"/>
    <w:rsid w:val="371C0384"/>
    <w:rsid w:val="37240FCB"/>
    <w:rsid w:val="37263B68"/>
    <w:rsid w:val="37287091"/>
    <w:rsid w:val="372C701F"/>
    <w:rsid w:val="373408A5"/>
    <w:rsid w:val="37442EB7"/>
    <w:rsid w:val="374D3141"/>
    <w:rsid w:val="374E77C8"/>
    <w:rsid w:val="374F69DC"/>
    <w:rsid w:val="37502D61"/>
    <w:rsid w:val="37517DC1"/>
    <w:rsid w:val="375318EC"/>
    <w:rsid w:val="3754761A"/>
    <w:rsid w:val="37640266"/>
    <w:rsid w:val="37770BDD"/>
    <w:rsid w:val="37A72F3B"/>
    <w:rsid w:val="37B01650"/>
    <w:rsid w:val="37B25A57"/>
    <w:rsid w:val="37C11BAF"/>
    <w:rsid w:val="37C44D03"/>
    <w:rsid w:val="37CC2DB8"/>
    <w:rsid w:val="37CE3BFD"/>
    <w:rsid w:val="37D62B7D"/>
    <w:rsid w:val="37D71CEA"/>
    <w:rsid w:val="37E02CDA"/>
    <w:rsid w:val="37E15FE5"/>
    <w:rsid w:val="37E77885"/>
    <w:rsid w:val="37E845F4"/>
    <w:rsid w:val="37E86A6B"/>
    <w:rsid w:val="37ED7C81"/>
    <w:rsid w:val="37F565FF"/>
    <w:rsid w:val="37F70141"/>
    <w:rsid w:val="380460F4"/>
    <w:rsid w:val="38154B6B"/>
    <w:rsid w:val="3838716B"/>
    <w:rsid w:val="38475D2A"/>
    <w:rsid w:val="38477BCF"/>
    <w:rsid w:val="3853376C"/>
    <w:rsid w:val="3859075A"/>
    <w:rsid w:val="385E429B"/>
    <w:rsid w:val="38624159"/>
    <w:rsid w:val="38694263"/>
    <w:rsid w:val="386B3A5B"/>
    <w:rsid w:val="386F1AE1"/>
    <w:rsid w:val="386F6368"/>
    <w:rsid w:val="387653CA"/>
    <w:rsid w:val="387E769F"/>
    <w:rsid w:val="388B2005"/>
    <w:rsid w:val="388F477D"/>
    <w:rsid w:val="38902F77"/>
    <w:rsid w:val="38925F64"/>
    <w:rsid w:val="38A50791"/>
    <w:rsid w:val="38AC248F"/>
    <w:rsid w:val="38AD16B4"/>
    <w:rsid w:val="38AE178D"/>
    <w:rsid w:val="38B273A0"/>
    <w:rsid w:val="38B40D2A"/>
    <w:rsid w:val="38B66756"/>
    <w:rsid w:val="38C308FB"/>
    <w:rsid w:val="38C96FCD"/>
    <w:rsid w:val="38DA64FC"/>
    <w:rsid w:val="38DB6A3C"/>
    <w:rsid w:val="38DF6C97"/>
    <w:rsid w:val="38E87E09"/>
    <w:rsid w:val="38F80131"/>
    <w:rsid w:val="38FF32E0"/>
    <w:rsid w:val="391639A4"/>
    <w:rsid w:val="392C6FE4"/>
    <w:rsid w:val="392D4038"/>
    <w:rsid w:val="392F061E"/>
    <w:rsid w:val="3936770E"/>
    <w:rsid w:val="394416B8"/>
    <w:rsid w:val="394C5E00"/>
    <w:rsid w:val="394D229C"/>
    <w:rsid w:val="39507940"/>
    <w:rsid w:val="39595BB8"/>
    <w:rsid w:val="39664F32"/>
    <w:rsid w:val="396A1063"/>
    <w:rsid w:val="396B4DE4"/>
    <w:rsid w:val="396C3C01"/>
    <w:rsid w:val="396E05E2"/>
    <w:rsid w:val="396F33CE"/>
    <w:rsid w:val="3972461A"/>
    <w:rsid w:val="398B6ACA"/>
    <w:rsid w:val="39A646E7"/>
    <w:rsid w:val="39A931AE"/>
    <w:rsid w:val="39B734AF"/>
    <w:rsid w:val="39BC7231"/>
    <w:rsid w:val="39BF58CD"/>
    <w:rsid w:val="39C30DEE"/>
    <w:rsid w:val="39C8341B"/>
    <w:rsid w:val="39CB3209"/>
    <w:rsid w:val="39CC14F3"/>
    <w:rsid w:val="39D21BB7"/>
    <w:rsid w:val="39DE630A"/>
    <w:rsid w:val="39E63A1C"/>
    <w:rsid w:val="39EE7BDC"/>
    <w:rsid w:val="3A024CAE"/>
    <w:rsid w:val="3A076A89"/>
    <w:rsid w:val="3A0C69E4"/>
    <w:rsid w:val="3A123C36"/>
    <w:rsid w:val="3A183E8B"/>
    <w:rsid w:val="3A2161EB"/>
    <w:rsid w:val="3A3214CC"/>
    <w:rsid w:val="3A4E0862"/>
    <w:rsid w:val="3A526642"/>
    <w:rsid w:val="3A687B78"/>
    <w:rsid w:val="3A6A3A80"/>
    <w:rsid w:val="3A7A407E"/>
    <w:rsid w:val="3A8272DF"/>
    <w:rsid w:val="3A84753C"/>
    <w:rsid w:val="3A8C7C59"/>
    <w:rsid w:val="3A964758"/>
    <w:rsid w:val="3A984F64"/>
    <w:rsid w:val="3A9F027C"/>
    <w:rsid w:val="3AA20330"/>
    <w:rsid w:val="3AA27753"/>
    <w:rsid w:val="3AAA56B9"/>
    <w:rsid w:val="3AAB303A"/>
    <w:rsid w:val="3AC03A36"/>
    <w:rsid w:val="3AC142F1"/>
    <w:rsid w:val="3AC37A18"/>
    <w:rsid w:val="3AC87179"/>
    <w:rsid w:val="3ACC2C17"/>
    <w:rsid w:val="3AD139EE"/>
    <w:rsid w:val="3AD80004"/>
    <w:rsid w:val="3AD83785"/>
    <w:rsid w:val="3ADC6E4E"/>
    <w:rsid w:val="3AE151E5"/>
    <w:rsid w:val="3AF17928"/>
    <w:rsid w:val="3AF6669A"/>
    <w:rsid w:val="3AFD4F44"/>
    <w:rsid w:val="3B0311B9"/>
    <w:rsid w:val="3B043F24"/>
    <w:rsid w:val="3B173BF2"/>
    <w:rsid w:val="3B1D4CD4"/>
    <w:rsid w:val="3B264EE0"/>
    <w:rsid w:val="3B2A329F"/>
    <w:rsid w:val="3B2B4EB0"/>
    <w:rsid w:val="3B405151"/>
    <w:rsid w:val="3B526DCC"/>
    <w:rsid w:val="3B6D24F5"/>
    <w:rsid w:val="3B6E2755"/>
    <w:rsid w:val="3B73254F"/>
    <w:rsid w:val="3B774A76"/>
    <w:rsid w:val="3B7E23AF"/>
    <w:rsid w:val="3B862CA0"/>
    <w:rsid w:val="3B98242C"/>
    <w:rsid w:val="3B9C0921"/>
    <w:rsid w:val="3B9E4D4B"/>
    <w:rsid w:val="3BA1059E"/>
    <w:rsid w:val="3BA13299"/>
    <w:rsid w:val="3BA65F7E"/>
    <w:rsid w:val="3BAD4B47"/>
    <w:rsid w:val="3BB961D9"/>
    <w:rsid w:val="3BC4117B"/>
    <w:rsid w:val="3BC4467B"/>
    <w:rsid w:val="3BCB2B38"/>
    <w:rsid w:val="3BCD233D"/>
    <w:rsid w:val="3BDE621A"/>
    <w:rsid w:val="3BF16B12"/>
    <w:rsid w:val="3BF72E59"/>
    <w:rsid w:val="3BFB1A37"/>
    <w:rsid w:val="3C02216E"/>
    <w:rsid w:val="3C0B24DF"/>
    <w:rsid w:val="3C0E51D8"/>
    <w:rsid w:val="3C1A5785"/>
    <w:rsid w:val="3C1F20EA"/>
    <w:rsid w:val="3C2F5D6D"/>
    <w:rsid w:val="3C3C52DB"/>
    <w:rsid w:val="3C48260D"/>
    <w:rsid w:val="3C641720"/>
    <w:rsid w:val="3C686A8A"/>
    <w:rsid w:val="3C7B55E4"/>
    <w:rsid w:val="3C8B40D8"/>
    <w:rsid w:val="3C8D6729"/>
    <w:rsid w:val="3C995DC4"/>
    <w:rsid w:val="3C9A45A8"/>
    <w:rsid w:val="3C9E7A9B"/>
    <w:rsid w:val="3CA21909"/>
    <w:rsid w:val="3CA332D8"/>
    <w:rsid w:val="3CA93306"/>
    <w:rsid w:val="3CAA4867"/>
    <w:rsid w:val="3CAC79B9"/>
    <w:rsid w:val="3CAF2429"/>
    <w:rsid w:val="3CBC6341"/>
    <w:rsid w:val="3CBF5689"/>
    <w:rsid w:val="3CC16D3F"/>
    <w:rsid w:val="3CC7056B"/>
    <w:rsid w:val="3CCC2B0D"/>
    <w:rsid w:val="3CCD0BC4"/>
    <w:rsid w:val="3CDA50CF"/>
    <w:rsid w:val="3CDC0658"/>
    <w:rsid w:val="3CE162E7"/>
    <w:rsid w:val="3CE23FFF"/>
    <w:rsid w:val="3CE41E03"/>
    <w:rsid w:val="3CE51764"/>
    <w:rsid w:val="3D0156BE"/>
    <w:rsid w:val="3D060275"/>
    <w:rsid w:val="3D0C2743"/>
    <w:rsid w:val="3D1D61EE"/>
    <w:rsid w:val="3D1E09A4"/>
    <w:rsid w:val="3D2044EF"/>
    <w:rsid w:val="3D2760AC"/>
    <w:rsid w:val="3D295D50"/>
    <w:rsid w:val="3D2E3078"/>
    <w:rsid w:val="3D385AD5"/>
    <w:rsid w:val="3D3D6992"/>
    <w:rsid w:val="3D4F0A56"/>
    <w:rsid w:val="3D686819"/>
    <w:rsid w:val="3D7516B6"/>
    <w:rsid w:val="3DA43CE1"/>
    <w:rsid w:val="3DA70F36"/>
    <w:rsid w:val="3DAB15F8"/>
    <w:rsid w:val="3DAE7DCE"/>
    <w:rsid w:val="3DC9257A"/>
    <w:rsid w:val="3DC95A8B"/>
    <w:rsid w:val="3DCF54E4"/>
    <w:rsid w:val="3DD564C3"/>
    <w:rsid w:val="3DD57856"/>
    <w:rsid w:val="3DD60799"/>
    <w:rsid w:val="3DE701FE"/>
    <w:rsid w:val="3DE7493A"/>
    <w:rsid w:val="3DEF436A"/>
    <w:rsid w:val="3E0C379E"/>
    <w:rsid w:val="3E17132A"/>
    <w:rsid w:val="3E1B483B"/>
    <w:rsid w:val="3E1E553B"/>
    <w:rsid w:val="3E235947"/>
    <w:rsid w:val="3E2D50C6"/>
    <w:rsid w:val="3E3A663A"/>
    <w:rsid w:val="3E3A73E3"/>
    <w:rsid w:val="3E3F4C76"/>
    <w:rsid w:val="3E3F73A7"/>
    <w:rsid w:val="3E5A17AD"/>
    <w:rsid w:val="3E5B7702"/>
    <w:rsid w:val="3E605D79"/>
    <w:rsid w:val="3E6404A0"/>
    <w:rsid w:val="3E7162AE"/>
    <w:rsid w:val="3E897D84"/>
    <w:rsid w:val="3E8E07A6"/>
    <w:rsid w:val="3EA0013E"/>
    <w:rsid w:val="3EA92717"/>
    <w:rsid w:val="3EAC0261"/>
    <w:rsid w:val="3EB66A1D"/>
    <w:rsid w:val="3EBA244F"/>
    <w:rsid w:val="3EC16A6A"/>
    <w:rsid w:val="3ECF03C4"/>
    <w:rsid w:val="3ED20848"/>
    <w:rsid w:val="3ED60F0C"/>
    <w:rsid w:val="3EDA4180"/>
    <w:rsid w:val="3EE15410"/>
    <w:rsid w:val="3EE41DD1"/>
    <w:rsid w:val="3EE65614"/>
    <w:rsid w:val="3EF26F72"/>
    <w:rsid w:val="3EFB1496"/>
    <w:rsid w:val="3F0B6E58"/>
    <w:rsid w:val="3F1B6A16"/>
    <w:rsid w:val="3F2112DE"/>
    <w:rsid w:val="3F2720AF"/>
    <w:rsid w:val="3F39625E"/>
    <w:rsid w:val="3F4574DA"/>
    <w:rsid w:val="3F4B6C90"/>
    <w:rsid w:val="3F4C21C0"/>
    <w:rsid w:val="3F522077"/>
    <w:rsid w:val="3F5A650B"/>
    <w:rsid w:val="3F6037DE"/>
    <w:rsid w:val="3F672532"/>
    <w:rsid w:val="3F6E5127"/>
    <w:rsid w:val="3F7104F7"/>
    <w:rsid w:val="3F7E0D60"/>
    <w:rsid w:val="3F804E42"/>
    <w:rsid w:val="3F890593"/>
    <w:rsid w:val="3F8C6F06"/>
    <w:rsid w:val="3FAA40F9"/>
    <w:rsid w:val="3FAB42DE"/>
    <w:rsid w:val="3FAF687E"/>
    <w:rsid w:val="3FB019F3"/>
    <w:rsid w:val="3FB52F51"/>
    <w:rsid w:val="3FB66FCC"/>
    <w:rsid w:val="3FB71B3C"/>
    <w:rsid w:val="3FC21BA0"/>
    <w:rsid w:val="3FC71AB4"/>
    <w:rsid w:val="3FC72484"/>
    <w:rsid w:val="3FC75BCB"/>
    <w:rsid w:val="3FC94057"/>
    <w:rsid w:val="3FD65C03"/>
    <w:rsid w:val="3FDB43DA"/>
    <w:rsid w:val="3FDE4346"/>
    <w:rsid w:val="3FE407A8"/>
    <w:rsid w:val="3FE7624D"/>
    <w:rsid w:val="3FEC071A"/>
    <w:rsid w:val="3FF714A8"/>
    <w:rsid w:val="40014EE0"/>
    <w:rsid w:val="400B4A04"/>
    <w:rsid w:val="40114D22"/>
    <w:rsid w:val="401251F4"/>
    <w:rsid w:val="4014461A"/>
    <w:rsid w:val="40154E38"/>
    <w:rsid w:val="40180C28"/>
    <w:rsid w:val="402022DE"/>
    <w:rsid w:val="402B6A5D"/>
    <w:rsid w:val="403468FB"/>
    <w:rsid w:val="40397424"/>
    <w:rsid w:val="403E5F36"/>
    <w:rsid w:val="40405564"/>
    <w:rsid w:val="404A1366"/>
    <w:rsid w:val="40534D1D"/>
    <w:rsid w:val="405B56B1"/>
    <w:rsid w:val="405E087F"/>
    <w:rsid w:val="406141F6"/>
    <w:rsid w:val="40671C80"/>
    <w:rsid w:val="407266AE"/>
    <w:rsid w:val="40763DA4"/>
    <w:rsid w:val="40870452"/>
    <w:rsid w:val="408804F0"/>
    <w:rsid w:val="408B43F2"/>
    <w:rsid w:val="409F5B4F"/>
    <w:rsid w:val="40A02416"/>
    <w:rsid w:val="40A63FBF"/>
    <w:rsid w:val="40B02A5C"/>
    <w:rsid w:val="40B9613B"/>
    <w:rsid w:val="40C04C42"/>
    <w:rsid w:val="40C70288"/>
    <w:rsid w:val="40C720FB"/>
    <w:rsid w:val="40CD027A"/>
    <w:rsid w:val="40EA17E4"/>
    <w:rsid w:val="40F94491"/>
    <w:rsid w:val="41000791"/>
    <w:rsid w:val="4102085A"/>
    <w:rsid w:val="41035FA5"/>
    <w:rsid w:val="410743DE"/>
    <w:rsid w:val="410A110E"/>
    <w:rsid w:val="41223B95"/>
    <w:rsid w:val="41400D97"/>
    <w:rsid w:val="41466D14"/>
    <w:rsid w:val="41483ADF"/>
    <w:rsid w:val="414E7258"/>
    <w:rsid w:val="41657749"/>
    <w:rsid w:val="416C51C3"/>
    <w:rsid w:val="416C59A5"/>
    <w:rsid w:val="4170137B"/>
    <w:rsid w:val="41816287"/>
    <w:rsid w:val="41872CF1"/>
    <w:rsid w:val="4189248C"/>
    <w:rsid w:val="418A5390"/>
    <w:rsid w:val="419D6876"/>
    <w:rsid w:val="41A27001"/>
    <w:rsid w:val="41A70716"/>
    <w:rsid w:val="41A74F80"/>
    <w:rsid w:val="41B608EF"/>
    <w:rsid w:val="41BF7940"/>
    <w:rsid w:val="41D20A0F"/>
    <w:rsid w:val="41DC26C6"/>
    <w:rsid w:val="41EE16B8"/>
    <w:rsid w:val="41F458D5"/>
    <w:rsid w:val="41F730C9"/>
    <w:rsid w:val="4201488A"/>
    <w:rsid w:val="42044BA7"/>
    <w:rsid w:val="42074B61"/>
    <w:rsid w:val="421B5ED6"/>
    <w:rsid w:val="421F2415"/>
    <w:rsid w:val="421F4058"/>
    <w:rsid w:val="42202CEB"/>
    <w:rsid w:val="42233FB3"/>
    <w:rsid w:val="42275C39"/>
    <w:rsid w:val="422C62C4"/>
    <w:rsid w:val="42370420"/>
    <w:rsid w:val="423765CB"/>
    <w:rsid w:val="423A0574"/>
    <w:rsid w:val="42506651"/>
    <w:rsid w:val="42674502"/>
    <w:rsid w:val="426919CD"/>
    <w:rsid w:val="42746839"/>
    <w:rsid w:val="427A20D1"/>
    <w:rsid w:val="428D309D"/>
    <w:rsid w:val="42A548A2"/>
    <w:rsid w:val="42B172B7"/>
    <w:rsid w:val="42B438C6"/>
    <w:rsid w:val="42B77F95"/>
    <w:rsid w:val="42BF71DA"/>
    <w:rsid w:val="42C46125"/>
    <w:rsid w:val="42C568BF"/>
    <w:rsid w:val="42E813C0"/>
    <w:rsid w:val="42EF01DF"/>
    <w:rsid w:val="430E6037"/>
    <w:rsid w:val="43152DA6"/>
    <w:rsid w:val="43230319"/>
    <w:rsid w:val="4329195E"/>
    <w:rsid w:val="4344731C"/>
    <w:rsid w:val="43452DD1"/>
    <w:rsid w:val="434D4A6A"/>
    <w:rsid w:val="435209F6"/>
    <w:rsid w:val="43567AB9"/>
    <w:rsid w:val="43605A95"/>
    <w:rsid w:val="43657D9A"/>
    <w:rsid w:val="437348AA"/>
    <w:rsid w:val="437365D9"/>
    <w:rsid w:val="43745558"/>
    <w:rsid w:val="4382220B"/>
    <w:rsid w:val="438B74D5"/>
    <w:rsid w:val="438C31B8"/>
    <w:rsid w:val="43A55E31"/>
    <w:rsid w:val="43AB5E7B"/>
    <w:rsid w:val="43AC2C6E"/>
    <w:rsid w:val="43B4503F"/>
    <w:rsid w:val="43BB1FCC"/>
    <w:rsid w:val="43BD58FF"/>
    <w:rsid w:val="43BF7615"/>
    <w:rsid w:val="43C9229E"/>
    <w:rsid w:val="43DF7967"/>
    <w:rsid w:val="43E0340E"/>
    <w:rsid w:val="43E57388"/>
    <w:rsid w:val="43EA5BEF"/>
    <w:rsid w:val="44000FD4"/>
    <w:rsid w:val="44015BAF"/>
    <w:rsid w:val="4403141B"/>
    <w:rsid w:val="440B70DD"/>
    <w:rsid w:val="440F1DC4"/>
    <w:rsid w:val="441507D1"/>
    <w:rsid w:val="44221393"/>
    <w:rsid w:val="442A70F4"/>
    <w:rsid w:val="442F777D"/>
    <w:rsid w:val="44402B08"/>
    <w:rsid w:val="44427222"/>
    <w:rsid w:val="44523886"/>
    <w:rsid w:val="44587600"/>
    <w:rsid w:val="445D0C54"/>
    <w:rsid w:val="446A44AB"/>
    <w:rsid w:val="4477025B"/>
    <w:rsid w:val="4488425E"/>
    <w:rsid w:val="449004A8"/>
    <w:rsid w:val="4496744E"/>
    <w:rsid w:val="44992F67"/>
    <w:rsid w:val="449979A8"/>
    <w:rsid w:val="449B1C8E"/>
    <w:rsid w:val="449E27C4"/>
    <w:rsid w:val="44A702C0"/>
    <w:rsid w:val="44AA3933"/>
    <w:rsid w:val="44AA701E"/>
    <w:rsid w:val="44AB7881"/>
    <w:rsid w:val="44CC13BE"/>
    <w:rsid w:val="44EA4BDC"/>
    <w:rsid w:val="44FA0924"/>
    <w:rsid w:val="451259CA"/>
    <w:rsid w:val="451B470A"/>
    <w:rsid w:val="451E3DCA"/>
    <w:rsid w:val="452A7B79"/>
    <w:rsid w:val="45304DB5"/>
    <w:rsid w:val="453B57BD"/>
    <w:rsid w:val="453D7631"/>
    <w:rsid w:val="4551515C"/>
    <w:rsid w:val="45627D2E"/>
    <w:rsid w:val="45795020"/>
    <w:rsid w:val="45802C5C"/>
    <w:rsid w:val="4582326B"/>
    <w:rsid w:val="458D711B"/>
    <w:rsid w:val="45904BD8"/>
    <w:rsid w:val="459A36E8"/>
    <w:rsid w:val="459C447E"/>
    <w:rsid w:val="459D29E8"/>
    <w:rsid w:val="45A75271"/>
    <w:rsid w:val="45AC3A12"/>
    <w:rsid w:val="45B557B6"/>
    <w:rsid w:val="45B778C8"/>
    <w:rsid w:val="45BC6267"/>
    <w:rsid w:val="45BF72AF"/>
    <w:rsid w:val="45BF7E22"/>
    <w:rsid w:val="45CB0D2B"/>
    <w:rsid w:val="45CB57BB"/>
    <w:rsid w:val="45CE7839"/>
    <w:rsid w:val="45D47283"/>
    <w:rsid w:val="45E3190C"/>
    <w:rsid w:val="45EA0D31"/>
    <w:rsid w:val="45EF0F16"/>
    <w:rsid w:val="45FA3231"/>
    <w:rsid w:val="45FC52AC"/>
    <w:rsid w:val="461F15C7"/>
    <w:rsid w:val="462D2E03"/>
    <w:rsid w:val="462D52F5"/>
    <w:rsid w:val="46400B6E"/>
    <w:rsid w:val="464652F0"/>
    <w:rsid w:val="464B4D91"/>
    <w:rsid w:val="464C4E2C"/>
    <w:rsid w:val="4655068F"/>
    <w:rsid w:val="465F28D5"/>
    <w:rsid w:val="467B79F8"/>
    <w:rsid w:val="4687556D"/>
    <w:rsid w:val="468C77F7"/>
    <w:rsid w:val="46960997"/>
    <w:rsid w:val="46983ADC"/>
    <w:rsid w:val="469E4953"/>
    <w:rsid w:val="46A71013"/>
    <w:rsid w:val="46AE2714"/>
    <w:rsid w:val="46AE7DD8"/>
    <w:rsid w:val="46B34C69"/>
    <w:rsid w:val="46CD41E6"/>
    <w:rsid w:val="46D26719"/>
    <w:rsid w:val="46D91229"/>
    <w:rsid w:val="46DD4EB7"/>
    <w:rsid w:val="46E21401"/>
    <w:rsid w:val="46EA044C"/>
    <w:rsid w:val="46EA544F"/>
    <w:rsid w:val="46EA5C7B"/>
    <w:rsid w:val="46EF63DC"/>
    <w:rsid w:val="46F0301E"/>
    <w:rsid w:val="46FD7300"/>
    <w:rsid w:val="47034B86"/>
    <w:rsid w:val="47055C07"/>
    <w:rsid w:val="470E53D5"/>
    <w:rsid w:val="47116300"/>
    <w:rsid w:val="471C1EF2"/>
    <w:rsid w:val="471D6AD1"/>
    <w:rsid w:val="4730483A"/>
    <w:rsid w:val="473129BE"/>
    <w:rsid w:val="474949B0"/>
    <w:rsid w:val="47495A3D"/>
    <w:rsid w:val="47585A9A"/>
    <w:rsid w:val="475E3046"/>
    <w:rsid w:val="477702CB"/>
    <w:rsid w:val="478A2624"/>
    <w:rsid w:val="478E02A1"/>
    <w:rsid w:val="47920F49"/>
    <w:rsid w:val="479413A3"/>
    <w:rsid w:val="47986D45"/>
    <w:rsid w:val="47A345C4"/>
    <w:rsid w:val="47A54B88"/>
    <w:rsid w:val="47A93E40"/>
    <w:rsid w:val="47B05E60"/>
    <w:rsid w:val="47B16438"/>
    <w:rsid w:val="47B33247"/>
    <w:rsid w:val="47B8344E"/>
    <w:rsid w:val="47BD56E5"/>
    <w:rsid w:val="47C55475"/>
    <w:rsid w:val="47CF39BE"/>
    <w:rsid w:val="47DE271E"/>
    <w:rsid w:val="47E0575E"/>
    <w:rsid w:val="47F35F8D"/>
    <w:rsid w:val="480660D7"/>
    <w:rsid w:val="48110B7A"/>
    <w:rsid w:val="48147F28"/>
    <w:rsid w:val="48164216"/>
    <w:rsid w:val="481806DB"/>
    <w:rsid w:val="481D7AAE"/>
    <w:rsid w:val="482B417E"/>
    <w:rsid w:val="483232DA"/>
    <w:rsid w:val="48461E94"/>
    <w:rsid w:val="48476ED3"/>
    <w:rsid w:val="485344A1"/>
    <w:rsid w:val="48547511"/>
    <w:rsid w:val="48551B6D"/>
    <w:rsid w:val="485C4058"/>
    <w:rsid w:val="486A1135"/>
    <w:rsid w:val="486E04B6"/>
    <w:rsid w:val="48850DC0"/>
    <w:rsid w:val="48AA7124"/>
    <w:rsid w:val="48AE62EA"/>
    <w:rsid w:val="48BA63E5"/>
    <w:rsid w:val="48BF7D2B"/>
    <w:rsid w:val="48D13041"/>
    <w:rsid w:val="48EA7806"/>
    <w:rsid w:val="4906799A"/>
    <w:rsid w:val="491958B9"/>
    <w:rsid w:val="491C3AB2"/>
    <w:rsid w:val="49266EAB"/>
    <w:rsid w:val="49274D05"/>
    <w:rsid w:val="49315BB1"/>
    <w:rsid w:val="493F24FC"/>
    <w:rsid w:val="49402B6C"/>
    <w:rsid w:val="494042FB"/>
    <w:rsid w:val="49453A90"/>
    <w:rsid w:val="49492647"/>
    <w:rsid w:val="494D5F89"/>
    <w:rsid w:val="495023FB"/>
    <w:rsid w:val="495D3DF8"/>
    <w:rsid w:val="4970355D"/>
    <w:rsid w:val="4976415E"/>
    <w:rsid w:val="498A2537"/>
    <w:rsid w:val="4992019B"/>
    <w:rsid w:val="499B0575"/>
    <w:rsid w:val="499D52EC"/>
    <w:rsid w:val="49A00C98"/>
    <w:rsid w:val="49A861D1"/>
    <w:rsid w:val="49B02067"/>
    <w:rsid w:val="49B43537"/>
    <w:rsid w:val="49BB1589"/>
    <w:rsid w:val="49C455C3"/>
    <w:rsid w:val="49CC1AA2"/>
    <w:rsid w:val="49CF4CA3"/>
    <w:rsid w:val="49D76CD8"/>
    <w:rsid w:val="49DA4F57"/>
    <w:rsid w:val="49E72117"/>
    <w:rsid w:val="49F06870"/>
    <w:rsid w:val="49F5310A"/>
    <w:rsid w:val="49F77625"/>
    <w:rsid w:val="49FA2C7F"/>
    <w:rsid w:val="4A08433A"/>
    <w:rsid w:val="4A0E01A3"/>
    <w:rsid w:val="4A0F70FA"/>
    <w:rsid w:val="4A1809EE"/>
    <w:rsid w:val="4A283611"/>
    <w:rsid w:val="4A2C7FBF"/>
    <w:rsid w:val="4A385DC6"/>
    <w:rsid w:val="4A436F6A"/>
    <w:rsid w:val="4A44252C"/>
    <w:rsid w:val="4A496459"/>
    <w:rsid w:val="4A511BB0"/>
    <w:rsid w:val="4A674035"/>
    <w:rsid w:val="4A690FAF"/>
    <w:rsid w:val="4A692A2A"/>
    <w:rsid w:val="4A7023A4"/>
    <w:rsid w:val="4A714294"/>
    <w:rsid w:val="4A756E70"/>
    <w:rsid w:val="4A7802F6"/>
    <w:rsid w:val="4A7A0508"/>
    <w:rsid w:val="4A7B5E55"/>
    <w:rsid w:val="4A80169C"/>
    <w:rsid w:val="4A882A53"/>
    <w:rsid w:val="4A8B09F3"/>
    <w:rsid w:val="4A8B43C9"/>
    <w:rsid w:val="4A986592"/>
    <w:rsid w:val="4AA33382"/>
    <w:rsid w:val="4AA64F47"/>
    <w:rsid w:val="4AAD0E3C"/>
    <w:rsid w:val="4AB30AAE"/>
    <w:rsid w:val="4AB834FD"/>
    <w:rsid w:val="4ABA4619"/>
    <w:rsid w:val="4ABC2D4A"/>
    <w:rsid w:val="4ABF7097"/>
    <w:rsid w:val="4AC03B87"/>
    <w:rsid w:val="4ADA1681"/>
    <w:rsid w:val="4AF51A4F"/>
    <w:rsid w:val="4AF82570"/>
    <w:rsid w:val="4B0C6D37"/>
    <w:rsid w:val="4B280FAC"/>
    <w:rsid w:val="4B2B1A79"/>
    <w:rsid w:val="4B362194"/>
    <w:rsid w:val="4B3A5748"/>
    <w:rsid w:val="4B3C5727"/>
    <w:rsid w:val="4B4C55F8"/>
    <w:rsid w:val="4B5E6C72"/>
    <w:rsid w:val="4B782557"/>
    <w:rsid w:val="4B854878"/>
    <w:rsid w:val="4B8B3328"/>
    <w:rsid w:val="4B960485"/>
    <w:rsid w:val="4B9B29DD"/>
    <w:rsid w:val="4BA7096F"/>
    <w:rsid w:val="4BAD1869"/>
    <w:rsid w:val="4BC02A8A"/>
    <w:rsid w:val="4BD30473"/>
    <w:rsid w:val="4BD86D57"/>
    <w:rsid w:val="4BF40555"/>
    <w:rsid w:val="4C0E04FE"/>
    <w:rsid w:val="4C13619C"/>
    <w:rsid w:val="4C143CE2"/>
    <w:rsid w:val="4C167C35"/>
    <w:rsid w:val="4C1A65BA"/>
    <w:rsid w:val="4C204A92"/>
    <w:rsid w:val="4C2577FF"/>
    <w:rsid w:val="4C32269B"/>
    <w:rsid w:val="4C4B1E4A"/>
    <w:rsid w:val="4C4E4FDD"/>
    <w:rsid w:val="4C4E5A55"/>
    <w:rsid w:val="4C692DBC"/>
    <w:rsid w:val="4C6D4932"/>
    <w:rsid w:val="4C6E18E6"/>
    <w:rsid w:val="4C701E23"/>
    <w:rsid w:val="4C862597"/>
    <w:rsid w:val="4C8F5834"/>
    <w:rsid w:val="4CB07C88"/>
    <w:rsid w:val="4CC45A35"/>
    <w:rsid w:val="4CEC2985"/>
    <w:rsid w:val="4CEE6AA2"/>
    <w:rsid w:val="4CF03890"/>
    <w:rsid w:val="4CF100A3"/>
    <w:rsid w:val="4CF22838"/>
    <w:rsid w:val="4CFE0CCC"/>
    <w:rsid w:val="4D0164FA"/>
    <w:rsid w:val="4D13045C"/>
    <w:rsid w:val="4D145BD5"/>
    <w:rsid w:val="4D1C23CB"/>
    <w:rsid w:val="4D230F75"/>
    <w:rsid w:val="4D272B73"/>
    <w:rsid w:val="4D280A86"/>
    <w:rsid w:val="4D2B489B"/>
    <w:rsid w:val="4D3968F0"/>
    <w:rsid w:val="4D3A5965"/>
    <w:rsid w:val="4D405DB8"/>
    <w:rsid w:val="4D447ACC"/>
    <w:rsid w:val="4D4D0453"/>
    <w:rsid w:val="4D504306"/>
    <w:rsid w:val="4D531869"/>
    <w:rsid w:val="4D5A1DF1"/>
    <w:rsid w:val="4D5B35E6"/>
    <w:rsid w:val="4D663F2B"/>
    <w:rsid w:val="4D6C1F47"/>
    <w:rsid w:val="4D725E55"/>
    <w:rsid w:val="4D730E2E"/>
    <w:rsid w:val="4D7B2AC0"/>
    <w:rsid w:val="4D824589"/>
    <w:rsid w:val="4D83238D"/>
    <w:rsid w:val="4D864FA1"/>
    <w:rsid w:val="4D907ADE"/>
    <w:rsid w:val="4D9336D4"/>
    <w:rsid w:val="4DA6204F"/>
    <w:rsid w:val="4DAF2A8E"/>
    <w:rsid w:val="4DB203CE"/>
    <w:rsid w:val="4DB32F5A"/>
    <w:rsid w:val="4DB85886"/>
    <w:rsid w:val="4DC460AE"/>
    <w:rsid w:val="4DC564B9"/>
    <w:rsid w:val="4DCE0465"/>
    <w:rsid w:val="4DD81FFB"/>
    <w:rsid w:val="4DE03A45"/>
    <w:rsid w:val="4DE1708D"/>
    <w:rsid w:val="4DE4512B"/>
    <w:rsid w:val="4DEC38A3"/>
    <w:rsid w:val="4DF60B23"/>
    <w:rsid w:val="4DF63134"/>
    <w:rsid w:val="4DFD1DF6"/>
    <w:rsid w:val="4E011D6D"/>
    <w:rsid w:val="4E05778B"/>
    <w:rsid w:val="4E080364"/>
    <w:rsid w:val="4E1B282B"/>
    <w:rsid w:val="4E351C41"/>
    <w:rsid w:val="4E387150"/>
    <w:rsid w:val="4E434961"/>
    <w:rsid w:val="4E592BD4"/>
    <w:rsid w:val="4E7060C4"/>
    <w:rsid w:val="4E714D85"/>
    <w:rsid w:val="4E761827"/>
    <w:rsid w:val="4E7F64F1"/>
    <w:rsid w:val="4E922FFC"/>
    <w:rsid w:val="4E9F1430"/>
    <w:rsid w:val="4EB85C2B"/>
    <w:rsid w:val="4EBD5DF9"/>
    <w:rsid w:val="4EC56D86"/>
    <w:rsid w:val="4EC966C5"/>
    <w:rsid w:val="4ECB2CC2"/>
    <w:rsid w:val="4ECE1298"/>
    <w:rsid w:val="4EDE17B5"/>
    <w:rsid w:val="4EDE600D"/>
    <w:rsid w:val="4EE348C8"/>
    <w:rsid w:val="4EE60806"/>
    <w:rsid w:val="4EF529CD"/>
    <w:rsid w:val="4EFE7134"/>
    <w:rsid w:val="4F027FFB"/>
    <w:rsid w:val="4F044A22"/>
    <w:rsid w:val="4F3105A4"/>
    <w:rsid w:val="4F4531D3"/>
    <w:rsid w:val="4F4B4204"/>
    <w:rsid w:val="4F4D337C"/>
    <w:rsid w:val="4F520A65"/>
    <w:rsid w:val="4F5A2D8B"/>
    <w:rsid w:val="4F5B679B"/>
    <w:rsid w:val="4F602385"/>
    <w:rsid w:val="4F625AD8"/>
    <w:rsid w:val="4F672F12"/>
    <w:rsid w:val="4F6F2AB0"/>
    <w:rsid w:val="4F71211D"/>
    <w:rsid w:val="4F7156CC"/>
    <w:rsid w:val="4F727E5D"/>
    <w:rsid w:val="4F79232C"/>
    <w:rsid w:val="4F8B74AB"/>
    <w:rsid w:val="4F967BDF"/>
    <w:rsid w:val="4F9D3290"/>
    <w:rsid w:val="4FA91628"/>
    <w:rsid w:val="4FA91AB7"/>
    <w:rsid w:val="4FB11DBF"/>
    <w:rsid w:val="4FBB4ACE"/>
    <w:rsid w:val="4FC84E6D"/>
    <w:rsid w:val="4FCC2F58"/>
    <w:rsid w:val="4FDD482D"/>
    <w:rsid w:val="4FE46F56"/>
    <w:rsid w:val="4FE70854"/>
    <w:rsid w:val="4FF05A05"/>
    <w:rsid w:val="5003481D"/>
    <w:rsid w:val="5019494D"/>
    <w:rsid w:val="50224B06"/>
    <w:rsid w:val="50407A59"/>
    <w:rsid w:val="50497336"/>
    <w:rsid w:val="50510C76"/>
    <w:rsid w:val="50612832"/>
    <w:rsid w:val="506C1659"/>
    <w:rsid w:val="506E36EA"/>
    <w:rsid w:val="50730073"/>
    <w:rsid w:val="507977C0"/>
    <w:rsid w:val="507B60CF"/>
    <w:rsid w:val="50835324"/>
    <w:rsid w:val="50875729"/>
    <w:rsid w:val="508E5EED"/>
    <w:rsid w:val="5099148F"/>
    <w:rsid w:val="509E0DA8"/>
    <w:rsid w:val="50A55C69"/>
    <w:rsid w:val="50D045E6"/>
    <w:rsid w:val="50D95CC4"/>
    <w:rsid w:val="50DC164F"/>
    <w:rsid w:val="50F83999"/>
    <w:rsid w:val="510843DE"/>
    <w:rsid w:val="510C3859"/>
    <w:rsid w:val="51216039"/>
    <w:rsid w:val="51375973"/>
    <w:rsid w:val="513833F9"/>
    <w:rsid w:val="515376B9"/>
    <w:rsid w:val="5158302F"/>
    <w:rsid w:val="51622043"/>
    <w:rsid w:val="5169052A"/>
    <w:rsid w:val="517224F3"/>
    <w:rsid w:val="51800EE8"/>
    <w:rsid w:val="519F2D2C"/>
    <w:rsid w:val="51A012DB"/>
    <w:rsid w:val="51B007CA"/>
    <w:rsid w:val="51B633DF"/>
    <w:rsid w:val="51B71C82"/>
    <w:rsid w:val="51B96F59"/>
    <w:rsid w:val="51C71491"/>
    <w:rsid w:val="51CE3DE8"/>
    <w:rsid w:val="51DE2EDE"/>
    <w:rsid w:val="51ED625C"/>
    <w:rsid w:val="51FD3F5E"/>
    <w:rsid w:val="52010037"/>
    <w:rsid w:val="520B0763"/>
    <w:rsid w:val="52167E11"/>
    <w:rsid w:val="521E4261"/>
    <w:rsid w:val="522B2D96"/>
    <w:rsid w:val="52442D54"/>
    <w:rsid w:val="52516D08"/>
    <w:rsid w:val="526079A7"/>
    <w:rsid w:val="5276383A"/>
    <w:rsid w:val="529A4104"/>
    <w:rsid w:val="52A47C0E"/>
    <w:rsid w:val="52A6710E"/>
    <w:rsid w:val="52B063E4"/>
    <w:rsid w:val="52B24C19"/>
    <w:rsid w:val="52BA5554"/>
    <w:rsid w:val="52C33A18"/>
    <w:rsid w:val="52CC5E32"/>
    <w:rsid w:val="52CC76D1"/>
    <w:rsid w:val="52D12498"/>
    <w:rsid w:val="52D6499F"/>
    <w:rsid w:val="52E01B33"/>
    <w:rsid w:val="52E75B7C"/>
    <w:rsid w:val="52EA4FDB"/>
    <w:rsid w:val="52FF004D"/>
    <w:rsid w:val="53193BE6"/>
    <w:rsid w:val="5325781C"/>
    <w:rsid w:val="534B6018"/>
    <w:rsid w:val="534E0309"/>
    <w:rsid w:val="535126EC"/>
    <w:rsid w:val="53691933"/>
    <w:rsid w:val="537C15C1"/>
    <w:rsid w:val="537E7FD9"/>
    <w:rsid w:val="53831827"/>
    <w:rsid w:val="539162B4"/>
    <w:rsid w:val="5392563E"/>
    <w:rsid w:val="53952289"/>
    <w:rsid w:val="5398437C"/>
    <w:rsid w:val="53987DB3"/>
    <w:rsid w:val="539C4087"/>
    <w:rsid w:val="53AD16CA"/>
    <w:rsid w:val="53B25E52"/>
    <w:rsid w:val="53B4516A"/>
    <w:rsid w:val="53C61C25"/>
    <w:rsid w:val="53DB6F34"/>
    <w:rsid w:val="53E23A63"/>
    <w:rsid w:val="54065CEC"/>
    <w:rsid w:val="540F343D"/>
    <w:rsid w:val="54330F82"/>
    <w:rsid w:val="54333F3D"/>
    <w:rsid w:val="543511B8"/>
    <w:rsid w:val="543E3FE6"/>
    <w:rsid w:val="544C4D8B"/>
    <w:rsid w:val="54553FA1"/>
    <w:rsid w:val="545E3432"/>
    <w:rsid w:val="54603B30"/>
    <w:rsid w:val="546106DE"/>
    <w:rsid w:val="546C5D7F"/>
    <w:rsid w:val="546E47F5"/>
    <w:rsid w:val="547A52F1"/>
    <w:rsid w:val="547E1797"/>
    <w:rsid w:val="5492413D"/>
    <w:rsid w:val="5493440E"/>
    <w:rsid w:val="54AB6FB7"/>
    <w:rsid w:val="54AE6D43"/>
    <w:rsid w:val="54B84C44"/>
    <w:rsid w:val="54C0453A"/>
    <w:rsid w:val="54C17112"/>
    <w:rsid w:val="54C227E0"/>
    <w:rsid w:val="54CA5FA1"/>
    <w:rsid w:val="54CB0C28"/>
    <w:rsid w:val="54D43BFA"/>
    <w:rsid w:val="54D6053B"/>
    <w:rsid w:val="54D92F05"/>
    <w:rsid w:val="54E30ACD"/>
    <w:rsid w:val="54E80C2F"/>
    <w:rsid w:val="55114C5C"/>
    <w:rsid w:val="55154190"/>
    <w:rsid w:val="55371A2E"/>
    <w:rsid w:val="5541636C"/>
    <w:rsid w:val="55452F19"/>
    <w:rsid w:val="55454254"/>
    <w:rsid w:val="5550219F"/>
    <w:rsid w:val="55545183"/>
    <w:rsid w:val="555604F2"/>
    <w:rsid w:val="556163B5"/>
    <w:rsid w:val="556D4C19"/>
    <w:rsid w:val="557747EE"/>
    <w:rsid w:val="557943A5"/>
    <w:rsid w:val="557F43AF"/>
    <w:rsid w:val="55835045"/>
    <w:rsid w:val="55841980"/>
    <w:rsid w:val="558F09D2"/>
    <w:rsid w:val="559D301D"/>
    <w:rsid w:val="55A57E73"/>
    <w:rsid w:val="55A6040A"/>
    <w:rsid w:val="55A606E3"/>
    <w:rsid w:val="55C44CFF"/>
    <w:rsid w:val="55C619EB"/>
    <w:rsid w:val="55CF0C0A"/>
    <w:rsid w:val="55D27455"/>
    <w:rsid w:val="55DA0456"/>
    <w:rsid w:val="55DB1802"/>
    <w:rsid w:val="55DC2E61"/>
    <w:rsid w:val="55F07611"/>
    <w:rsid w:val="55FC242E"/>
    <w:rsid w:val="56035998"/>
    <w:rsid w:val="560A2BB2"/>
    <w:rsid w:val="5627659F"/>
    <w:rsid w:val="563E58EF"/>
    <w:rsid w:val="56491403"/>
    <w:rsid w:val="56563303"/>
    <w:rsid w:val="56602AA4"/>
    <w:rsid w:val="56652A75"/>
    <w:rsid w:val="56687704"/>
    <w:rsid w:val="5669176D"/>
    <w:rsid w:val="566B56EB"/>
    <w:rsid w:val="56753C8D"/>
    <w:rsid w:val="56791816"/>
    <w:rsid w:val="567A6FD2"/>
    <w:rsid w:val="568104EF"/>
    <w:rsid w:val="568D7467"/>
    <w:rsid w:val="56907C1F"/>
    <w:rsid w:val="569C3F31"/>
    <w:rsid w:val="569F1720"/>
    <w:rsid w:val="56B40C1F"/>
    <w:rsid w:val="56C347E8"/>
    <w:rsid w:val="56E16ED2"/>
    <w:rsid w:val="56E71EC2"/>
    <w:rsid w:val="56F26B86"/>
    <w:rsid w:val="56F706AE"/>
    <w:rsid w:val="56F919E5"/>
    <w:rsid w:val="570020AF"/>
    <w:rsid w:val="57045951"/>
    <w:rsid w:val="57052050"/>
    <w:rsid w:val="571100C3"/>
    <w:rsid w:val="57327464"/>
    <w:rsid w:val="574154B4"/>
    <w:rsid w:val="57430EA0"/>
    <w:rsid w:val="574952D1"/>
    <w:rsid w:val="574A6593"/>
    <w:rsid w:val="574C05C4"/>
    <w:rsid w:val="575556B6"/>
    <w:rsid w:val="57565B08"/>
    <w:rsid w:val="57581C06"/>
    <w:rsid w:val="57634084"/>
    <w:rsid w:val="57682C5C"/>
    <w:rsid w:val="576B129B"/>
    <w:rsid w:val="576E4356"/>
    <w:rsid w:val="57765C4C"/>
    <w:rsid w:val="57815251"/>
    <w:rsid w:val="57846D8C"/>
    <w:rsid w:val="57910A30"/>
    <w:rsid w:val="5798745C"/>
    <w:rsid w:val="579E5959"/>
    <w:rsid w:val="57A06E5D"/>
    <w:rsid w:val="57AA6F52"/>
    <w:rsid w:val="57AD2964"/>
    <w:rsid w:val="57B020D0"/>
    <w:rsid w:val="57B71519"/>
    <w:rsid w:val="57B86CDB"/>
    <w:rsid w:val="57C53ED0"/>
    <w:rsid w:val="57C77A03"/>
    <w:rsid w:val="57CE2E64"/>
    <w:rsid w:val="57DC64A0"/>
    <w:rsid w:val="57F40292"/>
    <w:rsid w:val="58024877"/>
    <w:rsid w:val="58062A08"/>
    <w:rsid w:val="58075BF2"/>
    <w:rsid w:val="5813314B"/>
    <w:rsid w:val="58253466"/>
    <w:rsid w:val="582535C8"/>
    <w:rsid w:val="58272449"/>
    <w:rsid w:val="58357E05"/>
    <w:rsid w:val="583D7329"/>
    <w:rsid w:val="5844711C"/>
    <w:rsid w:val="584A30B0"/>
    <w:rsid w:val="585131E6"/>
    <w:rsid w:val="585A1C88"/>
    <w:rsid w:val="585D0C27"/>
    <w:rsid w:val="585E1584"/>
    <w:rsid w:val="58730A74"/>
    <w:rsid w:val="58811218"/>
    <w:rsid w:val="588505A7"/>
    <w:rsid w:val="58851DEC"/>
    <w:rsid w:val="58942A7D"/>
    <w:rsid w:val="589546C7"/>
    <w:rsid w:val="58A17DC9"/>
    <w:rsid w:val="58AC7A82"/>
    <w:rsid w:val="58AE74DA"/>
    <w:rsid w:val="58B43E45"/>
    <w:rsid w:val="58B978CB"/>
    <w:rsid w:val="58C74E35"/>
    <w:rsid w:val="58C94A90"/>
    <w:rsid w:val="58F346A1"/>
    <w:rsid w:val="58FA1F94"/>
    <w:rsid w:val="590D5EE8"/>
    <w:rsid w:val="5918029C"/>
    <w:rsid w:val="59333E87"/>
    <w:rsid w:val="593D143C"/>
    <w:rsid w:val="59455017"/>
    <w:rsid w:val="5947415A"/>
    <w:rsid w:val="594D2E45"/>
    <w:rsid w:val="596A140C"/>
    <w:rsid w:val="597B0D1F"/>
    <w:rsid w:val="5981515B"/>
    <w:rsid w:val="5983147C"/>
    <w:rsid w:val="598B4E36"/>
    <w:rsid w:val="59971C6D"/>
    <w:rsid w:val="59B0001D"/>
    <w:rsid w:val="59B313ED"/>
    <w:rsid w:val="59CC2FFD"/>
    <w:rsid w:val="59DC2A13"/>
    <w:rsid w:val="59E52B65"/>
    <w:rsid w:val="59EA108E"/>
    <w:rsid w:val="59FD703F"/>
    <w:rsid w:val="59FF57B4"/>
    <w:rsid w:val="5A012CB6"/>
    <w:rsid w:val="5A0A008F"/>
    <w:rsid w:val="5A0D504B"/>
    <w:rsid w:val="5A196E9F"/>
    <w:rsid w:val="5A1D7FB0"/>
    <w:rsid w:val="5A2314FB"/>
    <w:rsid w:val="5A250154"/>
    <w:rsid w:val="5A293333"/>
    <w:rsid w:val="5A3C4CE4"/>
    <w:rsid w:val="5A4240B6"/>
    <w:rsid w:val="5A425850"/>
    <w:rsid w:val="5A456470"/>
    <w:rsid w:val="5A4E4978"/>
    <w:rsid w:val="5A503136"/>
    <w:rsid w:val="5A543C1B"/>
    <w:rsid w:val="5A5C3930"/>
    <w:rsid w:val="5A671AFB"/>
    <w:rsid w:val="5A6B3A0D"/>
    <w:rsid w:val="5A6F1E66"/>
    <w:rsid w:val="5A705F4B"/>
    <w:rsid w:val="5A907470"/>
    <w:rsid w:val="5A917E3A"/>
    <w:rsid w:val="5A950619"/>
    <w:rsid w:val="5A9518C3"/>
    <w:rsid w:val="5AA1213B"/>
    <w:rsid w:val="5AA81E47"/>
    <w:rsid w:val="5ACB5BDD"/>
    <w:rsid w:val="5ACD538E"/>
    <w:rsid w:val="5AD51A9F"/>
    <w:rsid w:val="5ADC6993"/>
    <w:rsid w:val="5AE05E0B"/>
    <w:rsid w:val="5B031D40"/>
    <w:rsid w:val="5B1262B0"/>
    <w:rsid w:val="5B2264B1"/>
    <w:rsid w:val="5B287F84"/>
    <w:rsid w:val="5B312BC1"/>
    <w:rsid w:val="5B3B3C7D"/>
    <w:rsid w:val="5B41671D"/>
    <w:rsid w:val="5B440603"/>
    <w:rsid w:val="5B532092"/>
    <w:rsid w:val="5B5B35B3"/>
    <w:rsid w:val="5B5D627F"/>
    <w:rsid w:val="5B612CF4"/>
    <w:rsid w:val="5B6210A0"/>
    <w:rsid w:val="5B87686F"/>
    <w:rsid w:val="5B8B34BD"/>
    <w:rsid w:val="5B991E70"/>
    <w:rsid w:val="5BAF02EE"/>
    <w:rsid w:val="5BBB47DE"/>
    <w:rsid w:val="5BCA0056"/>
    <w:rsid w:val="5BCA4B12"/>
    <w:rsid w:val="5BE2790C"/>
    <w:rsid w:val="5BEE2FF9"/>
    <w:rsid w:val="5BF27F86"/>
    <w:rsid w:val="5BFB5910"/>
    <w:rsid w:val="5BFD6FCE"/>
    <w:rsid w:val="5C017E33"/>
    <w:rsid w:val="5C124FFE"/>
    <w:rsid w:val="5C136DDF"/>
    <w:rsid w:val="5C1372DE"/>
    <w:rsid w:val="5C1E3478"/>
    <w:rsid w:val="5C273792"/>
    <w:rsid w:val="5C2B592A"/>
    <w:rsid w:val="5C2F1316"/>
    <w:rsid w:val="5C2F471B"/>
    <w:rsid w:val="5C372EBC"/>
    <w:rsid w:val="5C3E43DE"/>
    <w:rsid w:val="5C42056F"/>
    <w:rsid w:val="5C4E0636"/>
    <w:rsid w:val="5C513DC2"/>
    <w:rsid w:val="5C52616A"/>
    <w:rsid w:val="5C5920A1"/>
    <w:rsid w:val="5C760152"/>
    <w:rsid w:val="5C792491"/>
    <w:rsid w:val="5C91181F"/>
    <w:rsid w:val="5C9C215C"/>
    <w:rsid w:val="5CA455F4"/>
    <w:rsid w:val="5CBC6124"/>
    <w:rsid w:val="5CBE483B"/>
    <w:rsid w:val="5CC578D9"/>
    <w:rsid w:val="5CD1112B"/>
    <w:rsid w:val="5CE241EB"/>
    <w:rsid w:val="5CE475E3"/>
    <w:rsid w:val="5CE95ED1"/>
    <w:rsid w:val="5CF00F13"/>
    <w:rsid w:val="5CF90676"/>
    <w:rsid w:val="5CFA4D81"/>
    <w:rsid w:val="5CFF0D6B"/>
    <w:rsid w:val="5D08473E"/>
    <w:rsid w:val="5D0B1C86"/>
    <w:rsid w:val="5D120878"/>
    <w:rsid w:val="5D137C8F"/>
    <w:rsid w:val="5D157EB0"/>
    <w:rsid w:val="5D2A765D"/>
    <w:rsid w:val="5D3C7B19"/>
    <w:rsid w:val="5D490F2A"/>
    <w:rsid w:val="5D5007AD"/>
    <w:rsid w:val="5D587747"/>
    <w:rsid w:val="5D6E7128"/>
    <w:rsid w:val="5D6F2D39"/>
    <w:rsid w:val="5D7E3B09"/>
    <w:rsid w:val="5D8624FE"/>
    <w:rsid w:val="5D884FD3"/>
    <w:rsid w:val="5D8F6448"/>
    <w:rsid w:val="5D924BBA"/>
    <w:rsid w:val="5D9F1656"/>
    <w:rsid w:val="5DA100D5"/>
    <w:rsid w:val="5DA11B55"/>
    <w:rsid w:val="5DBC4F54"/>
    <w:rsid w:val="5DBF56D2"/>
    <w:rsid w:val="5DC12B12"/>
    <w:rsid w:val="5DC65543"/>
    <w:rsid w:val="5DC94EAA"/>
    <w:rsid w:val="5DC9667E"/>
    <w:rsid w:val="5DCB29DF"/>
    <w:rsid w:val="5DD3175D"/>
    <w:rsid w:val="5DDE1827"/>
    <w:rsid w:val="5DE137E5"/>
    <w:rsid w:val="5DE13B4B"/>
    <w:rsid w:val="5DF22AE2"/>
    <w:rsid w:val="5DF3064E"/>
    <w:rsid w:val="5E0F43DC"/>
    <w:rsid w:val="5E0F6395"/>
    <w:rsid w:val="5E1B66B2"/>
    <w:rsid w:val="5E2C648C"/>
    <w:rsid w:val="5E356FDF"/>
    <w:rsid w:val="5E365ACE"/>
    <w:rsid w:val="5E4C5828"/>
    <w:rsid w:val="5E4C6F4A"/>
    <w:rsid w:val="5E4E375B"/>
    <w:rsid w:val="5E4E4702"/>
    <w:rsid w:val="5E5249D9"/>
    <w:rsid w:val="5E5A229A"/>
    <w:rsid w:val="5E5C579A"/>
    <w:rsid w:val="5E694493"/>
    <w:rsid w:val="5E79740E"/>
    <w:rsid w:val="5E7A0A4B"/>
    <w:rsid w:val="5E7E5674"/>
    <w:rsid w:val="5E802BE4"/>
    <w:rsid w:val="5E862072"/>
    <w:rsid w:val="5E941C9B"/>
    <w:rsid w:val="5E944335"/>
    <w:rsid w:val="5E9807B9"/>
    <w:rsid w:val="5E9C5AFD"/>
    <w:rsid w:val="5EAC1A00"/>
    <w:rsid w:val="5EB06FC4"/>
    <w:rsid w:val="5ECC1F57"/>
    <w:rsid w:val="5ED644D8"/>
    <w:rsid w:val="5EE51D20"/>
    <w:rsid w:val="5EED766B"/>
    <w:rsid w:val="5EF431E8"/>
    <w:rsid w:val="5EFD0650"/>
    <w:rsid w:val="5F11097E"/>
    <w:rsid w:val="5F135AD9"/>
    <w:rsid w:val="5F172CDF"/>
    <w:rsid w:val="5F275377"/>
    <w:rsid w:val="5F4D23F1"/>
    <w:rsid w:val="5F5070CC"/>
    <w:rsid w:val="5F681234"/>
    <w:rsid w:val="5F6912EF"/>
    <w:rsid w:val="5F7675D0"/>
    <w:rsid w:val="5F775DB4"/>
    <w:rsid w:val="5F7A0D18"/>
    <w:rsid w:val="5F8139F4"/>
    <w:rsid w:val="5F8A3C23"/>
    <w:rsid w:val="5F921147"/>
    <w:rsid w:val="5F9216A3"/>
    <w:rsid w:val="5FA56E17"/>
    <w:rsid w:val="5FAE3596"/>
    <w:rsid w:val="5FC22666"/>
    <w:rsid w:val="5FCC6FD7"/>
    <w:rsid w:val="5FCD770E"/>
    <w:rsid w:val="5FCE26B8"/>
    <w:rsid w:val="5FD14004"/>
    <w:rsid w:val="5FE80B3A"/>
    <w:rsid w:val="5FF600B7"/>
    <w:rsid w:val="5FF607C4"/>
    <w:rsid w:val="5FFF5D2A"/>
    <w:rsid w:val="602F0186"/>
    <w:rsid w:val="603052C0"/>
    <w:rsid w:val="60356D91"/>
    <w:rsid w:val="60361BAD"/>
    <w:rsid w:val="603C1A8D"/>
    <w:rsid w:val="603E7D7E"/>
    <w:rsid w:val="6055022A"/>
    <w:rsid w:val="6055507D"/>
    <w:rsid w:val="6056540E"/>
    <w:rsid w:val="605D5E0D"/>
    <w:rsid w:val="605E0722"/>
    <w:rsid w:val="60611002"/>
    <w:rsid w:val="6061643F"/>
    <w:rsid w:val="60623E1F"/>
    <w:rsid w:val="60723264"/>
    <w:rsid w:val="60853DCF"/>
    <w:rsid w:val="6087530D"/>
    <w:rsid w:val="608C5A13"/>
    <w:rsid w:val="60976E00"/>
    <w:rsid w:val="60BB459F"/>
    <w:rsid w:val="60BE0400"/>
    <w:rsid w:val="60BE0AE9"/>
    <w:rsid w:val="60CB1591"/>
    <w:rsid w:val="60E54533"/>
    <w:rsid w:val="60EC747D"/>
    <w:rsid w:val="60F97A9B"/>
    <w:rsid w:val="60FA5A42"/>
    <w:rsid w:val="60FE3AFB"/>
    <w:rsid w:val="61002E34"/>
    <w:rsid w:val="61010ACF"/>
    <w:rsid w:val="610C5250"/>
    <w:rsid w:val="610C5B76"/>
    <w:rsid w:val="6110540D"/>
    <w:rsid w:val="6111263D"/>
    <w:rsid w:val="611A0837"/>
    <w:rsid w:val="611B41D3"/>
    <w:rsid w:val="612625A7"/>
    <w:rsid w:val="612719CE"/>
    <w:rsid w:val="612F3A6B"/>
    <w:rsid w:val="61407C51"/>
    <w:rsid w:val="6155217A"/>
    <w:rsid w:val="6158248A"/>
    <w:rsid w:val="615A4EF5"/>
    <w:rsid w:val="615C6AED"/>
    <w:rsid w:val="615E10E9"/>
    <w:rsid w:val="616E4528"/>
    <w:rsid w:val="616F5516"/>
    <w:rsid w:val="61881410"/>
    <w:rsid w:val="619622DD"/>
    <w:rsid w:val="619A072B"/>
    <w:rsid w:val="619F0059"/>
    <w:rsid w:val="61A909F1"/>
    <w:rsid w:val="61AE197B"/>
    <w:rsid w:val="61AF5651"/>
    <w:rsid w:val="61B052CF"/>
    <w:rsid w:val="61B34E32"/>
    <w:rsid w:val="61B73502"/>
    <w:rsid w:val="61D11B48"/>
    <w:rsid w:val="61D712D5"/>
    <w:rsid w:val="61DC5AEA"/>
    <w:rsid w:val="61E82A7D"/>
    <w:rsid w:val="6200600D"/>
    <w:rsid w:val="6201179B"/>
    <w:rsid w:val="6205799E"/>
    <w:rsid w:val="620D7CFC"/>
    <w:rsid w:val="621A071E"/>
    <w:rsid w:val="621E7ECE"/>
    <w:rsid w:val="62221E0D"/>
    <w:rsid w:val="62297AAB"/>
    <w:rsid w:val="622A22FB"/>
    <w:rsid w:val="62385FE1"/>
    <w:rsid w:val="6249158B"/>
    <w:rsid w:val="624B1FDE"/>
    <w:rsid w:val="624B61B2"/>
    <w:rsid w:val="62580F1E"/>
    <w:rsid w:val="62610804"/>
    <w:rsid w:val="6261590B"/>
    <w:rsid w:val="62634F10"/>
    <w:rsid w:val="62651E55"/>
    <w:rsid w:val="62687C46"/>
    <w:rsid w:val="626C2D78"/>
    <w:rsid w:val="626F584E"/>
    <w:rsid w:val="628C2EB8"/>
    <w:rsid w:val="629A7990"/>
    <w:rsid w:val="62AD67B6"/>
    <w:rsid w:val="62AE2023"/>
    <w:rsid w:val="62CD0E1C"/>
    <w:rsid w:val="62CD7748"/>
    <w:rsid w:val="62D30F8A"/>
    <w:rsid w:val="62D82519"/>
    <w:rsid w:val="62E01EC4"/>
    <w:rsid w:val="62E17C08"/>
    <w:rsid w:val="62EC5C38"/>
    <w:rsid w:val="62F53EB4"/>
    <w:rsid w:val="62FC1543"/>
    <w:rsid w:val="630162F6"/>
    <w:rsid w:val="630B228C"/>
    <w:rsid w:val="6313229A"/>
    <w:rsid w:val="63147CC5"/>
    <w:rsid w:val="631A4A47"/>
    <w:rsid w:val="631C5D60"/>
    <w:rsid w:val="6323706D"/>
    <w:rsid w:val="63311F80"/>
    <w:rsid w:val="633E3608"/>
    <w:rsid w:val="633E3785"/>
    <w:rsid w:val="63401365"/>
    <w:rsid w:val="635330EC"/>
    <w:rsid w:val="636B5867"/>
    <w:rsid w:val="637C6F72"/>
    <w:rsid w:val="63816E79"/>
    <w:rsid w:val="63825C8E"/>
    <w:rsid w:val="63890E24"/>
    <w:rsid w:val="63917137"/>
    <w:rsid w:val="63956E21"/>
    <w:rsid w:val="63A37553"/>
    <w:rsid w:val="63A47706"/>
    <w:rsid w:val="63A80370"/>
    <w:rsid w:val="63AA1345"/>
    <w:rsid w:val="63B34D1F"/>
    <w:rsid w:val="63B73B5B"/>
    <w:rsid w:val="63C05C71"/>
    <w:rsid w:val="63C10369"/>
    <w:rsid w:val="63C84CDC"/>
    <w:rsid w:val="63CD7798"/>
    <w:rsid w:val="63DD6924"/>
    <w:rsid w:val="63E20740"/>
    <w:rsid w:val="63E2149B"/>
    <w:rsid w:val="63FF1866"/>
    <w:rsid w:val="64015A35"/>
    <w:rsid w:val="64025CCB"/>
    <w:rsid w:val="64077E60"/>
    <w:rsid w:val="640A2A47"/>
    <w:rsid w:val="640C2128"/>
    <w:rsid w:val="641B3078"/>
    <w:rsid w:val="6432146B"/>
    <w:rsid w:val="64477EC6"/>
    <w:rsid w:val="644B3221"/>
    <w:rsid w:val="64573C08"/>
    <w:rsid w:val="64587970"/>
    <w:rsid w:val="645C2E28"/>
    <w:rsid w:val="64623690"/>
    <w:rsid w:val="64634BD0"/>
    <w:rsid w:val="646D1FB2"/>
    <w:rsid w:val="64722C6A"/>
    <w:rsid w:val="64841F78"/>
    <w:rsid w:val="64916FED"/>
    <w:rsid w:val="64924634"/>
    <w:rsid w:val="64981D3D"/>
    <w:rsid w:val="649A085B"/>
    <w:rsid w:val="649C10AD"/>
    <w:rsid w:val="64A05E79"/>
    <w:rsid w:val="64A63434"/>
    <w:rsid w:val="64AC2512"/>
    <w:rsid w:val="64B81EB5"/>
    <w:rsid w:val="64C82500"/>
    <w:rsid w:val="64CA3DD2"/>
    <w:rsid w:val="64D7143D"/>
    <w:rsid w:val="64E301CD"/>
    <w:rsid w:val="64EB370D"/>
    <w:rsid w:val="650028E9"/>
    <w:rsid w:val="65065AB6"/>
    <w:rsid w:val="650C417C"/>
    <w:rsid w:val="650F155A"/>
    <w:rsid w:val="6511206C"/>
    <w:rsid w:val="65132ADF"/>
    <w:rsid w:val="65155A10"/>
    <w:rsid w:val="6517402B"/>
    <w:rsid w:val="651D26A1"/>
    <w:rsid w:val="654531B6"/>
    <w:rsid w:val="65467B16"/>
    <w:rsid w:val="654776BB"/>
    <w:rsid w:val="654A5B37"/>
    <w:rsid w:val="6556794C"/>
    <w:rsid w:val="655A7AEB"/>
    <w:rsid w:val="656124B3"/>
    <w:rsid w:val="656909FE"/>
    <w:rsid w:val="657A6D80"/>
    <w:rsid w:val="657C5C58"/>
    <w:rsid w:val="659016E6"/>
    <w:rsid w:val="65923C01"/>
    <w:rsid w:val="65930D07"/>
    <w:rsid w:val="65A8770C"/>
    <w:rsid w:val="65B467C6"/>
    <w:rsid w:val="65B47EDF"/>
    <w:rsid w:val="65D411A2"/>
    <w:rsid w:val="65DE698A"/>
    <w:rsid w:val="65E5228A"/>
    <w:rsid w:val="65FD2BFC"/>
    <w:rsid w:val="660E6FC0"/>
    <w:rsid w:val="66110EC7"/>
    <w:rsid w:val="661D5D4D"/>
    <w:rsid w:val="663D3A56"/>
    <w:rsid w:val="664002BE"/>
    <w:rsid w:val="66544852"/>
    <w:rsid w:val="665E75A0"/>
    <w:rsid w:val="66612387"/>
    <w:rsid w:val="66631C4F"/>
    <w:rsid w:val="66646249"/>
    <w:rsid w:val="66761EE6"/>
    <w:rsid w:val="667E4280"/>
    <w:rsid w:val="6691561B"/>
    <w:rsid w:val="66931BEC"/>
    <w:rsid w:val="66960C6A"/>
    <w:rsid w:val="66A30802"/>
    <w:rsid w:val="66A322A6"/>
    <w:rsid w:val="66A34C6F"/>
    <w:rsid w:val="66A454F2"/>
    <w:rsid w:val="66BC2339"/>
    <w:rsid w:val="66BF6F9B"/>
    <w:rsid w:val="66CB7084"/>
    <w:rsid w:val="66D551E8"/>
    <w:rsid w:val="66E27777"/>
    <w:rsid w:val="66EB03AE"/>
    <w:rsid w:val="66EC13B9"/>
    <w:rsid w:val="66F415FE"/>
    <w:rsid w:val="66F50AFA"/>
    <w:rsid w:val="670A63F8"/>
    <w:rsid w:val="671473D7"/>
    <w:rsid w:val="671604E7"/>
    <w:rsid w:val="672A0297"/>
    <w:rsid w:val="672E40D5"/>
    <w:rsid w:val="6737032F"/>
    <w:rsid w:val="6737232C"/>
    <w:rsid w:val="6739288B"/>
    <w:rsid w:val="673B4CA8"/>
    <w:rsid w:val="674855DA"/>
    <w:rsid w:val="675375CF"/>
    <w:rsid w:val="675826C2"/>
    <w:rsid w:val="67587852"/>
    <w:rsid w:val="675C63DC"/>
    <w:rsid w:val="676776F7"/>
    <w:rsid w:val="677531D6"/>
    <w:rsid w:val="6776387B"/>
    <w:rsid w:val="67812412"/>
    <w:rsid w:val="67840539"/>
    <w:rsid w:val="67854E2C"/>
    <w:rsid w:val="678846A7"/>
    <w:rsid w:val="6791279C"/>
    <w:rsid w:val="67951C16"/>
    <w:rsid w:val="67957587"/>
    <w:rsid w:val="67A16279"/>
    <w:rsid w:val="67AD27D7"/>
    <w:rsid w:val="67C21367"/>
    <w:rsid w:val="67C3109B"/>
    <w:rsid w:val="67CF4726"/>
    <w:rsid w:val="67DA052C"/>
    <w:rsid w:val="67DB6D92"/>
    <w:rsid w:val="67E97065"/>
    <w:rsid w:val="68110F2E"/>
    <w:rsid w:val="68127979"/>
    <w:rsid w:val="681D261C"/>
    <w:rsid w:val="6828621E"/>
    <w:rsid w:val="682A7C88"/>
    <w:rsid w:val="68385478"/>
    <w:rsid w:val="683D1677"/>
    <w:rsid w:val="683D5440"/>
    <w:rsid w:val="683F6BB2"/>
    <w:rsid w:val="685230BB"/>
    <w:rsid w:val="68544A88"/>
    <w:rsid w:val="68585A0D"/>
    <w:rsid w:val="68590196"/>
    <w:rsid w:val="685A28EA"/>
    <w:rsid w:val="685A5D03"/>
    <w:rsid w:val="685D4F62"/>
    <w:rsid w:val="68670F13"/>
    <w:rsid w:val="686F3ED2"/>
    <w:rsid w:val="68720205"/>
    <w:rsid w:val="68731391"/>
    <w:rsid w:val="687634C4"/>
    <w:rsid w:val="6877042B"/>
    <w:rsid w:val="688919F8"/>
    <w:rsid w:val="68B2519B"/>
    <w:rsid w:val="68BD52C3"/>
    <w:rsid w:val="68C53B3E"/>
    <w:rsid w:val="68CA4FEE"/>
    <w:rsid w:val="68CD39E4"/>
    <w:rsid w:val="68D92A15"/>
    <w:rsid w:val="68DC11D9"/>
    <w:rsid w:val="68DD1DE6"/>
    <w:rsid w:val="68DF3AC7"/>
    <w:rsid w:val="68E04191"/>
    <w:rsid w:val="68E47FED"/>
    <w:rsid w:val="68EB4E0B"/>
    <w:rsid w:val="6901203E"/>
    <w:rsid w:val="69036A27"/>
    <w:rsid w:val="69116ACA"/>
    <w:rsid w:val="691C62D0"/>
    <w:rsid w:val="69210824"/>
    <w:rsid w:val="69262F4B"/>
    <w:rsid w:val="693258A2"/>
    <w:rsid w:val="6934422B"/>
    <w:rsid w:val="69344839"/>
    <w:rsid w:val="6935288E"/>
    <w:rsid w:val="69402BF8"/>
    <w:rsid w:val="694170D0"/>
    <w:rsid w:val="694B0466"/>
    <w:rsid w:val="694B4263"/>
    <w:rsid w:val="695D4EC8"/>
    <w:rsid w:val="695E52B7"/>
    <w:rsid w:val="69681030"/>
    <w:rsid w:val="696C6F94"/>
    <w:rsid w:val="69744294"/>
    <w:rsid w:val="69757BD6"/>
    <w:rsid w:val="698010DB"/>
    <w:rsid w:val="698420E0"/>
    <w:rsid w:val="69AA5BBC"/>
    <w:rsid w:val="69B266DE"/>
    <w:rsid w:val="69B44B75"/>
    <w:rsid w:val="69C650CD"/>
    <w:rsid w:val="69C66504"/>
    <w:rsid w:val="69D30211"/>
    <w:rsid w:val="69D53AF9"/>
    <w:rsid w:val="69DB0968"/>
    <w:rsid w:val="69E54278"/>
    <w:rsid w:val="69EF253C"/>
    <w:rsid w:val="69F013F8"/>
    <w:rsid w:val="69F109A3"/>
    <w:rsid w:val="6A0067D7"/>
    <w:rsid w:val="6A1047C4"/>
    <w:rsid w:val="6A1973EB"/>
    <w:rsid w:val="6A221DF4"/>
    <w:rsid w:val="6A26111C"/>
    <w:rsid w:val="6A283E39"/>
    <w:rsid w:val="6A416D38"/>
    <w:rsid w:val="6A435E96"/>
    <w:rsid w:val="6A4A740F"/>
    <w:rsid w:val="6A4F2E1A"/>
    <w:rsid w:val="6A5469E4"/>
    <w:rsid w:val="6A583A9A"/>
    <w:rsid w:val="6A64098B"/>
    <w:rsid w:val="6A667C49"/>
    <w:rsid w:val="6A6A5225"/>
    <w:rsid w:val="6A7157A9"/>
    <w:rsid w:val="6A793769"/>
    <w:rsid w:val="6A8246F4"/>
    <w:rsid w:val="6A8A73BE"/>
    <w:rsid w:val="6A996881"/>
    <w:rsid w:val="6AA86AB1"/>
    <w:rsid w:val="6ABD4DBC"/>
    <w:rsid w:val="6ABE0E61"/>
    <w:rsid w:val="6ACB4E31"/>
    <w:rsid w:val="6ACF4899"/>
    <w:rsid w:val="6AD903BB"/>
    <w:rsid w:val="6AD93155"/>
    <w:rsid w:val="6ADC1E9D"/>
    <w:rsid w:val="6ADF44DC"/>
    <w:rsid w:val="6AE74869"/>
    <w:rsid w:val="6AF77361"/>
    <w:rsid w:val="6B00594D"/>
    <w:rsid w:val="6B025A6F"/>
    <w:rsid w:val="6B066991"/>
    <w:rsid w:val="6B1C4F90"/>
    <w:rsid w:val="6B2A3C9F"/>
    <w:rsid w:val="6B2A5874"/>
    <w:rsid w:val="6B385EB4"/>
    <w:rsid w:val="6B3C1670"/>
    <w:rsid w:val="6B4B1036"/>
    <w:rsid w:val="6B507294"/>
    <w:rsid w:val="6B7409E5"/>
    <w:rsid w:val="6B792AB0"/>
    <w:rsid w:val="6B8C583C"/>
    <w:rsid w:val="6B8F4560"/>
    <w:rsid w:val="6B91660C"/>
    <w:rsid w:val="6B95347C"/>
    <w:rsid w:val="6B9E6466"/>
    <w:rsid w:val="6BA348FB"/>
    <w:rsid w:val="6BAA5BA6"/>
    <w:rsid w:val="6BB7368E"/>
    <w:rsid w:val="6BC63F3A"/>
    <w:rsid w:val="6BDD2F6C"/>
    <w:rsid w:val="6BDE1541"/>
    <w:rsid w:val="6BDE4E99"/>
    <w:rsid w:val="6BE12084"/>
    <w:rsid w:val="6BEC15BC"/>
    <w:rsid w:val="6BF26915"/>
    <w:rsid w:val="6BF637E3"/>
    <w:rsid w:val="6BF84E53"/>
    <w:rsid w:val="6BF8798E"/>
    <w:rsid w:val="6C00571F"/>
    <w:rsid w:val="6C052128"/>
    <w:rsid w:val="6C064FF4"/>
    <w:rsid w:val="6C150A76"/>
    <w:rsid w:val="6C1F36D1"/>
    <w:rsid w:val="6C2008BD"/>
    <w:rsid w:val="6C2369D8"/>
    <w:rsid w:val="6C2770CA"/>
    <w:rsid w:val="6C287FD6"/>
    <w:rsid w:val="6C2934E8"/>
    <w:rsid w:val="6C2B3640"/>
    <w:rsid w:val="6C342CF9"/>
    <w:rsid w:val="6C354952"/>
    <w:rsid w:val="6C3746D6"/>
    <w:rsid w:val="6C3876CA"/>
    <w:rsid w:val="6C414E16"/>
    <w:rsid w:val="6C4242DA"/>
    <w:rsid w:val="6C547DE8"/>
    <w:rsid w:val="6C61297D"/>
    <w:rsid w:val="6C6B559C"/>
    <w:rsid w:val="6C7E2CF0"/>
    <w:rsid w:val="6C8F3514"/>
    <w:rsid w:val="6CAE643E"/>
    <w:rsid w:val="6CB0430A"/>
    <w:rsid w:val="6CB669EB"/>
    <w:rsid w:val="6CD53438"/>
    <w:rsid w:val="6CE36B4B"/>
    <w:rsid w:val="6CE46DF0"/>
    <w:rsid w:val="6CEC150E"/>
    <w:rsid w:val="6CED6E0A"/>
    <w:rsid w:val="6CF9021D"/>
    <w:rsid w:val="6CFB26FD"/>
    <w:rsid w:val="6D004BAC"/>
    <w:rsid w:val="6D013E44"/>
    <w:rsid w:val="6D2C262F"/>
    <w:rsid w:val="6D2F1E6A"/>
    <w:rsid w:val="6D303E5D"/>
    <w:rsid w:val="6D454822"/>
    <w:rsid w:val="6D522662"/>
    <w:rsid w:val="6D5D5F11"/>
    <w:rsid w:val="6D6539A0"/>
    <w:rsid w:val="6D6B4264"/>
    <w:rsid w:val="6D6C1375"/>
    <w:rsid w:val="6D74033C"/>
    <w:rsid w:val="6D780E19"/>
    <w:rsid w:val="6D7D22A5"/>
    <w:rsid w:val="6D7F296A"/>
    <w:rsid w:val="6D967B0A"/>
    <w:rsid w:val="6DAD69D0"/>
    <w:rsid w:val="6DB02FDD"/>
    <w:rsid w:val="6DB21D8C"/>
    <w:rsid w:val="6DB47310"/>
    <w:rsid w:val="6DBC1D8B"/>
    <w:rsid w:val="6DCD5EEB"/>
    <w:rsid w:val="6DDF3059"/>
    <w:rsid w:val="6DF55674"/>
    <w:rsid w:val="6DF762B9"/>
    <w:rsid w:val="6E022344"/>
    <w:rsid w:val="6E1010AF"/>
    <w:rsid w:val="6E193B7A"/>
    <w:rsid w:val="6E230151"/>
    <w:rsid w:val="6E27620E"/>
    <w:rsid w:val="6E281C6D"/>
    <w:rsid w:val="6E32134A"/>
    <w:rsid w:val="6E3A0D28"/>
    <w:rsid w:val="6E3A1F5A"/>
    <w:rsid w:val="6E3A26AB"/>
    <w:rsid w:val="6E590265"/>
    <w:rsid w:val="6E674A87"/>
    <w:rsid w:val="6E70000E"/>
    <w:rsid w:val="6E727C0F"/>
    <w:rsid w:val="6E8366E3"/>
    <w:rsid w:val="6E9E4EA3"/>
    <w:rsid w:val="6E9F7FE1"/>
    <w:rsid w:val="6EAA516E"/>
    <w:rsid w:val="6EAB58D9"/>
    <w:rsid w:val="6EB6177E"/>
    <w:rsid w:val="6EC303F0"/>
    <w:rsid w:val="6ED005BB"/>
    <w:rsid w:val="6ED26EEB"/>
    <w:rsid w:val="6ED3187C"/>
    <w:rsid w:val="6EDF0F11"/>
    <w:rsid w:val="6EE447F1"/>
    <w:rsid w:val="6EEB6902"/>
    <w:rsid w:val="6EF274D9"/>
    <w:rsid w:val="6EF83DD7"/>
    <w:rsid w:val="6EF95E62"/>
    <w:rsid w:val="6EFA07C6"/>
    <w:rsid w:val="6F030D06"/>
    <w:rsid w:val="6F0859D8"/>
    <w:rsid w:val="6F092045"/>
    <w:rsid w:val="6F094CB0"/>
    <w:rsid w:val="6F1103E5"/>
    <w:rsid w:val="6F167878"/>
    <w:rsid w:val="6F2751AD"/>
    <w:rsid w:val="6F2C03CD"/>
    <w:rsid w:val="6F332878"/>
    <w:rsid w:val="6F456AD3"/>
    <w:rsid w:val="6F466A9E"/>
    <w:rsid w:val="6F5F590C"/>
    <w:rsid w:val="6F6948C0"/>
    <w:rsid w:val="6F6972EB"/>
    <w:rsid w:val="6F7E47DB"/>
    <w:rsid w:val="6F836FCE"/>
    <w:rsid w:val="6F840C0F"/>
    <w:rsid w:val="6F855C67"/>
    <w:rsid w:val="6F917C7D"/>
    <w:rsid w:val="6F955B30"/>
    <w:rsid w:val="6F962654"/>
    <w:rsid w:val="6F980B47"/>
    <w:rsid w:val="6F9A5755"/>
    <w:rsid w:val="6FA3258F"/>
    <w:rsid w:val="6FBA295A"/>
    <w:rsid w:val="6FBF1211"/>
    <w:rsid w:val="6FBF3A3B"/>
    <w:rsid w:val="6FC628AC"/>
    <w:rsid w:val="6FC70FEC"/>
    <w:rsid w:val="6FCB2F5F"/>
    <w:rsid w:val="6FE46D0A"/>
    <w:rsid w:val="6FE5484F"/>
    <w:rsid w:val="6FED55F9"/>
    <w:rsid w:val="70027205"/>
    <w:rsid w:val="700D6055"/>
    <w:rsid w:val="70124AF0"/>
    <w:rsid w:val="701B617F"/>
    <w:rsid w:val="701D27F2"/>
    <w:rsid w:val="702D0C71"/>
    <w:rsid w:val="70391526"/>
    <w:rsid w:val="703C1AF2"/>
    <w:rsid w:val="70467E9D"/>
    <w:rsid w:val="705C0686"/>
    <w:rsid w:val="705D54E0"/>
    <w:rsid w:val="70624AA5"/>
    <w:rsid w:val="706A076E"/>
    <w:rsid w:val="707220B8"/>
    <w:rsid w:val="707703C6"/>
    <w:rsid w:val="707924DE"/>
    <w:rsid w:val="708A2490"/>
    <w:rsid w:val="708E7DE6"/>
    <w:rsid w:val="70A22892"/>
    <w:rsid w:val="70B166D1"/>
    <w:rsid w:val="70B22511"/>
    <w:rsid w:val="70BC3377"/>
    <w:rsid w:val="70D03CC8"/>
    <w:rsid w:val="70D37EBE"/>
    <w:rsid w:val="70D46DE8"/>
    <w:rsid w:val="70DB4FF0"/>
    <w:rsid w:val="70E970B4"/>
    <w:rsid w:val="70F31F6D"/>
    <w:rsid w:val="70FA4428"/>
    <w:rsid w:val="70FF0A2B"/>
    <w:rsid w:val="710203C4"/>
    <w:rsid w:val="71084C3D"/>
    <w:rsid w:val="710B1736"/>
    <w:rsid w:val="711B4EA6"/>
    <w:rsid w:val="711B69C2"/>
    <w:rsid w:val="712E7A17"/>
    <w:rsid w:val="71363BD9"/>
    <w:rsid w:val="71367F51"/>
    <w:rsid w:val="714734AD"/>
    <w:rsid w:val="714F0A66"/>
    <w:rsid w:val="715302A4"/>
    <w:rsid w:val="715D5E53"/>
    <w:rsid w:val="71635F5C"/>
    <w:rsid w:val="71726055"/>
    <w:rsid w:val="71742B84"/>
    <w:rsid w:val="71787217"/>
    <w:rsid w:val="718A4E8A"/>
    <w:rsid w:val="718C06C8"/>
    <w:rsid w:val="71930BD3"/>
    <w:rsid w:val="7195377D"/>
    <w:rsid w:val="71975A9D"/>
    <w:rsid w:val="719D37BB"/>
    <w:rsid w:val="719F6E44"/>
    <w:rsid w:val="71A07496"/>
    <w:rsid w:val="71A71A83"/>
    <w:rsid w:val="71AA1547"/>
    <w:rsid w:val="71AC656D"/>
    <w:rsid w:val="71B15C6A"/>
    <w:rsid w:val="71B277EC"/>
    <w:rsid w:val="71B67A32"/>
    <w:rsid w:val="71B72099"/>
    <w:rsid w:val="71B8293B"/>
    <w:rsid w:val="71BA53B9"/>
    <w:rsid w:val="71E15445"/>
    <w:rsid w:val="71E27F8C"/>
    <w:rsid w:val="71E37FE1"/>
    <w:rsid w:val="71E759E0"/>
    <w:rsid w:val="71E76837"/>
    <w:rsid w:val="71F41151"/>
    <w:rsid w:val="71FB20C0"/>
    <w:rsid w:val="71FC5476"/>
    <w:rsid w:val="72097936"/>
    <w:rsid w:val="720D5015"/>
    <w:rsid w:val="721F7EEB"/>
    <w:rsid w:val="722315F1"/>
    <w:rsid w:val="722570B1"/>
    <w:rsid w:val="722F3262"/>
    <w:rsid w:val="72317208"/>
    <w:rsid w:val="723C11D4"/>
    <w:rsid w:val="723D3896"/>
    <w:rsid w:val="725C503F"/>
    <w:rsid w:val="72743CEF"/>
    <w:rsid w:val="7276127B"/>
    <w:rsid w:val="727E5CED"/>
    <w:rsid w:val="727E6B96"/>
    <w:rsid w:val="728A6575"/>
    <w:rsid w:val="72904389"/>
    <w:rsid w:val="729C5F35"/>
    <w:rsid w:val="72A65382"/>
    <w:rsid w:val="72A76462"/>
    <w:rsid w:val="72AD6DC1"/>
    <w:rsid w:val="72AD76B6"/>
    <w:rsid w:val="72E0339F"/>
    <w:rsid w:val="72E40B34"/>
    <w:rsid w:val="72E92F55"/>
    <w:rsid w:val="72EE259A"/>
    <w:rsid w:val="72F1282E"/>
    <w:rsid w:val="72F34453"/>
    <w:rsid w:val="72F43A0C"/>
    <w:rsid w:val="731814D6"/>
    <w:rsid w:val="731B6B26"/>
    <w:rsid w:val="732855E2"/>
    <w:rsid w:val="733158E0"/>
    <w:rsid w:val="73486054"/>
    <w:rsid w:val="735E082A"/>
    <w:rsid w:val="736A56BF"/>
    <w:rsid w:val="73773257"/>
    <w:rsid w:val="73824229"/>
    <w:rsid w:val="738D484E"/>
    <w:rsid w:val="739001B7"/>
    <w:rsid w:val="73A61D75"/>
    <w:rsid w:val="73AF56DD"/>
    <w:rsid w:val="73BF4F12"/>
    <w:rsid w:val="73C8044D"/>
    <w:rsid w:val="73C82B5A"/>
    <w:rsid w:val="73CB1645"/>
    <w:rsid w:val="73CE0806"/>
    <w:rsid w:val="73D5257E"/>
    <w:rsid w:val="73D657EF"/>
    <w:rsid w:val="73E76F91"/>
    <w:rsid w:val="73E819A5"/>
    <w:rsid w:val="73E94AD1"/>
    <w:rsid w:val="73EB064D"/>
    <w:rsid w:val="73F112D6"/>
    <w:rsid w:val="73F36140"/>
    <w:rsid w:val="73F54526"/>
    <w:rsid w:val="73FD4D6C"/>
    <w:rsid w:val="740E59BE"/>
    <w:rsid w:val="741337FF"/>
    <w:rsid w:val="742853F1"/>
    <w:rsid w:val="742A3671"/>
    <w:rsid w:val="74325436"/>
    <w:rsid w:val="744463E4"/>
    <w:rsid w:val="745078D0"/>
    <w:rsid w:val="74541C03"/>
    <w:rsid w:val="74573C7D"/>
    <w:rsid w:val="74590ABA"/>
    <w:rsid w:val="745A0297"/>
    <w:rsid w:val="7470070A"/>
    <w:rsid w:val="7474584B"/>
    <w:rsid w:val="747B6603"/>
    <w:rsid w:val="747E08D4"/>
    <w:rsid w:val="748050C8"/>
    <w:rsid w:val="7481100B"/>
    <w:rsid w:val="74861C89"/>
    <w:rsid w:val="74863F93"/>
    <w:rsid w:val="748A3325"/>
    <w:rsid w:val="74941401"/>
    <w:rsid w:val="74A83017"/>
    <w:rsid w:val="74A92DB1"/>
    <w:rsid w:val="74AD2004"/>
    <w:rsid w:val="74BF0579"/>
    <w:rsid w:val="74D72B2A"/>
    <w:rsid w:val="74D95A94"/>
    <w:rsid w:val="74DC0335"/>
    <w:rsid w:val="74DC5D39"/>
    <w:rsid w:val="74E56808"/>
    <w:rsid w:val="74E71189"/>
    <w:rsid w:val="74EC6A40"/>
    <w:rsid w:val="74F37229"/>
    <w:rsid w:val="74F45B9C"/>
    <w:rsid w:val="74FA4323"/>
    <w:rsid w:val="74FD2BA7"/>
    <w:rsid w:val="75037125"/>
    <w:rsid w:val="75046345"/>
    <w:rsid w:val="7504746A"/>
    <w:rsid w:val="750F1A37"/>
    <w:rsid w:val="751634FE"/>
    <w:rsid w:val="752B7F16"/>
    <w:rsid w:val="75560FE8"/>
    <w:rsid w:val="75751540"/>
    <w:rsid w:val="75787C5A"/>
    <w:rsid w:val="75790B8C"/>
    <w:rsid w:val="758354A2"/>
    <w:rsid w:val="758566E1"/>
    <w:rsid w:val="75912605"/>
    <w:rsid w:val="75971537"/>
    <w:rsid w:val="75973940"/>
    <w:rsid w:val="759B72E6"/>
    <w:rsid w:val="759C4EF4"/>
    <w:rsid w:val="759E7102"/>
    <w:rsid w:val="75A05205"/>
    <w:rsid w:val="75A37EBA"/>
    <w:rsid w:val="75AD12CB"/>
    <w:rsid w:val="75BF1BC5"/>
    <w:rsid w:val="75C22A91"/>
    <w:rsid w:val="75CD5A50"/>
    <w:rsid w:val="75D37A22"/>
    <w:rsid w:val="75D66CBB"/>
    <w:rsid w:val="75D82FB8"/>
    <w:rsid w:val="75DA32E5"/>
    <w:rsid w:val="75EA1F29"/>
    <w:rsid w:val="75F96221"/>
    <w:rsid w:val="75FC3A35"/>
    <w:rsid w:val="760E58F2"/>
    <w:rsid w:val="76214099"/>
    <w:rsid w:val="762447CE"/>
    <w:rsid w:val="76315454"/>
    <w:rsid w:val="76367EA1"/>
    <w:rsid w:val="76373058"/>
    <w:rsid w:val="763D2109"/>
    <w:rsid w:val="763F7C1C"/>
    <w:rsid w:val="764A7757"/>
    <w:rsid w:val="765B2E6F"/>
    <w:rsid w:val="76654E7F"/>
    <w:rsid w:val="76671D59"/>
    <w:rsid w:val="767228B5"/>
    <w:rsid w:val="76794EAF"/>
    <w:rsid w:val="7682647B"/>
    <w:rsid w:val="768D7659"/>
    <w:rsid w:val="769F6864"/>
    <w:rsid w:val="76A32642"/>
    <w:rsid w:val="76AA088F"/>
    <w:rsid w:val="76B50A5A"/>
    <w:rsid w:val="76B51574"/>
    <w:rsid w:val="76BF071E"/>
    <w:rsid w:val="76CF109E"/>
    <w:rsid w:val="76CF6530"/>
    <w:rsid w:val="76D64A64"/>
    <w:rsid w:val="76D84E1E"/>
    <w:rsid w:val="76E40E51"/>
    <w:rsid w:val="76ED4281"/>
    <w:rsid w:val="76EF6C97"/>
    <w:rsid w:val="76F6287A"/>
    <w:rsid w:val="76FB2F4D"/>
    <w:rsid w:val="7703433C"/>
    <w:rsid w:val="770611C6"/>
    <w:rsid w:val="770D5BB0"/>
    <w:rsid w:val="77104CB6"/>
    <w:rsid w:val="77126D41"/>
    <w:rsid w:val="7730030E"/>
    <w:rsid w:val="7731427D"/>
    <w:rsid w:val="773604EB"/>
    <w:rsid w:val="773B3C41"/>
    <w:rsid w:val="77520274"/>
    <w:rsid w:val="77521161"/>
    <w:rsid w:val="77704BD6"/>
    <w:rsid w:val="777613EC"/>
    <w:rsid w:val="778721B7"/>
    <w:rsid w:val="77880603"/>
    <w:rsid w:val="778E4BDC"/>
    <w:rsid w:val="77A32B5B"/>
    <w:rsid w:val="77A35292"/>
    <w:rsid w:val="77A91023"/>
    <w:rsid w:val="77A91B46"/>
    <w:rsid w:val="77B4189C"/>
    <w:rsid w:val="77C217CE"/>
    <w:rsid w:val="77D4784B"/>
    <w:rsid w:val="77E01084"/>
    <w:rsid w:val="77E339F1"/>
    <w:rsid w:val="77EE25AC"/>
    <w:rsid w:val="77EF35C2"/>
    <w:rsid w:val="77F22330"/>
    <w:rsid w:val="77F7331A"/>
    <w:rsid w:val="77FA3AF5"/>
    <w:rsid w:val="77FF5B8E"/>
    <w:rsid w:val="78007550"/>
    <w:rsid w:val="780250F0"/>
    <w:rsid w:val="780C03F9"/>
    <w:rsid w:val="7833750B"/>
    <w:rsid w:val="784530E0"/>
    <w:rsid w:val="78473460"/>
    <w:rsid w:val="78476B80"/>
    <w:rsid w:val="785B7AEC"/>
    <w:rsid w:val="78633BB9"/>
    <w:rsid w:val="7866480C"/>
    <w:rsid w:val="78695D2B"/>
    <w:rsid w:val="78697340"/>
    <w:rsid w:val="786B16C7"/>
    <w:rsid w:val="786E205E"/>
    <w:rsid w:val="78723A52"/>
    <w:rsid w:val="78732475"/>
    <w:rsid w:val="788B2898"/>
    <w:rsid w:val="78917805"/>
    <w:rsid w:val="789E6309"/>
    <w:rsid w:val="78AC500C"/>
    <w:rsid w:val="78BA152E"/>
    <w:rsid w:val="78C24E0C"/>
    <w:rsid w:val="78C44AD7"/>
    <w:rsid w:val="78C50E38"/>
    <w:rsid w:val="78C563D4"/>
    <w:rsid w:val="78CF2596"/>
    <w:rsid w:val="78D36A6B"/>
    <w:rsid w:val="78F1327B"/>
    <w:rsid w:val="78F166CE"/>
    <w:rsid w:val="78F87697"/>
    <w:rsid w:val="78FE240B"/>
    <w:rsid w:val="78FF5307"/>
    <w:rsid w:val="790C2740"/>
    <w:rsid w:val="7915054A"/>
    <w:rsid w:val="791B3064"/>
    <w:rsid w:val="791F5C70"/>
    <w:rsid w:val="79223491"/>
    <w:rsid w:val="79433E60"/>
    <w:rsid w:val="7969129E"/>
    <w:rsid w:val="796B47EC"/>
    <w:rsid w:val="797E1FDC"/>
    <w:rsid w:val="7985274B"/>
    <w:rsid w:val="798E36DA"/>
    <w:rsid w:val="79902D65"/>
    <w:rsid w:val="79947930"/>
    <w:rsid w:val="799559BB"/>
    <w:rsid w:val="799871DE"/>
    <w:rsid w:val="79BE64BF"/>
    <w:rsid w:val="79C36345"/>
    <w:rsid w:val="79C91AFC"/>
    <w:rsid w:val="79D24C8C"/>
    <w:rsid w:val="79DD1412"/>
    <w:rsid w:val="79E4516F"/>
    <w:rsid w:val="79E462FC"/>
    <w:rsid w:val="79EA46B2"/>
    <w:rsid w:val="79EC7F95"/>
    <w:rsid w:val="79EF0484"/>
    <w:rsid w:val="79F672EA"/>
    <w:rsid w:val="79FE7282"/>
    <w:rsid w:val="7A02130C"/>
    <w:rsid w:val="7A0554A4"/>
    <w:rsid w:val="7A093C81"/>
    <w:rsid w:val="7A1E11B8"/>
    <w:rsid w:val="7A1E1264"/>
    <w:rsid w:val="7A24377B"/>
    <w:rsid w:val="7A25475F"/>
    <w:rsid w:val="7A3B11AA"/>
    <w:rsid w:val="7A511CDC"/>
    <w:rsid w:val="7A5C4692"/>
    <w:rsid w:val="7A5D7C6A"/>
    <w:rsid w:val="7A6A2192"/>
    <w:rsid w:val="7A6E3B87"/>
    <w:rsid w:val="7A7B4F6C"/>
    <w:rsid w:val="7A841936"/>
    <w:rsid w:val="7A88520F"/>
    <w:rsid w:val="7A8A5729"/>
    <w:rsid w:val="7A990535"/>
    <w:rsid w:val="7AA41AC2"/>
    <w:rsid w:val="7AA901AD"/>
    <w:rsid w:val="7AB124AD"/>
    <w:rsid w:val="7ABA46F2"/>
    <w:rsid w:val="7AC13573"/>
    <w:rsid w:val="7AD90796"/>
    <w:rsid w:val="7AE16C2A"/>
    <w:rsid w:val="7AE21AF2"/>
    <w:rsid w:val="7AE502BA"/>
    <w:rsid w:val="7AE575DB"/>
    <w:rsid w:val="7AF52785"/>
    <w:rsid w:val="7B0749C7"/>
    <w:rsid w:val="7B0D62F7"/>
    <w:rsid w:val="7B1C12FC"/>
    <w:rsid w:val="7B1C747A"/>
    <w:rsid w:val="7B203F27"/>
    <w:rsid w:val="7B2B6E63"/>
    <w:rsid w:val="7B38119B"/>
    <w:rsid w:val="7B38715D"/>
    <w:rsid w:val="7B583E02"/>
    <w:rsid w:val="7B630405"/>
    <w:rsid w:val="7B6326CC"/>
    <w:rsid w:val="7B9F43B4"/>
    <w:rsid w:val="7BB05B76"/>
    <w:rsid w:val="7BC2401A"/>
    <w:rsid w:val="7BC474B5"/>
    <w:rsid w:val="7BC556E7"/>
    <w:rsid w:val="7BD775E7"/>
    <w:rsid w:val="7BDB33AA"/>
    <w:rsid w:val="7BE64FBE"/>
    <w:rsid w:val="7BF57AED"/>
    <w:rsid w:val="7BF943EC"/>
    <w:rsid w:val="7BFE016D"/>
    <w:rsid w:val="7C085DFA"/>
    <w:rsid w:val="7C0E7382"/>
    <w:rsid w:val="7C1259B6"/>
    <w:rsid w:val="7C143AD8"/>
    <w:rsid w:val="7C1F387A"/>
    <w:rsid w:val="7C286BC1"/>
    <w:rsid w:val="7C343E10"/>
    <w:rsid w:val="7C361A90"/>
    <w:rsid w:val="7C384D5B"/>
    <w:rsid w:val="7C440BE5"/>
    <w:rsid w:val="7C4458CC"/>
    <w:rsid w:val="7C4660A6"/>
    <w:rsid w:val="7C521B7C"/>
    <w:rsid w:val="7C617C1B"/>
    <w:rsid w:val="7C635583"/>
    <w:rsid w:val="7C6860B0"/>
    <w:rsid w:val="7C6879D4"/>
    <w:rsid w:val="7C8A2035"/>
    <w:rsid w:val="7C8A620E"/>
    <w:rsid w:val="7C935CCA"/>
    <w:rsid w:val="7C992B5F"/>
    <w:rsid w:val="7CA2697F"/>
    <w:rsid w:val="7CA541CC"/>
    <w:rsid w:val="7CB74320"/>
    <w:rsid w:val="7CBC7CB2"/>
    <w:rsid w:val="7CBD6B2A"/>
    <w:rsid w:val="7CC124B0"/>
    <w:rsid w:val="7CC35B16"/>
    <w:rsid w:val="7CCE7D48"/>
    <w:rsid w:val="7CE17DBA"/>
    <w:rsid w:val="7CE45920"/>
    <w:rsid w:val="7CF0287B"/>
    <w:rsid w:val="7CFD7D74"/>
    <w:rsid w:val="7D072780"/>
    <w:rsid w:val="7D0A653E"/>
    <w:rsid w:val="7D0C2423"/>
    <w:rsid w:val="7D1E2368"/>
    <w:rsid w:val="7D2D069E"/>
    <w:rsid w:val="7D2F2F60"/>
    <w:rsid w:val="7D317177"/>
    <w:rsid w:val="7D4036E8"/>
    <w:rsid w:val="7D461A2A"/>
    <w:rsid w:val="7D465FC8"/>
    <w:rsid w:val="7D4F67BF"/>
    <w:rsid w:val="7D53310E"/>
    <w:rsid w:val="7D5F5CD7"/>
    <w:rsid w:val="7D732FF0"/>
    <w:rsid w:val="7D79534F"/>
    <w:rsid w:val="7D7A3DA6"/>
    <w:rsid w:val="7D8A7D63"/>
    <w:rsid w:val="7D947DEE"/>
    <w:rsid w:val="7D973F15"/>
    <w:rsid w:val="7D9C4475"/>
    <w:rsid w:val="7DAC0E6D"/>
    <w:rsid w:val="7DB63F5A"/>
    <w:rsid w:val="7DD0439B"/>
    <w:rsid w:val="7DD23BEB"/>
    <w:rsid w:val="7DD46551"/>
    <w:rsid w:val="7DD86A7B"/>
    <w:rsid w:val="7DD97D3B"/>
    <w:rsid w:val="7DDF23DA"/>
    <w:rsid w:val="7DDF5BA7"/>
    <w:rsid w:val="7DEF4210"/>
    <w:rsid w:val="7DF067C6"/>
    <w:rsid w:val="7DF157F3"/>
    <w:rsid w:val="7DF47331"/>
    <w:rsid w:val="7DFD1722"/>
    <w:rsid w:val="7E0547FB"/>
    <w:rsid w:val="7E0667DF"/>
    <w:rsid w:val="7E0E3764"/>
    <w:rsid w:val="7E0F5C0B"/>
    <w:rsid w:val="7E165D60"/>
    <w:rsid w:val="7E2457B5"/>
    <w:rsid w:val="7E264715"/>
    <w:rsid w:val="7E285E41"/>
    <w:rsid w:val="7E343B5B"/>
    <w:rsid w:val="7E361EB0"/>
    <w:rsid w:val="7E37679A"/>
    <w:rsid w:val="7E4F377D"/>
    <w:rsid w:val="7E4F65F4"/>
    <w:rsid w:val="7E5A6CA3"/>
    <w:rsid w:val="7E66788B"/>
    <w:rsid w:val="7E6E1C40"/>
    <w:rsid w:val="7E700D50"/>
    <w:rsid w:val="7E7C4F2E"/>
    <w:rsid w:val="7E7D156B"/>
    <w:rsid w:val="7E7E4DEB"/>
    <w:rsid w:val="7E8179A0"/>
    <w:rsid w:val="7E8E266E"/>
    <w:rsid w:val="7E9149BA"/>
    <w:rsid w:val="7EA01B48"/>
    <w:rsid w:val="7EA05563"/>
    <w:rsid w:val="7EAA6A11"/>
    <w:rsid w:val="7EB22A1D"/>
    <w:rsid w:val="7EB74E34"/>
    <w:rsid w:val="7EBD69B8"/>
    <w:rsid w:val="7ED16B64"/>
    <w:rsid w:val="7ED16DE7"/>
    <w:rsid w:val="7EDC53D0"/>
    <w:rsid w:val="7EE3798A"/>
    <w:rsid w:val="7EF11EAA"/>
    <w:rsid w:val="7EFF28BB"/>
    <w:rsid w:val="7F017854"/>
    <w:rsid w:val="7F0C4F41"/>
    <w:rsid w:val="7F112C33"/>
    <w:rsid w:val="7F126869"/>
    <w:rsid w:val="7F1A78F5"/>
    <w:rsid w:val="7F2A2345"/>
    <w:rsid w:val="7F2E04CD"/>
    <w:rsid w:val="7F3924D3"/>
    <w:rsid w:val="7F577616"/>
    <w:rsid w:val="7F67639A"/>
    <w:rsid w:val="7F6E19FC"/>
    <w:rsid w:val="7F731EA8"/>
    <w:rsid w:val="7F7D572F"/>
    <w:rsid w:val="7F7E5056"/>
    <w:rsid w:val="7F85081C"/>
    <w:rsid w:val="7F8759F2"/>
    <w:rsid w:val="7F8C0830"/>
    <w:rsid w:val="7F975872"/>
    <w:rsid w:val="7F9F5BAB"/>
    <w:rsid w:val="7FA8300C"/>
    <w:rsid w:val="7FCC605A"/>
    <w:rsid w:val="7FD7685E"/>
    <w:rsid w:val="7FE57178"/>
    <w:rsid w:val="7FE7641E"/>
    <w:rsid w:val="7FE97160"/>
    <w:rsid w:val="7FEC059A"/>
    <w:rsid w:val="7FEF3629"/>
    <w:rsid w:val="7FF32C78"/>
    <w:rsid w:val="7FF4774B"/>
    <w:rsid w:val="7FFF4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heme="minorBidi"/>
      <w:b/>
      <w:kern w:val="2"/>
      <w:sz w:val="24"/>
      <w:szCs w:val="24"/>
      <w:lang w:val="en-US" w:eastAsia="zh-CN" w:bidi="ar-SA"/>
    </w:rPr>
  </w:style>
  <w:style w:type="paragraph" w:styleId="4">
    <w:name w:val="heading 1"/>
    <w:basedOn w:val="1"/>
    <w:next w:val="1"/>
    <w:qFormat/>
    <w:uiPriority w:val="0"/>
    <w:pPr>
      <w:keepNext/>
      <w:keepLines/>
      <w:outlineLvl w:val="0"/>
    </w:pPr>
    <w:rPr>
      <w:kern w:val="44"/>
      <w:sz w:val="30"/>
    </w:rPr>
  </w:style>
  <w:style w:type="paragraph" w:styleId="5">
    <w:name w:val="heading 2"/>
    <w:basedOn w:val="1"/>
    <w:next w:val="1"/>
    <w:unhideWhenUsed/>
    <w:qFormat/>
    <w:uiPriority w:val="0"/>
    <w:pPr>
      <w:keepNext/>
      <w:keepLines/>
      <w:spacing w:line="360" w:lineRule="auto"/>
      <w:outlineLvl w:val="1"/>
    </w:pPr>
    <w:rPr>
      <w:sz w:val="28"/>
    </w:rPr>
  </w:style>
  <w:style w:type="paragraph" w:styleId="6">
    <w:name w:val="heading 3"/>
    <w:basedOn w:val="1"/>
    <w:next w:val="1"/>
    <w:unhideWhenUsed/>
    <w:qFormat/>
    <w:uiPriority w:val="0"/>
    <w:pPr>
      <w:keepNext/>
      <w:keepLines/>
      <w:spacing w:line="360" w:lineRule="auto"/>
      <w:outlineLvl w:val="2"/>
    </w:pPr>
  </w:style>
  <w:style w:type="paragraph" w:styleId="7">
    <w:name w:val="heading 4"/>
    <w:basedOn w:val="1"/>
    <w:next w:val="1"/>
    <w:unhideWhenUsed/>
    <w:qFormat/>
    <w:uiPriority w:val="0"/>
    <w:pPr>
      <w:keepNext/>
      <w:keepLines/>
      <w:spacing w:line="360" w:lineRule="auto"/>
      <w:outlineLvl w:val="3"/>
    </w:pPr>
    <w:rPr>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autoSpaceDE w:val="0"/>
      <w:autoSpaceDN w:val="0"/>
    </w:pPr>
    <w:rPr>
      <w:rFonts w:ascii="宋体" w:cs="宋体"/>
      <w:sz w:val="24"/>
      <w:szCs w:val="24"/>
    </w:rPr>
  </w:style>
  <w:style w:type="paragraph" w:customStyle="1" w:styleId="3">
    <w:name w:val="1 表头"/>
    <w:basedOn w:val="1"/>
    <w:qFormat/>
    <w:uiPriority w:val="0"/>
    <w:pPr>
      <w:adjustRightInd w:val="0"/>
      <w:snapToGrid w:val="0"/>
      <w:jc w:val="center"/>
    </w:pPr>
    <w:rPr>
      <w:color w:val="000000"/>
      <w:sz w:val="21"/>
      <w:szCs w:val="21"/>
    </w:rPr>
  </w:style>
  <w:style w:type="paragraph" w:styleId="8">
    <w:name w:val="Normal Indent"/>
    <w:basedOn w:val="1"/>
    <w:next w:val="9"/>
    <w:qFormat/>
    <w:uiPriority w:val="0"/>
    <w:pPr>
      <w:ind w:firstLine="420" w:firstLineChars="200"/>
    </w:pPr>
  </w:style>
  <w:style w:type="paragraph" w:styleId="9">
    <w:name w:val="Body Text First Indent 2"/>
    <w:basedOn w:val="10"/>
    <w:next w:val="1"/>
    <w:qFormat/>
    <w:uiPriority w:val="0"/>
    <w:pPr>
      <w:ind w:firstLine="420"/>
    </w:pPr>
    <w:rPr>
      <w:rFonts w:ascii="Calibri" w:hAnsi="Calibri"/>
      <w:sz w:val="28"/>
      <w:szCs w:val="22"/>
    </w:rPr>
  </w:style>
  <w:style w:type="paragraph" w:styleId="10">
    <w:name w:val="Body Text Indent"/>
    <w:basedOn w:val="1"/>
    <w:next w:val="9"/>
    <w:qFormat/>
    <w:uiPriority w:val="0"/>
    <w:pPr>
      <w:spacing w:after="120"/>
      <w:ind w:left="420" w:leftChars="200"/>
    </w:pPr>
    <w:rPr>
      <w:kern w:val="0"/>
      <w:szCs w:val="20"/>
    </w:rPr>
  </w:style>
  <w:style w:type="paragraph" w:styleId="11">
    <w:name w:val="caption"/>
    <w:basedOn w:val="1"/>
    <w:next w:val="1"/>
    <w:qFormat/>
    <w:uiPriority w:val="35"/>
    <w:pPr>
      <w:jc w:val="center"/>
    </w:pPr>
    <w:rPr>
      <w:szCs w:val="20"/>
    </w:rPr>
  </w:style>
  <w:style w:type="paragraph" w:styleId="12">
    <w:name w:val="annotation text"/>
    <w:basedOn w:val="1"/>
    <w:link w:val="55"/>
    <w:qFormat/>
    <w:uiPriority w:val="0"/>
  </w:style>
  <w:style w:type="paragraph" w:styleId="13">
    <w:name w:val="Body Text"/>
    <w:basedOn w:val="1"/>
    <w:next w:val="14"/>
    <w:qFormat/>
    <w:uiPriority w:val="0"/>
    <w:pPr>
      <w:widowControl/>
      <w:snapToGrid w:val="0"/>
      <w:spacing w:before="60" w:after="160" w:line="259" w:lineRule="auto"/>
      <w:ind w:right="113"/>
    </w:pPr>
    <w:rPr>
      <w:kern w:val="0"/>
      <w:sz w:val="18"/>
      <w:szCs w:val="20"/>
    </w:rPr>
  </w:style>
  <w:style w:type="paragraph" w:customStyle="1" w:styleId="14">
    <w:name w:val="Body Text 21"/>
    <w:basedOn w:val="1"/>
    <w:qFormat/>
    <w:uiPriority w:val="0"/>
    <w:pPr>
      <w:spacing w:after="120" w:line="480" w:lineRule="auto"/>
    </w:pPr>
  </w:style>
  <w:style w:type="paragraph" w:styleId="15">
    <w:name w:val="Plain Text"/>
    <w:basedOn w:val="1"/>
    <w:qFormat/>
    <w:uiPriority w:val="0"/>
    <w:rPr>
      <w:rFonts w:hAnsi="Courier New" w:cs="Courier New"/>
      <w:szCs w:val="21"/>
    </w:rPr>
  </w:style>
  <w:style w:type="paragraph" w:styleId="16">
    <w:name w:val="Body Text Indent 2"/>
    <w:basedOn w:val="1"/>
    <w:next w:val="9"/>
    <w:qFormat/>
    <w:uiPriority w:val="99"/>
    <w:pPr>
      <w:spacing w:after="120" w:line="480" w:lineRule="auto"/>
      <w:ind w:left="420" w:leftChars="200"/>
    </w:pPr>
  </w:style>
  <w:style w:type="paragraph" w:styleId="17">
    <w:name w:val="Balloon Text"/>
    <w:basedOn w:val="1"/>
    <w:semiHidden/>
    <w:qFormat/>
    <w:uiPriority w:val="0"/>
    <w:rPr>
      <w:kern w:val="0"/>
      <w:sz w:val="18"/>
      <w:szCs w:val="20"/>
    </w:rPr>
  </w:style>
  <w:style w:type="paragraph" w:styleId="18">
    <w:name w:val="footer"/>
    <w:basedOn w:val="1"/>
    <w:qFormat/>
    <w:uiPriority w:val="99"/>
    <w:pPr>
      <w:tabs>
        <w:tab w:val="center" w:pos="4153"/>
        <w:tab w:val="right" w:pos="8306"/>
      </w:tabs>
      <w:snapToGrid w:val="0"/>
    </w:pPr>
    <w:rPr>
      <w:kern w:val="0"/>
      <w:sz w:val="18"/>
      <w:szCs w:val="20"/>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Body Text 2"/>
    <w:basedOn w:val="1"/>
    <w:link w:val="35"/>
    <w:unhideWhenUsed/>
    <w:qFormat/>
    <w:uiPriority w:val="99"/>
    <w:pPr>
      <w:spacing w:line="360" w:lineRule="auto"/>
      <w:ind w:firstLine="602" w:firstLineChars="200"/>
    </w:pPr>
    <w:rPr>
      <w:b w:val="0"/>
    </w:rPr>
  </w:style>
  <w:style w:type="paragraph" w:styleId="21">
    <w:name w:val="Normal (Web)"/>
    <w:basedOn w:val="1"/>
    <w:qFormat/>
    <w:uiPriority w:val="0"/>
    <w:pPr>
      <w:widowControl/>
      <w:spacing w:before="100" w:beforeAutospacing="1" w:after="100" w:afterAutospacing="1"/>
    </w:pPr>
    <w:rPr>
      <w:rFonts w:ascii="宋体" w:hAnsi="宋体"/>
      <w:kern w:val="0"/>
      <w:szCs w:val="20"/>
    </w:rPr>
  </w:style>
  <w:style w:type="paragraph" w:styleId="22">
    <w:name w:val="annotation subject"/>
    <w:basedOn w:val="12"/>
    <w:next w:val="12"/>
    <w:link w:val="56"/>
    <w:qFormat/>
    <w:uiPriority w:val="0"/>
    <w:rPr>
      <w:bCs/>
    </w:rPr>
  </w:style>
  <w:style w:type="paragraph" w:styleId="23">
    <w:name w:val="Body Text First Indent"/>
    <w:basedOn w:val="13"/>
    <w:qFormat/>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paragraph" w:customStyle="1" w:styleId="30">
    <w:name w:val="正文1"/>
    <w:basedOn w:val="8"/>
    <w:next w:val="8"/>
    <w:qFormat/>
    <w:uiPriority w:val="0"/>
    <w:pPr>
      <w:ind w:firstLine="0" w:firstLineChars="0"/>
      <w:jc w:val="center"/>
    </w:pPr>
    <w:rPr>
      <w:b w:val="0"/>
      <w:sz w:val="21"/>
    </w:rPr>
  </w:style>
  <w:style w:type="paragraph" w:customStyle="1" w:styleId="31">
    <w:name w:val="表格字体"/>
    <w:basedOn w:val="32"/>
    <w:qFormat/>
    <w:uiPriority w:val="0"/>
    <w:pPr>
      <w:spacing w:line="240" w:lineRule="auto"/>
    </w:pPr>
    <w:rPr>
      <w:b w:val="0"/>
    </w:rPr>
  </w:style>
  <w:style w:type="paragraph" w:customStyle="1" w:styleId="32">
    <w:name w:val="表头字体"/>
    <w:basedOn w:val="1"/>
    <w:qFormat/>
    <w:uiPriority w:val="0"/>
    <w:pPr>
      <w:spacing w:line="360" w:lineRule="auto"/>
      <w:jc w:val="center"/>
    </w:pPr>
  </w:style>
  <w:style w:type="paragraph" w:customStyle="1" w:styleId="33">
    <w:name w:val="表格内容"/>
    <w:next w:val="34"/>
    <w:qFormat/>
    <w:uiPriority w:val="0"/>
    <w:pPr>
      <w:jc w:val="center"/>
    </w:pPr>
    <w:rPr>
      <w:rFonts w:ascii="Times New Roman" w:hAnsi="Times New Roman" w:eastAsia="宋体" w:cs="Times New Roman"/>
      <w:kern w:val="2"/>
      <w:sz w:val="21"/>
      <w:szCs w:val="24"/>
      <w:lang w:val="zh-TW" w:eastAsia="zh-TW" w:bidi="ar-SA"/>
    </w:rPr>
  </w:style>
  <w:style w:type="paragraph" w:customStyle="1" w:styleId="34">
    <w:name w:val="文本正文"/>
    <w:basedOn w:val="1"/>
    <w:qFormat/>
    <w:uiPriority w:val="0"/>
    <w:pPr>
      <w:ind w:firstLine="480"/>
    </w:pPr>
  </w:style>
  <w:style w:type="character" w:customStyle="1" w:styleId="35">
    <w:name w:val="正文文本 2 Char"/>
    <w:link w:val="20"/>
    <w:qFormat/>
    <w:uiPriority w:val="99"/>
    <w:rPr>
      <w:rFonts w:ascii="Times New Roman" w:hAnsi="Times New Roman" w:eastAsia="宋体"/>
      <w:sz w:val="24"/>
    </w:rPr>
  </w:style>
  <w:style w:type="paragraph" w:customStyle="1" w:styleId="36">
    <w:name w:val="正文首行缩进 21"/>
    <w:basedOn w:val="37"/>
    <w:next w:val="13"/>
    <w:qFormat/>
    <w:uiPriority w:val="0"/>
    <w:pPr>
      <w:spacing w:after="120"/>
      <w:ind w:left="420" w:leftChars="200" w:firstLine="420" w:firstLineChars="200"/>
    </w:pPr>
    <w:rPr>
      <w:sz w:val="21"/>
    </w:rPr>
  </w:style>
  <w:style w:type="paragraph" w:customStyle="1" w:styleId="37">
    <w:name w:val="正文文本缩进1"/>
    <w:basedOn w:val="1"/>
    <w:qFormat/>
    <w:uiPriority w:val="0"/>
    <w:pPr>
      <w:ind w:firstLine="538" w:firstLineChars="192"/>
    </w:pPr>
    <w:rPr>
      <w:kern w:val="0"/>
      <w:sz w:val="28"/>
    </w:rPr>
  </w:style>
  <w:style w:type="paragraph" w:customStyle="1" w:styleId="38">
    <w:name w:val="1"/>
    <w:basedOn w:val="1"/>
    <w:qFormat/>
    <w:uiPriority w:val="0"/>
    <w:pPr>
      <w:ind w:firstLine="720" w:firstLineChars="200"/>
    </w:pPr>
    <w:rPr>
      <w:rFonts w:hint="eastAsia" w:cs="Times New Roman"/>
      <w:szCs w:val="32"/>
    </w:rPr>
  </w:style>
  <w:style w:type="paragraph" w:customStyle="1" w:styleId="39">
    <w:name w:val="样式 正文缩进正文缩进2正文缩进 Char Char正文缩进 Char Char Char Char正文缩进 Char ..."/>
    <w:basedOn w:val="8"/>
    <w:qFormat/>
    <w:uiPriority w:val="0"/>
    <w:pPr>
      <w:tabs>
        <w:tab w:val="left" w:pos="840"/>
      </w:tabs>
      <w:spacing w:line="360" w:lineRule="auto"/>
      <w:ind w:firstLine="200"/>
      <w:jc w:val="both"/>
    </w:pPr>
  </w:style>
  <w:style w:type="paragraph" w:customStyle="1" w:styleId="40">
    <w:name w:val="表头"/>
    <w:basedOn w:val="8"/>
    <w:next w:val="1"/>
    <w:qFormat/>
    <w:uiPriority w:val="0"/>
    <w:pPr>
      <w:ind w:firstLine="0" w:firstLineChars="0"/>
      <w:jc w:val="center"/>
    </w:pPr>
    <w:rPr>
      <w:bCs/>
      <w:sz w:val="21"/>
      <w:szCs w:val="21"/>
    </w:rPr>
  </w:style>
  <w:style w:type="paragraph" w:customStyle="1" w:styleId="41">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42">
    <w:name w:val="正文001"/>
    <w:basedOn w:val="1"/>
    <w:qFormat/>
    <w:uiPriority w:val="0"/>
    <w:pPr>
      <w:spacing w:before="60" w:line="460" w:lineRule="exact"/>
      <w:ind w:firstLine="482"/>
    </w:pPr>
    <w:rPr>
      <w:szCs w:val="20"/>
    </w:rPr>
  </w:style>
  <w:style w:type="paragraph" w:customStyle="1" w:styleId="43">
    <w:name w:val="表格001"/>
    <w:basedOn w:val="1"/>
    <w:qFormat/>
    <w:uiPriority w:val="0"/>
    <w:pPr>
      <w:jc w:val="center"/>
    </w:pPr>
    <w:rPr>
      <w:szCs w:val="20"/>
    </w:rPr>
  </w:style>
  <w:style w:type="paragraph" w:customStyle="1" w:styleId="44">
    <w:name w:val="M正文"/>
    <w:basedOn w:val="1"/>
    <w:qFormat/>
    <w:uiPriority w:val="0"/>
    <w:pPr>
      <w:ind w:firstLine="200"/>
    </w:pPr>
    <w:rPr>
      <w:szCs w:val="21"/>
    </w:rPr>
  </w:style>
  <w:style w:type="paragraph" w:customStyle="1" w:styleId="45">
    <w:name w:val="德源报告表表格"/>
    <w:qFormat/>
    <w:uiPriority w:val="0"/>
    <w:pPr>
      <w:adjustRightInd w:val="0"/>
      <w:snapToGrid w:val="0"/>
      <w:spacing w:line="360" w:lineRule="exact"/>
      <w:jc w:val="center"/>
    </w:pPr>
    <w:rPr>
      <w:rFonts w:ascii="Times New Roman" w:hAnsi="Times New Roman" w:eastAsia="宋体" w:cs="Times New Roman"/>
      <w:snapToGrid w:val="0"/>
      <w:sz w:val="21"/>
      <w:szCs w:val="21"/>
      <w:lang w:val="en-US" w:eastAsia="zh-CN" w:bidi="ar-SA"/>
    </w:rPr>
  </w:style>
  <w:style w:type="paragraph" w:customStyle="1" w:styleId="46">
    <w:name w:val="表中文字"/>
    <w:next w:val="1"/>
    <w:qFormat/>
    <w:uiPriority w:val="0"/>
    <w:pPr>
      <w:jc w:val="center"/>
    </w:pPr>
    <w:rPr>
      <w:rFonts w:ascii="Times New Roman" w:hAnsi="Times New Roman" w:eastAsia="宋体" w:cstheme="minorBidi"/>
      <w:color w:val="000000"/>
      <w:kern w:val="2"/>
      <w:sz w:val="21"/>
      <w:szCs w:val="24"/>
      <w:lang w:val="en-US" w:eastAsia="zh-CN" w:bidi="ar-SA"/>
    </w:rPr>
  </w:style>
  <w:style w:type="paragraph" w:customStyle="1" w:styleId="47">
    <w:name w:val="图表后空行"/>
    <w:next w:val="1"/>
    <w:qFormat/>
    <w:uiPriority w:val="0"/>
    <w:pPr>
      <w:ind w:firstLine="200"/>
    </w:pPr>
    <w:rPr>
      <w:rFonts w:ascii="Times New Roman" w:hAnsi="Times New Roman" w:eastAsia="宋体" w:cstheme="minorBidi"/>
      <w:kern w:val="2"/>
      <w:sz w:val="18"/>
      <w:szCs w:val="24"/>
      <w:lang w:val="en-US" w:eastAsia="zh-CN" w:bidi="ar-SA"/>
    </w:rPr>
  </w:style>
  <w:style w:type="paragraph" w:customStyle="1" w:styleId="48">
    <w:name w:val="表格文字"/>
    <w:qFormat/>
    <w:uiPriority w:val="0"/>
    <w:pPr>
      <w:widowControl w:val="0"/>
      <w:adjustRightInd w:val="0"/>
      <w:snapToGrid w:val="0"/>
      <w:jc w:val="center"/>
    </w:pPr>
    <w:rPr>
      <w:rFonts w:ascii="Times New Roman" w:hAnsi="Times New Roman" w:eastAsia="宋体" w:cs="Times New Roman"/>
      <w:kern w:val="44"/>
      <w:sz w:val="21"/>
      <w:szCs w:val="21"/>
      <w:lang w:val="en-US" w:eastAsia="zh-CN" w:bidi="ar-SA"/>
    </w:rPr>
  </w:style>
  <w:style w:type="paragraph" w:customStyle="1" w:styleId="49">
    <w:name w:val="Other|1"/>
    <w:basedOn w:val="1"/>
    <w:qFormat/>
    <w:uiPriority w:val="0"/>
    <w:pPr>
      <w:spacing w:line="403" w:lineRule="auto"/>
      <w:ind w:firstLine="400"/>
    </w:pPr>
    <w:rPr>
      <w:rFonts w:ascii="宋体" w:hAnsi="宋体" w:cs="宋体"/>
      <w:lang w:val="zh-TW" w:eastAsia="zh-TW" w:bidi="zh-TW"/>
    </w:rPr>
  </w:style>
  <w:style w:type="paragraph" w:customStyle="1" w:styleId="50">
    <w:name w:val="环评标题"/>
    <w:basedOn w:val="51"/>
    <w:qFormat/>
    <w:uiPriority w:val="0"/>
    <w:pPr>
      <w:ind w:firstLine="0" w:firstLineChars="0"/>
    </w:pPr>
  </w:style>
  <w:style w:type="paragraph" w:customStyle="1" w:styleId="51">
    <w:name w:val="环评正文"/>
    <w:basedOn w:val="1"/>
    <w:qFormat/>
    <w:uiPriority w:val="0"/>
    <w:pPr>
      <w:autoSpaceDE w:val="0"/>
      <w:autoSpaceDN w:val="0"/>
      <w:adjustRightInd w:val="0"/>
      <w:snapToGrid w:val="0"/>
      <w:spacing w:line="360" w:lineRule="auto"/>
      <w:ind w:firstLine="200" w:firstLineChars="200"/>
    </w:pPr>
    <w:rPr>
      <w:rFonts w:cs="宋体"/>
      <w:kern w:val="0"/>
      <w:szCs w:val="21"/>
    </w:rPr>
  </w:style>
  <w:style w:type="paragraph" w:customStyle="1" w:styleId="52">
    <w:name w:val="表格标题"/>
    <w:basedOn w:val="40"/>
    <w:qFormat/>
    <w:uiPriority w:val="0"/>
  </w:style>
  <w:style w:type="paragraph" w:customStyle="1" w:styleId="53">
    <w:name w:val="表格正文"/>
    <w:basedOn w:val="52"/>
    <w:qFormat/>
    <w:uiPriority w:val="0"/>
    <w:pPr>
      <w:wordWrap w:val="0"/>
    </w:pPr>
    <w:rPr>
      <w:b w:val="0"/>
    </w:rPr>
  </w:style>
  <w:style w:type="paragraph" w:customStyle="1" w:styleId="54">
    <w:name w:val="表格1"/>
    <w:basedOn w:val="1"/>
    <w:qFormat/>
    <w:uiPriority w:val="0"/>
    <w:pPr>
      <w:adjustRightInd w:val="0"/>
      <w:snapToGrid w:val="0"/>
      <w:jc w:val="center"/>
    </w:pPr>
    <w:rPr>
      <w:rFonts w:eastAsia="方正仿宋_GBK"/>
      <w:color w:val="000000"/>
      <w:kern w:val="0"/>
    </w:rPr>
  </w:style>
  <w:style w:type="character" w:customStyle="1" w:styleId="55">
    <w:name w:val="批注文字 Char"/>
    <w:basedOn w:val="26"/>
    <w:link w:val="12"/>
    <w:qFormat/>
    <w:uiPriority w:val="0"/>
    <w:rPr>
      <w:rFonts w:cstheme="minorBidi"/>
      <w:b/>
      <w:kern w:val="2"/>
      <w:sz w:val="24"/>
      <w:szCs w:val="24"/>
    </w:rPr>
  </w:style>
  <w:style w:type="character" w:customStyle="1" w:styleId="56">
    <w:name w:val="批注主题 Char"/>
    <w:basedOn w:val="55"/>
    <w:link w:val="22"/>
    <w:qFormat/>
    <w:uiPriority w:val="0"/>
    <w:rPr>
      <w:rFonts w:cstheme="minorBidi"/>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1.bin"/><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5334</Words>
  <Characters>30405</Characters>
  <Lines>253</Lines>
  <Paragraphs>71</Paragraphs>
  <TotalTime>20</TotalTime>
  <ScaleCrop>false</ScaleCrop>
  <LinksUpToDate>false</LinksUpToDate>
  <CharactersWithSpaces>35668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2020-11-16T09:40:00Z</dcterms:created>
  <dc:creator>Administrator</dc:creator>
  <cp:lastModifiedBy>qwe</cp:lastModifiedBy>
  <cp:lastPrinted>2021-10-11T09:43:00Z</cp:lastPrinted>
  <dcterms:modified xsi:type="dcterms:W3CDTF">2021-12-13T05:00:36Z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7EAFF63CB010443691D77564887F940D</vt:lpwstr>
  </property>
</Properties>
</file>