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hint="eastAsia" w:eastAsia="仿宋_GB2312" w:cs="仿宋_GB2312"/>
          <w:sz w:val="36"/>
          <w:szCs w:val="36"/>
        </w:rPr>
      </w:pPr>
    </w:p>
    <w:p>
      <w:pPr>
        <w:spacing w:line="240" w:lineRule="auto"/>
        <w:ind w:firstLine="0" w:firstLineChars="0"/>
        <w:jc w:val="left"/>
        <w:rPr>
          <w:rFonts w:eastAsia="仿宋_GB2312" w:cs="仿宋_GB2312"/>
          <w:sz w:val="36"/>
          <w:szCs w:val="36"/>
        </w:rPr>
      </w:pPr>
    </w:p>
    <w:p>
      <w:pPr>
        <w:spacing w:line="240" w:lineRule="auto"/>
        <w:ind w:firstLine="0" w:firstLineChars="0"/>
        <w:jc w:val="left"/>
        <w:rPr>
          <w:rFonts w:eastAsia="仿宋_GB2312" w:cs="仿宋_GB2312"/>
          <w:sz w:val="36"/>
          <w:szCs w:val="36"/>
        </w:rPr>
      </w:pPr>
    </w:p>
    <w:p>
      <w:pPr>
        <w:spacing w:line="240" w:lineRule="auto"/>
        <w:ind w:firstLine="0" w:firstLineChars="0"/>
        <w:jc w:val="left"/>
        <w:rPr>
          <w:rFonts w:eastAsia="仿宋_GB2312" w:cs="仿宋_GB2312"/>
          <w:sz w:val="36"/>
          <w:szCs w:val="36"/>
        </w:rPr>
      </w:pPr>
    </w:p>
    <w:p>
      <w:pPr>
        <w:spacing w:line="240" w:lineRule="auto"/>
        <w:ind w:firstLine="0" w:firstLineChars="0"/>
        <w:jc w:val="left"/>
        <w:rPr>
          <w:rFonts w:eastAsia="仿宋_GB2312" w:cs="仿宋_GB2312"/>
          <w:sz w:val="36"/>
          <w:szCs w:val="36"/>
        </w:rPr>
      </w:pPr>
    </w:p>
    <w:p>
      <w:pPr>
        <w:adjustRightInd w:val="0"/>
        <w:snapToGrid w:val="0"/>
        <w:spacing w:line="240" w:lineRule="auto"/>
        <w:ind w:firstLine="0" w:firstLineChars="0"/>
        <w:jc w:val="center"/>
        <w:outlineLvl w:val="0"/>
        <w:rPr>
          <w:rFonts w:eastAsia="方正小标宋_GBK"/>
          <w:bCs/>
          <w:sz w:val="72"/>
          <w:szCs w:val="72"/>
        </w:rPr>
      </w:pPr>
      <w:r>
        <w:rPr>
          <w:rFonts w:hint="eastAsia" w:eastAsia="方正小标宋_GBK"/>
          <w:bCs/>
          <w:sz w:val="72"/>
          <w:szCs w:val="72"/>
        </w:rPr>
        <w:t>建设项目环境影响报告表</w:t>
      </w:r>
    </w:p>
    <w:p>
      <w:pPr>
        <w:adjustRightInd w:val="0"/>
        <w:snapToGrid w:val="0"/>
        <w:spacing w:before="192" w:beforeLines="80" w:line="240" w:lineRule="auto"/>
        <w:ind w:firstLine="0" w:firstLineChars="0"/>
        <w:jc w:val="center"/>
        <w:rPr>
          <w:rFonts w:eastAsia="楷体_GB2312"/>
          <w:bCs/>
          <w:sz w:val="48"/>
          <w:szCs w:val="48"/>
        </w:rPr>
      </w:pPr>
      <w:r>
        <w:rPr>
          <w:rFonts w:hint="eastAsia" w:eastAsia="楷体_GB2312"/>
          <w:bCs/>
          <w:sz w:val="48"/>
          <w:szCs w:val="48"/>
        </w:rPr>
        <w:t>（污染影响类）</w:t>
      </w:r>
    </w:p>
    <w:p>
      <w:pPr>
        <w:adjustRightInd w:val="0"/>
        <w:snapToGrid w:val="0"/>
        <w:spacing w:line="240" w:lineRule="auto"/>
        <w:ind w:firstLine="0" w:firstLineChars="0"/>
        <w:jc w:val="center"/>
        <w:outlineLvl w:val="0"/>
        <w:rPr>
          <w:rFonts w:eastAsia="华文仿宋" w:cs="华文仿宋"/>
          <w:kern w:val="44"/>
          <w:sz w:val="44"/>
          <w:szCs w:val="44"/>
        </w:rPr>
      </w:pPr>
    </w:p>
    <w:p>
      <w:pPr>
        <w:spacing w:line="240" w:lineRule="auto"/>
        <w:ind w:firstLine="0" w:firstLineChars="0"/>
        <w:jc w:val="center"/>
        <w:rPr>
          <w:rFonts w:eastAsia="仿宋"/>
          <w:sz w:val="52"/>
          <w:szCs w:val="52"/>
        </w:rPr>
      </w:pPr>
    </w:p>
    <w:p>
      <w:pPr>
        <w:spacing w:line="240" w:lineRule="auto"/>
        <w:ind w:firstLine="0" w:firstLineChars="0"/>
        <w:jc w:val="left"/>
        <w:rPr>
          <w:rFonts w:eastAsia="仿宋"/>
          <w:sz w:val="44"/>
          <w:szCs w:val="44"/>
        </w:rPr>
      </w:pPr>
    </w:p>
    <w:p>
      <w:pPr>
        <w:spacing w:line="240" w:lineRule="auto"/>
        <w:ind w:firstLine="0" w:firstLineChars="0"/>
        <w:jc w:val="left"/>
        <w:rPr>
          <w:rFonts w:eastAsia="仿宋"/>
          <w:sz w:val="44"/>
          <w:szCs w:val="44"/>
        </w:rPr>
      </w:pPr>
    </w:p>
    <w:p>
      <w:pPr>
        <w:spacing w:line="240" w:lineRule="auto"/>
        <w:ind w:firstLine="0" w:firstLineChars="0"/>
        <w:jc w:val="left"/>
        <w:rPr>
          <w:rFonts w:eastAsia="仿宋"/>
          <w:sz w:val="44"/>
          <w:szCs w:val="44"/>
        </w:rPr>
      </w:pPr>
    </w:p>
    <w:p>
      <w:pPr>
        <w:spacing w:line="240" w:lineRule="auto"/>
        <w:ind w:firstLine="0" w:firstLineChars="0"/>
        <w:jc w:val="left"/>
        <w:rPr>
          <w:rFonts w:eastAsia="仿宋"/>
          <w:sz w:val="44"/>
          <w:szCs w:val="44"/>
        </w:rPr>
      </w:pPr>
    </w:p>
    <w:p>
      <w:pPr>
        <w:adjustRightInd w:val="0"/>
        <w:snapToGrid w:val="0"/>
        <w:spacing w:line="288" w:lineRule="auto"/>
        <w:ind w:left="2340" w:leftChars="300" w:hanging="1620" w:hangingChars="450"/>
        <w:jc w:val="left"/>
        <w:rPr>
          <w:rFonts w:hint="default" w:eastAsia="仿宋_GB2312"/>
          <w:sz w:val="36"/>
          <w:szCs w:val="36"/>
          <w:u w:val="single"/>
          <w:lang w:val="en-US" w:eastAsia="zh-CN"/>
        </w:rPr>
      </w:pPr>
      <w:r>
        <w:rPr>
          <w:rFonts w:hint="eastAsia" w:eastAsia="仿宋_GB2312"/>
          <w:sz w:val="36"/>
          <w:szCs w:val="36"/>
        </w:rPr>
        <w:t>项目名称：</w:t>
      </w:r>
      <w:r>
        <w:rPr>
          <w:rFonts w:hint="eastAsia" w:eastAsia="仿宋_GB2312"/>
          <w:sz w:val="36"/>
          <w:szCs w:val="36"/>
          <w:u w:val="single"/>
          <w:lang w:val="en-US" w:eastAsia="zh-CN"/>
        </w:rPr>
        <w:t xml:space="preserve">年产2万平米聚氨酯封边岩棉夹芯板加工生产线项目                          </w:t>
      </w:r>
    </w:p>
    <w:p>
      <w:pPr>
        <w:adjustRightInd w:val="0"/>
        <w:snapToGrid w:val="0"/>
        <w:spacing w:line="288" w:lineRule="auto"/>
        <w:ind w:firstLine="720"/>
        <w:jc w:val="left"/>
        <w:rPr>
          <w:rFonts w:eastAsia="仿宋_GB2312"/>
          <w:sz w:val="36"/>
          <w:szCs w:val="36"/>
          <w:u w:val="single"/>
        </w:rPr>
      </w:pPr>
      <w:r>
        <w:rPr>
          <w:rFonts w:hint="eastAsia" w:eastAsia="仿宋_GB2312"/>
          <w:sz w:val="36"/>
          <w:szCs w:val="36"/>
        </w:rPr>
        <w:t>建设单位（盖章）：</w:t>
      </w:r>
      <w:r>
        <w:rPr>
          <w:rFonts w:hint="eastAsia" w:eastAsia="仿宋_GB2312"/>
          <w:sz w:val="36"/>
          <w:szCs w:val="36"/>
          <w:u w:val="single"/>
        </w:rPr>
        <w:t xml:space="preserve"> </w:t>
      </w:r>
      <w:r>
        <w:rPr>
          <w:rFonts w:hint="eastAsia" w:eastAsia="仿宋_GB2312"/>
          <w:sz w:val="36"/>
          <w:szCs w:val="36"/>
          <w:u w:val="single"/>
          <w:lang w:val="en-US" w:eastAsia="zh-CN"/>
        </w:rPr>
        <w:t xml:space="preserve">   </w:t>
      </w:r>
      <w:r>
        <w:rPr>
          <w:rFonts w:hint="eastAsia" w:eastAsia="仿宋_GB2312"/>
          <w:sz w:val="36"/>
          <w:szCs w:val="36"/>
          <w:u w:val="single"/>
          <w:lang w:eastAsia="zh-CN"/>
        </w:rPr>
        <w:t>新疆众力建材有限公司</w:t>
      </w:r>
      <w:r>
        <w:rPr>
          <w:rFonts w:hint="eastAsia" w:eastAsia="仿宋_GB2312"/>
          <w:sz w:val="36"/>
          <w:szCs w:val="36"/>
          <w:u w:val="single"/>
          <w:lang w:val="en-US" w:eastAsia="zh-CN"/>
        </w:rPr>
        <w:t xml:space="preserve">   </w:t>
      </w:r>
    </w:p>
    <w:p>
      <w:pPr>
        <w:adjustRightInd w:val="0"/>
        <w:snapToGrid w:val="0"/>
        <w:spacing w:line="288" w:lineRule="auto"/>
        <w:ind w:firstLine="720"/>
        <w:jc w:val="left"/>
        <w:rPr>
          <w:rFonts w:eastAsia="仿宋_GB2312"/>
          <w:sz w:val="36"/>
          <w:szCs w:val="36"/>
          <w:u w:val="single"/>
        </w:rPr>
      </w:pPr>
      <w:r>
        <w:rPr>
          <w:rFonts w:hint="eastAsia" w:eastAsia="仿宋_GB2312"/>
          <w:sz w:val="36"/>
          <w:szCs w:val="36"/>
        </w:rPr>
        <w:t>编制日期：</w:t>
      </w:r>
      <w:r>
        <w:rPr>
          <w:rFonts w:hint="eastAsia" w:eastAsia="仿宋_GB2312"/>
          <w:sz w:val="36"/>
          <w:szCs w:val="36"/>
          <w:u w:val="single"/>
        </w:rPr>
        <w:t xml:space="preserve"> </w:t>
      </w:r>
      <w:r>
        <w:rPr>
          <w:rFonts w:eastAsia="仿宋_GB2312"/>
          <w:sz w:val="36"/>
          <w:szCs w:val="36"/>
          <w:u w:val="single"/>
        </w:rPr>
        <w:t xml:space="preserve">   </w:t>
      </w:r>
      <w:r>
        <w:rPr>
          <w:rFonts w:hint="eastAsia" w:eastAsia="仿宋_GB2312"/>
          <w:sz w:val="36"/>
          <w:szCs w:val="36"/>
          <w:u w:val="single"/>
        </w:rPr>
        <w:t xml:space="preserve">    二</w:t>
      </w:r>
      <w:r>
        <w:rPr>
          <w:rFonts w:hint="eastAsia" w:cs="宋体"/>
          <w:sz w:val="36"/>
          <w:szCs w:val="36"/>
          <w:u w:val="single"/>
        </w:rPr>
        <w:t>〇二</w:t>
      </w:r>
      <w:r>
        <w:rPr>
          <w:rFonts w:hint="eastAsia" w:cs="宋体"/>
          <w:sz w:val="36"/>
          <w:szCs w:val="36"/>
          <w:u w:val="single"/>
          <w:lang w:eastAsia="zh-CN"/>
        </w:rPr>
        <w:t>二</w:t>
      </w:r>
      <w:r>
        <w:rPr>
          <w:rFonts w:hint="eastAsia" w:eastAsia="仿宋_GB2312"/>
          <w:sz w:val="36"/>
          <w:szCs w:val="36"/>
          <w:u w:val="single"/>
        </w:rPr>
        <w:t>年</w:t>
      </w:r>
      <w:r>
        <w:rPr>
          <w:rFonts w:hint="eastAsia" w:eastAsia="仿宋_GB2312"/>
          <w:sz w:val="36"/>
          <w:szCs w:val="36"/>
          <w:u w:val="single"/>
          <w:lang w:eastAsia="zh-CN"/>
        </w:rPr>
        <w:t>二</w:t>
      </w:r>
      <w:r>
        <w:rPr>
          <w:rFonts w:hint="eastAsia" w:eastAsia="仿宋_GB2312"/>
          <w:sz w:val="36"/>
          <w:szCs w:val="36"/>
          <w:u w:val="single"/>
        </w:rPr>
        <w:t>月</w:t>
      </w:r>
      <w:r>
        <w:rPr>
          <w:rFonts w:eastAsia="仿宋_GB2312"/>
          <w:sz w:val="36"/>
          <w:szCs w:val="36"/>
          <w:u w:val="single"/>
        </w:rPr>
        <w:t xml:space="preserve">     </w:t>
      </w:r>
      <w:r>
        <w:rPr>
          <w:rFonts w:hint="eastAsia" w:eastAsia="仿宋_GB2312"/>
          <w:sz w:val="36"/>
          <w:szCs w:val="36"/>
          <w:u w:val="single"/>
        </w:rPr>
        <w:t xml:space="preserve">    </w:t>
      </w:r>
      <w:r>
        <w:rPr>
          <w:rFonts w:eastAsia="仿宋_GB2312"/>
          <w:sz w:val="36"/>
          <w:szCs w:val="36"/>
          <w:u w:val="single"/>
        </w:rPr>
        <w:t xml:space="preserve">  </w:t>
      </w:r>
    </w:p>
    <w:p>
      <w:pPr>
        <w:adjustRightInd w:val="0"/>
        <w:snapToGrid w:val="0"/>
        <w:spacing w:line="240" w:lineRule="auto"/>
        <w:ind w:firstLine="0" w:firstLineChars="0"/>
        <w:jc w:val="left"/>
        <w:rPr>
          <w:rFonts w:eastAsia="仿宋_GB2312"/>
          <w:sz w:val="36"/>
          <w:szCs w:val="36"/>
          <w:u w:val="single"/>
        </w:rPr>
      </w:pPr>
      <w:bookmarkStart w:id="0" w:name="_Hlk57884087"/>
    </w:p>
    <w:p>
      <w:pPr>
        <w:adjustRightInd w:val="0"/>
        <w:snapToGrid w:val="0"/>
        <w:spacing w:line="240" w:lineRule="auto"/>
        <w:ind w:firstLine="0" w:firstLineChars="0"/>
        <w:jc w:val="left"/>
        <w:rPr>
          <w:rFonts w:eastAsia="仿宋_GB2312"/>
          <w:sz w:val="36"/>
          <w:szCs w:val="36"/>
        </w:rPr>
      </w:pPr>
    </w:p>
    <w:p>
      <w:pPr>
        <w:adjustRightInd w:val="0"/>
        <w:snapToGrid w:val="0"/>
        <w:spacing w:line="240" w:lineRule="auto"/>
        <w:ind w:firstLine="0" w:firstLineChars="0"/>
        <w:jc w:val="left"/>
        <w:rPr>
          <w:rFonts w:eastAsia="仿宋_GB2312"/>
          <w:sz w:val="36"/>
          <w:szCs w:val="36"/>
        </w:rPr>
      </w:pPr>
    </w:p>
    <w:p>
      <w:pPr>
        <w:adjustRightInd w:val="0"/>
        <w:snapToGrid w:val="0"/>
        <w:spacing w:line="240" w:lineRule="auto"/>
        <w:ind w:firstLine="0" w:firstLineChars="0"/>
        <w:jc w:val="left"/>
        <w:rPr>
          <w:rFonts w:eastAsia="仿宋_GB2312"/>
          <w:sz w:val="36"/>
          <w:szCs w:val="36"/>
        </w:rPr>
      </w:pPr>
    </w:p>
    <w:p>
      <w:pPr>
        <w:adjustRightInd w:val="0"/>
        <w:snapToGrid w:val="0"/>
        <w:spacing w:line="240" w:lineRule="auto"/>
        <w:ind w:firstLine="0" w:firstLineChars="0"/>
        <w:jc w:val="left"/>
        <w:rPr>
          <w:rFonts w:eastAsia="仿宋_GB2312"/>
          <w:sz w:val="36"/>
          <w:szCs w:val="36"/>
        </w:rPr>
      </w:pPr>
    </w:p>
    <w:bookmarkEnd w:id="0"/>
    <w:p>
      <w:pPr>
        <w:adjustRightInd w:val="0"/>
        <w:snapToGrid w:val="0"/>
        <w:spacing w:line="240" w:lineRule="auto"/>
        <w:ind w:firstLine="0" w:firstLineChars="0"/>
        <w:jc w:val="center"/>
        <w:rPr>
          <w:rFonts w:eastAsia="楷体_GB2312"/>
          <w:sz w:val="36"/>
          <w:szCs w:val="36"/>
        </w:rPr>
      </w:pPr>
      <w:r>
        <w:rPr>
          <w:rFonts w:hint="eastAsia" w:eastAsia="楷体_GB2312"/>
          <w:sz w:val="36"/>
          <w:szCs w:val="36"/>
        </w:rPr>
        <w:t>中华人民共和国生态环境部制</w:t>
      </w:r>
    </w:p>
    <w:p>
      <w:pPr>
        <w:adjustRightInd w:val="0"/>
        <w:snapToGrid w:val="0"/>
        <w:spacing w:line="288" w:lineRule="auto"/>
        <w:ind w:firstLine="720"/>
        <w:rPr>
          <w:rFonts w:eastAsia="仿宋_GB2312"/>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titlePg/>
          <w:docGrid w:linePitch="326" w:charSpace="0"/>
        </w:sectPr>
      </w:pPr>
    </w:p>
    <w:p>
      <w:pPr>
        <w:adjustRightInd w:val="0"/>
        <w:snapToGrid w:val="0"/>
        <w:spacing w:line="288" w:lineRule="auto"/>
        <w:ind w:firstLine="720"/>
        <w:rPr>
          <w:rFonts w:eastAsia="仿宋_GB2312"/>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titlePg/>
          <w:docGrid w:linePitch="326" w:charSpace="0"/>
        </w:sectPr>
      </w:pPr>
    </w:p>
    <w:p>
      <w:pPr>
        <w:pStyle w:val="15"/>
        <w:spacing w:line="240" w:lineRule="auto"/>
        <w:ind w:firstLine="0" w:firstLineChars="0"/>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t>一、建设项目基本情况</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080"/>
        <w:gridCol w:w="1939"/>
        <w:gridCol w:w="2212"/>
        <w:gridCol w:w="24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建设项目名称</w:t>
            </w:r>
          </w:p>
        </w:tc>
        <w:tc>
          <w:tcPr>
            <w:tcW w:w="6634" w:type="dxa"/>
            <w:gridSpan w:val="3"/>
            <w:vAlign w:val="center"/>
          </w:tcPr>
          <w:p>
            <w:pPr>
              <w:adjustRightInd w:val="0"/>
              <w:snapToGrid w:val="0"/>
              <w:spacing w:line="240" w:lineRule="auto"/>
              <w:ind w:firstLine="0" w:firstLineChars="0"/>
              <w:jc w:val="center"/>
              <w:rPr>
                <w:rFonts w:hint="default" w:eastAsia="宋体" w:cs="宋体"/>
                <w:szCs w:val="21"/>
                <w:lang w:val="en-US" w:eastAsia="zh-CN"/>
              </w:rPr>
            </w:pPr>
            <w:r>
              <w:rPr>
                <w:rFonts w:hint="eastAsia" w:cs="宋体"/>
                <w:szCs w:val="21"/>
                <w:lang w:eastAsia="zh-CN"/>
              </w:rPr>
              <w:t>年产</w:t>
            </w:r>
            <w:r>
              <w:rPr>
                <w:rFonts w:hint="eastAsia" w:cs="宋体"/>
                <w:szCs w:val="21"/>
                <w:lang w:val="en-US" w:eastAsia="zh-CN"/>
              </w:rPr>
              <w:t>2万平米聚氨酯封边岩棉夹芯板加工生产线项目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项目代码</w:t>
            </w:r>
          </w:p>
        </w:tc>
        <w:tc>
          <w:tcPr>
            <w:tcW w:w="6634" w:type="dxa"/>
            <w:gridSpan w:val="3"/>
            <w:vAlign w:val="center"/>
          </w:tcPr>
          <w:p>
            <w:pPr>
              <w:adjustRightInd w:val="0"/>
              <w:snapToGrid w:val="0"/>
              <w:spacing w:line="240" w:lineRule="auto"/>
              <w:ind w:firstLine="0" w:firstLineChars="0"/>
              <w:jc w:val="center"/>
              <w:rPr>
                <w:rFonts w:hint="default" w:eastAsia="宋体" w:cs="宋体"/>
                <w:szCs w:val="21"/>
                <w:lang w:val="en-US" w:eastAsia="zh-CN"/>
              </w:rPr>
            </w:pPr>
            <w:r>
              <w:rPr>
                <w:rFonts w:hint="eastAsia" w:cs="宋体"/>
                <w:szCs w:val="21"/>
                <w:lang w:val="en-US" w:eastAsia="zh-CN"/>
              </w:rPr>
              <w:t>2020-652312-49-03-030174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建设单位联系人</w:t>
            </w:r>
          </w:p>
        </w:tc>
        <w:tc>
          <w:tcPr>
            <w:tcW w:w="1939" w:type="dxa"/>
            <w:vAlign w:val="center"/>
          </w:tcPr>
          <w:p>
            <w:pPr>
              <w:adjustRightInd w:val="0"/>
              <w:snapToGrid w:val="0"/>
              <w:spacing w:line="240" w:lineRule="auto"/>
              <w:ind w:firstLine="0" w:firstLineChars="0"/>
              <w:jc w:val="center"/>
              <w:rPr>
                <w:rFonts w:hint="eastAsia" w:eastAsia="宋体" w:cs="宋体"/>
                <w:szCs w:val="21"/>
                <w:lang w:eastAsia="zh-CN"/>
              </w:rPr>
            </w:pPr>
            <w:r>
              <w:rPr>
                <w:rFonts w:hint="eastAsia" w:cs="宋体"/>
                <w:szCs w:val="21"/>
                <w:lang w:eastAsia="zh-CN"/>
              </w:rPr>
              <w:t>阮金龙</w:t>
            </w:r>
          </w:p>
        </w:tc>
        <w:tc>
          <w:tcPr>
            <w:tcW w:w="2212" w:type="dxa"/>
            <w:vAlign w:val="center"/>
          </w:tcPr>
          <w:p>
            <w:pPr>
              <w:adjustRightInd w:val="0"/>
              <w:snapToGrid w:val="0"/>
              <w:spacing w:line="240" w:lineRule="auto"/>
              <w:ind w:firstLine="0" w:firstLineChars="0"/>
              <w:jc w:val="center"/>
              <w:rPr>
                <w:rFonts w:cs="宋体"/>
                <w:szCs w:val="21"/>
              </w:rPr>
            </w:pPr>
            <w:r>
              <w:rPr>
                <w:rFonts w:hint="eastAsia" w:cs="宋体"/>
                <w:szCs w:val="21"/>
              </w:rPr>
              <w:t>联系方式</w:t>
            </w:r>
          </w:p>
        </w:tc>
        <w:tc>
          <w:tcPr>
            <w:tcW w:w="2483" w:type="dxa"/>
            <w:vAlign w:val="center"/>
          </w:tcPr>
          <w:p>
            <w:pPr>
              <w:adjustRightInd w:val="0"/>
              <w:snapToGrid w:val="0"/>
              <w:spacing w:line="240" w:lineRule="auto"/>
              <w:ind w:firstLine="0" w:firstLineChars="0"/>
              <w:jc w:val="center"/>
              <w:rPr>
                <w:rFonts w:hint="default" w:eastAsia="宋体" w:cs="宋体"/>
                <w:szCs w:val="21"/>
                <w:lang w:val="en-US" w:eastAsia="zh-CN"/>
              </w:rPr>
            </w:pPr>
            <w:r>
              <w:rPr>
                <w:rFonts w:hint="eastAsia" w:cs="宋体"/>
                <w:szCs w:val="21"/>
                <w:lang w:val="en-US" w:eastAsia="zh-CN"/>
              </w:rPr>
              <w:t>18599161665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建设地点</w:t>
            </w:r>
          </w:p>
        </w:tc>
        <w:tc>
          <w:tcPr>
            <w:tcW w:w="6634" w:type="dxa"/>
            <w:gridSpan w:val="3"/>
            <w:vAlign w:val="center"/>
          </w:tcPr>
          <w:p>
            <w:pPr>
              <w:adjustRightInd w:val="0"/>
              <w:snapToGrid w:val="0"/>
              <w:spacing w:line="240" w:lineRule="auto"/>
              <w:ind w:firstLine="0" w:firstLineChars="0"/>
              <w:jc w:val="center"/>
              <w:rPr>
                <w:rFonts w:hint="default" w:eastAsia="宋体" w:cs="宋体"/>
                <w:szCs w:val="21"/>
                <w:lang w:val="en-US" w:eastAsia="zh-CN"/>
              </w:rPr>
            </w:pPr>
            <w:r>
              <w:rPr>
                <w:rFonts w:hint="eastAsia" w:cs="宋体"/>
                <w:szCs w:val="21"/>
              </w:rPr>
              <w:t>昌吉高新技术产业开发区</w:t>
            </w:r>
            <w:r>
              <w:rPr>
                <w:rFonts w:hint="eastAsia" w:cs="宋体"/>
                <w:szCs w:val="21"/>
                <w:lang w:eastAsia="zh-CN"/>
              </w:rPr>
              <w:t>建材区建设路</w:t>
            </w:r>
            <w:r>
              <w:rPr>
                <w:rFonts w:hint="eastAsia" w:cs="宋体"/>
                <w:szCs w:val="21"/>
                <w:lang w:val="en-US" w:eastAsia="zh-CN"/>
              </w:rPr>
              <w:t>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jc w:val="center"/>
        </w:trPr>
        <w:tc>
          <w:tcPr>
            <w:tcW w:w="2080"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地理坐标</w:t>
            </w:r>
          </w:p>
        </w:tc>
        <w:tc>
          <w:tcPr>
            <w:tcW w:w="6634" w:type="dxa"/>
            <w:gridSpan w:val="3"/>
            <w:vAlign w:val="center"/>
          </w:tcPr>
          <w:p>
            <w:pPr>
              <w:spacing w:line="240" w:lineRule="auto"/>
              <w:ind w:firstLine="0" w:firstLineChars="0"/>
              <w:jc w:val="center"/>
              <w:rPr>
                <w:rFonts w:cs="宋体"/>
                <w:szCs w:val="21"/>
              </w:rPr>
            </w:pPr>
            <w:r>
              <w:rPr>
                <w:rFonts w:hint="eastAsia" w:cs="宋体"/>
                <w:szCs w:val="21"/>
              </w:rPr>
              <w:t>（</w:t>
            </w:r>
            <w:r>
              <w:rPr>
                <w:rFonts w:cs="宋体"/>
                <w:szCs w:val="21"/>
                <w:u w:val="single"/>
              </w:rPr>
              <w:t xml:space="preserve"> 8</w:t>
            </w:r>
            <w:r>
              <w:rPr>
                <w:rFonts w:hint="eastAsia" w:cs="宋体"/>
                <w:szCs w:val="21"/>
                <w:u w:val="single"/>
              </w:rPr>
              <w:t>7</w:t>
            </w:r>
            <w:r>
              <w:rPr>
                <w:rFonts w:cs="宋体"/>
                <w:szCs w:val="21"/>
                <w:u w:val="single"/>
              </w:rPr>
              <w:t xml:space="preserve"> </w:t>
            </w:r>
            <w:r>
              <w:rPr>
                <w:rFonts w:hint="eastAsia" w:cs="宋体"/>
                <w:szCs w:val="21"/>
              </w:rPr>
              <w:t>度</w:t>
            </w:r>
            <w:r>
              <w:rPr>
                <w:rFonts w:cs="宋体"/>
                <w:szCs w:val="21"/>
                <w:u w:val="single"/>
              </w:rPr>
              <w:t xml:space="preserve"> </w:t>
            </w:r>
            <w:r>
              <w:rPr>
                <w:rFonts w:hint="eastAsia" w:cs="宋体"/>
                <w:szCs w:val="21"/>
                <w:u w:val="single"/>
              </w:rPr>
              <w:t>8</w:t>
            </w:r>
            <w:r>
              <w:rPr>
                <w:rFonts w:cs="宋体"/>
                <w:szCs w:val="21"/>
                <w:u w:val="single"/>
              </w:rPr>
              <w:t xml:space="preserve"> </w:t>
            </w:r>
            <w:r>
              <w:rPr>
                <w:rFonts w:hint="eastAsia" w:cs="宋体"/>
                <w:szCs w:val="21"/>
              </w:rPr>
              <w:t>分</w:t>
            </w:r>
            <w:r>
              <w:rPr>
                <w:rFonts w:cs="宋体"/>
                <w:szCs w:val="21"/>
                <w:u w:val="single"/>
              </w:rPr>
              <w:t xml:space="preserve"> </w:t>
            </w:r>
            <w:r>
              <w:rPr>
                <w:rFonts w:hint="eastAsia" w:cs="宋体"/>
                <w:szCs w:val="21"/>
                <w:u w:val="single"/>
                <w:lang w:val="en-US" w:eastAsia="zh-CN"/>
              </w:rPr>
              <w:t>24</w:t>
            </w:r>
            <w:r>
              <w:rPr>
                <w:rFonts w:hint="eastAsia" w:cs="宋体"/>
                <w:szCs w:val="21"/>
                <w:u w:val="single"/>
              </w:rPr>
              <w:t>.</w:t>
            </w:r>
            <w:r>
              <w:rPr>
                <w:rFonts w:hint="eastAsia" w:cs="宋体"/>
                <w:szCs w:val="21"/>
                <w:u w:val="single"/>
                <w:lang w:val="en-US" w:eastAsia="zh-CN"/>
              </w:rPr>
              <w:t>7076</w:t>
            </w:r>
            <w:r>
              <w:rPr>
                <w:rFonts w:cs="宋体"/>
                <w:szCs w:val="21"/>
                <w:u w:val="single"/>
              </w:rPr>
              <w:t xml:space="preserve"> </w:t>
            </w:r>
            <w:r>
              <w:rPr>
                <w:rFonts w:hint="eastAsia" w:cs="宋体"/>
                <w:szCs w:val="21"/>
              </w:rPr>
              <w:t>秒，</w:t>
            </w:r>
            <w:r>
              <w:rPr>
                <w:rFonts w:cs="宋体"/>
                <w:szCs w:val="21"/>
                <w:u w:val="single"/>
              </w:rPr>
              <w:t xml:space="preserve"> </w:t>
            </w:r>
            <w:r>
              <w:rPr>
                <w:rFonts w:hint="eastAsia" w:cs="宋体"/>
                <w:szCs w:val="21"/>
                <w:u w:val="single"/>
              </w:rPr>
              <w:t>44</w:t>
            </w:r>
            <w:r>
              <w:rPr>
                <w:rFonts w:cs="宋体"/>
                <w:szCs w:val="21"/>
                <w:u w:val="single"/>
              </w:rPr>
              <w:t xml:space="preserve"> </w:t>
            </w:r>
            <w:r>
              <w:rPr>
                <w:rFonts w:hint="eastAsia" w:cs="宋体"/>
                <w:szCs w:val="21"/>
              </w:rPr>
              <w:t>度</w:t>
            </w:r>
            <w:r>
              <w:rPr>
                <w:rFonts w:cs="宋体"/>
                <w:szCs w:val="21"/>
                <w:u w:val="single"/>
              </w:rPr>
              <w:t xml:space="preserve"> </w:t>
            </w:r>
            <w:r>
              <w:rPr>
                <w:rFonts w:hint="eastAsia" w:cs="宋体"/>
                <w:szCs w:val="21"/>
                <w:u w:val="single"/>
                <w:lang w:val="en-US" w:eastAsia="zh-CN"/>
              </w:rPr>
              <w:t>5</w:t>
            </w:r>
            <w:r>
              <w:rPr>
                <w:rFonts w:cs="宋体"/>
                <w:szCs w:val="21"/>
                <w:u w:val="single"/>
              </w:rPr>
              <w:t xml:space="preserve"> </w:t>
            </w:r>
            <w:r>
              <w:rPr>
                <w:rFonts w:hint="eastAsia" w:cs="宋体"/>
                <w:szCs w:val="21"/>
              </w:rPr>
              <w:t>分</w:t>
            </w:r>
            <w:r>
              <w:rPr>
                <w:rFonts w:cs="宋体"/>
                <w:szCs w:val="21"/>
                <w:u w:val="single"/>
              </w:rPr>
              <w:t xml:space="preserve"> </w:t>
            </w:r>
            <w:r>
              <w:rPr>
                <w:rFonts w:hint="eastAsia" w:cs="宋体"/>
                <w:szCs w:val="21"/>
                <w:u w:val="single"/>
                <w:lang w:val="en-US" w:eastAsia="zh-CN"/>
              </w:rPr>
              <w:t>26</w:t>
            </w:r>
            <w:r>
              <w:rPr>
                <w:rFonts w:hint="eastAsia" w:cs="宋体"/>
                <w:szCs w:val="21"/>
                <w:u w:val="single"/>
              </w:rPr>
              <w:t>.</w:t>
            </w:r>
            <w:r>
              <w:rPr>
                <w:rFonts w:hint="eastAsia" w:cs="宋体"/>
                <w:szCs w:val="21"/>
                <w:u w:val="single"/>
                <w:lang w:val="en-US" w:eastAsia="zh-CN"/>
              </w:rPr>
              <w:t>6321</w:t>
            </w:r>
            <w:r>
              <w:rPr>
                <w:rFonts w:cs="宋体"/>
                <w:szCs w:val="21"/>
                <w:u w:val="single"/>
              </w:rPr>
              <w:t xml:space="preserve"> </w:t>
            </w:r>
            <w:r>
              <w:rPr>
                <w:rFonts w:hint="eastAsia" w:cs="宋体"/>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080"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国民经济</w:t>
            </w:r>
          </w:p>
          <w:p>
            <w:pPr>
              <w:adjustRightInd w:val="0"/>
              <w:snapToGrid w:val="0"/>
              <w:spacing w:line="240" w:lineRule="auto"/>
              <w:ind w:firstLine="0" w:firstLineChars="0"/>
              <w:jc w:val="center"/>
              <w:rPr>
                <w:rFonts w:cs="宋体"/>
                <w:szCs w:val="21"/>
              </w:rPr>
            </w:pPr>
            <w:r>
              <w:rPr>
                <w:rFonts w:hint="eastAsia" w:cs="宋体"/>
                <w:szCs w:val="21"/>
              </w:rPr>
              <w:t>行业类别</w:t>
            </w:r>
          </w:p>
        </w:tc>
        <w:tc>
          <w:tcPr>
            <w:tcW w:w="1939" w:type="dxa"/>
            <w:vAlign w:val="center"/>
          </w:tcPr>
          <w:p>
            <w:pPr>
              <w:adjustRightInd w:val="0"/>
              <w:snapToGrid w:val="0"/>
              <w:spacing w:line="240" w:lineRule="auto"/>
              <w:ind w:firstLine="0" w:firstLineChars="0"/>
              <w:jc w:val="center"/>
              <w:rPr>
                <w:rFonts w:hint="default" w:eastAsia="宋体" w:cs="宋体"/>
                <w:szCs w:val="21"/>
                <w:lang w:val="en-US" w:eastAsia="zh-CN"/>
              </w:rPr>
            </w:pPr>
            <w:r>
              <w:rPr>
                <w:rFonts w:hint="eastAsia" w:cs="宋体"/>
                <w:szCs w:val="21"/>
                <w:lang w:val="en-US" w:eastAsia="zh-CN"/>
              </w:rPr>
              <w:t>C3039其他建筑材料制造</w:t>
            </w:r>
          </w:p>
        </w:tc>
        <w:tc>
          <w:tcPr>
            <w:tcW w:w="2212" w:type="dxa"/>
            <w:vAlign w:val="center"/>
          </w:tcPr>
          <w:p>
            <w:pPr>
              <w:adjustRightInd w:val="0"/>
              <w:snapToGrid w:val="0"/>
              <w:spacing w:line="240" w:lineRule="auto"/>
              <w:ind w:firstLine="0" w:firstLineChars="0"/>
              <w:jc w:val="center"/>
              <w:rPr>
                <w:rFonts w:cs="宋体"/>
                <w:szCs w:val="21"/>
              </w:rPr>
            </w:pPr>
            <w:bookmarkStart w:id="1" w:name="_Hlk49843745"/>
            <w:r>
              <w:rPr>
                <w:rFonts w:hint="eastAsia" w:cs="宋体"/>
                <w:szCs w:val="21"/>
              </w:rPr>
              <w:t>建设项目</w:t>
            </w:r>
          </w:p>
          <w:p>
            <w:pPr>
              <w:adjustRightInd w:val="0"/>
              <w:snapToGrid w:val="0"/>
              <w:spacing w:line="240" w:lineRule="auto"/>
              <w:ind w:firstLine="0" w:firstLineChars="0"/>
              <w:jc w:val="center"/>
              <w:rPr>
                <w:rFonts w:cs="宋体"/>
                <w:szCs w:val="21"/>
              </w:rPr>
            </w:pPr>
            <w:r>
              <w:rPr>
                <w:rFonts w:hint="eastAsia" w:cs="宋体"/>
                <w:szCs w:val="21"/>
              </w:rPr>
              <w:t>行业类别</w:t>
            </w:r>
            <w:bookmarkEnd w:id="1"/>
          </w:p>
        </w:tc>
        <w:tc>
          <w:tcPr>
            <w:tcW w:w="2483" w:type="dxa"/>
            <w:vAlign w:val="center"/>
          </w:tcPr>
          <w:p>
            <w:pPr>
              <w:adjustRightInd w:val="0"/>
              <w:snapToGrid w:val="0"/>
              <w:spacing w:line="240" w:lineRule="auto"/>
              <w:ind w:firstLine="0" w:firstLineChars="0"/>
              <w:jc w:val="left"/>
              <w:rPr>
                <w:rFonts w:hint="eastAsia" w:eastAsia="宋体" w:cs="宋体"/>
                <w:szCs w:val="21"/>
                <w:lang w:val="en-US" w:eastAsia="zh-CN"/>
              </w:rPr>
            </w:pPr>
            <w:r>
              <w:rPr>
                <w:rFonts w:hint="eastAsia" w:cs="宋体"/>
                <w:szCs w:val="21"/>
                <w:lang w:val="en-US" w:eastAsia="zh-CN"/>
              </w:rPr>
              <w:t>二十七、非金属矿物制品业</w:t>
            </w:r>
            <w:r>
              <w:rPr>
                <w:rFonts w:hint="eastAsia" w:cs="宋体"/>
                <w:szCs w:val="21"/>
              </w:rPr>
              <w:t>—</w:t>
            </w:r>
            <w:r>
              <w:rPr>
                <w:rFonts w:hint="eastAsia" w:cs="宋体"/>
                <w:szCs w:val="21"/>
                <w:lang w:val="en-US" w:eastAsia="zh-CN"/>
              </w:rPr>
              <w:t>56、砖瓦、石材等建筑材料制造 303</w:t>
            </w:r>
            <w:r>
              <w:rPr>
                <w:rFonts w:hint="eastAsia" w:cs="宋体"/>
                <w:szCs w:val="21"/>
              </w:rPr>
              <w:t>—</w:t>
            </w:r>
            <w:r>
              <w:rPr>
                <w:rFonts w:hint="eastAsia" w:cs="宋体"/>
                <w:szCs w:val="21"/>
                <w:lang w:eastAsia="zh-CN"/>
              </w:rPr>
              <w:t>其他建筑材料制造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2080"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建设性质</w:t>
            </w:r>
          </w:p>
        </w:tc>
        <w:tc>
          <w:tcPr>
            <w:tcW w:w="1939" w:type="dxa"/>
            <w:vAlign w:val="center"/>
          </w:tcPr>
          <w:p>
            <w:pPr>
              <w:spacing w:line="240" w:lineRule="auto"/>
              <w:ind w:firstLine="0" w:firstLineChars="0"/>
              <w:jc w:val="left"/>
              <w:rPr>
                <w:rFonts w:cs="宋体"/>
                <w:szCs w:val="21"/>
              </w:rPr>
            </w:pPr>
            <w:r>
              <w:rPr>
                <w:rFonts w:hint="eastAsia" w:cs="宋体"/>
                <w:szCs w:val="21"/>
              </w:rPr>
              <w:sym w:font="Wingdings 2" w:char="F052"/>
            </w:r>
            <w:r>
              <w:rPr>
                <w:rFonts w:hint="eastAsia" w:cs="宋体"/>
                <w:szCs w:val="21"/>
              </w:rPr>
              <w:t>新建（迁建）</w:t>
            </w:r>
          </w:p>
          <w:p>
            <w:pPr>
              <w:spacing w:line="240" w:lineRule="auto"/>
              <w:ind w:firstLine="0" w:firstLineChars="0"/>
              <w:jc w:val="left"/>
              <w:rPr>
                <w:rFonts w:cs="宋体"/>
                <w:szCs w:val="21"/>
              </w:rPr>
            </w:pPr>
            <w:r>
              <w:rPr>
                <w:rFonts w:hint="eastAsia" w:cs="宋体"/>
                <w:szCs w:val="21"/>
              </w:rPr>
              <w:t>□改建</w:t>
            </w:r>
          </w:p>
          <w:p>
            <w:pPr>
              <w:spacing w:line="240" w:lineRule="auto"/>
              <w:ind w:firstLine="0" w:firstLineChars="0"/>
              <w:jc w:val="left"/>
              <w:rPr>
                <w:rFonts w:cs="宋体"/>
                <w:szCs w:val="21"/>
              </w:rPr>
            </w:pPr>
            <w:r>
              <w:rPr>
                <w:rFonts w:hint="eastAsia" w:cs="宋体"/>
                <w:szCs w:val="21"/>
              </w:rPr>
              <w:sym w:font="Wingdings 2" w:char="00A3"/>
            </w:r>
            <w:r>
              <w:rPr>
                <w:rFonts w:hint="eastAsia" w:cs="宋体"/>
                <w:szCs w:val="21"/>
              </w:rPr>
              <w:t>扩建</w:t>
            </w:r>
          </w:p>
          <w:p>
            <w:pPr>
              <w:spacing w:line="240" w:lineRule="auto"/>
              <w:ind w:firstLine="0" w:firstLineChars="0"/>
              <w:jc w:val="both"/>
              <w:rPr>
                <w:rFonts w:hint="eastAsia" w:eastAsia="宋体" w:cs="宋体"/>
                <w:szCs w:val="21"/>
                <w:lang w:eastAsia="zh-CN"/>
              </w:rPr>
            </w:pPr>
            <w:r>
              <w:rPr>
                <w:rFonts w:hint="eastAsia" w:cs="宋体"/>
                <w:szCs w:val="21"/>
              </w:rPr>
              <w:t>□技术改造</w:t>
            </w:r>
          </w:p>
        </w:tc>
        <w:tc>
          <w:tcPr>
            <w:tcW w:w="2212" w:type="dxa"/>
            <w:vAlign w:val="center"/>
          </w:tcPr>
          <w:p>
            <w:pPr>
              <w:adjustRightInd w:val="0"/>
              <w:snapToGrid w:val="0"/>
              <w:spacing w:line="240" w:lineRule="auto"/>
              <w:ind w:firstLine="0" w:firstLineChars="0"/>
              <w:jc w:val="center"/>
              <w:rPr>
                <w:rFonts w:cs="宋体"/>
                <w:szCs w:val="21"/>
              </w:rPr>
            </w:pPr>
            <w:r>
              <w:rPr>
                <w:rFonts w:hint="eastAsia" w:cs="宋体"/>
                <w:szCs w:val="21"/>
              </w:rPr>
              <w:t>建设项目</w:t>
            </w:r>
          </w:p>
          <w:p>
            <w:pPr>
              <w:adjustRightInd w:val="0"/>
              <w:snapToGrid w:val="0"/>
              <w:spacing w:line="240" w:lineRule="auto"/>
              <w:ind w:firstLine="0" w:firstLineChars="0"/>
              <w:jc w:val="center"/>
              <w:rPr>
                <w:rFonts w:cs="宋体"/>
                <w:szCs w:val="21"/>
              </w:rPr>
            </w:pPr>
            <w:r>
              <w:rPr>
                <w:rFonts w:hint="eastAsia" w:cs="宋体"/>
                <w:szCs w:val="21"/>
              </w:rPr>
              <w:t>申报情形</w:t>
            </w:r>
          </w:p>
        </w:tc>
        <w:tc>
          <w:tcPr>
            <w:tcW w:w="2483" w:type="dxa"/>
            <w:vAlign w:val="center"/>
          </w:tcPr>
          <w:p>
            <w:pPr>
              <w:spacing w:line="240" w:lineRule="auto"/>
              <w:ind w:firstLine="0" w:firstLineChars="0"/>
              <w:jc w:val="left"/>
              <w:rPr>
                <w:rFonts w:cs="宋体"/>
                <w:szCs w:val="21"/>
              </w:rPr>
            </w:pPr>
            <w:r>
              <w:rPr>
                <w:rFonts w:hint="eastAsia" w:cs="宋体"/>
                <w:szCs w:val="21"/>
              </w:rPr>
              <w:sym w:font="Wingdings 2" w:char="F052"/>
            </w:r>
            <w:r>
              <w:rPr>
                <w:rFonts w:hint="eastAsia" w:cs="宋体"/>
                <w:szCs w:val="21"/>
              </w:rPr>
              <w:t>首次申报项目</w:t>
            </w:r>
          </w:p>
          <w:p>
            <w:pPr>
              <w:spacing w:line="240" w:lineRule="auto"/>
              <w:ind w:firstLine="0" w:firstLineChars="0"/>
              <w:jc w:val="left"/>
              <w:rPr>
                <w:rFonts w:cs="宋体"/>
                <w:szCs w:val="21"/>
              </w:rPr>
            </w:pPr>
            <w:r>
              <w:rPr>
                <w:rFonts w:hint="eastAsia" w:cs="宋体"/>
                <w:szCs w:val="21"/>
              </w:rPr>
              <w:sym w:font="Wingdings 2" w:char="00A3"/>
            </w:r>
            <w:r>
              <w:rPr>
                <w:rFonts w:hint="eastAsia" w:cs="宋体"/>
                <w:szCs w:val="21"/>
              </w:rPr>
              <w:t>不予批准后再次申报项目</w:t>
            </w:r>
          </w:p>
          <w:p>
            <w:pPr>
              <w:spacing w:line="240" w:lineRule="auto"/>
              <w:ind w:firstLine="0" w:firstLineChars="0"/>
              <w:jc w:val="left"/>
              <w:rPr>
                <w:rFonts w:cs="宋体"/>
                <w:szCs w:val="21"/>
              </w:rPr>
            </w:pPr>
            <w:r>
              <w:rPr>
                <w:rFonts w:hint="eastAsia" w:cs="宋体"/>
                <w:szCs w:val="21"/>
              </w:rPr>
              <w:sym w:font="Wingdings 2" w:char="00A3"/>
            </w:r>
            <w:r>
              <w:rPr>
                <w:rFonts w:hint="eastAsia" w:cs="宋体"/>
                <w:szCs w:val="21"/>
              </w:rPr>
              <w:t>超五年重新审核项目</w:t>
            </w:r>
            <w:r>
              <w:rPr>
                <w:rFonts w:cs="宋体"/>
                <w:szCs w:val="21"/>
              </w:rPr>
              <w:t xml:space="preserve">     </w:t>
            </w:r>
          </w:p>
          <w:p>
            <w:pPr>
              <w:spacing w:line="240" w:lineRule="auto"/>
              <w:ind w:firstLine="0" w:firstLineChars="0"/>
              <w:jc w:val="left"/>
              <w:rPr>
                <w:rFonts w:cs="宋体"/>
                <w:szCs w:val="21"/>
              </w:rPr>
            </w:pPr>
            <w:r>
              <w:rPr>
                <w:rFonts w:hint="eastAsia" w:cs="宋体"/>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080"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项目审批（核准</w:t>
            </w:r>
            <w:r>
              <w:rPr>
                <w:rFonts w:cs="宋体"/>
                <w:szCs w:val="21"/>
              </w:rPr>
              <w:t>/</w:t>
            </w:r>
          </w:p>
          <w:p>
            <w:pPr>
              <w:adjustRightInd w:val="0"/>
              <w:snapToGrid w:val="0"/>
              <w:spacing w:line="240" w:lineRule="auto"/>
              <w:ind w:firstLine="0" w:firstLineChars="0"/>
              <w:jc w:val="center"/>
              <w:rPr>
                <w:rFonts w:cs="宋体"/>
                <w:szCs w:val="21"/>
              </w:rPr>
            </w:pPr>
            <w:r>
              <w:rPr>
                <w:rFonts w:hint="eastAsia" w:cs="宋体"/>
                <w:szCs w:val="21"/>
              </w:rPr>
              <w:t>备案）部门（选填）</w:t>
            </w:r>
          </w:p>
        </w:tc>
        <w:tc>
          <w:tcPr>
            <w:tcW w:w="1939" w:type="dxa"/>
            <w:vAlign w:val="center"/>
          </w:tcPr>
          <w:p>
            <w:pPr>
              <w:adjustRightInd w:val="0"/>
              <w:snapToGrid w:val="0"/>
              <w:spacing w:line="240" w:lineRule="auto"/>
              <w:ind w:firstLine="0" w:firstLineChars="0"/>
              <w:jc w:val="center"/>
              <w:rPr>
                <w:rFonts w:cs="宋体"/>
                <w:szCs w:val="21"/>
              </w:rPr>
            </w:pPr>
            <w:r>
              <w:rPr>
                <w:rFonts w:hint="eastAsia" w:cs="宋体"/>
                <w:szCs w:val="21"/>
              </w:rPr>
              <w:t>昌吉高新技术产业开发区产业发展科技局</w:t>
            </w:r>
          </w:p>
        </w:tc>
        <w:tc>
          <w:tcPr>
            <w:tcW w:w="2212" w:type="dxa"/>
            <w:vAlign w:val="center"/>
          </w:tcPr>
          <w:p>
            <w:pPr>
              <w:adjustRightInd w:val="0"/>
              <w:snapToGrid w:val="0"/>
              <w:spacing w:line="240" w:lineRule="auto"/>
              <w:ind w:firstLine="0" w:firstLineChars="0"/>
              <w:jc w:val="center"/>
              <w:rPr>
                <w:rFonts w:cs="宋体"/>
                <w:szCs w:val="21"/>
              </w:rPr>
            </w:pPr>
            <w:r>
              <w:rPr>
                <w:rFonts w:hint="eastAsia" w:cs="宋体"/>
                <w:szCs w:val="21"/>
              </w:rPr>
              <w:t>项目审批（核准</w:t>
            </w:r>
            <w:r>
              <w:rPr>
                <w:rFonts w:cs="宋体"/>
                <w:szCs w:val="21"/>
              </w:rPr>
              <w:t>/</w:t>
            </w:r>
          </w:p>
          <w:p>
            <w:pPr>
              <w:adjustRightInd w:val="0"/>
              <w:snapToGrid w:val="0"/>
              <w:spacing w:line="240" w:lineRule="auto"/>
              <w:ind w:firstLine="0" w:firstLineChars="0"/>
              <w:jc w:val="center"/>
              <w:rPr>
                <w:rFonts w:cs="宋体"/>
                <w:szCs w:val="21"/>
              </w:rPr>
            </w:pPr>
            <w:r>
              <w:rPr>
                <w:rFonts w:hint="eastAsia" w:cs="宋体"/>
                <w:szCs w:val="21"/>
              </w:rPr>
              <w:t>备案）文号（选填）</w:t>
            </w:r>
          </w:p>
        </w:tc>
        <w:tc>
          <w:tcPr>
            <w:tcW w:w="2483" w:type="dxa"/>
            <w:vAlign w:val="center"/>
          </w:tcPr>
          <w:p>
            <w:pPr>
              <w:adjustRightInd w:val="0"/>
              <w:snapToGrid w:val="0"/>
              <w:spacing w:line="240" w:lineRule="auto"/>
              <w:ind w:firstLine="0" w:firstLineChars="0"/>
              <w:jc w:val="center"/>
              <w:rPr>
                <w:rFonts w:cs="宋体"/>
                <w:szCs w:val="21"/>
              </w:rPr>
            </w:pPr>
            <w:r>
              <w:rPr>
                <w:rFonts w:hint="eastAsia" w:cs="宋体"/>
                <w:szCs w:val="21"/>
              </w:rPr>
              <w:t>昌高产发[2020]</w:t>
            </w:r>
            <w:r>
              <w:rPr>
                <w:rFonts w:hint="eastAsia" w:cs="宋体"/>
                <w:szCs w:val="21"/>
                <w:lang w:val="en-US" w:eastAsia="zh-CN"/>
              </w:rPr>
              <w:t>27</w:t>
            </w:r>
            <w:r>
              <w:rPr>
                <w:rFonts w:hint="eastAsia" w:cs="宋体"/>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总投资（万元）</w:t>
            </w:r>
          </w:p>
        </w:tc>
        <w:tc>
          <w:tcPr>
            <w:tcW w:w="1939" w:type="dxa"/>
            <w:vAlign w:val="center"/>
          </w:tcPr>
          <w:p>
            <w:pPr>
              <w:adjustRightInd w:val="0"/>
              <w:snapToGrid w:val="0"/>
              <w:spacing w:line="240" w:lineRule="auto"/>
              <w:ind w:firstLine="0" w:firstLineChars="0"/>
              <w:jc w:val="center"/>
              <w:rPr>
                <w:rFonts w:cs="宋体"/>
                <w:szCs w:val="21"/>
              </w:rPr>
            </w:pPr>
            <w:r>
              <w:rPr>
                <w:rFonts w:hint="eastAsia" w:cs="宋体"/>
                <w:szCs w:val="21"/>
                <w:lang w:val="en-US" w:eastAsia="zh-CN"/>
              </w:rPr>
              <w:t>520</w:t>
            </w:r>
            <w:r>
              <w:rPr>
                <w:rFonts w:hint="eastAsia" w:cs="宋体"/>
                <w:szCs w:val="21"/>
              </w:rPr>
              <w:t>.00</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环保投资（万元）</w:t>
            </w:r>
          </w:p>
        </w:tc>
        <w:tc>
          <w:tcPr>
            <w:tcW w:w="2483" w:type="dxa"/>
            <w:vAlign w:val="center"/>
          </w:tcPr>
          <w:p>
            <w:pPr>
              <w:adjustRightInd w:val="0"/>
              <w:snapToGrid w:val="0"/>
              <w:spacing w:line="240" w:lineRule="auto"/>
              <w:ind w:firstLine="0" w:firstLineChars="0"/>
              <w:jc w:val="center"/>
              <w:rPr>
                <w:rFonts w:cs="宋体"/>
                <w:szCs w:val="21"/>
              </w:rPr>
            </w:pPr>
            <w:r>
              <w:rPr>
                <w:rFonts w:hint="eastAsia" w:cs="宋体"/>
                <w:szCs w:val="21"/>
                <w:lang w:val="en-US" w:eastAsia="zh-CN"/>
              </w:rPr>
              <w:t>40</w:t>
            </w:r>
            <w:r>
              <w:rPr>
                <w:rFonts w:hint="eastAsia" w:cs="宋体"/>
                <w:szCs w:val="21"/>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环保投资占比（</w:t>
            </w:r>
            <w:r>
              <w:rPr>
                <w:rFonts w:cs="宋体"/>
                <w:szCs w:val="21"/>
              </w:rPr>
              <w:t>%</w:t>
            </w:r>
            <w:r>
              <w:rPr>
                <w:rFonts w:hint="eastAsia" w:cs="宋体"/>
                <w:szCs w:val="21"/>
              </w:rPr>
              <w:t>）</w:t>
            </w:r>
          </w:p>
        </w:tc>
        <w:tc>
          <w:tcPr>
            <w:tcW w:w="1939" w:type="dxa"/>
            <w:vAlign w:val="center"/>
          </w:tcPr>
          <w:p>
            <w:pPr>
              <w:adjustRightInd w:val="0"/>
              <w:snapToGrid w:val="0"/>
              <w:spacing w:line="240" w:lineRule="auto"/>
              <w:ind w:firstLine="0" w:firstLineChars="0"/>
              <w:jc w:val="center"/>
              <w:rPr>
                <w:rFonts w:hint="default" w:eastAsia="宋体" w:cs="宋体"/>
                <w:szCs w:val="21"/>
                <w:lang w:val="en-US" w:eastAsia="zh-CN"/>
              </w:rPr>
            </w:pPr>
            <w:r>
              <w:rPr>
                <w:rFonts w:hint="eastAsia" w:cs="宋体"/>
                <w:szCs w:val="21"/>
                <w:lang w:val="en-US" w:eastAsia="zh-CN"/>
              </w:rPr>
              <w:t>7.69%</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施工工期</w:t>
            </w:r>
          </w:p>
        </w:tc>
        <w:tc>
          <w:tcPr>
            <w:tcW w:w="2483" w:type="dxa"/>
            <w:vAlign w:val="center"/>
          </w:tcPr>
          <w:p>
            <w:pPr>
              <w:adjustRightInd w:val="0"/>
              <w:snapToGrid w:val="0"/>
              <w:spacing w:line="240" w:lineRule="auto"/>
              <w:ind w:firstLine="0" w:firstLineChars="0"/>
              <w:jc w:val="center"/>
              <w:rPr>
                <w:rFonts w:hint="eastAsia" w:eastAsia="宋体" w:cs="宋体"/>
                <w:szCs w:val="21"/>
                <w:lang w:eastAsia="zh-CN"/>
              </w:rPr>
            </w:pPr>
            <w:r>
              <w:rPr>
                <w:rFonts w:hint="eastAsia" w:cs="宋体"/>
                <w:szCs w:val="21"/>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是否开工建设</w:t>
            </w:r>
          </w:p>
        </w:tc>
        <w:tc>
          <w:tcPr>
            <w:tcW w:w="1939" w:type="dxa"/>
            <w:vAlign w:val="center"/>
          </w:tcPr>
          <w:p>
            <w:pPr>
              <w:adjustRightInd w:val="0"/>
              <w:snapToGrid w:val="0"/>
              <w:spacing w:line="240" w:lineRule="auto"/>
              <w:ind w:left="0" w:leftChars="0" w:firstLine="0" w:firstLineChars="0"/>
              <w:jc w:val="left"/>
              <w:rPr>
                <w:rFonts w:cs="宋体"/>
                <w:szCs w:val="21"/>
              </w:rPr>
            </w:pPr>
            <w:r>
              <w:rPr>
                <w:rFonts w:hint="eastAsia" w:cs="宋体"/>
                <w:szCs w:val="21"/>
              </w:rPr>
              <w:sym w:font="Wingdings 2" w:char="0052"/>
            </w:r>
            <w:r>
              <w:rPr>
                <w:rFonts w:hint="eastAsia" w:cs="宋体"/>
                <w:szCs w:val="21"/>
              </w:rPr>
              <w:t>否</w:t>
            </w:r>
          </w:p>
          <w:p>
            <w:pPr>
              <w:adjustRightInd w:val="0"/>
              <w:snapToGrid w:val="0"/>
              <w:spacing w:line="240" w:lineRule="auto"/>
              <w:ind w:firstLine="0" w:firstLineChars="0"/>
              <w:jc w:val="left"/>
              <w:rPr>
                <w:rFonts w:hint="default" w:eastAsia="宋体" w:cs="宋体"/>
                <w:spacing w:val="-6"/>
                <w:szCs w:val="21"/>
                <w:u w:val="single"/>
                <w:vertAlign w:val="baseline"/>
                <w:lang w:val="en-US" w:eastAsia="zh-CN"/>
              </w:rPr>
            </w:pPr>
            <w:r>
              <w:rPr>
                <w:rFonts w:hint="eastAsia" w:ascii="宋体" w:hAnsi="宋体" w:cs="宋体"/>
                <w:szCs w:val="21"/>
              </w:rPr>
              <w:sym w:font="Wingdings 2" w:char="00A3"/>
            </w:r>
            <w:r>
              <w:rPr>
                <w:rFonts w:hint="eastAsia" w:cs="宋体"/>
                <w:szCs w:val="21"/>
              </w:rPr>
              <w:t>是：</w:t>
            </w:r>
            <w:r>
              <w:rPr>
                <w:rFonts w:hint="eastAsia" w:cs="宋体"/>
                <w:szCs w:val="21"/>
                <w:u w:val="single"/>
                <w:lang w:val="en-US" w:eastAsia="zh-CN"/>
              </w:rPr>
              <w:t xml:space="preserve">        </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cs="宋体"/>
                <w:spacing w:val="-6"/>
                <w:szCs w:val="21"/>
              </w:rPr>
            </w:pPr>
            <w:r>
              <w:rPr>
                <w:rFonts w:hint="eastAsia" w:cs="宋体"/>
                <w:spacing w:val="-6"/>
                <w:szCs w:val="21"/>
              </w:rPr>
              <w:t>用地（用海）</w:t>
            </w:r>
          </w:p>
          <w:p>
            <w:pPr>
              <w:adjustRightInd w:val="0"/>
              <w:snapToGrid w:val="0"/>
              <w:spacing w:line="240" w:lineRule="auto"/>
              <w:ind w:firstLine="0" w:firstLineChars="0"/>
              <w:jc w:val="center"/>
              <w:rPr>
                <w:rFonts w:cs="宋体"/>
                <w:szCs w:val="21"/>
              </w:rPr>
            </w:pPr>
            <w:r>
              <w:rPr>
                <w:rFonts w:hint="eastAsia" w:cs="宋体"/>
                <w:spacing w:val="-6"/>
                <w:szCs w:val="21"/>
              </w:rPr>
              <w:t>面积（</w:t>
            </w:r>
            <w:r>
              <w:rPr>
                <w:rFonts w:cs="宋体"/>
                <w:spacing w:val="-6"/>
                <w:szCs w:val="21"/>
              </w:rPr>
              <w:t>m</w:t>
            </w:r>
            <w:r>
              <w:rPr>
                <w:rFonts w:cs="宋体"/>
                <w:spacing w:val="-6"/>
                <w:szCs w:val="21"/>
                <w:vertAlign w:val="superscript"/>
              </w:rPr>
              <w:t>2</w:t>
            </w:r>
            <w:r>
              <w:rPr>
                <w:rFonts w:hint="eastAsia" w:cs="宋体"/>
                <w:spacing w:val="-6"/>
                <w:szCs w:val="21"/>
              </w:rPr>
              <w:t>）</w:t>
            </w:r>
          </w:p>
        </w:tc>
        <w:tc>
          <w:tcPr>
            <w:tcW w:w="2483" w:type="dxa"/>
            <w:vAlign w:val="center"/>
          </w:tcPr>
          <w:p>
            <w:pPr>
              <w:adjustRightInd w:val="0"/>
              <w:snapToGrid w:val="0"/>
              <w:spacing w:line="240" w:lineRule="auto"/>
              <w:ind w:firstLine="0" w:firstLineChars="0"/>
              <w:jc w:val="center"/>
              <w:rPr>
                <w:rFonts w:hint="eastAsia"/>
                <w:lang w:val="en-US" w:eastAsia="zh-CN"/>
              </w:rPr>
            </w:pPr>
            <w:r>
              <w:rPr>
                <w:rFonts w:hint="eastAsia"/>
                <w:lang w:val="en-US" w:eastAsia="zh-CN"/>
              </w:rPr>
              <w:t>已建面积：3600</w:t>
            </w:r>
            <w:r>
              <w:rPr>
                <w:rFonts w:cs="宋体"/>
                <w:spacing w:val="-6"/>
                <w:szCs w:val="21"/>
              </w:rPr>
              <w:t>m</w:t>
            </w:r>
            <w:r>
              <w:rPr>
                <w:rFonts w:cs="宋体"/>
                <w:spacing w:val="-6"/>
                <w:szCs w:val="21"/>
                <w:vertAlign w:val="superscript"/>
              </w:rPr>
              <w:t>2</w:t>
            </w:r>
          </w:p>
          <w:p>
            <w:pPr>
              <w:pStyle w:val="17"/>
              <w:ind w:left="0" w:leftChars="0" w:firstLine="0" w:firstLineChars="0"/>
              <w:jc w:val="center"/>
              <w:rPr>
                <w:rFonts w:hint="default"/>
                <w:lang w:val="en-US" w:eastAsia="zh-CN"/>
              </w:rPr>
            </w:pPr>
            <w:r>
              <w:rPr>
                <w:rFonts w:hint="eastAsia"/>
                <w:lang w:val="en-US" w:eastAsia="zh-CN"/>
              </w:rPr>
              <w:t>新增面积：0</w:t>
            </w:r>
            <w:r>
              <w:rPr>
                <w:rFonts w:cs="宋体"/>
                <w:spacing w:val="-6"/>
                <w:szCs w:val="21"/>
              </w:rPr>
              <w:t>m</w:t>
            </w:r>
            <w:r>
              <w:rPr>
                <w:rFonts w:cs="宋体"/>
                <w:spacing w:val="-6"/>
                <w:szCs w:val="21"/>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080" w:type="dxa"/>
            <w:vAlign w:val="center"/>
          </w:tcPr>
          <w:p>
            <w:pPr>
              <w:autoSpaceDE w:val="0"/>
              <w:autoSpaceDN w:val="0"/>
              <w:adjustRightInd w:val="0"/>
              <w:snapToGrid w:val="0"/>
              <w:ind w:firstLine="0" w:firstLineChars="0"/>
              <w:jc w:val="center"/>
              <w:rPr>
                <w:rFonts w:cs="宋体"/>
                <w:kern w:val="0"/>
                <w:szCs w:val="21"/>
              </w:rPr>
            </w:pPr>
            <w:r>
              <w:rPr>
                <w:rFonts w:hint="eastAsia" w:cs="宋体"/>
                <w:kern w:val="0"/>
                <w:szCs w:val="21"/>
              </w:rPr>
              <w:t>专项评价设置情况</w:t>
            </w:r>
          </w:p>
        </w:tc>
        <w:tc>
          <w:tcPr>
            <w:tcW w:w="6634" w:type="dxa"/>
            <w:gridSpan w:val="3"/>
            <w:vAlign w:val="center"/>
          </w:tcPr>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Theme="minorEastAsia" w:hAnsiTheme="minorEastAsia" w:eastAsiaTheme="minorEastAsia" w:cstheme="minorEastAsia"/>
                <w:sz w:val="21"/>
                <w:szCs w:val="21"/>
              </w:rPr>
              <w:t>表</w:t>
            </w:r>
            <w:r>
              <w:rPr>
                <w:rFonts w:hint="default" w:ascii="Times New Roman" w:hAnsi="Times New Roman" w:cs="Times New Roman" w:eastAsiaTheme="minorEastAsia"/>
                <w:sz w:val="21"/>
                <w:szCs w:val="21"/>
              </w:rPr>
              <w:t>1</w:t>
            </w:r>
            <w:r>
              <w:rPr>
                <w:rFonts w:hint="eastAsia" w:asciiTheme="minorEastAsia" w:hAnsiTheme="minorEastAsia" w:eastAsiaTheme="minorEastAsia" w:cstheme="minorEastAsia"/>
                <w:sz w:val="21"/>
                <w:szCs w:val="21"/>
              </w:rPr>
              <w:t xml:space="preserve">  专项评价设置一览表</w:t>
            </w:r>
          </w:p>
          <w:tbl>
            <w:tblPr>
              <w:tblStyle w:val="18"/>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4200"/>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 w:hRule="atLeast"/>
              </w:trPr>
              <w:tc>
                <w:tcPr>
                  <w:tcW w:w="8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专项评价的类别</w:t>
                  </w:r>
                </w:p>
              </w:tc>
              <w:tc>
                <w:tcPr>
                  <w:tcW w:w="32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设置原则</w:t>
                  </w:r>
                </w:p>
              </w:tc>
              <w:tc>
                <w:tcPr>
                  <w:tcW w:w="86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设置情况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 w:hRule="atLeast"/>
              </w:trPr>
              <w:tc>
                <w:tcPr>
                  <w:tcW w:w="859" w:type="pct"/>
                  <w:tcBorders>
                    <w:tl2br w:val="nil"/>
                    <w:tr2bl w:val="nil"/>
                  </w:tcBorders>
                  <w:vAlign w:val="center"/>
                </w:tcPr>
                <w:p>
                  <w:pPr>
                    <w:spacing w:line="240" w:lineRule="auto"/>
                    <w:ind w:firstLine="0" w:firstLineChars="0"/>
                    <w:jc w:val="center"/>
                    <w:rPr>
                      <w:sz w:val="21"/>
                      <w:szCs w:val="21"/>
                    </w:rPr>
                  </w:pPr>
                  <w:r>
                    <w:rPr>
                      <w:sz w:val="21"/>
                      <w:szCs w:val="21"/>
                    </w:rPr>
                    <w:t>大气</w:t>
                  </w:r>
                </w:p>
              </w:tc>
              <w:tc>
                <w:tcPr>
                  <w:tcW w:w="3277" w:type="pct"/>
                  <w:tcBorders>
                    <w:tl2br w:val="nil"/>
                    <w:tr2bl w:val="nil"/>
                  </w:tcBorders>
                  <w:vAlign w:val="center"/>
                </w:tcPr>
                <w:p>
                  <w:pPr>
                    <w:spacing w:line="240" w:lineRule="auto"/>
                    <w:ind w:firstLine="0" w:firstLineChars="0"/>
                    <w:rPr>
                      <w:sz w:val="21"/>
                      <w:szCs w:val="21"/>
                    </w:rPr>
                  </w:pPr>
                  <w:r>
                    <w:rPr>
                      <w:sz w:val="21"/>
                      <w:szCs w:val="21"/>
                    </w:rPr>
                    <w:t>排放废气含有毒有害污染物、二噁英、苯并[a]芘、氰化物、氯气且厂界外500</w:t>
                  </w:r>
                  <w:r>
                    <w:rPr>
                      <w:rFonts w:hint="eastAsia"/>
                      <w:sz w:val="21"/>
                      <w:szCs w:val="21"/>
                      <w:lang w:val="en-US" w:eastAsia="zh-CN"/>
                    </w:rPr>
                    <w:t>m</w:t>
                  </w:r>
                  <w:r>
                    <w:rPr>
                      <w:sz w:val="21"/>
                      <w:szCs w:val="21"/>
                    </w:rPr>
                    <w:t>范围内</w:t>
                  </w:r>
                  <w:r>
                    <w:rPr>
                      <w:rFonts w:hint="eastAsia"/>
                      <w:sz w:val="21"/>
                      <w:szCs w:val="21"/>
                      <w:lang w:eastAsia="zh-CN"/>
                    </w:rPr>
                    <w:t>无</w:t>
                  </w:r>
                  <w:r>
                    <w:rPr>
                      <w:sz w:val="21"/>
                      <w:szCs w:val="21"/>
                    </w:rPr>
                    <w:t>环境空气保护目标的建设项目</w:t>
                  </w:r>
                </w:p>
              </w:tc>
              <w:tc>
                <w:tcPr>
                  <w:tcW w:w="863" w:type="pct"/>
                  <w:tcBorders>
                    <w:tl2br w:val="nil"/>
                    <w:tr2bl w:val="nil"/>
                  </w:tcBorders>
                  <w:vAlign w:val="center"/>
                </w:tcPr>
                <w:p>
                  <w:pPr>
                    <w:spacing w:line="240" w:lineRule="auto"/>
                    <w:ind w:firstLine="0" w:firstLineChars="0"/>
                    <w:jc w:val="center"/>
                    <w:rPr>
                      <w:sz w:val="21"/>
                      <w:szCs w:val="21"/>
                    </w:rPr>
                  </w:pPr>
                  <w:r>
                    <w:rPr>
                      <w:rFonts w:hint="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 w:hRule="atLeast"/>
              </w:trPr>
              <w:tc>
                <w:tcPr>
                  <w:tcW w:w="859" w:type="pct"/>
                  <w:tcBorders>
                    <w:tl2br w:val="nil"/>
                    <w:tr2bl w:val="nil"/>
                  </w:tcBorders>
                  <w:vAlign w:val="center"/>
                </w:tcPr>
                <w:p>
                  <w:pPr>
                    <w:spacing w:line="240" w:lineRule="auto"/>
                    <w:ind w:firstLine="0" w:firstLineChars="0"/>
                    <w:jc w:val="center"/>
                    <w:rPr>
                      <w:sz w:val="21"/>
                      <w:szCs w:val="21"/>
                    </w:rPr>
                  </w:pPr>
                  <w:r>
                    <w:rPr>
                      <w:sz w:val="21"/>
                      <w:szCs w:val="21"/>
                    </w:rPr>
                    <w:t>地</w:t>
                  </w:r>
                  <w:r>
                    <w:rPr>
                      <w:rFonts w:hint="eastAsia"/>
                      <w:sz w:val="21"/>
                      <w:szCs w:val="21"/>
                    </w:rPr>
                    <w:t>表</w:t>
                  </w:r>
                  <w:r>
                    <w:rPr>
                      <w:sz w:val="21"/>
                      <w:szCs w:val="21"/>
                    </w:rPr>
                    <w:t>水</w:t>
                  </w:r>
                </w:p>
              </w:tc>
              <w:tc>
                <w:tcPr>
                  <w:tcW w:w="3277" w:type="pct"/>
                  <w:tcBorders>
                    <w:tl2br w:val="nil"/>
                    <w:tr2bl w:val="nil"/>
                  </w:tcBorders>
                  <w:vAlign w:val="center"/>
                </w:tcPr>
                <w:p>
                  <w:pPr>
                    <w:spacing w:line="240" w:lineRule="auto"/>
                    <w:ind w:firstLine="0" w:firstLineChars="0"/>
                    <w:rPr>
                      <w:sz w:val="21"/>
                      <w:szCs w:val="21"/>
                    </w:rPr>
                  </w:pPr>
                  <w:r>
                    <w:rPr>
                      <w:sz w:val="21"/>
                      <w:szCs w:val="21"/>
                    </w:rPr>
                    <w:t>新增工业废水直排建设项目（槽罐车外送污水处理厂的除外）；新增废水直排的污水集中处理厂</w:t>
                  </w:r>
                </w:p>
              </w:tc>
              <w:tc>
                <w:tcPr>
                  <w:tcW w:w="863" w:type="pct"/>
                  <w:tcBorders>
                    <w:tl2br w:val="nil"/>
                    <w:tr2bl w:val="nil"/>
                  </w:tcBorders>
                  <w:vAlign w:val="center"/>
                </w:tcPr>
                <w:p>
                  <w:pPr>
                    <w:spacing w:line="240" w:lineRule="auto"/>
                    <w:ind w:firstLine="0" w:firstLineChars="0"/>
                    <w:jc w:val="center"/>
                    <w:rPr>
                      <w:sz w:val="21"/>
                      <w:szCs w:val="21"/>
                    </w:rPr>
                  </w:pPr>
                  <w:r>
                    <w:rPr>
                      <w:rFonts w:hint="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 w:hRule="atLeast"/>
              </w:trPr>
              <w:tc>
                <w:tcPr>
                  <w:tcW w:w="859" w:type="pct"/>
                  <w:tcBorders>
                    <w:tl2br w:val="nil"/>
                    <w:tr2bl w:val="nil"/>
                  </w:tcBorders>
                  <w:vAlign w:val="center"/>
                </w:tcPr>
                <w:p>
                  <w:pPr>
                    <w:spacing w:line="240" w:lineRule="auto"/>
                    <w:ind w:firstLine="0" w:firstLineChars="0"/>
                    <w:jc w:val="center"/>
                    <w:rPr>
                      <w:sz w:val="21"/>
                      <w:szCs w:val="21"/>
                    </w:rPr>
                  </w:pPr>
                  <w:r>
                    <w:rPr>
                      <w:sz w:val="21"/>
                      <w:szCs w:val="21"/>
                    </w:rPr>
                    <w:t>环境风险</w:t>
                  </w:r>
                </w:p>
              </w:tc>
              <w:tc>
                <w:tcPr>
                  <w:tcW w:w="3277" w:type="pct"/>
                  <w:tcBorders>
                    <w:tl2br w:val="nil"/>
                    <w:tr2bl w:val="nil"/>
                  </w:tcBorders>
                  <w:vAlign w:val="center"/>
                </w:tcPr>
                <w:p>
                  <w:pPr>
                    <w:spacing w:line="240" w:lineRule="auto"/>
                    <w:ind w:firstLine="0" w:firstLineChars="0"/>
                    <w:rPr>
                      <w:sz w:val="21"/>
                      <w:szCs w:val="21"/>
                    </w:rPr>
                  </w:pPr>
                  <w:r>
                    <w:rPr>
                      <w:sz w:val="21"/>
                      <w:szCs w:val="21"/>
                    </w:rPr>
                    <w:t>有毒有害和易燃易爆危险物质存储量超过临界量的建设项目</w:t>
                  </w:r>
                </w:p>
              </w:tc>
              <w:tc>
                <w:tcPr>
                  <w:tcW w:w="863" w:type="pct"/>
                  <w:tcBorders>
                    <w:tl2br w:val="nil"/>
                    <w:tr2bl w:val="nil"/>
                  </w:tcBorders>
                  <w:vAlign w:val="center"/>
                </w:tcPr>
                <w:p>
                  <w:pPr>
                    <w:spacing w:line="240" w:lineRule="auto"/>
                    <w:ind w:firstLine="0" w:firstLineChars="0"/>
                    <w:jc w:val="center"/>
                    <w:rPr>
                      <w:sz w:val="21"/>
                      <w:szCs w:val="21"/>
                    </w:rPr>
                  </w:pPr>
                  <w:r>
                    <w:rPr>
                      <w:rFonts w:hint="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 w:hRule="atLeast"/>
              </w:trPr>
              <w:tc>
                <w:tcPr>
                  <w:tcW w:w="859" w:type="pct"/>
                  <w:tcBorders>
                    <w:tl2br w:val="nil"/>
                    <w:tr2bl w:val="nil"/>
                  </w:tcBorders>
                  <w:vAlign w:val="center"/>
                </w:tcPr>
                <w:p>
                  <w:pPr>
                    <w:spacing w:line="240" w:lineRule="auto"/>
                    <w:ind w:firstLine="0" w:firstLineChars="0"/>
                    <w:jc w:val="center"/>
                    <w:rPr>
                      <w:sz w:val="21"/>
                      <w:szCs w:val="21"/>
                    </w:rPr>
                  </w:pPr>
                  <w:r>
                    <w:rPr>
                      <w:sz w:val="21"/>
                      <w:szCs w:val="21"/>
                    </w:rPr>
                    <w:t>生态</w:t>
                  </w:r>
                </w:p>
              </w:tc>
              <w:tc>
                <w:tcPr>
                  <w:tcW w:w="3277" w:type="pct"/>
                  <w:tcBorders>
                    <w:tl2br w:val="nil"/>
                    <w:tr2bl w:val="nil"/>
                  </w:tcBorders>
                  <w:vAlign w:val="center"/>
                </w:tcPr>
                <w:p>
                  <w:pPr>
                    <w:spacing w:line="240" w:lineRule="auto"/>
                    <w:ind w:firstLine="0" w:firstLineChars="0"/>
                    <w:rPr>
                      <w:sz w:val="21"/>
                      <w:szCs w:val="21"/>
                    </w:rPr>
                  </w:pPr>
                  <w:r>
                    <w:rPr>
                      <w:sz w:val="21"/>
                      <w:szCs w:val="21"/>
                    </w:rPr>
                    <w:t>取水口下游500</w:t>
                  </w:r>
                  <w:r>
                    <w:rPr>
                      <w:rFonts w:hint="eastAsia"/>
                      <w:sz w:val="21"/>
                      <w:szCs w:val="21"/>
                      <w:lang w:val="en-US" w:eastAsia="zh-CN"/>
                    </w:rPr>
                    <w:t>m</w:t>
                  </w:r>
                  <w:r>
                    <w:rPr>
                      <w:sz w:val="21"/>
                      <w:szCs w:val="21"/>
                    </w:rPr>
                    <w:t>范围内有重要水生生物的自然产卵场、索饵场、越冬场和洄游通道的新增河道取水的污染类建设项目</w:t>
                  </w:r>
                </w:p>
              </w:tc>
              <w:tc>
                <w:tcPr>
                  <w:tcW w:w="863" w:type="pct"/>
                  <w:tcBorders>
                    <w:tl2br w:val="nil"/>
                    <w:tr2bl w:val="nil"/>
                  </w:tcBorders>
                  <w:vAlign w:val="center"/>
                </w:tcPr>
                <w:p>
                  <w:pPr>
                    <w:spacing w:line="240" w:lineRule="auto"/>
                    <w:ind w:firstLine="0" w:firstLineChars="0"/>
                    <w:jc w:val="center"/>
                    <w:rPr>
                      <w:sz w:val="21"/>
                      <w:szCs w:val="21"/>
                    </w:rPr>
                  </w:pPr>
                  <w:r>
                    <w:rPr>
                      <w:rFonts w:hint="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 w:hRule="atLeast"/>
              </w:trPr>
              <w:tc>
                <w:tcPr>
                  <w:tcW w:w="859" w:type="pct"/>
                  <w:tcBorders>
                    <w:tl2br w:val="nil"/>
                    <w:tr2bl w:val="nil"/>
                  </w:tcBorders>
                  <w:vAlign w:val="center"/>
                </w:tcPr>
                <w:p>
                  <w:pPr>
                    <w:spacing w:line="240" w:lineRule="auto"/>
                    <w:ind w:firstLine="0" w:firstLineChars="0"/>
                    <w:jc w:val="center"/>
                    <w:rPr>
                      <w:sz w:val="21"/>
                      <w:szCs w:val="21"/>
                    </w:rPr>
                  </w:pPr>
                  <w:r>
                    <w:rPr>
                      <w:sz w:val="21"/>
                      <w:szCs w:val="21"/>
                    </w:rPr>
                    <w:t>海洋</w:t>
                  </w:r>
                </w:p>
              </w:tc>
              <w:tc>
                <w:tcPr>
                  <w:tcW w:w="3277" w:type="pct"/>
                  <w:tcBorders>
                    <w:tl2br w:val="nil"/>
                    <w:tr2bl w:val="nil"/>
                  </w:tcBorders>
                  <w:vAlign w:val="center"/>
                </w:tcPr>
                <w:p>
                  <w:pPr>
                    <w:spacing w:line="240" w:lineRule="auto"/>
                    <w:ind w:firstLine="0" w:firstLineChars="0"/>
                    <w:rPr>
                      <w:sz w:val="21"/>
                      <w:szCs w:val="21"/>
                    </w:rPr>
                  </w:pPr>
                  <w:r>
                    <w:rPr>
                      <w:sz w:val="21"/>
                      <w:szCs w:val="21"/>
                    </w:rPr>
                    <w:t>直接向海排放污染物的海洋工程建设项目</w:t>
                  </w:r>
                </w:p>
              </w:tc>
              <w:tc>
                <w:tcPr>
                  <w:tcW w:w="863" w:type="pct"/>
                  <w:tcBorders>
                    <w:tl2br w:val="nil"/>
                    <w:tr2bl w:val="nil"/>
                  </w:tcBorders>
                  <w:vAlign w:val="center"/>
                </w:tcPr>
                <w:p>
                  <w:pPr>
                    <w:spacing w:line="240" w:lineRule="auto"/>
                    <w:ind w:firstLine="0" w:firstLineChars="0"/>
                    <w:jc w:val="center"/>
                    <w:rPr>
                      <w:sz w:val="21"/>
                      <w:szCs w:val="21"/>
                    </w:rPr>
                  </w:pPr>
                  <w:r>
                    <w:rPr>
                      <w:rFonts w:hint="eastAsia"/>
                      <w:sz w:val="21"/>
                      <w:szCs w:val="21"/>
                    </w:rPr>
                    <w:t>无</w:t>
                  </w:r>
                </w:p>
              </w:tc>
            </w:tr>
          </w:tbl>
          <w:p>
            <w:pPr>
              <w:autoSpaceDE w:val="0"/>
              <w:autoSpaceDN w:val="0"/>
              <w:adjustRightInd w:val="0"/>
              <w:snapToGrid w:val="0"/>
              <w:ind w:firstLine="0" w:firstLineChars="0"/>
              <w:jc w:val="center"/>
              <w:rPr>
                <w:rFonts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080" w:type="dxa"/>
            <w:vAlign w:val="center"/>
          </w:tcPr>
          <w:p>
            <w:pPr>
              <w:autoSpaceDE w:val="0"/>
              <w:autoSpaceDN w:val="0"/>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szCs w:val="21"/>
                <w14:textFill>
                  <w14:solidFill>
                    <w14:schemeClr w14:val="tx1"/>
                  </w14:solidFill>
                </w14:textFill>
              </w:rPr>
              <w:t>规划情况</w:t>
            </w:r>
          </w:p>
        </w:tc>
        <w:tc>
          <w:tcPr>
            <w:tcW w:w="6634" w:type="dxa"/>
            <w:gridSpan w:val="3"/>
            <w:vAlign w:val="center"/>
          </w:tcPr>
          <w:p>
            <w:pPr>
              <w:keepNext w:val="0"/>
              <w:keepLines w:val="0"/>
              <w:pageBreakBefore w:val="0"/>
              <w:widowControl w:val="0"/>
              <w:kinsoku/>
              <w:wordWrap/>
              <w:overflowPunct/>
              <w:topLinePunct w:val="0"/>
              <w:autoSpaceDE/>
              <w:autoSpaceDN/>
              <w:bidi w:val="0"/>
              <w:adjustRightInd/>
              <w:snapToGrid w:val="0"/>
              <w:ind w:firstLine="48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规划文件名称：《昌吉高新技术产业开发区总体规划（2014-2030年）》</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根据规划，昌吉高新技术产业开发区规划建设用地总面积5</w:t>
            </w:r>
            <w:r>
              <w:rPr>
                <w:rFonts w:hint="eastAsia"/>
                <w:color w:val="000000" w:themeColor="text1"/>
                <w:lang w:val="en-US" w:eastAsia="zh-CN"/>
                <w14:textFill>
                  <w14:solidFill>
                    <w14:schemeClr w14:val="tx1"/>
                  </w14:solidFill>
                </w14:textFill>
              </w:rPr>
              <w:t>1.00k</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2</w:t>
            </w:r>
            <w:r>
              <w:rPr>
                <w:rFonts w:hint="eastAsia"/>
                <w:color w:val="000000" w:themeColor="text1"/>
                <w14:textFill>
                  <w14:solidFill>
                    <w14:schemeClr w14:val="tx1"/>
                  </w14:solidFill>
                </w14:textFill>
              </w:rPr>
              <w:t>。东到榆树沟镇行政边界，西到呼图壁边界，南到创新大道和乌奎高速路，北到S201省道和科兴路。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080" w:type="dxa"/>
            <w:vAlign w:val="center"/>
          </w:tcPr>
          <w:p>
            <w:pPr>
              <w:adjustRightInd w:val="0"/>
              <w:snapToGrid w:val="0"/>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规划环境影响</w:t>
            </w:r>
          </w:p>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szCs w:val="21"/>
                <w14:textFill>
                  <w14:solidFill>
                    <w14:schemeClr w14:val="tx1"/>
                  </w14:solidFill>
                </w14:textFill>
              </w:rPr>
              <w:t>评价情况</w:t>
            </w:r>
          </w:p>
        </w:tc>
        <w:tc>
          <w:tcPr>
            <w:tcW w:w="6634" w:type="dxa"/>
            <w:gridSpan w:val="3"/>
            <w:vAlign w:val="center"/>
          </w:tcPr>
          <w:p>
            <w:pPr>
              <w:keepNext w:val="0"/>
              <w:keepLines w:val="0"/>
              <w:pageBreakBefore w:val="0"/>
              <w:widowControl w:val="0"/>
              <w:kinsoku/>
              <w:wordWrap/>
              <w:overflowPunct/>
              <w:topLinePunct w:val="0"/>
              <w:autoSpaceDE/>
              <w:autoSpaceDN/>
              <w:bidi w:val="0"/>
              <w:adjustRightInd/>
              <w:snapToGrid w:val="0"/>
              <w:ind w:firstLine="48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规划环境影响评价文件名称：《昌吉高新技术产业开发区总体规划（2014-2030）环境影响报告书》</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召集审查机关：新疆维吾尔自治区环境保护厅</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审查文件名称及文号：《新疆维吾尔自治区环境保护厅关于昌吉高新技术产业开发区总体规划（2014-2030）环境影响报告书的审查意见》（新环函[2015]306号）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080" w:type="dxa"/>
            <w:vAlign w:val="center"/>
          </w:tcPr>
          <w:p>
            <w:pPr>
              <w:autoSpaceDE w:val="0"/>
              <w:autoSpaceDN w:val="0"/>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规划及规划环境</w:t>
            </w:r>
          </w:p>
          <w:p>
            <w:pPr>
              <w:autoSpaceDE w:val="0"/>
              <w:autoSpaceDN w:val="0"/>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影响评价符合性分析</w:t>
            </w:r>
          </w:p>
        </w:tc>
        <w:tc>
          <w:tcPr>
            <w:tcW w:w="6634" w:type="dxa"/>
            <w:gridSpan w:val="3"/>
            <w:vAlign w:val="center"/>
          </w:tcPr>
          <w:p>
            <w:pPr>
              <w:keepNext w:val="0"/>
              <w:keepLines w:val="0"/>
              <w:pageBreakBefore w:val="0"/>
              <w:widowControl w:val="0"/>
              <w:kinsoku/>
              <w:wordWrap/>
              <w:overflowPunct/>
              <w:topLinePunct w:val="0"/>
              <w:autoSpaceDE/>
              <w:autoSpaceDN/>
              <w:bidi w:val="0"/>
              <w:adjustRightInd/>
              <w:snapToGrid w:val="0"/>
              <w:ind w:firstLine="48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根据《昌吉高新技术产业开发区总体规划（2014-2030年）》，昌吉高新技术产业开发区规划建设用地总面积5</w:t>
            </w:r>
            <w:r>
              <w:rPr>
                <w:rFonts w:hint="eastAsia"/>
                <w:color w:val="000000" w:themeColor="text1"/>
                <w:lang w:val="en-US" w:eastAsia="zh-CN"/>
                <w14:textFill>
                  <w14:solidFill>
                    <w14:schemeClr w14:val="tx1"/>
                  </w14:solidFill>
                </w14:textFill>
              </w:rPr>
              <w:t>1.00k</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2</w:t>
            </w:r>
            <w:r>
              <w:rPr>
                <w:rFonts w:hint="eastAsia"/>
                <w:color w:val="000000" w:themeColor="text1"/>
                <w14:textFill>
                  <w14:solidFill>
                    <w14:schemeClr w14:val="tx1"/>
                  </w14:solidFill>
                </w14:textFill>
              </w:rPr>
              <w:t>，东到榆树沟镇行政边界，西到呼图壁边界，南到创新大道和乌奎高速路，北到S201省道和科兴路。本项目位于昌吉高新技术产业开发区总体规划（2014-2030年）所划定的范围内，土地属于昌吉高新技术产业开发区现规划的工业用地。</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园区发展定位：以装备制造业、新材料产业、生物科技和食品产业为主，配套现代服务业，将园区打造成</w:t>
            </w:r>
            <w:r>
              <w:rPr>
                <w:rFonts w:hint="eastAsia"/>
                <w:color w:val="000000" w:themeColor="text1"/>
                <w:lang w:eastAsia="zh-CN"/>
                <w14:textFill>
                  <w14:solidFill>
                    <w14:schemeClr w14:val="tx1"/>
                  </w14:solidFill>
                </w14:textFill>
              </w:rPr>
              <w:t>为</w:t>
            </w:r>
            <w:r>
              <w:rPr>
                <w:rFonts w:hint="eastAsia"/>
                <w:color w:val="000000" w:themeColor="text1"/>
                <w14:textFill>
                  <w14:solidFill>
                    <w14:schemeClr w14:val="tx1"/>
                  </w14:solidFill>
                </w14:textFill>
              </w:rPr>
              <w:t>全区重要先进制造业基地，昌吉州生产性服务业创新中心。园区划分为精细化工、工程机械装备制造业、综合产业园（管理服务、装备制造、建材加工）、新材料产业园（新型建材、节能环保材料）等分区。本项目生产的</w:t>
            </w:r>
            <w:r>
              <w:rPr>
                <w:rFonts w:hint="eastAsia"/>
                <w:color w:val="000000" w:themeColor="text1"/>
                <w:lang w:eastAsia="zh-CN"/>
                <w14:textFill>
                  <w14:solidFill>
                    <w14:schemeClr w14:val="tx1"/>
                  </w14:solidFill>
                </w14:textFill>
              </w:rPr>
              <w:t>聚氨酯封边岩棉夹芯板</w:t>
            </w:r>
            <w:r>
              <w:rPr>
                <w:rFonts w:hint="eastAsia"/>
                <w:color w:val="000000" w:themeColor="text1"/>
                <w14:textFill>
                  <w14:solidFill>
                    <w14:schemeClr w14:val="tx1"/>
                  </w14:solidFill>
                </w14:textFill>
              </w:rPr>
              <w:t>是节能环保建筑材料，产品具有保温、节能、美观、轻便，能够回收利用的特点，本项目符合昌吉高新技术产业开发区新材料产业园的节能环保材料的相关要求，项目在园区产业规划图中的位置见附图1</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项目在园区功能规划中的位置见附图2。</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根据《昌吉高新技术产业开发区总体规划（2014-2030年）》土地利用现状图（2013年），项目所在位置的土地性质为工业用地，项目的建设符合用地规定要求，项目土地利用在园区规划中的位置见附图</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color w:val="000000" w:themeColor="text1"/>
                <w14:textFill>
                  <w14:solidFill>
                    <w14:schemeClr w14:val="tx1"/>
                  </w14:solidFill>
                </w14:textFill>
              </w:rPr>
            </w:pPr>
            <w:r>
              <w:rPr>
                <w:rFonts w:hint="eastAsia"/>
                <w:color w:val="000000" w:themeColor="text1"/>
                <w:highlight w:val="none"/>
                <w14:textFill>
                  <w14:solidFill>
                    <w14:schemeClr w14:val="tx1"/>
                  </w14:solidFill>
                </w14:textFill>
              </w:rPr>
              <w:t>本项目用地，符合昌吉高新技术产业开发区土地利用规划，符合昌吉高新技术产业开发区产业定位、产业布局和用地规划。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0" w:type="dxa"/>
            <w:vAlign w:val="center"/>
          </w:tcPr>
          <w:p>
            <w:pPr>
              <w:autoSpaceDE w:val="0"/>
              <w:autoSpaceDN w:val="0"/>
              <w:adjustRightInd w:val="0"/>
              <w:snapToGrid w:val="0"/>
              <w:ind w:firstLine="0" w:firstLineChars="0"/>
              <w:jc w:val="center"/>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其他符合性分析</w:t>
            </w:r>
          </w:p>
        </w:tc>
        <w:tc>
          <w:tcPr>
            <w:tcW w:w="6634" w:type="dxa"/>
            <w:gridSpan w:val="3"/>
            <w:vAlign w:val="center"/>
          </w:tcPr>
          <w:p>
            <w:pPr>
              <w:pStyle w:val="3"/>
              <w:pageBreakBefore w:val="0"/>
              <w:kinsoku/>
              <w:wordWrap/>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“三线一单”的符合性分析</w:t>
            </w:r>
          </w:p>
          <w:p>
            <w:pPr>
              <w:pStyle w:val="4"/>
              <w:pageBreakBefore w:val="0"/>
              <w:kinsoku/>
              <w:wordWrap/>
              <w:topLinePunct w:val="0"/>
              <w:autoSpaceDE/>
              <w:autoSpaceDN/>
              <w:bidi w:val="0"/>
              <w:adjustRightInd/>
              <w:snapToGrid w:val="0"/>
              <w:spacing w:before="0" w:after="0"/>
              <w:jc w:val="left"/>
              <w:textAlignment w:val="auto"/>
            </w:pPr>
            <w:r>
              <w:rPr>
                <w:rFonts w:hint="eastAsia"/>
              </w:rPr>
              <w:t>1.1.1与《新疆维吾尔自治区“三线一单”生态环境分区管控方案》的符合性分析</w:t>
            </w:r>
          </w:p>
          <w:p>
            <w:pPr>
              <w:pageBreakBefore w:val="0"/>
              <w:kinsoku/>
              <w:wordWrap/>
              <w:topLinePunct w:val="0"/>
              <w:autoSpaceDE/>
              <w:autoSpaceDN/>
              <w:bidi w:val="0"/>
              <w:adjustRightInd/>
              <w:snapToGrid w:val="0"/>
              <w:ind w:firstLine="480"/>
              <w:jc w:val="left"/>
              <w:textAlignment w:val="auto"/>
            </w:pPr>
            <w:r>
              <w:rPr>
                <w:rFonts w:hint="eastAsia"/>
              </w:rPr>
              <w:t>根据《关于印发&lt;新疆维吾尔自治区“三线一单”生态环境分区管控方案&gt;的通知》（新政发[2021]18号），其主要</w:t>
            </w:r>
            <w:r>
              <w:rPr>
                <w:rFonts w:hint="eastAsia"/>
                <w:lang w:eastAsia="zh-CN"/>
              </w:rPr>
              <w:t>目标</w:t>
            </w:r>
            <w:r>
              <w:rPr>
                <w:rFonts w:hint="eastAsia"/>
              </w:rPr>
              <w:t>如下：</w:t>
            </w:r>
          </w:p>
          <w:p>
            <w:pPr>
              <w:pageBreakBefore w:val="0"/>
              <w:kinsoku/>
              <w:wordWrap/>
              <w:topLinePunct w:val="0"/>
              <w:autoSpaceDE/>
              <w:autoSpaceDN/>
              <w:bidi w:val="0"/>
              <w:adjustRightInd/>
              <w:snapToGrid w:val="0"/>
              <w:ind w:firstLine="480"/>
              <w:jc w:val="left"/>
              <w:textAlignment w:val="auto"/>
            </w:pPr>
            <w:r>
              <w:rPr>
                <w:rFonts w:hint="eastAsia"/>
              </w:rPr>
              <w:t>——到2025年，全区生态环境质量总体改善，环境风险得到有效管控。建立较为完善的生态环境分区管控体系与数据信息应用机制和共享系统，生态环境治理体系和治理能力现代化取得显著进展。</w:t>
            </w:r>
          </w:p>
          <w:p>
            <w:pPr>
              <w:pageBreakBefore w:val="0"/>
              <w:kinsoku/>
              <w:wordWrap/>
              <w:topLinePunct w:val="0"/>
              <w:autoSpaceDE/>
              <w:autoSpaceDN/>
              <w:bidi w:val="0"/>
              <w:adjustRightInd/>
              <w:snapToGrid w:val="0"/>
              <w:ind w:firstLine="480"/>
              <w:jc w:val="left"/>
              <w:textAlignment w:val="auto"/>
            </w:pPr>
            <w:r>
              <w:rPr>
                <w:rFonts w:hint="eastAsia"/>
              </w:rPr>
              <w:t>——生态保护红线。按照“生态功能不降低、面积不减少、性质不改变”的基本要求，对划定的生态保护红线实施严格管控，保障和维护国家生态安全的底线和生命线。</w:t>
            </w:r>
          </w:p>
          <w:p>
            <w:pPr>
              <w:pageBreakBefore w:val="0"/>
              <w:kinsoku/>
              <w:wordWrap/>
              <w:topLinePunct w:val="0"/>
              <w:autoSpaceDE/>
              <w:autoSpaceDN/>
              <w:bidi w:val="0"/>
              <w:adjustRightInd/>
              <w:snapToGrid w:val="0"/>
              <w:ind w:firstLine="480"/>
              <w:jc w:val="left"/>
              <w:textAlignment w:val="auto"/>
            </w:pPr>
            <w:r>
              <w:rPr>
                <w:rFonts w:hint="eastAsia"/>
              </w:rPr>
              <w:t>本项目位于</w:t>
            </w:r>
            <w:r>
              <w:rPr>
                <w:rFonts w:hint="eastAsia" w:cs="宋体"/>
                <w:szCs w:val="21"/>
              </w:rPr>
              <w:t>昌吉高新技术产业开发区</w:t>
            </w:r>
            <w:r>
              <w:rPr>
                <w:rFonts w:hint="eastAsia" w:cs="宋体"/>
                <w:szCs w:val="21"/>
                <w:lang w:eastAsia="zh-CN"/>
              </w:rPr>
              <w:t>建材区</w:t>
            </w:r>
            <w:r>
              <w:rPr>
                <w:rFonts w:hint="eastAsia"/>
              </w:rPr>
              <w:t>设施，项目所在地周围无自然保护区、风景名胜区，同时不在生态保护红线管控范围内。</w:t>
            </w:r>
          </w:p>
          <w:p>
            <w:pPr>
              <w:pageBreakBefore w:val="0"/>
              <w:kinsoku/>
              <w:wordWrap/>
              <w:topLinePunct w:val="0"/>
              <w:autoSpaceDE/>
              <w:autoSpaceDN/>
              <w:bidi w:val="0"/>
              <w:adjustRightInd/>
              <w:snapToGrid w:val="0"/>
              <w:ind w:firstLine="480"/>
              <w:jc w:val="left"/>
              <w:textAlignment w:val="auto"/>
            </w:pPr>
            <w:r>
              <w:rPr>
                <w:rFonts w:hint="eastAsia"/>
              </w:rPr>
              <w:t>——环境质量底线。全区水环境质量持续改善，受污染地表水体得到有效治理，饮用水安全保障水平持续提升，地下水超采得到严格控制，地下水水质保持稳定；全区环境空气质量有所提升，重污染天数持续减少，已达标城市环境空气质</w:t>
            </w:r>
            <w:r>
              <w:rPr>
                <w:rFonts w:hint="eastAsia"/>
                <w:lang w:eastAsia="zh-CN"/>
              </w:rPr>
              <w:t>量</w:t>
            </w:r>
            <w:r>
              <w:rPr>
                <w:rFonts w:hint="eastAsia"/>
              </w:rPr>
              <w:t>保持稳定，未达标城市环境空气质量持续改善，沙尘影响严重地区做好防风固沙、生态环境保护修复等工作；全区土壤环境质</w:t>
            </w:r>
            <w:r>
              <w:rPr>
                <w:rFonts w:hint="eastAsia"/>
                <w:lang w:eastAsia="zh-CN"/>
              </w:rPr>
              <w:t>量</w:t>
            </w:r>
            <w:r>
              <w:rPr>
                <w:rFonts w:hint="eastAsia"/>
              </w:rPr>
              <w:t>保持稳定，污染地块安全利用水平稳中有升，土壤环境风险得到进一步管控。</w:t>
            </w:r>
          </w:p>
          <w:p>
            <w:pPr>
              <w:pageBreakBefore w:val="0"/>
              <w:kinsoku/>
              <w:wordWrap/>
              <w:topLinePunct w:val="0"/>
              <w:autoSpaceDE/>
              <w:autoSpaceDN/>
              <w:bidi w:val="0"/>
              <w:adjustRightInd/>
              <w:snapToGrid w:val="0"/>
              <w:ind w:firstLine="480"/>
              <w:jc w:val="left"/>
              <w:textAlignment w:val="auto"/>
            </w:pPr>
            <w:r>
              <w:rPr>
                <w:rFonts w:hint="eastAsia"/>
              </w:rPr>
              <w:t>根据项目所在地环境现状调查和污染物排放影响预测，本项目运营后对区域内环境影响较小，环境质量可以保持现有水平。</w:t>
            </w:r>
          </w:p>
          <w:p>
            <w:pPr>
              <w:pageBreakBefore w:val="0"/>
              <w:kinsoku/>
              <w:wordWrap/>
              <w:topLinePunct w:val="0"/>
              <w:autoSpaceDE/>
              <w:autoSpaceDN/>
              <w:bidi w:val="0"/>
              <w:adjustRightInd/>
              <w:snapToGrid w:val="0"/>
              <w:ind w:firstLine="480"/>
              <w:jc w:val="left"/>
              <w:textAlignment w:val="auto"/>
            </w:pPr>
            <w:r>
              <w:rPr>
                <w:rFonts w:hint="eastAsia"/>
              </w:rPr>
              <w:t>——资源利用上线。强化节约集约利用，持续提升资源能源利用效率，水资源、土地资源、能源消耗等达到国家、自治区下达的总量和强度控制目标。加快区域低碳发展，积极推动乌鲁木齐市、昌吉市、伊宁市、和田市等4个国家级低碳试点城市发挥低碳试点示范和引领作用。</w:t>
            </w:r>
          </w:p>
          <w:p>
            <w:pPr>
              <w:pageBreakBefore w:val="0"/>
              <w:kinsoku/>
              <w:wordWrap/>
              <w:topLinePunct w:val="0"/>
              <w:autoSpaceDE/>
              <w:autoSpaceDN/>
              <w:bidi w:val="0"/>
              <w:adjustRightInd/>
              <w:snapToGrid w:val="0"/>
              <w:ind w:firstLine="480"/>
              <w:jc w:val="left"/>
              <w:textAlignment w:val="auto"/>
            </w:pPr>
            <w:r>
              <w:rPr>
                <w:rFonts w:hint="eastAsia"/>
              </w:rPr>
              <w:t>本项目主要利用资源为水、电，区域资源充足，能满足项目使用，不触及区资源利用上线。</w:t>
            </w:r>
          </w:p>
          <w:p>
            <w:pPr>
              <w:pageBreakBefore w:val="0"/>
              <w:kinsoku/>
              <w:wordWrap/>
              <w:topLinePunct w:val="0"/>
              <w:autoSpaceDE/>
              <w:autoSpaceDN/>
              <w:bidi w:val="0"/>
              <w:adjustRightInd/>
              <w:snapToGrid w:val="0"/>
              <w:ind w:firstLine="480"/>
              <w:jc w:val="left"/>
              <w:textAlignment w:val="auto"/>
            </w:pPr>
            <w:r>
              <w:rPr>
                <w:rFonts w:hint="eastAsia"/>
              </w:rPr>
              <w:t>综上，本项目的建设符合《新疆维吾尔自治区“三线一单”生态环境分区管控方案》的相关规定。本项目在新疆维吾尔自治区环境管控单元图中的位置见附图</w:t>
            </w:r>
            <w:r>
              <w:rPr>
                <w:rFonts w:hint="eastAsia"/>
                <w:lang w:val="en-US" w:eastAsia="zh-CN"/>
              </w:rPr>
              <w:t>4</w:t>
            </w:r>
            <w:r>
              <w:rPr>
                <w:rFonts w:hint="eastAsia"/>
              </w:rPr>
              <w:t>。</w:t>
            </w:r>
          </w:p>
          <w:p>
            <w:pPr>
              <w:pStyle w:val="8"/>
              <w:keepNext w:val="0"/>
              <w:keepLines w:val="0"/>
              <w:pageBreakBefore w:val="0"/>
              <w:kinsoku/>
              <w:wordWrap/>
              <w:overflowPunct/>
              <w:topLinePunct w:val="0"/>
              <w:autoSpaceDE/>
              <w:autoSpaceDN/>
              <w:bidi w:val="0"/>
              <w:adjustRightInd/>
              <w:snapToGrid w:val="0"/>
              <w:spacing w:before="0" w:after="0" w:line="360" w:lineRule="auto"/>
              <w:ind w:left="0" w:leftChars="0" w:firstLine="0" w:firstLineChars="0"/>
              <w:jc w:val="left"/>
              <w:textAlignment w:val="auto"/>
              <w:rPr>
                <w:rFonts w:hint="default" w:ascii="Times New Roman" w:hAnsi="Times New Roman" w:eastAsia="宋体" w:cs="Times New Roman"/>
                <w:b/>
                <w:bCs/>
                <w:color w:val="000000" w:themeColor="text1"/>
                <w:kern w:val="2"/>
                <w:sz w:val="24"/>
                <w:szCs w:val="32"/>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32"/>
                <w:lang w:val="en-US" w:eastAsia="zh-CN" w:bidi="ar-SA"/>
                <w14:textFill>
                  <w14:solidFill>
                    <w14:schemeClr w14:val="tx1"/>
                  </w14:solidFill>
                </w14:textFill>
              </w:rPr>
              <w:t>1.1.2与《新疆维吾尔自治区七大片区“三线一单”生态环境分区管控要求（新环环评发</w:t>
            </w:r>
            <w:r>
              <w:rPr>
                <w:rFonts w:hint="eastAsia" w:cs="Times New Roman"/>
                <w:b/>
                <w:bCs/>
                <w:color w:val="000000" w:themeColor="text1"/>
                <w:kern w:val="2"/>
                <w:sz w:val="24"/>
                <w:szCs w:val="32"/>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2"/>
                <w:sz w:val="24"/>
                <w:szCs w:val="32"/>
                <w:lang w:val="en-US" w:eastAsia="zh-CN" w:bidi="ar-SA"/>
                <w14:textFill>
                  <w14:solidFill>
                    <w14:schemeClr w14:val="tx1"/>
                  </w14:solidFill>
                </w14:textFill>
              </w:rPr>
              <w:t>2021</w:t>
            </w:r>
            <w:r>
              <w:rPr>
                <w:rFonts w:hint="eastAsia" w:ascii="Times New Roman" w:hAnsi="Times New Roman" w:cs="Times New Roman"/>
                <w:b/>
                <w:bCs/>
                <w:color w:val="000000" w:themeColor="text1"/>
                <w:kern w:val="2"/>
                <w:sz w:val="24"/>
                <w:szCs w:val="32"/>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2"/>
                <w:sz w:val="24"/>
                <w:szCs w:val="32"/>
                <w:lang w:val="en-US" w:eastAsia="zh-CN" w:bidi="ar-SA"/>
                <w14:textFill>
                  <w14:solidFill>
                    <w14:schemeClr w14:val="tx1"/>
                  </w14:solidFill>
                </w14:textFill>
              </w:rPr>
              <w:t>162号）》的符合性分析</w:t>
            </w:r>
          </w:p>
          <w:p>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jc w:val="left"/>
              <w:textAlignment w:val="auto"/>
              <w:rPr>
                <w:rFonts w:hint="default" w:ascii="Times New Roman" w:hAnsi="Times New Roman" w:cs="Times New Roman"/>
                <w:i w:val="0"/>
                <w:iCs w:val="0"/>
                <w:caps w:val="0"/>
                <w:color w:val="000000" w:themeColor="text1"/>
                <w:spacing w:val="0"/>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14:textFill>
                  <w14:solidFill>
                    <w14:schemeClr w14:val="tx1"/>
                  </w14:solidFill>
                </w14:textFill>
              </w:rPr>
              <w:t>按照《新疆维吾尔自治区“三线一单”生态环境分区管控方案》（以下简称《方案》），全区划分为七大片区，包括北疆北部(塔城地区、阿勒泰地区)、伊犁河谷、克奎乌</w:t>
            </w: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4"/>
                <w:szCs w:val="24"/>
                <w14:textFill>
                  <w14:solidFill>
                    <w14:schemeClr w14:val="tx1"/>
                  </w14:solidFill>
                </w14:textFill>
              </w:rPr>
              <w:t>博州、乌昌石、吐哈、天山南坡(巴州、阿克苏地区)和南疆三地州片区。</w:t>
            </w:r>
          </w:p>
          <w:p>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jc w:val="left"/>
              <w:textAlignment w:val="auto"/>
              <w:rPr>
                <w:rFonts w:hint="default" w:ascii="Times New Roman" w:hAnsi="Times New Roman" w:cs="Times New Roman"/>
                <w:i w:val="0"/>
                <w:iCs w:val="0"/>
                <w:caps w:val="0"/>
                <w:color w:val="000000" w:themeColor="text1"/>
                <w:spacing w:val="0"/>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新疆维吾尔自治区七大片区“三线一单”生态环境分区管控要求（2021年版）》（以下简称《管控要求》）正式发布，从空间布局约束、污染物排放管控、环境风险防控、资源利用效率等4个维度明确了管控要求，并针对各片区环境特征，有针对性提出七大片区的管控重点。</w:t>
            </w:r>
          </w:p>
          <w:p>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jc w:val="left"/>
              <w:textAlignment w:val="auto"/>
              <w:rPr>
                <w:rFonts w:hint="default" w:ascii="Times New Roman" w:hAnsi="Times New Roman" w:cs="Times New Roman"/>
                <w:i w:val="0"/>
                <w:iCs w:val="0"/>
                <w:caps w:val="0"/>
                <w:color w:val="000000" w:themeColor="text1"/>
                <w:spacing w:val="0"/>
                <w14:textFill>
                  <w14:solidFill>
                    <w14:schemeClr w14:val="tx1"/>
                  </w14:solidFill>
                </w14:textFill>
              </w:rPr>
            </w:pPr>
            <w:r>
              <w:rPr>
                <w:rFonts w:hint="default" w:ascii="Times New Roman" w:hAnsi="Times New Roman" w:cs="Times New Roman"/>
                <w:i w:val="0"/>
                <w:iCs w:val="0"/>
                <w:caps w:val="0"/>
                <w:color w:val="000000" w:themeColor="text1"/>
                <w:spacing w:val="0"/>
                <w:lang w:val="en-US" w:eastAsia="zh-CN"/>
                <w14:textFill>
                  <w14:solidFill>
                    <w14:schemeClr w14:val="tx1"/>
                  </w14:solidFill>
                </w14:textFill>
              </w:rPr>
              <w:t>根据《管控要求》，</w:t>
            </w: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北疆北部片区重点突出阿尔泰山、准噶尔西部山地等水源涵养功能和生物多样性功能维护；伊犁河谷片区重点维护伊犁河上游山区水源涵养和生物多样性保护；克奎乌—博州片区全面执行大气污染物特别排放限值，突出生物多样性维护和荒漠化防治；乌昌石片区突出大气污染治理，建成区及周边敏感区域不再布局建设煤化工、电解铝等新增产能项目；吐哈片区突出荒漠化防治和水资源利用率提升；天山南坡片区突出塔里木盆地北缘荒漠化防治，保障生态用水和博斯腾湖综合治理；南疆三地州片区突出绿洲边缘地区生态防护林建设和水土资源利用效率。</w:t>
            </w:r>
          </w:p>
          <w:p>
            <w:pPr>
              <w:keepNext w:val="0"/>
              <w:keepLines w:val="0"/>
              <w:pageBreakBefore w:val="0"/>
              <w:widowControl/>
              <w:suppressLineNumbers w:val="0"/>
              <w:kinsoku/>
              <w:wordWrap/>
              <w:topLinePunct w:val="0"/>
              <w:autoSpaceDE/>
              <w:autoSpaceDN/>
              <w:bidi w:val="0"/>
              <w:adjustRightInd/>
              <w:snapToGrid w:val="0"/>
              <w:ind w:left="0" w:firstLine="0"/>
              <w:jc w:val="left"/>
              <w:textAlignment w:val="auto"/>
              <w:rPr>
                <w:rFonts w:hint="eastAsia"/>
                <w:color w:val="000000" w:themeColor="text1"/>
                <w14:textFill>
                  <w14:solidFill>
                    <w14:schemeClr w14:val="tx1"/>
                  </w14:solidFill>
                </w14:textFill>
              </w:rPr>
            </w:pPr>
            <w:r>
              <w:rPr>
                <w:rFonts w:hint="eastAsia"/>
                <w:i w:val="0"/>
                <w:iCs w:val="0"/>
                <w:caps w:val="0"/>
                <w:color w:val="000000" w:themeColor="text1"/>
                <w:spacing w:val="0"/>
                <w:lang w:val="en-US" w:eastAsia="zh-CN"/>
                <w14:textFill>
                  <w14:solidFill>
                    <w14:schemeClr w14:val="tx1"/>
                  </w14:solidFill>
                </w14:textFill>
              </w:rPr>
              <w:t>本项目位于七大片区中的乌昌石片区，应突出大气污染治理。本项目废气主要为非甲烷总烃，</w:t>
            </w:r>
            <w:r>
              <w:rPr>
                <w:rFonts w:hint="eastAsia"/>
                <w:i w:val="0"/>
                <w:iCs w:val="0"/>
                <w:caps w:val="0"/>
                <w:color w:val="000000" w:themeColor="text1"/>
                <w:spacing w:val="0"/>
                <w:highlight w:val="none"/>
                <w:lang w:val="en-US" w:eastAsia="zh-CN"/>
                <w14:textFill>
                  <w14:solidFill>
                    <w14:schemeClr w14:val="tx1"/>
                  </w14:solidFill>
                </w14:textFill>
              </w:rPr>
              <w:t>经过</w:t>
            </w:r>
            <w:r>
              <w:rPr>
                <w:rFonts w:hint="eastAsia"/>
                <w:color w:val="000000" w:themeColor="text1"/>
                <w:highlight w:val="none"/>
                <w14:textFill>
                  <w14:solidFill>
                    <w14:schemeClr w14:val="tx1"/>
                  </w14:solidFill>
                </w14:textFill>
              </w:rPr>
              <w:t>UV光氧催化+活性炭吸附</w:t>
            </w:r>
            <w:r>
              <w:rPr>
                <w:rFonts w:hint="eastAsia"/>
                <w:i w:val="0"/>
                <w:iCs w:val="0"/>
                <w:caps w:val="0"/>
                <w:color w:val="000000" w:themeColor="text1"/>
                <w:spacing w:val="0"/>
                <w:highlight w:val="none"/>
                <w:lang w:val="en-US" w:eastAsia="zh-CN"/>
                <w14:textFill>
                  <w14:solidFill>
                    <w14:schemeClr w14:val="tx1"/>
                  </w14:solidFill>
                </w14:textFill>
              </w:rPr>
              <w:t>处理后</w:t>
            </w:r>
            <w:r>
              <w:rPr>
                <w:rFonts w:hint="eastAsia"/>
                <w:i w:val="0"/>
                <w:iCs w:val="0"/>
                <w:caps w:val="0"/>
                <w:color w:val="000000" w:themeColor="text1"/>
                <w:spacing w:val="0"/>
                <w:lang w:val="en-US" w:eastAsia="zh-CN"/>
                <w14:textFill>
                  <w14:solidFill>
                    <w14:schemeClr w14:val="tx1"/>
                  </w14:solidFill>
                </w14:textFill>
              </w:rPr>
              <w:t>，非甲烷总烃可达标排放。</w:t>
            </w:r>
          </w:p>
          <w:p>
            <w:pPr>
              <w:pStyle w:val="4"/>
              <w:pageBreakBefore w:val="0"/>
              <w:kinsoku/>
              <w:wordWrap/>
              <w:topLinePunct w:val="0"/>
              <w:autoSpaceDE/>
              <w:autoSpaceDN/>
              <w:bidi w:val="0"/>
              <w:adjustRightInd/>
              <w:snapToGrid w:val="0"/>
              <w:spacing w:before="0" w:after="0"/>
              <w:jc w:val="left"/>
              <w:textAlignment w:val="auto"/>
            </w:pPr>
            <w:r>
              <w:rPr>
                <w:rFonts w:hint="eastAsia"/>
              </w:rPr>
              <w:t>1.1.</w:t>
            </w:r>
            <w:r>
              <w:rPr>
                <w:rFonts w:hint="eastAsia"/>
                <w:lang w:val="en-US" w:eastAsia="zh-CN"/>
              </w:rPr>
              <w:t>3</w:t>
            </w:r>
            <w:r>
              <w:rPr>
                <w:rFonts w:hint="eastAsia"/>
              </w:rPr>
              <w:t>与《</w:t>
            </w:r>
            <w:r>
              <w:rPr>
                <w:rFonts w:hint="eastAsia"/>
                <w:lang w:eastAsia="zh-CN"/>
              </w:rPr>
              <w:t>昌吉回族</w:t>
            </w:r>
            <w:r>
              <w:rPr>
                <w:rFonts w:hint="eastAsia"/>
              </w:rPr>
              <w:t>自治州“三线一单”生态环境分区管控方案》的符合性分析</w:t>
            </w:r>
          </w:p>
          <w:p>
            <w:pPr>
              <w:pageBreakBefore w:val="0"/>
              <w:kinsoku/>
              <w:wordWrap/>
              <w:topLinePunct w:val="0"/>
              <w:autoSpaceDE/>
              <w:autoSpaceDN/>
              <w:bidi w:val="0"/>
              <w:adjustRightInd/>
              <w:snapToGrid w:val="0"/>
              <w:ind w:firstLine="480"/>
              <w:jc w:val="left"/>
              <w:textAlignment w:val="auto"/>
            </w:pPr>
            <w:r>
              <w:rPr>
                <w:rFonts w:hint="eastAsia"/>
              </w:rPr>
              <w:t>根据《</w:t>
            </w:r>
            <w:r>
              <w:rPr>
                <w:rFonts w:hint="eastAsia"/>
                <w:lang w:eastAsia="zh-CN"/>
              </w:rPr>
              <w:t>关于</w:t>
            </w:r>
            <w:r>
              <w:rPr>
                <w:rFonts w:hint="eastAsia"/>
                <w:lang w:val="en-US" w:eastAsia="zh-CN"/>
              </w:rPr>
              <w:t>&lt;</w:t>
            </w:r>
            <w:r>
              <w:rPr>
                <w:rFonts w:hint="eastAsia"/>
                <w:lang w:eastAsia="zh-CN"/>
              </w:rPr>
              <w:t>昌吉回族</w:t>
            </w:r>
            <w:r>
              <w:rPr>
                <w:rFonts w:hint="eastAsia"/>
              </w:rPr>
              <w:t>自治州“三线一单”生态环境分区管控方案</w:t>
            </w:r>
            <w:r>
              <w:rPr>
                <w:rFonts w:hint="eastAsia"/>
                <w:lang w:eastAsia="zh-CN"/>
              </w:rPr>
              <w:t>及生态环境准入清单</w:t>
            </w:r>
            <w:r>
              <w:rPr>
                <w:rFonts w:hint="eastAsia"/>
                <w:lang w:val="en-US" w:eastAsia="zh-CN"/>
              </w:rPr>
              <w:t>&gt;的公告</w:t>
            </w:r>
            <w:r>
              <w:rPr>
                <w:rFonts w:hint="eastAsia"/>
              </w:rPr>
              <w:t>》</w:t>
            </w:r>
            <w:r>
              <w:rPr>
                <w:rFonts w:hint="eastAsia"/>
                <w:lang w:eastAsia="zh-CN"/>
              </w:rPr>
              <w:t>（昌州政办发</w:t>
            </w:r>
            <w:r>
              <w:rPr>
                <w:rFonts w:hint="eastAsia"/>
              </w:rPr>
              <w:t>[2021]</w:t>
            </w:r>
            <w:r>
              <w:rPr>
                <w:rFonts w:hint="eastAsia"/>
                <w:lang w:val="en-US" w:eastAsia="zh-CN"/>
              </w:rPr>
              <w:t>41</w:t>
            </w:r>
            <w:r>
              <w:rPr>
                <w:rFonts w:hint="eastAsia"/>
              </w:rPr>
              <w:t>号</w:t>
            </w:r>
            <w:r>
              <w:rPr>
                <w:rFonts w:hint="eastAsia"/>
                <w:lang w:eastAsia="zh-CN"/>
              </w:rPr>
              <w:t>）文件</w:t>
            </w:r>
            <w:r>
              <w:rPr>
                <w:rFonts w:hint="eastAsia"/>
              </w:rPr>
              <w:t>，其主要</w:t>
            </w:r>
            <w:r>
              <w:rPr>
                <w:rFonts w:hint="eastAsia"/>
                <w:lang w:eastAsia="zh-CN"/>
              </w:rPr>
              <w:t>目标</w:t>
            </w:r>
            <w:r>
              <w:rPr>
                <w:rFonts w:hint="eastAsia"/>
              </w:rPr>
              <w:t>如下：</w:t>
            </w:r>
          </w:p>
          <w:p>
            <w:pPr>
              <w:pageBreakBefore w:val="0"/>
              <w:kinsoku/>
              <w:wordWrap/>
              <w:topLinePunct w:val="0"/>
              <w:autoSpaceDE/>
              <w:autoSpaceDN/>
              <w:bidi w:val="0"/>
              <w:adjustRightInd/>
              <w:snapToGrid w:val="0"/>
              <w:ind w:firstLine="480"/>
              <w:jc w:val="left"/>
              <w:textAlignment w:val="auto"/>
              <w:rPr>
                <w:sz w:val="24"/>
                <w:szCs w:val="24"/>
              </w:rPr>
            </w:pPr>
            <w:r>
              <w:rPr>
                <w:rFonts w:hint="eastAsia"/>
              </w:rPr>
              <w:t>——</w:t>
            </w:r>
            <w:r>
              <w:rPr>
                <w:rFonts w:hint="eastAsia" w:asciiTheme="minorEastAsia" w:hAnsiTheme="minorEastAsia" w:eastAsiaTheme="minorEastAsia" w:cstheme="minorEastAsia"/>
                <w:sz w:val="24"/>
                <w:szCs w:val="24"/>
              </w:rPr>
              <w:t>到2025年，全州生态环境质量总体改善，环境风险得到有效管控。建立较为完善的生态环境分区管控体系与数据信息应用机制和共享系统，生态环境治理体系和治理能力现代化取得显著进展。</w:t>
            </w:r>
          </w:p>
          <w:p>
            <w:pPr>
              <w:pageBreakBefore w:val="0"/>
              <w:kinsoku/>
              <w:wordWrap/>
              <w:topLinePunct w:val="0"/>
              <w:autoSpaceDE/>
              <w:autoSpaceDN/>
              <w:bidi w:val="0"/>
              <w:adjustRightInd/>
              <w:snapToGrid w:val="0"/>
              <w:ind w:firstLine="480"/>
              <w:jc w:val="left"/>
              <w:textAlignment w:val="auto"/>
              <w:rPr>
                <w:rFonts w:hint="eastAsia"/>
                <w:lang w:eastAsia="zh-CN"/>
              </w:rPr>
            </w:pPr>
            <w:r>
              <w:rPr>
                <w:rFonts w:hint="eastAsia"/>
              </w:rPr>
              <w:t>——生态保护红线。按照“生态功能不降低、面积不减少、性质不改变”的基本要求，</w:t>
            </w:r>
            <w:r>
              <w:rPr>
                <w:rFonts w:hint="eastAsia"/>
                <w:lang w:eastAsia="zh-CN"/>
              </w:rPr>
              <w:t>生态空间得到优化和保护，生态保护红线得到严格管控。生态功能保持稳定，生物多样性水平稳步提升，生态空间保护体系基本建立。</w:t>
            </w:r>
          </w:p>
          <w:p>
            <w:pPr>
              <w:pageBreakBefore w:val="0"/>
              <w:kinsoku/>
              <w:wordWrap/>
              <w:topLinePunct w:val="0"/>
              <w:autoSpaceDE/>
              <w:autoSpaceDN/>
              <w:bidi w:val="0"/>
              <w:adjustRightInd/>
              <w:snapToGrid w:val="0"/>
              <w:ind w:firstLine="480"/>
              <w:jc w:val="left"/>
              <w:textAlignment w:val="auto"/>
              <w:rPr>
                <w:rFonts w:hint="eastAsia" w:ascii="仿宋_GB2312"/>
                <w:szCs w:val="28"/>
              </w:rPr>
            </w:pPr>
            <w:r>
              <w:rPr>
                <w:rFonts w:hint="eastAsia"/>
              </w:rPr>
              <w:t>——环境质量底线。</w:t>
            </w:r>
            <w:r>
              <w:rPr>
                <w:rFonts w:hint="eastAsia" w:ascii="仿宋_GB2312"/>
                <w:szCs w:val="28"/>
              </w:rPr>
              <w:t>全州环境空气质量有所提升，重污染天数持续减少，已达标城市环境空气质量保持稳定，未达标城市环境空气质量持续改善；</w:t>
            </w:r>
            <w:r>
              <w:rPr>
                <w:rFonts w:cs="Times New Roman"/>
              </w:rPr>
              <w:t>全州河流、湖库及城镇集中式饮用水水源地水质稳中向好。</w:t>
            </w:r>
            <w:r>
              <w:rPr>
                <w:rFonts w:cs="Times New Roman"/>
                <w:szCs w:val="28"/>
              </w:rPr>
              <w:t>地下水质量考核点位水质级别保持稳定，</w:t>
            </w:r>
            <w:r>
              <w:rPr>
                <w:rFonts w:cs="Times New Roman"/>
              </w:rPr>
              <w:t>地下水污染风险得到有效控制</w:t>
            </w:r>
            <w:r>
              <w:rPr>
                <w:rFonts w:hint="eastAsia" w:ascii="仿宋_GB2312"/>
                <w:szCs w:val="28"/>
              </w:rPr>
              <w:t>，地下水超采得到严格控制；全州土壤环境质量保持稳定，污染地块安全利用水平稳中有升，土壤环境风险得到进一步管控。</w:t>
            </w:r>
          </w:p>
          <w:p>
            <w:pPr>
              <w:pageBreakBefore w:val="0"/>
              <w:kinsoku/>
              <w:wordWrap/>
              <w:topLinePunct w:val="0"/>
              <w:autoSpaceDE/>
              <w:autoSpaceDN/>
              <w:bidi w:val="0"/>
              <w:adjustRightInd/>
              <w:snapToGrid w:val="0"/>
              <w:ind w:firstLine="480" w:firstLineChars="200"/>
              <w:jc w:val="left"/>
              <w:textAlignment w:val="auto"/>
              <w:rPr>
                <w:rFonts w:hint="eastAsia" w:asciiTheme="minorEastAsia" w:hAnsiTheme="minorEastAsia" w:eastAsiaTheme="minorEastAsia" w:cstheme="minorEastAsia"/>
                <w:sz w:val="24"/>
                <w:szCs w:val="24"/>
              </w:rPr>
            </w:pPr>
            <w:r>
              <w:rPr>
                <w:rFonts w:hint="eastAsia"/>
              </w:rPr>
              <w:t>——资源利用上线。</w:t>
            </w:r>
            <w:r>
              <w:rPr>
                <w:rFonts w:hint="eastAsia" w:asciiTheme="minorEastAsia" w:hAnsiTheme="minorEastAsia" w:eastAsiaTheme="minorEastAsia" w:cstheme="minorEastAsia"/>
                <w:sz w:val="24"/>
                <w:szCs w:val="24"/>
              </w:rPr>
              <w:t>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pPr>
              <w:pageBreakBefore w:val="0"/>
              <w:kinsoku/>
              <w:wordWrap/>
              <w:topLinePunct w:val="0"/>
              <w:autoSpaceDE/>
              <w:autoSpaceDN/>
              <w:bidi w:val="0"/>
              <w:adjustRightInd/>
              <w:snapToGrid w:val="0"/>
              <w:ind w:firstLine="480"/>
              <w:jc w:val="left"/>
              <w:textAlignment w:val="auto"/>
            </w:pPr>
            <w:r>
              <w:rPr>
                <w:rFonts w:hint="eastAsia" w:asciiTheme="minorEastAsia" w:hAnsiTheme="minorEastAsia" w:eastAsiaTheme="minorEastAsia" w:cstheme="minorEastAsia"/>
                <w:sz w:val="24"/>
                <w:szCs w:val="24"/>
              </w:rPr>
              <w:t>到2035年，全州生态环境质量实现根本好转，节约资源和保护生态环境的空间格局、产业结构、生产方式、生活方式总体形成，生态系统健康和人群健康得到充分保障，环境经济实现良性循环。</w:t>
            </w:r>
          </w:p>
          <w:p>
            <w:pPr>
              <w:pageBreakBefore w:val="0"/>
              <w:kinsoku/>
              <w:wordWrap/>
              <w:topLinePunct w:val="0"/>
              <w:autoSpaceDE/>
              <w:autoSpaceDN/>
              <w:bidi w:val="0"/>
              <w:adjustRightInd/>
              <w:snapToGrid w:val="0"/>
              <w:ind w:firstLine="480"/>
              <w:jc w:val="left"/>
              <w:textAlignment w:val="auto"/>
            </w:pPr>
            <w:r>
              <w:rPr>
                <w:rFonts w:hint="default"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根据《</w:t>
            </w:r>
            <w:r>
              <w:rPr>
                <w:rFonts w:hint="eastAsia"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昌吉州</w:t>
            </w:r>
            <w:r>
              <w:rPr>
                <w:rFonts w:hint="default" w:ascii="Times New Roman" w:hAnsi="Times New Roman" w:eastAsia="宋体" w:cs="Times New Roman"/>
                <w:i w:val="0"/>
                <w:iCs w:val="0"/>
                <w:caps w:val="0"/>
                <w:color w:val="000000" w:themeColor="text1"/>
                <w:spacing w:val="0"/>
                <w:sz w:val="24"/>
                <w:szCs w:val="24"/>
                <w14:textFill>
                  <w14:solidFill>
                    <w14:schemeClr w14:val="tx1"/>
                  </w14:solidFill>
                </w14:textFill>
              </w:rPr>
              <w:t>“三线一单”生态环境分区管控方案》</w:t>
            </w:r>
            <w:r>
              <w:rPr>
                <w:rFonts w:hint="default" w:ascii="Times New Roman" w:hAnsi="Times New Roman" w:eastAsia="宋体" w:cs="Times New Roman"/>
                <w:i w:val="0"/>
                <w:iCs w:val="0"/>
                <w:caps w:val="0"/>
                <w:color w:val="000000" w:themeColor="text1"/>
                <w:spacing w:val="0"/>
                <w:sz w:val="24"/>
                <w:szCs w:val="24"/>
                <w:lang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本项目属于</w:t>
            </w:r>
            <w:r>
              <w:rPr>
                <w:rFonts w:hint="eastAsia"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w:t>
            </w:r>
            <w:r>
              <w:rPr>
                <w:rFonts w:ascii="Times New Roman" w:hAnsi="Times New Roman" w:eastAsia="仿宋" w:cs="Times New Roman"/>
                <w:color w:val="000000" w:themeColor="text1"/>
                <w:kern w:val="0"/>
                <w:sz w:val="24"/>
                <w:szCs w:val="24"/>
                <w14:textFill>
                  <w14:solidFill>
                    <w14:schemeClr w14:val="tx1"/>
                  </w14:solidFill>
                </w14:textFill>
              </w:rPr>
              <w:t>ZH6523</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0120002</w:t>
            </w:r>
            <w:r>
              <w:rPr>
                <w:rFonts w:hint="eastAsia"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昌吉高新技术产业开发区</w:t>
            </w:r>
            <w:r>
              <w:rPr>
                <w:rFonts w:hint="eastAsia" w:cs="Times New Roman"/>
                <w:i w:val="0"/>
                <w:iCs w:val="0"/>
                <w:caps w:val="0"/>
                <w:color w:val="000000" w:themeColor="text1"/>
                <w:spacing w:val="0"/>
                <w:sz w:val="24"/>
                <w:szCs w:val="24"/>
                <w:lang w:val="en-US"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重点管控单元</w:t>
            </w:r>
            <w:r>
              <w:rPr>
                <w:rFonts w:hint="eastAsia"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w:t>
            </w:r>
            <w:r>
              <w:rPr>
                <w:rFonts w:hint="eastAsia"/>
              </w:rPr>
              <w:t>本项目与《</w:t>
            </w:r>
            <w:r>
              <w:rPr>
                <w:rFonts w:hint="eastAsia"/>
                <w:lang w:eastAsia="zh-CN"/>
              </w:rPr>
              <w:t>昌吉回族</w:t>
            </w:r>
            <w:r>
              <w:rPr>
                <w:rFonts w:hint="eastAsia"/>
              </w:rPr>
              <w:t>自治州“三线一单”生态环境分区管控方案》相符性分析具体见表2。项目在</w:t>
            </w:r>
            <w:r>
              <w:rPr>
                <w:rFonts w:hint="eastAsia"/>
                <w:lang w:eastAsia="zh-CN"/>
              </w:rPr>
              <w:t>昌吉回族</w:t>
            </w:r>
            <w:r>
              <w:rPr>
                <w:rFonts w:hint="eastAsia"/>
              </w:rPr>
              <w:t>自治州环境管控单元中的位置见附图</w:t>
            </w:r>
            <w:r>
              <w:rPr>
                <w:rFonts w:hint="eastAsia"/>
                <w:lang w:val="en-US" w:eastAsia="zh-CN"/>
              </w:rPr>
              <w:t>5</w:t>
            </w:r>
            <w:r>
              <w:rPr>
                <w:rFonts w:hint="eastAsia"/>
              </w:rPr>
              <w:t>。</w:t>
            </w:r>
          </w:p>
          <w:p>
            <w:pPr>
              <w:pStyle w:val="6"/>
              <w:keepNext w:val="0"/>
              <w:keepLines w:val="0"/>
              <w:pageBreakBefore w:val="0"/>
              <w:widowControl w:val="0"/>
              <w:kinsoku/>
              <w:wordWrap/>
              <w:overflowPunct/>
              <w:topLinePunct w:val="0"/>
              <w:autoSpaceDE/>
              <w:autoSpaceDN/>
              <w:bidi w:val="0"/>
              <w:adjustRightInd/>
              <w:snapToGrid w:val="0"/>
              <w:spacing w:line="360" w:lineRule="auto"/>
              <w:jc w:val="center"/>
              <w:textAlignment w:val="auto"/>
            </w:pPr>
            <w:r>
              <w:rPr>
                <w:rFonts w:hint="eastAsia"/>
                <w:sz w:val="21"/>
                <w:szCs w:val="21"/>
              </w:rPr>
              <w:t>表2  与《</w:t>
            </w:r>
            <w:r>
              <w:rPr>
                <w:rFonts w:hint="eastAsia"/>
                <w:sz w:val="21"/>
                <w:szCs w:val="21"/>
                <w:lang w:eastAsia="zh-CN"/>
              </w:rPr>
              <w:t>昌吉回族</w:t>
            </w:r>
            <w:r>
              <w:rPr>
                <w:rFonts w:hint="eastAsia"/>
                <w:sz w:val="21"/>
                <w:szCs w:val="21"/>
              </w:rPr>
              <w:t>自治州“三线一单”生态环境分区管控方案》符合性分析</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879"/>
              <w:gridCol w:w="1988"/>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管控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类别</w:t>
                  </w:r>
                </w:p>
              </w:tc>
              <w:tc>
                <w:tcPr>
                  <w:tcW w:w="22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总体管控要求</w:t>
                  </w:r>
                </w:p>
              </w:tc>
              <w:tc>
                <w:tcPr>
                  <w:tcW w:w="1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本项目情况</w:t>
                  </w:r>
                </w:p>
              </w:tc>
              <w:tc>
                <w:tcPr>
                  <w:tcW w:w="4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空间布局约束</w:t>
                  </w:r>
                </w:p>
              </w:tc>
              <w:tc>
                <w:tcPr>
                  <w:tcW w:w="2246" w:type="pct"/>
                  <w:tcBorders>
                    <w:tl2br w:val="nil"/>
                    <w:tr2bl w:val="nil"/>
                  </w:tcBorders>
                  <w:vAlign w:val="center"/>
                </w:tcPr>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1、执行自治区、乌昌石片区总体准入要求中关于重点管控单元空间布局约束的准入要求</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（表</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2-3 A6.1、表3.4-2 B1</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p>
              </w:tc>
              <w:tc>
                <w:tcPr>
                  <w:tcW w:w="1551"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本项目执行</w:t>
                  </w:r>
                  <w:r>
                    <w:rPr>
                      <w:rFonts w:hint="default" w:ascii="Times New Roman" w:hAnsi="Times New Roman" w:cs="Times New Roman" w:eastAsiaTheme="minorEastAsia"/>
                      <w:color w:val="000000" w:themeColor="text1"/>
                      <w:sz w:val="21"/>
                      <w:szCs w:val="21"/>
                      <w14:textFill>
                        <w14:solidFill>
                          <w14:schemeClr w14:val="tx1"/>
                        </w14:solidFill>
                      </w14:textFill>
                    </w:rPr>
                    <w:t>自治区、乌昌石片区总体准入要求中关于重点管控单元空间布局约束的准入要求</w:t>
                  </w:r>
                </w:p>
              </w:tc>
              <w:tc>
                <w:tcPr>
                  <w:tcW w:w="479"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246" w:type="pct"/>
                  <w:tcBorders>
                    <w:tl2br w:val="nil"/>
                    <w:tr2bl w:val="nil"/>
                  </w:tcBorders>
                  <w:vAlign w:val="center"/>
                </w:tcPr>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w:t>
                  </w:r>
                  <w:r>
                    <w:rPr>
                      <w:rFonts w:hint="default" w:ascii="Times New Roman" w:hAnsi="Times New Roman" w:cs="Times New Roman" w:eastAsiaTheme="minorEastAsia"/>
                      <w:color w:val="000000" w:themeColor="text1"/>
                      <w:kern w:val="0"/>
                      <w:sz w:val="21"/>
                      <w:szCs w:val="21"/>
                      <w14:textFill>
                        <w14:solidFill>
                          <w14:schemeClr w14:val="tx1"/>
                        </w14:solidFill>
                      </w14:textFill>
                    </w:rPr>
                    <w:t>入园企业需符合园区产业发展定位，</w:t>
                  </w:r>
                  <w:r>
                    <w:rPr>
                      <w:rFonts w:hint="default" w:ascii="Times New Roman" w:hAnsi="Times New Roman" w:cs="Times New Roman" w:eastAsiaTheme="minorEastAsia"/>
                      <w:color w:val="000000" w:themeColor="text1"/>
                      <w:sz w:val="21"/>
                      <w:szCs w:val="21"/>
                      <w14:textFill>
                        <w14:solidFill>
                          <w14:schemeClr w14:val="tx1"/>
                        </w14:solidFill>
                      </w14:textFill>
                    </w:rPr>
                    <w:t>产业发展以装备制造、新材料产业、生物科技、食品产业、现代服务业为主导</w:t>
                  </w:r>
                </w:p>
              </w:tc>
              <w:tc>
                <w:tcPr>
                  <w:tcW w:w="1551"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本项目为聚氨酯封边岩棉夹芯板加工生产线项目，符合园区产业发展定位</w:t>
                  </w:r>
                </w:p>
              </w:tc>
              <w:tc>
                <w:tcPr>
                  <w:tcW w:w="479"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污染物排放管控</w:t>
                  </w:r>
                </w:p>
              </w:tc>
              <w:tc>
                <w:tcPr>
                  <w:tcW w:w="2246" w:type="pct"/>
                  <w:tcBorders>
                    <w:tl2br w:val="nil"/>
                    <w:tr2bl w:val="nil"/>
                  </w:tcBorders>
                  <w:vAlign w:val="center"/>
                </w:tcPr>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1、执行自治区、乌昌石片区总体准入要求中关于重点管控单元污染物排放管控的准入要求</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（表</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2-3 A6.2、表3.4-2 B2</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p>
              </w:tc>
              <w:tc>
                <w:tcPr>
                  <w:tcW w:w="1551" w:type="pct"/>
                  <w:tcBorders>
                    <w:tl2br w:val="nil"/>
                    <w:tr2bl w:val="nil"/>
                  </w:tcBorders>
                  <w:vAlign w:val="center"/>
                </w:tcPr>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本项目</w:t>
                  </w:r>
                  <w:r>
                    <w:rPr>
                      <w:rFonts w:hint="default" w:ascii="Times New Roman" w:hAnsi="Times New Roman" w:cs="Times New Roman" w:eastAsiaTheme="minorEastAsia"/>
                      <w:color w:val="000000" w:themeColor="text1"/>
                      <w:sz w:val="21"/>
                      <w:szCs w:val="21"/>
                      <w14:textFill>
                        <w14:solidFill>
                          <w14:schemeClr w14:val="tx1"/>
                        </w14:solidFill>
                      </w14:textFill>
                    </w:rPr>
                    <w:t>执行自治区、乌昌石片区总体准入要求中关于重点管控单元污染物排放管控的准入要求</w:t>
                  </w:r>
                </w:p>
              </w:tc>
              <w:tc>
                <w:tcPr>
                  <w:tcW w:w="479"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246" w:type="pct"/>
                  <w:tcBorders>
                    <w:tl2br w:val="nil"/>
                    <w:tr2bl w:val="nil"/>
                  </w:tcBorders>
                  <w:vAlign w:val="center"/>
                </w:tcPr>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2、新（改、扩）建项目应执行最严格的大气污染物排放标准。</w:t>
                  </w:r>
                </w:p>
              </w:tc>
              <w:tc>
                <w:tcPr>
                  <w:tcW w:w="1551" w:type="pct"/>
                  <w:tcBorders>
                    <w:tl2br w:val="nil"/>
                    <w:tr2bl w:val="nil"/>
                  </w:tcBorders>
                  <w:vAlign w:val="center"/>
                </w:tcPr>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本项目大气污染物执行《大气污染物综合排放标准》（GB16297-1996）中二级标准限值</w:t>
                  </w:r>
                </w:p>
              </w:tc>
              <w:tc>
                <w:tcPr>
                  <w:tcW w:w="479"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246" w:type="pct"/>
                  <w:tcBorders>
                    <w:tl2br w:val="nil"/>
                    <w:tr2bl w:val="nil"/>
                  </w:tcBorders>
                  <w:vAlign w:val="center"/>
                </w:tcPr>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3、PM</w:t>
                  </w:r>
                  <w:r>
                    <w:rPr>
                      <w:rFonts w:hint="default" w:ascii="Times New Roman" w:hAnsi="Times New Roman" w:cs="Times New Roman" w:eastAsiaTheme="minorEastAsia"/>
                      <w:color w:val="000000" w:themeColor="text1"/>
                      <w:sz w:val="21"/>
                      <w:szCs w:val="21"/>
                      <w:vertAlign w:val="subscript"/>
                      <w14:textFill>
                        <w14:solidFill>
                          <w14:schemeClr w14:val="tx1"/>
                        </w14:solidFill>
                      </w14:textFill>
                    </w:rPr>
                    <w:t>2.5</w:t>
                  </w:r>
                  <w:r>
                    <w:rPr>
                      <w:rFonts w:hint="default" w:ascii="Times New Roman" w:hAnsi="Times New Roman" w:cs="Times New Roman" w:eastAsiaTheme="minorEastAsia"/>
                      <w:color w:val="000000" w:themeColor="text1"/>
                      <w:sz w:val="21"/>
                      <w:szCs w:val="21"/>
                      <w14:textFill>
                        <w14:solidFill>
                          <w14:schemeClr w14:val="tx1"/>
                        </w14:solidFill>
                      </w14:textFill>
                    </w:rPr>
                    <w:t>年平均浓度不达标</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城市</w:t>
                  </w:r>
                  <w:r>
                    <w:rPr>
                      <w:rFonts w:hint="default" w:ascii="Times New Roman" w:hAnsi="Times New Roman" w:cs="Times New Roman" w:eastAsiaTheme="minorEastAsia"/>
                      <w:color w:val="000000" w:themeColor="text1"/>
                      <w:sz w:val="21"/>
                      <w:szCs w:val="21"/>
                      <w14:textFill>
                        <w14:solidFill>
                          <w14:schemeClr w14:val="tx1"/>
                        </w14:solidFill>
                      </w14:textFill>
                    </w:rPr>
                    <w:t>，禁止新（改、扩）建未落实SO</w:t>
                  </w:r>
                  <w:r>
                    <w:rPr>
                      <w:rFonts w:hint="default" w:ascii="Times New Roman" w:hAnsi="Times New Roman" w:cs="Times New Roman" w:eastAsiaTheme="minorEastAsia"/>
                      <w:color w:val="000000" w:themeColor="text1"/>
                      <w:sz w:val="21"/>
                      <w:szCs w:val="21"/>
                      <w:vertAlign w:val="subscript"/>
                      <w14:textFill>
                        <w14:solidFill>
                          <w14:schemeClr w14:val="tx1"/>
                        </w14:solidFill>
                      </w14:textFill>
                    </w:rPr>
                    <w:t>2</w:t>
                  </w:r>
                  <w:r>
                    <w:rPr>
                      <w:rFonts w:hint="default" w:ascii="Times New Roman" w:hAnsi="Times New Roman" w:cs="Times New Roman" w:eastAsiaTheme="minorEastAsia"/>
                      <w:color w:val="000000" w:themeColor="text1"/>
                      <w:sz w:val="21"/>
                      <w:szCs w:val="21"/>
                      <w14:textFill>
                        <w14:solidFill>
                          <w14:schemeClr w14:val="tx1"/>
                        </w14:solidFill>
                      </w14:textFill>
                    </w:rPr>
                    <w:t>、NOx、烟粉尘、挥发性有机物（VOCs）等四项大气污染物总量指标昌吉州区域内倍量替代的项目。</w:t>
                  </w:r>
                </w:p>
              </w:tc>
              <w:tc>
                <w:tcPr>
                  <w:tcW w:w="1551" w:type="pct"/>
                  <w:tcBorders>
                    <w:tl2br w:val="nil"/>
                    <w:tr2bl w:val="nil"/>
                  </w:tcBorders>
                  <w:vAlign w:val="center"/>
                </w:tcPr>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本项目产生VOCs执行《大气污染物综合排放标准》（GB16297-1996）中二级标准限值</w:t>
                  </w:r>
                </w:p>
              </w:tc>
              <w:tc>
                <w:tcPr>
                  <w:tcW w:w="479"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246" w:type="pct"/>
                  <w:tcBorders>
                    <w:tl2br w:val="nil"/>
                    <w:tr2bl w:val="nil"/>
                  </w:tcBorders>
                  <w:vAlign w:val="center"/>
                </w:tcPr>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4、</w:t>
                  </w:r>
                  <w:r>
                    <w:rPr>
                      <w:rFonts w:hint="default" w:ascii="Times New Roman" w:hAnsi="Times New Roman" w:cs="Times New Roman" w:eastAsiaTheme="minorEastAsia"/>
                      <w:color w:val="000000" w:themeColor="text1"/>
                      <w:kern w:val="0"/>
                      <w:sz w:val="21"/>
                      <w:szCs w:val="21"/>
                      <w14:textFill>
                        <w14:solidFill>
                          <w14:schemeClr w14:val="tx1"/>
                        </w14:solidFill>
                      </w14:textFill>
                    </w:rPr>
                    <w:t>严格限制石化、化工、包装印刷、工业涂装等高VOCs排放建设项目，严格涉VOCs建设项目环境影响评价，实行区域内VOCs排放倍量削减替代，并将替代方案落实到企业排污许可证中，纳入环境执法管理。新、改、扩建涉VOCs排放项目，应从源头加强控制，使用低（无）VOCs含量的原辅材料，加强废气收集，安装高效治理设施</w:t>
                  </w:r>
                </w:p>
              </w:tc>
              <w:tc>
                <w:tcPr>
                  <w:tcW w:w="1551" w:type="pct"/>
                  <w:tcBorders>
                    <w:tl2br w:val="nil"/>
                    <w:tr2bl w:val="nil"/>
                  </w:tcBorders>
                  <w:vAlign w:val="center"/>
                </w:tcPr>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本项目产生VOCs执行《大气污染物综合排放标准》（GB16297-1996）中二级标准限值</w:t>
                  </w:r>
                </w:p>
              </w:tc>
              <w:tc>
                <w:tcPr>
                  <w:tcW w:w="479"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23"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环境风险防控</w:t>
                  </w:r>
                </w:p>
              </w:tc>
              <w:tc>
                <w:tcPr>
                  <w:tcW w:w="2246"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执行自治区、乌昌石片区总体准入要求中关于重点管控单元环境风险防控的准入要求</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（表</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2-3 A6.3、表3.4-2 B3</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p>
              </w:tc>
              <w:tc>
                <w:tcPr>
                  <w:tcW w:w="1551"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本项目已</w:t>
                  </w:r>
                  <w:r>
                    <w:rPr>
                      <w:rFonts w:hint="default" w:ascii="Times New Roman" w:hAnsi="Times New Roman" w:cs="Times New Roman" w:eastAsiaTheme="minorEastAsia"/>
                      <w:color w:val="000000" w:themeColor="text1"/>
                      <w:sz w:val="21"/>
                      <w:szCs w:val="21"/>
                      <w14:textFill>
                        <w14:solidFill>
                          <w14:schemeClr w14:val="tx1"/>
                        </w14:solidFill>
                      </w14:textFill>
                    </w:rPr>
                    <w:t>执行自治区、乌昌石片区总体准入要求中关于重点管控单元环境风险防控的准入要求</w:t>
                  </w:r>
                </w:p>
              </w:tc>
              <w:tc>
                <w:tcPr>
                  <w:tcW w:w="479"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资源利用效率</w:t>
                  </w:r>
                </w:p>
              </w:tc>
              <w:tc>
                <w:tcPr>
                  <w:tcW w:w="2246"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1、执行自治区、乌昌石片区总体准入要求中关于重点管控单元资源利用效率的准入要求</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（表</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2-3 A6.4、表3.4-2 B4</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p>
              </w:tc>
              <w:tc>
                <w:tcPr>
                  <w:tcW w:w="1551"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本项目已</w:t>
                  </w:r>
                  <w:r>
                    <w:rPr>
                      <w:rFonts w:hint="default" w:ascii="Times New Roman" w:hAnsi="Times New Roman" w:cs="Times New Roman" w:eastAsiaTheme="minorEastAsia"/>
                      <w:color w:val="000000" w:themeColor="text1"/>
                      <w:sz w:val="21"/>
                      <w:szCs w:val="21"/>
                      <w14:textFill>
                        <w14:solidFill>
                          <w14:schemeClr w14:val="tx1"/>
                        </w14:solidFill>
                      </w14:textFill>
                    </w:rPr>
                    <w:t>执行自治区、乌昌石片区总体准入要求中关于重点管控单元资源利用效率的准入要求</w:t>
                  </w:r>
                </w:p>
              </w:tc>
              <w:tc>
                <w:tcPr>
                  <w:tcW w:w="479"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246"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w:t>
                  </w:r>
                  <w:r>
                    <w:rPr>
                      <w:rFonts w:hint="default" w:ascii="Times New Roman" w:hAnsi="Times New Roman" w:cs="Times New Roman" w:eastAsiaTheme="minorEastAsia"/>
                      <w:color w:val="000000" w:themeColor="text1"/>
                      <w:kern w:val="0"/>
                      <w:sz w:val="21"/>
                      <w:szCs w:val="21"/>
                      <w14:textFill>
                        <w14:solidFill>
                          <w14:schemeClr w14:val="tx1"/>
                        </w14:solidFill>
                      </w14:textFill>
                    </w:rPr>
                    <w:t>逐步停止开采地下水，优先使用地表水，地下水水源逐步转为备用水源</w:t>
                  </w:r>
                </w:p>
              </w:tc>
              <w:tc>
                <w:tcPr>
                  <w:tcW w:w="1551"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sz w:val="21"/>
                      <w:szCs w:val="21"/>
                    </w:rPr>
                    <w:t>本项目用水为生活用水，用水量较小</w:t>
                  </w:r>
                </w:p>
              </w:tc>
              <w:tc>
                <w:tcPr>
                  <w:tcW w:w="479"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满足</w:t>
                  </w:r>
                </w:p>
              </w:tc>
            </w:tr>
          </w:tbl>
          <w:p>
            <w:pPr>
              <w:keepLines w:val="0"/>
              <w:pageBreakBefore w:val="0"/>
              <w:widowControl w:val="0"/>
              <w:kinsoku/>
              <w:wordWrap/>
              <w:topLinePunct w:val="0"/>
              <w:autoSpaceDE/>
              <w:autoSpaceDN/>
              <w:bidi w:val="0"/>
              <w:adjustRightInd/>
              <w:snapToGrid w:val="0"/>
              <w:ind w:firstLine="480"/>
              <w:jc w:val="left"/>
              <w:textAlignment w:val="auto"/>
              <w:rPr>
                <w:rFonts w:hint="default" w:eastAsia="宋体"/>
                <w:color w:val="000000" w:themeColor="text1"/>
                <w:highlight w:val="none"/>
                <w:lang w:val="en-US" w:eastAsia="zh-CN"/>
                <w14:textFill>
                  <w14:solidFill>
                    <w14:schemeClr w14:val="tx1"/>
                  </w14:solidFill>
                </w14:textFill>
              </w:rPr>
            </w:pPr>
            <w:r>
              <w:rPr>
                <w:rFonts w:hint="eastAsia"/>
              </w:rPr>
              <w:t>通过表2分析，本项目符合《</w:t>
            </w:r>
            <w:r>
              <w:rPr>
                <w:rFonts w:hint="eastAsia"/>
                <w:lang w:eastAsia="zh-CN"/>
              </w:rPr>
              <w:t>关于</w:t>
            </w:r>
            <w:r>
              <w:rPr>
                <w:rFonts w:hint="eastAsia"/>
                <w:lang w:val="en-US" w:eastAsia="zh-CN"/>
              </w:rPr>
              <w:t>&lt;</w:t>
            </w:r>
            <w:r>
              <w:rPr>
                <w:rFonts w:hint="eastAsia"/>
                <w:lang w:eastAsia="zh-CN"/>
              </w:rPr>
              <w:t>昌吉回族</w:t>
            </w:r>
            <w:r>
              <w:rPr>
                <w:rFonts w:hint="eastAsia"/>
              </w:rPr>
              <w:t>自治州“三线一单”生态环境分区管控方案</w:t>
            </w:r>
            <w:r>
              <w:rPr>
                <w:rFonts w:hint="eastAsia"/>
                <w:lang w:eastAsia="zh-CN"/>
              </w:rPr>
              <w:t>及生态环境准入清单</w:t>
            </w:r>
            <w:r>
              <w:rPr>
                <w:rFonts w:hint="eastAsia"/>
                <w:lang w:val="en-US" w:eastAsia="zh-CN"/>
              </w:rPr>
              <w:t>&gt;的公告</w:t>
            </w:r>
            <w:r>
              <w:rPr>
                <w:rFonts w:hint="eastAsia"/>
              </w:rPr>
              <w:t>》</w:t>
            </w:r>
            <w:r>
              <w:rPr>
                <w:rFonts w:hint="eastAsia"/>
                <w:lang w:eastAsia="zh-CN"/>
              </w:rPr>
              <w:t>（昌州政办发</w:t>
            </w:r>
            <w:r>
              <w:rPr>
                <w:rFonts w:hint="eastAsia"/>
              </w:rPr>
              <w:t>[2021]</w:t>
            </w:r>
            <w:r>
              <w:rPr>
                <w:rFonts w:hint="eastAsia"/>
                <w:lang w:val="en-US" w:eastAsia="zh-CN"/>
              </w:rPr>
              <w:t>41</w:t>
            </w:r>
            <w:r>
              <w:rPr>
                <w:rFonts w:hint="eastAsia"/>
              </w:rPr>
              <w:t>号</w:t>
            </w:r>
            <w:r>
              <w:rPr>
                <w:rFonts w:hint="eastAsia"/>
                <w:lang w:eastAsia="zh-CN"/>
              </w:rPr>
              <w:t>）文件</w:t>
            </w:r>
            <w:r>
              <w:rPr>
                <w:rFonts w:hint="eastAsia"/>
              </w:rPr>
              <w:t>的相关要求。</w:t>
            </w:r>
          </w:p>
          <w:p>
            <w:pPr>
              <w:pStyle w:val="3"/>
              <w:keepLines w:val="0"/>
              <w:pageBreakBefore w:val="0"/>
              <w:widowControl w:val="0"/>
              <w:kinsoku/>
              <w:wordWrap/>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产业政策符合性分析</w:t>
            </w:r>
          </w:p>
          <w:p>
            <w:pPr>
              <w:keepLines w:val="0"/>
              <w:pageBreakBefore w:val="0"/>
              <w:widowControl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拟建项目为</w:t>
            </w:r>
            <w:r>
              <w:rPr>
                <w:rFonts w:hint="eastAsia"/>
                <w:color w:val="000000" w:themeColor="text1"/>
                <w:highlight w:val="none"/>
                <w:lang w:eastAsia="zh-CN"/>
                <w14:textFill>
                  <w14:solidFill>
                    <w14:schemeClr w14:val="tx1"/>
                  </w14:solidFill>
                </w14:textFill>
              </w:rPr>
              <w:t>聚氨酯封边岩棉夹芯</w:t>
            </w:r>
            <w:r>
              <w:rPr>
                <w:rFonts w:hint="eastAsia"/>
                <w:color w:val="000000" w:themeColor="text1"/>
                <w:highlight w:val="none"/>
                <w14:textFill>
                  <w14:solidFill>
                    <w14:schemeClr w14:val="tx1"/>
                  </w14:solidFill>
                </w14:textFill>
              </w:rPr>
              <w:t>板</w:t>
            </w:r>
            <w:r>
              <w:rPr>
                <w:rFonts w:hint="eastAsia"/>
                <w:color w:val="000000" w:themeColor="text1"/>
                <w:highlight w:val="none"/>
                <w:lang w:eastAsia="zh-CN"/>
                <w14:textFill>
                  <w14:solidFill>
                    <w14:schemeClr w14:val="tx1"/>
                  </w14:solidFill>
                </w14:textFill>
              </w:rPr>
              <w:t>加工</w:t>
            </w:r>
            <w:r>
              <w:rPr>
                <w:rFonts w:hint="eastAsia"/>
                <w:color w:val="000000" w:themeColor="text1"/>
                <w:highlight w:val="none"/>
                <w14:textFill>
                  <w14:solidFill>
                    <w14:schemeClr w14:val="tx1"/>
                  </w14:solidFill>
                </w14:textFill>
              </w:rPr>
              <w:t>生产</w:t>
            </w:r>
            <w:r>
              <w:rPr>
                <w:rFonts w:hint="eastAsia"/>
                <w:color w:val="000000" w:themeColor="text1"/>
                <w:highlight w:val="none"/>
                <w:lang w:eastAsia="zh-CN"/>
                <w14:textFill>
                  <w14:solidFill>
                    <w14:schemeClr w14:val="tx1"/>
                  </w14:solidFill>
                </w14:textFill>
              </w:rPr>
              <w:t>线</w:t>
            </w:r>
            <w:r>
              <w:rPr>
                <w:rFonts w:hint="eastAsia"/>
                <w:color w:val="000000" w:themeColor="text1"/>
                <w:highlight w:val="none"/>
                <w14:textFill>
                  <w14:solidFill>
                    <w14:schemeClr w14:val="tx1"/>
                  </w14:solidFill>
                </w14:textFill>
              </w:rPr>
              <w:t>项目，对照《产业结构调整指导目录（2019年本）》的规定，</w:t>
            </w:r>
            <w:r>
              <w:rPr>
                <w:rFonts w:hint="eastAsia"/>
                <w:color w:val="000000" w:themeColor="text1"/>
                <w:highlight w:val="none"/>
                <w:lang w:eastAsia="zh-CN"/>
                <w14:textFill>
                  <w14:solidFill>
                    <w14:schemeClr w14:val="tx1"/>
                  </w14:solidFill>
                </w14:textFill>
              </w:rPr>
              <w:t>本项目</w:t>
            </w:r>
            <w:r>
              <w:rPr>
                <w:rFonts w:hint="eastAsia"/>
                <w:highlight w:val="none"/>
              </w:rPr>
              <w:t>不属于鼓励类、限制类和淘汰类</w:t>
            </w:r>
            <w:r>
              <w:rPr>
                <w:rFonts w:hint="eastAsia"/>
                <w:highlight w:val="none"/>
                <w:lang w:eastAsia="zh-CN"/>
              </w:rPr>
              <w:t>，</w:t>
            </w:r>
            <w:r>
              <w:rPr>
                <w:rFonts w:hint="eastAsia"/>
                <w:color w:val="000000" w:themeColor="text1"/>
                <w:highlight w:val="none"/>
                <w14:textFill>
                  <w14:solidFill>
                    <w14:schemeClr w14:val="tx1"/>
                  </w14:solidFill>
                </w14:textFill>
              </w:rPr>
              <w:t>根据国务院《促进产业结构调整暂行规定》（国发[2005]40号）中第十三条：“不属于鼓励类、限制类和淘汰类，且符合国家有关法律、法规和政策规定的，为允许类。允许类不列入《产业结构调整指导目录》”，故本项目为允许类项目，项目建设符合国家产业政策要求。</w:t>
            </w:r>
          </w:p>
          <w:p>
            <w:pPr>
              <w:pStyle w:val="3"/>
              <w:keepLines w:val="0"/>
              <w:pageBreakBefore w:val="0"/>
              <w:widowControl w:val="0"/>
              <w:kinsoku/>
              <w:wordWrap/>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与《自治区打赢蓝天保卫战三年行动计划（2018-2020年）》相符性分析</w:t>
            </w:r>
          </w:p>
          <w:p>
            <w:pPr>
              <w:keepLines w:val="0"/>
              <w:pageBreakBefore w:val="0"/>
              <w:widowControl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《自治区打赢蓝天保卫战三年行动计划（2018-2020年）》要求推进重点行业污染治理升级改造。“乌-昌-石”区域二氧化硫、氮氧化物、颗粒物、挥发性有机物</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VOCs</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全面执行大气污染物特别排放限值。</w:t>
            </w:r>
            <w:r>
              <w:rPr>
                <w:rFonts w:hint="eastAsia"/>
                <w:color w:val="000000" w:themeColor="text1"/>
                <w:highlight w:val="none"/>
                <w:lang w:eastAsia="zh-CN"/>
                <w14:textFill>
                  <w14:solidFill>
                    <w14:schemeClr w14:val="tx1"/>
                  </w14:solidFill>
                </w14:textFill>
              </w:rPr>
              <w:t>大力推进企业清洁生产，对高新区进行集中整治，限期进行达标改造，减少工业聚集区污染。推动有条件的工业聚集区建设集中喷涂工程中心，配备高效治污设施，替代企业独立喷涂工序。</w:t>
            </w:r>
            <w:r>
              <w:rPr>
                <w:rFonts w:hint="eastAsia"/>
                <w:color w:val="000000" w:themeColor="text1"/>
                <w:highlight w:val="none"/>
                <w14:textFill>
                  <w14:solidFill>
                    <w14:schemeClr w14:val="tx1"/>
                  </w14:solidFill>
                </w14:textFill>
              </w:rPr>
              <w:t>本项目为</w:t>
            </w:r>
            <w:r>
              <w:rPr>
                <w:rFonts w:hint="eastAsia"/>
                <w:color w:val="000000" w:themeColor="text1"/>
                <w:highlight w:val="none"/>
                <w:lang w:eastAsia="zh-CN"/>
                <w14:textFill>
                  <w14:solidFill>
                    <w14:schemeClr w14:val="tx1"/>
                  </w14:solidFill>
                </w14:textFill>
              </w:rPr>
              <w:t>聚氨酯封边岩棉夹芯板加工</w:t>
            </w:r>
            <w:r>
              <w:rPr>
                <w:rFonts w:hint="eastAsia"/>
                <w:color w:val="000000" w:themeColor="text1"/>
                <w:highlight w:val="none"/>
                <w14:textFill>
                  <w14:solidFill>
                    <w14:schemeClr w14:val="tx1"/>
                  </w14:solidFill>
                </w14:textFill>
              </w:rPr>
              <w:t>生产</w:t>
            </w:r>
            <w:r>
              <w:rPr>
                <w:rFonts w:hint="eastAsia"/>
                <w:color w:val="000000" w:themeColor="text1"/>
                <w:highlight w:val="none"/>
                <w:lang w:eastAsia="zh-CN"/>
                <w14:textFill>
                  <w14:solidFill>
                    <w14:schemeClr w14:val="tx1"/>
                  </w14:solidFill>
                </w14:textFill>
              </w:rPr>
              <w:t>线</w:t>
            </w:r>
            <w:r>
              <w:rPr>
                <w:rFonts w:hint="eastAsia"/>
                <w:color w:val="000000" w:themeColor="text1"/>
                <w:highlight w:val="none"/>
                <w14:textFill>
                  <w14:solidFill>
                    <w14:schemeClr w14:val="tx1"/>
                  </w14:solidFill>
                </w14:textFill>
              </w:rPr>
              <w:t>项目，</w:t>
            </w:r>
            <w:r>
              <w:rPr>
                <w:rFonts w:hint="eastAsia"/>
                <w:color w:val="000000" w:themeColor="text1"/>
                <w:highlight w:val="none"/>
                <w:lang w:eastAsia="zh-CN"/>
                <w14:textFill>
                  <w14:solidFill>
                    <w14:schemeClr w14:val="tx1"/>
                  </w14:solidFill>
                </w14:textFill>
              </w:rPr>
              <w:t>发泡</w:t>
            </w:r>
            <w:r>
              <w:rPr>
                <w:rFonts w:hint="eastAsia"/>
                <w:color w:val="000000" w:themeColor="text1"/>
                <w:highlight w:val="none"/>
                <w14:textFill>
                  <w14:solidFill>
                    <w14:schemeClr w14:val="tx1"/>
                  </w14:solidFill>
                </w14:textFill>
              </w:rPr>
              <w:t>、压缩成型等过程中产生的有机废气（VOCs）采用集气罩收集，经UV光氧催化+活性炭吸附处理装置处理，最终经过15m高排气筒排放，有机废气VOCs（非甲烷总烃）和切割粉尘执行《合成树脂工业污染物排放标准》（GB31572-2015）表5中非甲烷总烃和颗粒物的特别排放限值、表9中企业边界大气污染物浓度限值和《挥发性有机物无组织排放控制标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GB37822-2019</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附录A中表A.1的厂区内VOCs无组织特别排放限值，符合该要求。</w:t>
            </w:r>
          </w:p>
          <w:p>
            <w:pPr>
              <w:pStyle w:val="3"/>
              <w:keepLines w:val="0"/>
              <w:pageBreakBefore w:val="0"/>
              <w:widowControl w:val="0"/>
              <w:kinsoku/>
              <w:wordWrap/>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1.4与《关于加强乌鲁木齐、昌吉、石河子、五家渠区域环境同防同治的意见》（新政发[2016]140号）相符性分析</w:t>
            </w:r>
          </w:p>
          <w:p>
            <w:pPr>
              <w:keepLines w:val="0"/>
              <w:pageBreakBefore w:val="0"/>
              <w:widowControl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关于加强乌鲁木齐、昌吉、石河子、五家渠区域环境同防同治的意见》中相关内容，重点区域不再布局建设煤化工、电解铝、燃煤存发电机组、金属硅、碳化硅、聚氯乙烯（电石法）、焦炭（含半焦）等行业的新增产能项目。本项目不属于上述行业。本项目符合《关于加强乌鲁木齐、昌吉、石河子、五家渠区域环境同防同治的意见》中的相关要求。</w:t>
            </w:r>
          </w:p>
          <w:p>
            <w:pPr>
              <w:pStyle w:val="3"/>
              <w:keepLines w:val="0"/>
              <w:pageBreakBefore w:val="0"/>
              <w:widowControl w:val="0"/>
              <w:kinsoku/>
              <w:wordWrap/>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1.5与《关于印发新疆维吾尔自治区“十三五”挥发性有机物污染防治实施方案的通知》（新环发[2018]74号）的符合性分析</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本项目与《关于印发新疆维吾尔自治区“十三五”挥发性有机物污染防治实施方案的通知》的符合性分析</w:t>
            </w:r>
          </w:p>
          <w:tbl>
            <w:tblPr>
              <w:tblStyle w:val="18"/>
              <w:tblpPr w:leftFromText="180" w:rightFromText="180" w:vertAnchor="text" w:horzAnchor="margin" w:tblpYSpec="bottom"/>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3264"/>
              <w:gridCol w:w="1801"/>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w:t>
                  </w:r>
                </w:p>
              </w:tc>
              <w:tc>
                <w:tcPr>
                  <w:tcW w:w="32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《关于印发新疆维吾尔自治区“十三五”挥发性有机物污染防治实施方案的通知》（新环发[2018]74号）中的要求</w:t>
                  </w:r>
                </w:p>
              </w:tc>
              <w:tc>
                <w:tcPr>
                  <w:tcW w:w="18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本项目情况</w:t>
                  </w:r>
                </w:p>
              </w:tc>
              <w:tc>
                <w:tcPr>
                  <w:tcW w:w="4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治理重点</w:t>
                  </w:r>
                </w:p>
              </w:tc>
              <w:tc>
                <w:tcPr>
                  <w:tcW w:w="32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（一）重点地区。“乌—昌—石”“奎—独—乌”区域，O</w:t>
                  </w:r>
                  <w:r>
                    <w:rPr>
                      <w:rFonts w:hint="eastAsia"/>
                      <w:color w:val="000000" w:themeColor="text1"/>
                      <w:sz w:val="21"/>
                      <w:szCs w:val="21"/>
                      <w:highlight w:val="none"/>
                      <w:vertAlign w:val="subscript"/>
                      <w14:textFill>
                        <w14:solidFill>
                          <w14:schemeClr w14:val="tx1"/>
                        </w14:solidFill>
                      </w14:textFill>
                    </w:rPr>
                    <w:t>3</w:t>
                  </w:r>
                  <w:r>
                    <w:rPr>
                      <w:rFonts w:hint="eastAsia"/>
                      <w:color w:val="000000" w:themeColor="text1"/>
                      <w:sz w:val="21"/>
                      <w:szCs w:val="21"/>
                      <w:highlight w:val="none"/>
                      <w14:textFill>
                        <w14:solidFill>
                          <w14:schemeClr w14:val="tx1"/>
                        </w14:solidFill>
                      </w14:textFill>
                    </w:rPr>
                    <w:t>浓度超标地区。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（二）重点行业。重点推进石化、化工、包装印刷、工业涂装等重点行业以及机动车、油品储运销等交通源VOCs污染防治。</w:t>
                  </w:r>
                </w:p>
              </w:tc>
              <w:tc>
                <w:tcPr>
                  <w:tcW w:w="18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本项目位于昌吉高新技术产业开发区，本项目在采取污染防治措施后，有组织及无组织排放均能达标排放，对项目区域环境影响较小。</w:t>
                  </w:r>
                </w:p>
              </w:tc>
              <w:tc>
                <w:tcPr>
                  <w:tcW w:w="4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主要任务</w:t>
                  </w:r>
                </w:p>
              </w:tc>
              <w:tc>
                <w:tcPr>
                  <w:tcW w:w="32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（一）加大产业结构调整力度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1、加快推进“散乱污”企业综合整治。结合第二次全国污染源普查，继续推进“散乱污”企业排查、整治工作，建立涉VOCs排放的企业管理台账，实施分类处</w:t>
                  </w:r>
                  <w:r>
                    <w:rPr>
                      <w:rFonts w:hint="eastAsia"/>
                      <w:color w:val="000000" w:themeColor="text1"/>
                      <w:sz w:val="21"/>
                      <w:szCs w:val="21"/>
                      <w:highlight w:val="none"/>
                      <w:lang w:eastAsia="zh-CN"/>
                      <w14:textFill>
                        <w14:solidFill>
                          <w14:schemeClr w14:val="tx1"/>
                        </w14:solidFill>
                      </w14:textFill>
                    </w:rPr>
                    <w:t>置</w:t>
                  </w:r>
                  <w:r>
                    <w:rPr>
                      <w:rFonts w:hint="eastAsia"/>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2、严格建设项目环境准入。提高VOCs排放重点行业环保准入门槛，严格控制新增污染物排放量。“乌—昌—石”“奎—独—乌”区域及O</w:t>
                  </w:r>
                  <w:r>
                    <w:rPr>
                      <w:rFonts w:hint="eastAsia"/>
                      <w:color w:val="000000" w:themeColor="text1"/>
                      <w:sz w:val="21"/>
                      <w:szCs w:val="21"/>
                      <w:highlight w:val="none"/>
                      <w:vertAlign w:val="subscript"/>
                      <w14:textFill>
                        <w14:solidFill>
                          <w14:schemeClr w14:val="tx1"/>
                        </w14:solidFill>
                      </w14:textFill>
                    </w:rPr>
                    <w:t>3</w:t>
                  </w:r>
                  <w:r>
                    <w:rPr>
                      <w:rFonts w:hint="eastAsia"/>
                      <w:color w:val="000000" w:themeColor="text1"/>
                      <w:sz w:val="21"/>
                      <w:szCs w:val="21"/>
                      <w:highlight w:val="none"/>
                      <w14:textFill>
                        <w14:solidFill>
                          <w14:schemeClr w14:val="tx1"/>
                        </w14:solidFill>
                      </w14:textFill>
                    </w:rPr>
                    <w:t>浓度超标地区严格限制石化、化工等高VOCs排放建设项目。新建涉VOCs排放的工业企业要入园区。未纳入《石化产业规划布局方案》的新建炼化项目一律不得建设。严格涉VOCs建设项目环境影响评价，实行区域内VOCs排放等量或倍量削减替代，并将替代方案落实到企业排污许可证中，纳入环境执法管理。新、改、扩建涉VOCs排放项目，应从源头加强控制，使用低（无）VOCs含量的原辅材料，加强废气收集，安装高效治理设施。</w:t>
                  </w:r>
                </w:p>
              </w:tc>
              <w:tc>
                <w:tcPr>
                  <w:tcW w:w="18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本项目位于昌吉高新技术产业开发区，符合“严格建设项目环境准入”的要求；本项目为</w:t>
                  </w:r>
                  <w:r>
                    <w:rPr>
                      <w:rFonts w:hint="eastAsia" w:cs="宋体"/>
                      <w:sz w:val="21"/>
                      <w:szCs w:val="21"/>
                      <w:lang w:val="en-US" w:eastAsia="zh-CN"/>
                    </w:rPr>
                    <w:t>其他建筑材料制品加工</w:t>
                  </w:r>
                  <w:r>
                    <w:rPr>
                      <w:rFonts w:hint="eastAsia"/>
                      <w:color w:val="000000" w:themeColor="text1"/>
                      <w:sz w:val="21"/>
                      <w:szCs w:val="21"/>
                      <w:highlight w:val="none"/>
                      <w14:textFill>
                        <w14:solidFill>
                          <w14:schemeClr w14:val="tx1"/>
                        </w14:solidFill>
                      </w14:textFill>
                    </w:rPr>
                    <w:t>，对生产过程中产生的VOCs采用UV光氧催化+活性炭吸附处理，经处理后的废气能够达标排放。</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本项目位于昌吉高新技术产业开发区，项目所在的昌吉高新技术产业开发区已于2015年通过规划环境影响评价（新环函[2015]306号）。</w:t>
                  </w:r>
                </w:p>
              </w:tc>
              <w:tc>
                <w:tcPr>
                  <w:tcW w:w="4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p>
              </w:tc>
              <w:tc>
                <w:tcPr>
                  <w:tcW w:w="32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（二）加快实施工业源VOCs污染防治</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加快推进化工行业VOCs综合治理……推广使用低（无）VOCs含量、低反应活性的原辅材料和产品……参</w:t>
                  </w:r>
                  <w:r>
                    <w:rPr>
                      <w:rFonts w:hint="eastAsia"/>
                      <w:color w:val="000000" w:themeColor="text1"/>
                      <w:sz w:val="21"/>
                      <w:highlight w:val="none"/>
                      <w14:textFill>
                        <w14:solidFill>
                          <w14:schemeClr w14:val="tx1"/>
                        </w14:solidFill>
                      </w14:textFill>
                    </w:rPr>
                    <w:t>照石化行业VOCs治理任务要求，全面推进化工企业设备动静密封点、储存、装卸、废水系统、有组织工艺废气和非正常工况等源项整治……加强无组织废气排放控制，含VOCs物料的储存、输送、投料、卸料，涉及VOCs物料的生产及含VOCs产品分装等过程应密闭操作。反应尾气、蒸馏装置不凝尾气</w:t>
                  </w:r>
                  <w:r>
                    <w:rPr>
                      <w:rFonts w:hint="eastAsia"/>
                      <w:color w:val="000000" w:themeColor="text1"/>
                      <w:sz w:val="21"/>
                      <w:szCs w:val="21"/>
                      <w:highlight w:val="none"/>
                      <w14:textFill>
                        <w14:solidFill>
                          <w14:schemeClr w14:val="tx1"/>
                        </w14:solidFill>
                      </w14:textFill>
                    </w:rPr>
                    <w:t>等工艺排气，工艺容器的置换气、吹扫气、抽真空排气等应进行收集治理。</w:t>
                  </w:r>
                </w:p>
              </w:tc>
              <w:tc>
                <w:tcPr>
                  <w:tcW w:w="18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本项目原辅材料为</w:t>
                  </w:r>
                  <w:r>
                    <w:rPr>
                      <w:rFonts w:hint="eastAsia"/>
                      <w:color w:val="000000" w:themeColor="text1"/>
                      <w:sz w:val="21"/>
                      <w:szCs w:val="21"/>
                      <w:highlight w:val="none"/>
                      <w:lang w:eastAsia="zh-CN"/>
                      <w14:textFill>
                        <w14:solidFill>
                          <w14:schemeClr w14:val="tx1"/>
                        </w14:solidFill>
                      </w14:textFill>
                    </w:rPr>
                    <w:t>岩棉和玻璃丝绵</w:t>
                  </w:r>
                  <w:r>
                    <w:rPr>
                      <w:rFonts w:hint="eastAsia"/>
                      <w:color w:val="000000" w:themeColor="text1"/>
                      <w:sz w:val="21"/>
                      <w:szCs w:val="21"/>
                      <w:highlight w:val="none"/>
                      <w14:textFill>
                        <w14:solidFill>
                          <w14:schemeClr w14:val="tx1"/>
                        </w14:solidFill>
                      </w14:textFill>
                    </w:rPr>
                    <w:t>，反应活性低，产品为</w:t>
                  </w:r>
                  <w:r>
                    <w:rPr>
                      <w:rFonts w:hint="eastAsia"/>
                      <w:color w:val="000000" w:themeColor="text1"/>
                      <w:sz w:val="21"/>
                      <w:szCs w:val="21"/>
                      <w:highlight w:val="none"/>
                      <w:lang w:eastAsia="zh-CN"/>
                      <w14:textFill>
                        <w14:solidFill>
                          <w14:schemeClr w14:val="tx1"/>
                        </w14:solidFill>
                      </w14:textFill>
                    </w:rPr>
                    <w:t>聚氨酯封边岩棉夹芯</w:t>
                  </w:r>
                  <w:r>
                    <w:rPr>
                      <w:rFonts w:hint="eastAsia"/>
                      <w:color w:val="000000" w:themeColor="text1"/>
                      <w:sz w:val="21"/>
                      <w:szCs w:val="21"/>
                      <w:highlight w:val="none"/>
                      <w14:textFill>
                        <w14:solidFill>
                          <w14:schemeClr w14:val="tx1"/>
                        </w14:solidFill>
                      </w14:textFill>
                    </w:rPr>
                    <w:t>板。</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本项目仅生产过程涉及VOCs排放，且涉及VOCs物料的生产过程处于密闭操作状态，产生的废气经集气罩收集后采用UV光氧催化+活性炭吸附处理，最后经15米排气筒达标排放。</w:t>
                  </w:r>
                </w:p>
              </w:tc>
              <w:tc>
                <w:tcPr>
                  <w:tcW w:w="4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建立健全VOCs管理</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体系</w:t>
                  </w:r>
                </w:p>
              </w:tc>
              <w:tc>
                <w:tcPr>
                  <w:tcW w:w="32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1、建立健全监测监控体系。加强环境质量和污染源排放VOCs自动监测工作，强化VOCs执法能力建设，全面提升VOCs环保监管能力。O</w:t>
                  </w:r>
                  <w:r>
                    <w:rPr>
                      <w:rFonts w:hint="eastAsia"/>
                      <w:color w:val="000000" w:themeColor="text1"/>
                      <w:sz w:val="21"/>
                      <w:szCs w:val="21"/>
                      <w:highlight w:val="none"/>
                      <w:vertAlign w:val="subscript"/>
                      <w14:textFill>
                        <w14:solidFill>
                          <w14:schemeClr w14:val="tx1"/>
                        </w14:solidFill>
                      </w14:textFill>
                    </w:rPr>
                    <w:t>3</w:t>
                  </w:r>
                  <w:r>
                    <w:rPr>
                      <w:rFonts w:hint="eastAsia"/>
                      <w:color w:val="000000" w:themeColor="text1"/>
                      <w:sz w:val="21"/>
                      <w:szCs w:val="21"/>
                      <w:highlight w:val="none"/>
                      <w14:textFill>
                        <w14:solidFill>
                          <w14:schemeClr w14:val="tx1"/>
                        </w14:solidFill>
                      </w14:textFill>
                    </w:rPr>
                    <w:t>超标地区建设一套V</w:t>
                  </w:r>
                  <w:r>
                    <w:rPr>
                      <w:color w:val="000000" w:themeColor="text1"/>
                      <w:sz w:val="21"/>
                      <w:szCs w:val="21"/>
                      <w:highlight w:val="none"/>
                      <w14:textFill>
                        <w14:solidFill>
                          <w14:schemeClr w14:val="tx1"/>
                        </w14:solidFill>
                      </w14:textFill>
                    </w:rPr>
                    <w:t>O</w:t>
                  </w:r>
                  <w:r>
                    <w:rPr>
                      <w:rFonts w:hint="eastAsia"/>
                      <w:color w:val="000000" w:themeColor="text1"/>
                      <w:sz w:val="21"/>
                      <w:szCs w:val="21"/>
                      <w:highlight w:val="none"/>
                      <w14:textFill>
                        <w14:solidFill>
                          <w14:schemeClr w14:val="tx1"/>
                        </w14:solidFill>
                      </w14:textFill>
                    </w:rPr>
                    <w:t>Cs组分自动监测系统。将石化、化工、包装印刷、工业涂装等VOCs排放重点源纳入重点排污单位名录，石化、煤化工（含现代煤化工、炼焦、合成氨）主要排污口要安装VOCs污染物排放自动监测设备，并与环保部门联网，开展厂界VOCs监测；其他企业配备便携式VOCs检测仪。工业集中区应结合园区排放特征，配置VOCs连续自动采样体系或符合园区排放特征的VOCs监测监控体系。</w:t>
                  </w:r>
                </w:p>
              </w:tc>
              <w:tc>
                <w:tcPr>
                  <w:tcW w:w="18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本项目属于</w:t>
                  </w:r>
                  <w:r>
                    <w:rPr>
                      <w:rFonts w:hint="eastAsia" w:cs="宋体"/>
                      <w:sz w:val="21"/>
                      <w:szCs w:val="21"/>
                      <w:lang w:val="en-US" w:eastAsia="zh-CN"/>
                    </w:rPr>
                    <w:t>其他建筑材料制品</w:t>
                  </w:r>
                  <w:r>
                    <w:rPr>
                      <w:rFonts w:hint="eastAsia"/>
                      <w:color w:val="000000" w:themeColor="text1"/>
                      <w:sz w:val="21"/>
                      <w:szCs w:val="21"/>
                      <w:highlight w:val="none"/>
                      <w14:textFill>
                        <w14:solidFill>
                          <w14:schemeClr w14:val="tx1"/>
                        </w14:solidFill>
                      </w14:textFill>
                    </w:rPr>
                    <w:t>加工，不属于重点行业，企业应该配置便携式VOCs检测仪</w:t>
                  </w:r>
                </w:p>
              </w:tc>
              <w:tc>
                <w:tcPr>
                  <w:tcW w:w="4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highlight w:val="none"/>
                      <w14:textFill>
                        <w14:solidFill>
                          <w14:schemeClr w14:val="tx1"/>
                        </w14:solidFill>
                      </w14:textFill>
                    </w:rPr>
                  </w:pPr>
                </w:p>
              </w:tc>
              <w:tc>
                <w:tcPr>
                  <w:tcW w:w="32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2、实施排污许可制度</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加快石化、制药行业VOCs排污许可工作，到</w:t>
                  </w:r>
                  <w:r>
                    <w:rPr>
                      <w:color w:val="000000" w:themeColor="text1"/>
                      <w:sz w:val="21"/>
                      <w:szCs w:val="21"/>
                      <w:highlight w:val="none"/>
                      <w14:textFill>
                        <w14:solidFill>
                          <w14:schemeClr w14:val="tx1"/>
                        </w14:solidFill>
                      </w14:textFill>
                    </w:rPr>
                    <w:t>2</w:t>
                  </w:r>
                  <w:r>
                    <w:rPr>
                      <w:rFonts w:hint="eastAsia"/>
                      <w:color w:val="000000" w:themeColor="text1"/>
                      <w:sz w:val="21"/>
                      <w:szCs w:val="21"/>
                      <w:highlight w:val="none"/>
                      <w14:textFill>
                        <w14:solidFill>
                          <w14:schemeClr w14:val="tx1"/>
                        </w14:solidFill>
                      </w14:textFill>
                    </w:rPr>
                    <w:t>018年底前，完成排污许可证核发。到2020年底前，在包装印刷、汽车制造等VOCs排放重点行业全面推行排污许可制度。通过排污许可管理，落实企业VOCs源头削减、过程控制和末端治理措施要求，逐步规范涉VOCs工业企业自行监测、台账记录和定期报告的具体规定，推进企业持证、按证排污，严厉处罚无证和不按证排污行为。</w:t>
                  </w:r>
                </w:p>
              </w:tc>
              <w:tc>
                <w:tcPr>
                  <w:tcW w:w="18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本项目属</w:t>
                  </w:r>
                  <w:r>
                    <w:rPr>
                      <w:rFonts w:hint="eastAsia" w:cs="宋体"/>
                      <w:sz w:val="21"/>
                      <w:szCs w:val="21"/>
                      <w:lang w:val="en-US" w:eastAsia="zh-CN"/>
                    </w:rPr>
                    <w:t>其他建筑材料制品加工</w:t>
                  </w:r>
                  <w:r>
                    <w:rPr>
                      <w:rFonts w:hint="eastAsia"/>
                      <w:color w:val="000000" w:themeColor="text1"/>
                      <w:sz w:val="21"/>
                      <w:szCs w:val="21"/>
                      <w:highlight w:val="none"/>
                      <w14:textFill>
                        <w14:solidFill>
                          <w14:schemeClr w14:val="tx1"/>
                        </w14:solidFill>
                      </w14:textFill>
                    </w:rPr>
                    <w:t>，不属于重点行业</w:t>
                  </w:r>
                </w:p>
              </w:tc>
              <w:tc>
                <w:tcPr>
                  <w:tcW w:w="4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bl>
          <w:p>
            <w:pPr>
              <w:pStyle w:val="3"/>
              <w:pageBreakBefore w:val="0"/>
              <w:widowControl w:val="0"/>
              <w:kinsoku/>
              <w:wordWrap/>
              <w:topLinePunct w:val="0"/>
              <w:autoSpaceDE/>
              <w:autoSpaceDN/>
              <w:bidi w:val="0"/>
              <w:adjustRightInd/>
              <w:snapToGrid w:val="0"/>
              <w:spacing w:before="0" w:after="0"/>
              <w:jc w:val="left"/>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1.6与《关于开展自治区2021年度夏秋季大气污染防治“冬病夏治”工作的通知》（昌州环委办发[2021]17号）的符合性分析</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color w:val="000000" w:themeColor="text1"/>
                <w:highlight w:val="red"/>
                <w14:textFill>
                  <w14:solidFill>
                    <w14:schemeClr w14:val="tx1"/>
                  </w14:solidFill>
                </w14:textFill>
              </w:rPr>
            </w:pPr>
            <w:r>
              <w:rPr>
                <w:rFonts w:hint="eastAsia"/>
                <w:color w:val="000000" w:themeColor="text1"/>
                <w:highlight w:val="none"/>
                <w14:textFill>
                  <w14:solidFill>
                    <w14:schemeClr w14:val="tx1"/>
                  </w14:solidFill>
                </w14:textFill>
              </w:rPr>
              <w:t>根据《</w:t>
            </w:r>
            <w:r>
              <w:rPr>
                <w:rFonts w:hint="eastAsia"/>
                <w:color w:val="000000" w:themeColor="text1"/>
                <w:highlight w:val="none"/>
                <w:lang w:val="en-US" w:eastAsia="zh-CN"/>
                <w14:textFill>
                  <w14:solidFill>
                    <w14:schemeClr w14:val="tx1"/>
                  </w14:solidFill>
                </w14:textFill>
              </w:rPr>
              <w:t>关于开展自治区2021年度夏秋季大气污染防治“冬病夏治”工作的通知</w:t>
            </w:r>
            <w:r>
              <w:rPr>
                <w:rFonts w:hint="eastAsia"/>
                <w:color w:val="000000" w:themeColor="text1"/>
                <w:highlight w:val="none"/>
                <w14:textFill>
                  <w14:solidFill>
                    <w14:schemeClr w14:val="tx1"/>
                  </w14:solidFill>
                </w14:textFill>
              </w:rPr>
              <w:t>》中</w:t>
            </w:r>
            <w:r>
              <w:rPr>
                <w:rFonts w:hint="eastAsia"/>
                <w:color w:val="000000" w:themeColor="text1"/>
                <w:highlight w:val="none"/>
                <w:lang w:eastAsia="zh-CN"/>
                <w14:textFill>
                  <w14:solidFill>
                    <w14:schemeClr w14:val="tx1"/>
                  </w14:solidFill>
                </w14:textFill>
              </w:rPr>
              <w:t>的</w:t>
            </w:r>
            <w:r>
              <w:rPr>
                <w:rFonts w:hint="eastAsia"/>
                <w:color w:val="000000" w:themeColor="text1"/>
                <w:highlight w:val="none"/>
                <w14:textFill>
                  <w14:solidFill>
                    <w14:schemeClr w14:val="tx1"/>
                  </w14:solidFill>
                </w14:textFill>
              </w:rPr>
              <w:t>相关内容，</w:t>
            </w:r>
            <w:r>
              <w:rPr>
                <w:rFonts w:hint="eastAsia"/>
                <w:color w:val="000000" w:themeColor="text1"/>
                <w:highlight w:val="none"/>
                <w:lang w:eastAsia="zh-CN"/>
                <w14:textFill>
                  <w14:solidFill>
                    <w14:schemeClr w14:val="tx1"/>
                  </w14:solidFill>
                </w14:textFill>
              </w:rPr>
              <w:t>推进实施含</w:t>
            </w:r>
            <w:r>
              <w:rPr>
                <w:rFonts w:hint="eastAsia"/>
                <w:color w:val="000000" w:themeColor="text1"/>
                <w:highlight w:val="none"/>
                <w:lang w:val="en-US" w:eastAsia="zh-CN"/>
                <w14:textFill>
                  <w14:solidFill>
                    <w14:schemeClr w14:val="tx1"/>
                  </w14:solidFill>
                </w14:textFill>
              </w:rPr>
              <w:t>VOCs产品源头替代工程，加大低（无）VOCs含量涂料、油墨、胶粘剂等源头替代力度。全面落实VOCs无组织排放等标准要求，开展储罐综合治理、污水逸散有机废气专项治理。针对石化、化工、工业涂装、包装印刷等重点行业废气排放旁路开展摸排并建立清单，取消非必要旁路，因安全生产确需保留的，应通过铅封、安装自动监控设施等方式加强监管。推动企业实施生产过程密闭化、连续化、自动化技术改造，强化生产工艺环节的有机废气收集。本项目有机废气通过</w:t>
            </w:r>
            <w:r>
              <w:rPr>
                <w:rFonts w:hint="eastAsia"/>
                <w:color w:val="000000" w:themeColor="text1"/>
                <w:highlight w:val="none"/>
                <w14:textFill>
                  <w14:solidFill>
                    <w14:schemeClr w14:val="tx1"/>
                  </w14:solidFill>
                </w14:textFill>
              </w:rPr>
              <w:t>UV光氧催化+活性炭吸附</w:t>
            </w:r>
            <w:r>
              <w:rPr>
                <w:rFonts w:hint="eastAsia"/>
                <w:i w:val="0"/>
                <w:iCs w:val="0"/>
                <w:caps w:val="0"/>
                <w:color w:val="000000" w:themeColor="text1"/>
                <w:spacing w:val="0"/>
                <w:highlight w:val="none"/>
                <w:lang w:val="en-US" w:eastAsia="zh-CN"/>
                <w14:textFill>
                  <w14:solidFill>
                    <w14:schemeClr w14:val="tx1"/>
                  </w14:solidFill>
                </w14:textFill>
              </w:rPr>
              <w:t>处理后，非甲烷总烃达标排放</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本项目无</w:t>
            </w:r>
            <w:r>
              <w:rPr>
                <w:rFonts w:hint="eastAsia"/>
                <w:color w:val="000000" w:themeColor="text1"/>
                <w:highlight w:val="none"/>
                <w:lang w:val="en-US" w:eastAsia="zh-CN"/>
                <w14:textFill>
                  <w14:solidFill>
                    <w14:schemeClr w14:val="tx1"/>
                  </w14:solidFill>
                </w14:textFill>
              </w:rPr>
              <w:t>VOCs源头替代工程，</w:t>
            </w:r>
            <w:r>
              <w:rPr>
                <w:rFonts w:hint="eastAsia"/>
                <w:color w:val="000000" w:themeColor="text1"/>
                <w:highlight w:val="none"/>
                <w14:textFill>
                  <w14:solidFill>
                    <w14:schemeClr w14:val="tx1"/>
                  </w14:solidFill>
                </w14:textFill>
              </w:rPr>
              <w:t>本项目符合《</w:t>
            </w:r>
            <w:r>
              <w:rPr>
                <w:rFonts w:hint="eastAsia"/>
                <w:color w:val="000000" w:themeColor="text1"/>
                <w:highlight w:val="none"/>
                <w:lang w:val="en-US" w:eastAsia="zh-CN"/>
                <w14:textFill>
                  <w14:solidFill>
                    <w14:schemeClr w14:val="tx1"/>
                  </w14:solidFill>
                </w14:textFill>
              </w:rPr>
              <w:t>关于开展自治区2021年度夏秋季大气污染防治“冬病夏治”工作的通知</w:t>
            </w:r>
            <w:r>
              <w:rPr>
                <w:rFonts w:hint="eastAsia"/>
                <w:color w:val="000000" w:themeColor="text1"/>
                <w:highlight w:val="none"/>
                <w14:textFill>
                  <w14:solidFill>
                    <w14:schemeClr w14:val="tx1"/>
                  </w14:solidFill>
                </w14:textFill>
              </w:rPr>
              <w:t>》中的相关要求。</w:t>
            </w:r>
          </w:p>
          <w:p>
            <w:pPr>
              <w:pStyle w:val="3"/>
              <w:pageBreakBefore w:val="0"/>
              <w:widowControl w:val="0"/>
              <w:kinsoku/>
              <w:wordWrap/>
              <w:topLinePunct w:val="0"/>
              <w:autoSpaceDE/>
              <w:autoSpaceDN/>
              <w:bidi w:val="0"/>
              <w:adjustRightInd/>
              <w:snapToGrid w:val="0"/>
              <w:spacing w:before="0" w:after="0"/>
              <w:jc w:val="left"/>
              <w:textAlignment w:val="auto"/>
              <w:rPr>
                <w:rFonts w:hint="eastAsia"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1.7与《新疆维吾尔自治区轻工业“十三五”发展规划》的符合性分析</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根据《新疆维吾尔自治区轻工业“十三五”发展规划》中的相关内容，有关</w:t>
            </w:r>
            <w:r>
              <w:rPr>
                <w:rFonts w:hint="eastAsia"/>
                <w:color w:val="000000" w:themeColor="text1"/>
                <w14:textFill>
                  <w14:solidFill>
                    <w14:schemeClr w14:val="tx1"/>
                  </w14:solidFill>
                </w14:textFill>
              </w:rPr>
              <w:t>异型材、板材、管材：以结构调整促产业提升。要继续加强异型材产品的结构、品种设计开发能力，重视其主、辅材料开发，提高专用五金配件质量档次和综合配套能力。推进共挤、发泡、复合增强改性等新技术在塑料建材、装饰材料生产中的应用，加快铝塑复合板、XPS保温材料、PVC护墙板材、PVC地面材料、PC中空板等各种新型保温、装饰、阻隔材料的开发应用</w:t>
            </w:r>
            <w:r>
              <w:rPr>
                <w:rFonts w:hint="eastAsia"/>
                <w:color w:val="000000" w:themeColor="text1"/>
                <w:lang w:eastAsia="zh-CN"/>
                <w14:textFill>
                  <w14:solidFill>
                    <w14:schemeClr w14:val="tx1"/>
                  </w14:solidFill>
                </w14:textFill>
              </w:rPr>
              <w:t>。本项目属于</w:t>
            </w:r>
            <w:r>
              <w:rPr>
                <w:rFonts w:hint="eastAsia" w:cs="宋体"/>
                <w:color w:val="000000" w:themeColor="text1"/>
                <w:sz w:val="24"/>
                <w:szCs w:val="24"/>
                <w:lang w:val="en-US" w:eastAsia="zh-CN"/>
                <w14:textFill>
                  <w14:solidFill>
                    <w14:schemeClr w14:val="tx1"/>
                  </w14:solidFill>
                </w14:textFill>
              </w:rPr>
              <w:t>其他建筑材料制品加工</w:t>
            </w:r>
            <w:r>
              <w:rPr>
                <w:rFonts w:hint="eastAsia"/>
                <w:color w:val="000000" w:themeColor="text1"/>
                <w:lang w:eastAsia="zh-CN"/>
                <w14:textFill>
                  <w14:solidFill>
                    <w14:schemeClr w14:val="tx1"/>
                  </w14:solidFill>
                </w14:textFill>
              </w:rPr>
              <w:t>，是一种新型保温板建筑材料。</w:t>
            </w:r>
            <w:r>
              <w:rPr>
                <w:rFonts w:hint="eastAsia"/>
                <w:color w:val="000000" w:themeColor="text1"/>
                <w14:textFill>
                  <w14:solidFill>
                    <w14:schemeClr w14:val="tx1"/>
                  </w14:solidFill>
                </w14:textFill>
              </w:rPr>
              <w:t>本项目的建设符合《新疆维吾尔自治区</w:t>
            </w:r>
            <w:r>
              <w:rPr>
                <w:rFonts w:hint="eastAsia"/>
                <w:color w:val="000000" w:themeColor="text1"/>
                <w:lang w:eastAsia="zh-CN"/>
                <w14:textFill>
                  <w14:solidFill>
                    <w14:schemeClr w14:val="tx1"/>
                  </w14:solidFill>
                </w14:textFill>
              </w:rPr>
              <w:t>轻工业“十三五”发展规划</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中</w:t>
            </w:r>
            <w:r>
              <w:rPr>
                <w:rFonts w:hint="eastAsia"/>
                <w:color w:val="000000" w:themeColor="text1"/>
                <w14:textFill>
                  <w14:solidFill>
                    <w14:schemeClr w14:val="tx1"/>
                  </w14:solidFill>
                </w14:textFill>
              </w:rPr>
              <w:t>的相关</w:t>
            </w:r>
            <w:r>
              <w:rPr>
                <w:rFonts w:hint="eastAsia"/>
                <w:color w:val="000000" w:themeColor="text1"/>
                <w:lang w:eastAsia="zh-CN"/>
                <w14:textFill>
                  <w14:solidFill>
                    <w14:schemeClr w14:val="tx1"/>
                  </w14:solidFill>
                </w14:textFill>
              </w:rPr>
              <w:t>要求</w:t>
            </w:r>
            <w:r>
              <w:rPr>
                <w:rFonts w:hint="eastAsia"/>
                <w:color w:val="000000" w:themeColor="text1"/>
                <w14:textFill>
                  <w14:solidFill>
                    <w14:schemeClr w14:val="tx1"/>
                  </w14:solidFill>
                </w14:textFill>
              </w:rPr>
              <w:t>。</w:t>
            </w:r>
          </w:p>
          <w:p>
            <w:pPr>
              <w:pStyle w:val="3"/>
              <w:pageBreakBefore w:val="0"/>
              <w:widowControl w:val="0"/>
              <w:kinsoku/>
              <w:wordWrap/>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选址合理性分析</w:t>
            </w:r>
          </w:p>
          <w:p>
            <w:pPr>
              <w:pageBreakBefore w:val="0"/>
              <w:widowControl w:val="0"/>
              <w:kinsoku/>
              <w:wordWrap/>
              <w:topLinePunct w:val="0"/>
              <w:autoSpaceDE/>
              <w:autoSpaceDN/>
              <w:bidi w:val="0"/>
              <w:adjustRightInd/>
              <w:snapToGrid w:val="0"/>
              <w:ind w:firstLine="480"/>
              <w:jc w:val="lef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（1）厂址周边制约性分析</w:t>
            </w:r>
          </w:p>
          <w:p>
            <w:pPr>
              <w:pageBreakBefore w:val="0"/>
              <w:widowControl w:val="0"/>
              <w:kinsoku/>
              <w:wordWrap/>
              <w:topLinePunct w:val="0"/>
              <w:autoSpaceDE/>
              <w:autoSpaceDN/>
              <w:bidi w:val="0"/>
              <w:adjustRightInd/>
              <w:snapToGrid w:val="0"/>
              <w:ind w:firstLine="480"/>
              <w:jc w:val="lef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本项目厂址位于</w:t>
            </w:r>
            <w:r>
              <w:rPr>
                <w:rFonts w:hint="eastAsia"/>
                <w:color w:val="000000" w:themeColor="text1"/>
                <w:highlight w:val="none"/>
                <w:lang w:eastAsia="zh-CN"/>
                <w14:textFill>
                  <w14:solidFill>
                    <w14:schemeClr w14:val="tx1"/>
                  </w14:solidFill>
                </w14:textFill>
              </w:rPr>
              <w:t>昌吉高新技术产业开发区建材区建设路</w:t>
            </w:r>
            <w:r>
              <w:rPr>
                <w:rFonts w:hint="eastAsia"/>
                <w:color w:val="000000" w:themeColor="text1"/>
                <w:highlight w:val="none"/>
                <w:lang w:val="en-US" w:eastAsia="zh-CN"/>
                <w14:textFill>
                  <w14:solidFill>
                    <w14:schemeClr w14:val="tx1"/>
                  </w14:solidFill>
                </w14:textFill>
              </w:rPr>
              <w:t>5号新疆众力建材有限公司厂院内，周围附近无居民区等环境保护目标，无环境制约因素。</w:t>
            </w:r>
          </w:p>
          <w:p>
            <w:pPr>
              <w:pageBreakBefore w:val="0"/>
              <w:widowControl w:val="0"/>
              <w:kinsoku/>
              <w:wordWrap/>
              <w:topLinePunct w:val="0"/>
              <w:autoSpaceDE/>
              <w:autoSpaceDN/>
              <w:bidi w:val="0"/>
              <w:adjustRightInd/>
              <w:snapToGrid w:val="0"/>
              <w:ind w:firstLine="480"/>
              <w:jc w:val="lef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（2）项目污染物治理措施分析</w:t>
            </w:r>
          </w:p>
          <w:p>
            <w:pPr>
              <w:pageBreakBefore w:val="0"/>
              <w:widowControl w:val="0"/>
              <w:kinsoku/>
              <w:wordWrap/>
              <w:topLinePunct w:val="0"/>
              <w:autoSpaceDE/>
              <w:autoSpaceDN/>
              <w:bidi w:val="0"/>
              <w:adjustRightInd/>
              <w:snapToGrid w:val="0"/>
              <w:ind w:firstLine="480"/>
              <w:jc w:val="lef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生产期间，在发泡、胶合工位上方设置集气罩，加工过程中产生的挥发性有机物经集气罩收集，经过二级活性炭吸附装置净化后，通过15m高排气筒排放，粉尘经布袋除尘器装置处理后在车间内无组织排放，符合排放要求。</w:t>
            </w:r>
          </w:p>
          <w:p>
            <w:pPr>
              <w:pageBreakBefore w:val="0"/>
              <w:widowControl w:val="0"/>
              <w:kinsoku/>
              <w:wordWrap/>
              <w:topLinePunct w:val="0"/>
              <w:autoSpaceDE/>
              <w:autoSpaceDN/>
              <w:bidi w:val="0"/>
              <w:adjustRightInd/>
              <w:snapToGrid w:val="0"/>
              <w:ind w:firstLine="480"/>
              <w:jc w:val="lef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综上，本项目周边主要以机加工类生产型企业为主。项目所在地周围无学校、风景名胜、旅游景区、军事管理区、重要公共设施、水厂及水源保护区等重大环境制约因素。因此，项目外环境无重大环境制约因素。项目生产过程中在严格按照环评报告提出的污染防治措施做好生产管理，并确保废气、噪声等污染物实现达标外排的情况下，本项目运营后将不会对周边外环境造成明显不利影响。</w:t>
            </w:r>
          </w:p>
          <w:p>
            <w:pPr>
              <w:pageBreakBefore w:val="0"/>
              <w:widowControl w:val="0"/>
              <w:kinsoku/>
              <w:wordWrap/>
              <w:topLinePunct w:val="0"/>
              <w:autoSpaceDE/>
              <w:autoSpaceDN/>
              <w:bidi w:val="0"/>
              <w:adjustRightInd/>
              <w:snapToGrid w:val="0"/>
              <w:ind w:firstLine="480"/>
              <w:jc w:val="lef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因此，本项目选址合理。</w:t>
            </w:r>
          </w:p>
          <w:p>
            <w:pPr>
              <w:pStyle w:val="4"/>
              <w:pageBreakBefore w:val="0"/>
              <w:widowControl w:val="0"/>
              <w:kinsoku/>
              <w:wordWrap/>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.1厂址条件及区位优势</w:t>
            </w:r>
          </w:p>
          <w:p>
            <w:pPr>
              <w:pageBreakBefore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昌吉高新技术产业开发区在昌吉市区以西12km处，距离自治区首府乌鲁木齐市不足50km。高新区规划范围为规划用地34km</w:t>
            </w:r>
            <w:r>
              <w:rPr>
                <w:rFonts w:hint="eastAsia"/>
                <w:color w:val="000000" w:themeColor="text1"/>
                <w:highlight w:val="none"/>
                <w:vertAlign w:val="superscript"/>
                <w14:textFill>
                  <w14:solidFill>
                    <w14:schemeClr w14:val="tx1"/>
                  </w14:solidFill>
                </w14:textFill>
              </w:rPr>
              <w:t>2</w:t>
            </w:r>
            <w:r>
              <w:rPr>
                <w:rFonts w:hint="eastAsia"/>
                <w:color w:val="000000" w:themeColor="text1"/>
                <w:highlight w:val="none"/>
                <w14:textFill>
                  <w14:solidFill>
                    <w14:schemeClr w14:val="tx1"/>
                  </w14:solidFill>
                </w14:textFill>
              </w:rPr>
              <w:t>，东起312国道与呼昌公路交汇处，从交汇处沿312国道向西延伸约12km，西到昌吉与呼图壁交界处，北临呼昌公路，南至312国道以南1km范围，高新区呈三角形带状布置。本项目位于昌吉高新技术产业开发区规划范围内，土地属于昌吉高新技术产业开发区现规划的工业用地。从用地规划角度来看，项目选址用地符合昌吉高新区工业用地规划要求。</w:t>
            </w:r>
          </w:p>
          <w:p>
            <w:pPr>
              <w:pageBreakBefore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区所在地在地貌上属于山前冲洪积倾斜平原的下部，地形由东北微倾向西南，地面坡降10‰，海拔高度542~553m，场地现为荒地，地貌变化不大。场地地基土主要为粉土，场地无不良地质现象存在，也没有大的活动性构造通过，场地区域稳定性较好，属于可进行工程建设的一般型场地，工程地质条件较好。</w:t>
            </w:r>
          </w:p>
          <w:p>
            <w:pPr>
              <w:pageBreakBefore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本项目不在水源保护区、居民集中区，基本农田保护区内，项目所在区域内无重要环境敏感点，条件优越，厂址符合土地用途管理和规划功能要求，且交通十分便利。</w:t>
            </w:r>
          </w:p>
          <w:p>
            <w:pPr>
              <w:pStyle w:val="4"/>
              <w:pageBreakBefore w:val="0"/>
              <w:kinsoku/>
              <w:wordWrap/>
              <w:topLinePunct w:val="0"/>
              <w:autoSpaceDE/>
              <w:autoSpaceDN/>
              <w:bidi w:val="0"/>
              <w:adjustRightInd/>
              <w:snapToGrid w:val="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.2与昌吉高新技术产业开发区的依托关系</w:t>
            </w:r>
          </w:p>
          <w:p>
            <w:pPr>
              <w:pageBreakBefore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本项目主要依托昌吉高新技术产业开发区的公共设施有：项目给水水源为昌吉高新技术产业开发区自来水厂，能够满足生活用水需要。项目电力由高新区电网10</w:t>
            </w:r>
            <w:r>
              <w:rPr>
                <w:color w:val="000000" w:themeColor="text1"/>
                <w:highlight w:val="none"/>
                <w14:textFill>
                  <w14:solidFill>
                    <w14:schemeClr w14:val="tx1"/>
                  </w14:solidFill>
                </w14:textFill>
              </w:rPr>
              <w:t>k</w:t>
            </w:r>
            <w:r>
              <w:rPr>
                <w:rFonts w:hint="eastAsia"/>
                <w:color w:val="000000" w:themeColor="text1"/>
                <w:highlight w:val="none"/>
                <w14:textFill>
                  <w14:solidFill>
                    <w14:schemeClr w14:val="tx1"/>
                  </w14:solidFill>
                </w14:textFill>
              </w:rPr>
              <w:t>V变电站引线接入。项目对外交通依托高新区现有交通道路网络，交通十分便利。生活垃圾在厂区内定点统一收集后由高新区环卫部门统一处理。</w:t>
            </w:r>
          </w:p>
          <w:p>
            <w:pPr>
              <w:pStyle w:val="4"/>
              <w:pageBreakBefore w:val="0"/>
              <w:kinsoku/>
              <w:wordWrap/>
              <w:topLinePunct w:val="0"/>
              <w:autoSpaceDE/>
              <w:autoSpaceDN/>
              <w:bidi w:val="0"/>
              <w:adjustRightInd/>
              <w:snapToGrid w:val="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.3本项目与周围企业相容性分析</w:t>
            </w:r>
          </w:p>
          <w:p>
            <w:pPr>
              <w:keepNext w:val="0"/>
              <w:keepLines w:val="0"/>
              <w:pageBreakBefore w:val="0"/>
              <w:widowControl/>
              <w:suppressLineNumbers w:val="0"/>
              <w:kinsoku/>
              <w:wordWrap/>
              <w:topLinePunct w:val="0"/>
              <w:autoSpaceDE/>
              <w:autoSpaceDN/>
              <w:bidi w:val="0"/>
              <w:adjustRightInd/>
              <w:snapToGrid w:val="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本项目位于昌吉高新技术产业开发区</w:t>
            </w:r>
            <w:r>
              <w:rPr>
                <w:rFonts w:hint="eastAsia"/>
                <w:color w:val="000000" w:themeColor="text1"/>
                <w:highlight w:val="none"/>
                <w:lang w:eastAsia="zh-CN"/>
                <w14:textFill>
                  <w14:solidFill>
                    <w14:schemeClr w14:val="tx1"/>
                  </w14:solidFill>
                </w14:textFill>
              </w:rPr>
              <w:t>建材区建设路</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号，东侧</w:t>
            </w:r>
            <w:r>
              <w:rPr>
                <w:rFonts w:hint="eastAsia"/>
                <w:color w:val="000000" w:themeColor="text1"/>
                <w:highlight w:val="none"/>
                <w:lang w:eastAsia="zh-CN"/>
                <w14:textFill>
                  <w14:solidFill>
                    <w14:schemeClr w14:val="tx1"/>
                  </w14:solidFill>
                </w14:textFill>
              </w:rPr>
              <w:t>隔建设路为新疆徐工海虹商砼有限公司</w:t>
            </w:r>
            <w:r>
              <w:rPr>
                <w:rFonts w:hint="eastAsia"/>
                <w:color w:val="000000" w:themeColor="text1"/>
                <w:highlight w:val="none"/>
                <w14:textFill>
                  <w14:solidFill>
                    <w14:schemeClr w14:val="tx1"/>
                  </w14:solidFill>
                </w14:textFill>
              </w:rPr>
              <w:t>，南侧</w:t>
            </w:r>
            <w:r>
              <w:rPr>
                <w:rFonts w:hint="eastAsia"/>
                <w:color w:val="000000" w:themeColor="text1"/>
                <w:highlight w:val="none"/>
                <w:lang w:val="en-US" w:eastAsia="zh-CN"/>
                <w14:textFill>
                  <w14:solidFill>
                    <w14:schemeClr w14:val="tx1"/>
                  </w14:solidFill>
                </w14:textFill>
              </w:rPr>
              <w:t>隔</w:t>
            </w:r>
            <w:r>
              <w:rPr>
                <w:rFonts w:hint="eastAsia"/>
                <w:color w:val="000000" w:themeColor="text1"/>
                <w:sz w:val="24"/>
                <w:szCs w:val="24"/>
                <w:highlight w:val="none"/>
                <w:lang w:val="en-US" w:eastAsia="zh-CN"/>
                <w14:textFill>
                  <w14:solidFill>
                    <w14:schemeClr w14:val="tx1"/>
                  </w14:solidFill>
                </w14:textFill>
              </w:rPr>
              <w:t>科韵路为市政公司</w:t>
            </w:r>
            <w:r>
              <w:rPr>
                <w:rFonts w:hint="eastAsia"/>
                <w:color w:val="000000" w:themeColor="text1"/>
                <w:highlight w:val="none"/>
                <w14:textFill>
                  <w14:solidFill>
                    <w14:schemeClr w14:val="tx1"/>
                  </w14:solidFill>
                </w14:textFill>
              </w:rPr>
              <w:t>，西侧为</w:t>
            </w:r>
            <w:r>
              <w:rPr>
                <w:rFonts w:hint="eastAsia"/>
                <w:color w:val="000000" w:themeColor="text1"/>
                <w:highlight w:val="none"/>
                <w:lang w:eastAsia="zh-CN"/>
                <w14:textFill>
                  <w14:solidFill>
                    <w14:schemeClr w14:val="tx1"/>
                  </w14:solidFill>
                </w14:textFill>
              </w:rPr>
              <w:t>新疆</w:t>
            </w:r>
            <w:r>
              <w:rPr>
                <w:rFonts w:hint="eastAsia"/>
                <w:color w:val="000000" w:themeColor="text1"/>
                <w:sz w:val="24"/>
                <w:szCs w:val="24"/>
                <w:highlight w:val="none"/>
                <w:lang w:val="en-US" w:eastAsia="zh-CN"/>
                <w14:textFill>
                  <w14:solidFill>
                    <w14:schemeClr w14:val="tx1"/>
                  </w14:solidFill>
                </w14:textFill>
              </w:rPr>
              <w:t>禹克建材有限公司</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北</w:t>
            </w:r>
            <w:r>
              <w:rPr>
                <w:rFonts w:hint="eastAsia"/>
                <w:color w:val="000000" w:themeColor="text1"/>
                <w:highlight w:val="none"/>
                <w14:textFill>
                  <w14:solidFill>
                    <w14:schemeClr w14:val="tx1"/>
                  </w14:solidFill>
                </w14:textFill>
              </w:rPr>
              <w:t>侧为</w:t>
            </w:r>
            <w:r>
              <w:rPr>
                <w:rFonts w:hint="eastAsia"/>
                <w:color w:val="000000" w:themeColor="text1"/>
                <w:highlight w:val="none"/>
                <w:lang w:eastAsia="zh-CN"/>
                <w14:textFill>
                  <w14:solidFill>
                    <w14:schemeClr w14:val="tx1"/>
                  </w14:solidFill>
                </w14:textFill>
              </w:rPr>
              <w:t>昌吉市</w:t>
            </w:r>
            <w:r>
              <w:rPr>
                <w:rFonts w:hint="eastAsia"/>
                <w:color w:val="000000" w:themeColor="text1"/>
                <w:sz w:val="24"/>
                <w:szCs w:val="24"/>
                <w:highlight w:val="none"/>
                <w:lang w:val="en-US" w:eastAsia="zh-CN"/>
                <w14:textFill>
                  <w14:solidFill>
                    <w14:schemeClr w14:val="tx1"/>
                  </w14:solidFill>
                </w14:textFill>
              </w:rPr>
              <w:t>五岳新型环保建材有限公司</w:t>
            </w:r>
            <w:r>
              <w:rPr>
                <w:rFonts w:hint="eastAsia"/>
                <w:color w:val="000000" w:themeColor="text1"/>
                <w:highlight w:val="none"/>
                <w14:textFill>
                  <w14:solidFill>
                    <w14:schemeClr w14:val="tx1"/>
                  </w14:solidFill>
                </w14:textFill>
              </w:rPr>
              <w:t>，本项目周围均为工业企业</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本项目在采取本次环评中提出的各项环保措施后，能确保各类污染物达标排放，对敏感目标和周围企业的影响不大。项目区附近的企业在严格落实国家和地方各类环保法规制度，加强环保管理的情况下，其对本项目产生的影响不大。</w:t>
            </w:r>
          </w:p>
          <w:p>
            <w:pPr>
              <w:pageBreakBefore w:val="0"/>
              <w:kinsoku/>
              <w:wordWrap/>
              <w:topLinePunct w:val="0"/>
              <w:autoSpaceDE/>
              <w:autoSpaceDN/>
              <w:bidi w:val="0"/>
              <w:adjustRightInd/>
              <w:snapToGrid w:val="0"/>
              <w:ind w:firstLine="480"/>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综上所述，本项目与周围企业相容性较好，符合昌吉高新技术产业开发区的规划，建厂地区工程地质环境较好，同时综合考虑厂址的交通区位优势、供水、排水、供电等条件，本项目选址是合理的。</w:t>
            </w:r>
          </w:p>
          <w:p>
            <w:pPr>
              <w:pStyle w:val="23"/>
              <w:keepNext w:val="0"/>
              <w:keepLines w:val="0"/>
              <w:pageBreakBefore w:val="0"/>
              <w:widowControl w:val="0"/>
              <w:kinsoku/>
              <w:wordWrap/>
              <w:overflowPunct/>
              <w:topLinePunct w:val="0"/>
              <w:bidi w:val="0"/>
              <w:snapToGrid w:val="0"/>
              <w:spacing w:line="360" w:lineRule="auto"/>
              <w:jc w:val="left"/>
              <w:textAlignment w:val="auto"/>
              <w:rPr>
                <w:rFonts w:hint="default" w:ascii="Times New Roman" w:hAnsi="Times New Roman" w:cs="Times New Roman" w:eastAsiaTheme="minorEastAsia"/>
                <w:b/>
                <w:bCs w:val="0"/>
                <w:lang w:val="en-US" w:eastAsia="zh-CN"/>
              </w:rPr>
            </w:pPr>
            <w:r>
              <w:rPr>
                <w:rFonts w:hint="default" w:ascii="Times New Roman" w:hAnsi="Times New Roman" w:cs="Times New Roman" w:eastAsiaTheme="minorEastAsia"/>
                <w:b/>
                <w:bCs w:val="0"/>
                <w:color w:val="000000" w:themeColor="text1"/>
                <w:highlight w:val="none"/>
                <w:lang w:val="en-US" w:eastAsia="zh-CN"/>
                <w14:textFill>
                  <w14:solidFill>
                    <w14:schemeClr w14:val="tx1"/>
                  </w14:solidFill>
                </w14:textFill>
              </w:rPr>
              <w:t>1.8.4《昌吉高新技术产业开发区总体规划（2014-2030年）环境影响报告书》及审查意见符合性分析</w:t>
            </w:r>
          </w:p>
          <w:p>
            <w:pPr>
              <w:keepNext w:val="0"/>
              <w:keepLines w:val="0"/>
              <w:pageBreakBefore w:val="0"/>
              <w:widowControl w:val="0"/>
              <w:kinsoku/>
              <w:wordWrap/>
              <w:overflowPunct/>
              <w:topLinePunct w:val="0"/>
              <w:autoSpaceDE/>
              <w:autoSpaceDN/>
              <w:bidi w:val="0"/>
              <w:adjustRightInd/>
              <w:snapToGrid w:val="0"/>
              <w:spacing w:line="360" w:lineRule="auto"/>
              <w:ind w:firstLine="480"/>
              <w:jc w:val="center"/>
              <w:textAlignment w:val="auto"/>
              <w:rPr>
                <w:rFonts w:hint="default" w:eastAsia="宋体"/>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表</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4  工业园区规划及审查意见符合性分析</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3435"/>
              <w:gridCol w:w="1815"/>
              <w:gridCol w:w="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文件</w:t>
                  </w:r>
                </w:p>
              </w:tc>
              <w:tc>
                <w:tcPr>
                  <w:tcW w:w="268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相关要求</w:t>
                  </w:r>
                </w:p>
              </w:tc>
              <w:tc>
                <w:tcPr>
                  <w:tcW w:w="141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项目情况</w:t>
                  </w:r>
                </w:p>
              </w:tc>
              <w:tc>
                <w:tcPr>
                  <w:tcW w:w="32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82"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《昌吉高新技术产业开发区总体规划（</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2014-2030年</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）环境影响报告书》</w:t>
                  </w:r>
                </w:p>
              </w:tc>
              <w:tc>
                <w:tcPr>
                  <w:tcW w:w="2680" w:type="pct"/>
                  <w:vAlign w:val="top"/>
                </w:tcPr>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Chars="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（1）大气环境影响</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Chars="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工业园区主要入驻企业污染物排放对评价区的SO</w:t>
                  </w:r>
                  <w:r>
                    <w:rPr>
                      <w:rFonts w:hint="default" w:ascii="Times New Roman" w:hAnsi="Times New Roman" w:cs="Times New Roman"/>
                      <w:color w:val="000000" w:themeColor="text1"/>
                      <w:sz w:val="21"/>
                      <w:szCs w:val="21"/>
                      <w:vertAlign w:val="subscript"/>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、NOx、TSP浓度最大贡献值较低，主要污染物对评价区各敏感点环境空气质量产生影响较少。园区规划期环境影响是可以接受的</w:t>
                  </w:r>
                  <w:r>
                    <w:rPr>
                      <w:rFonts w:hint="default" w:ascii="Times New Roman" w:hAnsi="Times New Roman" w:cs="Times New Roman"/>
                      <w:color w:val="000000" w:themeColor="text1"/>
                      <w:sz w:val="21"/>
                      <w:szCs w:val="21"/>
                      <w:lang w:eastAsia="zh-CN"/>
                      <w14:textFill>
                        <w14:solidFill>
                          <w14:schemeClr w14:val="tx1"/>
                        </w14:solidFill>
                      </w14:textFill>
                    </w:rPr>
                    <w:t>。</w:t>
                  </w:r>
                </w:p>
              </w:tc>
              <w:tc>
                <w:tcPr>
                  <w:tcW w:w="141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本项目位于昌吉高新技术产业开发区，符合“严格建设项目环境准入”的要求；本项目生产过程中产生的VOCs采用UV光氧催化+活性炭吸附处理，经处理后的废气能够达标排放。</w:t>
                  </w:r>
                </w:p>
              </w:tc>
              <w:tc>
                <w:tcPr>
                  <w:tcW w:w="32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14:textFill>
                        <w14:solidFill>
                          <w14:schemeClr w14:val="tx1"/>
                        </w14:solidFill>
                      </w14:textFill>
                    </w:rPr>
                  </w:pPr>
                </w:p>
              </w:tc>
              <w:tc>
                <w:tcPr>
                  <w:tcW w:w="2680" w:type="pct"/>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（2）水环境影响</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14:textFill>
                        <w14:solidFill>
                          <w14:schemeClr w14:val="tx1"/>
                        </w14:solidFill>
                      </w14:textFill>
                    </w:rPr>
                    <w:t>依据《新疆维吾尔自治区地下水资源管理条例》和《昌吉市落实井电双控控制取用地下水实施方案》（昌市政办发〔2014〕66号）“除了生活饮用水以外，禁止任何形式的新增取用地下水，确保地下水开采量只减不增”，环评建议：高新区近期应加快落实三屯河地表水作为主要供水水源，辅助开采区域潜水和浅层承压水作为备用水源，远期应争取加大三屯河地表水供给量和采用大流域调水，保障园区用水需求。落实区域地下水总量控制和水位控制的“双控”措施，保证区域水资源采补平衡，并强化水资源管理，按照区域水资源规划在近期园区供水水源采用地表水的基础上，会对</w:t>
                  </w:r>
                  <w:r>
                    <w:rPr>
                      <w:rFonts w:hint="default" w:ascii="Times New Roman" w:hAnsi="Times New Roman" w:cs="Times New Roman"/>
                      <w:color w:val="000000" w:themeColor="text1"/>
                      <w:sz w:val="21"/>
                      <w:szCs w:val="21"/>
                      <w14:textFill>
                        <w14:solidFill>
                          <w14:schemeClr w14:val="tx1"/>
                        </w14:solidFill>
                      </w14:textFill>
                    </w:rPr>
                    <w:t>园区企业排放废水先经企业自行处理达到《污水综合排放标准》三级标准后排入园区排水管道，最后进入园区污水处理厂，出水水质达到《城镇污水处理厂污染物排放标准》（GB18918-2002）一级B标准，符合《城市杂用水水质标准（绿化）》（GB/T 18920-2002），在园区作为防护林绿化用水使用后，多余废水排放至50公里外的荒漠区作为生态恢复用水，在保证污水处理厂处理达标排放情况下，对荒漠区的生态恢复将产生积极影响。</w:t>
                  </w:r>
                </w:p>
              </w:tc>
              <w:tc>
                <w:tcPr>
                  <w:tcW w:w="141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本项目无生产废水产生，生活污水排入园区管网，最终进入园区污水处理厂处置</w:t>
                  </w:r>
                </w:p>
              </w:tc>
              <w:tc>
                <w:tcPr>
                  <w:tcW w:w="32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14:textFill>
                        <w14:solidFill>
                          <w14:schemeClr w14:val="tx1"/>
                        </w14:solidFill>
                      </w14:textFill>
                    </w:rPr>
                  </w:pPr>
                </w:p>
              </w:tc>
              <w:tc>
                <w:tcPr>
                  <w:tcW w:w="2680" w:type="pct"/>
                  <w:vAlign w:val="top"/>
                </w:tcPr>
                <w:p>
                  <w:pPr>
                    <w:keepNext w:val="0"/>
                    <w:keepLines w:val="0"/>
                    <w:pageBreakBefore w:val="0"/>
                    <w:widowControl w:val="0"/>
                    <w:numPr>
                      <w:ilvl w:val="0"/>
                      <w:numId w:val="0"/>
                    </w:numPr>
                    <w:tabs>
                      <w:tab w:val="center" w:pos="934"/>
                    </w:tabs>
                    <w:kinsoku/>
                    <w:wordWrap/>
                    <w:overflowPunct/>
                    <w:topLinePunct w:val="0"/>
                    <w:autoSpaceDE/>
                    <w:autoSpaceDN/>
                    <w:bidi w:val="0"/>
                    <w:adjustRightInd/>
                    <w:snapToGrid w:val="0"/>
                    <w:spacing w:line="240" w:lineRule="auto"/>
                    <w:ind w:leftChars="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（3）声环境影响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工业园区声环境现状符合《声环境质量标准》（GB3096-2008）中的相应标准。随着工业园区的建设，一些隔音降噪措施采用后区域声环境质量状况亦能够满足GB3096-2008中的相应标准要求。同时工业园区道路两侧、边界都设置了较宽的绿化带，可有效降低噪声的影响，保障区域声环境质量满足功能区划的要求。</w:t>
                  </w:r>
                </w:p>
              </w:tc>
              <w:tc>
                <w:tcPr>
                  <w:tcW w:w="1416" w:type="pct"/>
                  <w:vAlign w:val="top"/>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本项目产噪设备主要为开卷机、压型机、切割机等，经减噪、隔声等措施处理后，满足《声环境质量》（GB3096-2008）中的3类标准</w:t>
                  </w:r>
                </w:p>
              </w:tc>
              <w:tc>
                <w:tcPr>
                  <w:tcW w:w="32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14:textFill>
                        <w14:solidFill>
                          <w14:schemeClr w14:val="tx1"/>
                        </w14:solidFill>
                      </w14:textFill>
                    </w:rPr>
                  </w:pPr>
                </w:p>
              </w:tc>
              <w:tc>
                <w:tcPr>
                  <w:tcW w:w="2680" w:type="pct"/>
                  <w:vAlign w:val="top"/>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left"/>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4</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固体废弃物环境影响</w:t>
                  </w:r>
                </w:p>
                <w:p>
                  <w:pPr>
                    <w:pStyle w:val="17"/>
                    <w:ind w:left="0" w:leftChars="0" w:firstLine="0" w:firstLineChars="0"/>
                    <w:jc w:val="left"/>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工业区固废收集、处置系统建成后，生活垃圾、工业固体废物可实现及时清运、填埋。</w:t>
                  </w:r>
                </w:p>
              </w:tc>
              <w:tc>
                <w:tcPr>
                  <w:tcW w:w="1416" w:type="pct"/>
                  <w:vAlign w:val="top"/>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本项目产生的固体废物均能综合利用</w:t>
                  </w:r>
                </w:p>
              </w:tc>
              <w:tc>
                <w:tcPr>
                  <w:tcW w:w="32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《昌吉高新技术产业开发区总体规划（</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2014-2030年</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）环境影响报告书》审查意见</w:t>
                  </w:r>
                </w:p>
              </w:tc>
              <w:tc>
                <w:tcPr>
                  <w:tcW w:w="268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（1）坚持实行入园企业环保准入审核制度，与产业定位方向不符的项目一律不得入园，对于入园的建设项目必须开展建设项目环境影响评价，并严格执行建设项目“三同时”环境管理制度。</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（2）园区范围内企业，应办理合法的环保手续，不符合园区规划布局、产业定位的企业应予以搬迁。园区项目须严格落实污染物总量控制要求，提出污染物减排具体方案和保障措施。</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加快基础设施建设，优先建设集中供热设施；企业生活、生产废水须经处理达到相应标准后，方可排入园区污水处理厂；严格按照国家有关规定进行危险废物贮存、处理和处置，产生的固废优先综合利用，不能利用的按规范安全处置。</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（4）严格设置园区企业的环境准入标准，积极开展清洁生产审核，入园企业的清洁生产水平必须达到国内先进水平，与园区产业类型不相符和达不到环境准入条件的建设项目禁入园区。</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（5）大力发展园区循环经济，制定切实可行的一般固体废物、危险废物和生产废水综合利用方案，提高资源利用效率。严格落实污染物总量控制要求，提出污染物减排具体方案及保障措施。</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建立健全环境管理机构，完善各种环境管理制度、环境风险方可体系、污染防治制度和环境监控体系，确保环境安全。在园区基础设施和企业建设项目运营管理中须制定并落实事故风险防范措施和应急预案，配套完善的运行管理设施，防止污染事故的发生。</w:t>
                  </w:r>
                </w:p>
              </w:tc>
              <w:tc>
                <w:tcPr>
                  <w:tcW w:w="141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本项目符合园区产业定位，基础设施均依托园区</w:t>
                  </w:r>
                </w:p>
              </w:tc>
              <w:tc>
                <w:tcPr>
                  <w:tcW w:w="32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符合</w:t>
                  </w:r>
                </w:p>
              </w:tc>
            </w:tr>
          </w:tbl>
          <w:p>
            <w:pPr>
              <w:pageBreakBefore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综上所述，该项目的建设符合国家产业政策，工程选址合理，平面布置合理，具有环境可行性。</w:t>
            </w:r>
          </w:p>
          <w:p>
            <w:pPr>
              <w:ind w:left="0" w:leftChars="0" w:firstLine="0" w:firstLineChars="0"/>
              <w:rPr>
                <w:color w:val="000000" w:themeColor="text1"/>
                <w:highlight w:val="none"/>
                <w14:textFill>
                  <w14:solidFill>
                    <w14:schemeClr w14:val="tx1"/>
                  </w14:solidFill>
                </w14:textFill>
              </w:rPr>
            </w:pPr>
          </w:p>
          <w:p>
            <w:pPr>
              <w:ind w:left="0" w:leftChars="0" w:firstLine="0" w:firstLineChars="0"/>
              <w:rPr>
                <w:color w:val="000000" w:themeColor="text1"/>
                <w:highlight w:val="none"/>
                <w14:textFill>
                  <w14:solidFill>
                    <w14:schemeClr w14:val="tx1"/>
                  </w14:solidFill>
                </w14:textFill>
              </w:rPr>
            </w:pPr>
          </w:p>
          <w:p>
            <w:pPr>
              <w:ind w:left="0" w:leftChars="0" w:firstLine="0" w:firstLineChars="0"/>
              <w:rPr>
                <w:color w:val="000000" w:themeColor="text1"/>
                <w:highlight w:val="none"/>
                <w14:textFill>
                  <w14:solidFill>
                    <w14:schemeClr w14:val="tx1"/>
                  </w14:solidFill>
                </w14:textFill>
              </w:rPr>
            </w:pPr>
          </w:p>
        </w:tc>
      </w:tr>
    </w:tbl>
    <w:p>
      <w:pPr>
        <w:ind w:firstLine="600"/>
        <w:outlineLvl w:val="0"/>
        <w:rPr>
          <w:rFonts w:eastAsia="黑体"/>
          <w:sz w:val="30"/>
        </w:rPr>
        <w:sectPr>
          <w:footerReference r:id="rId11"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15"/>
        <w:spacing w:line="240" w:lineRule="auto"/>
        <w:ind w:firstLine="0" w:firstLineChars="0"/>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t>二、建设项目工程分析</w:t>
      </w:r>
    </w:p>
    <w:tbl>
      <w:tblPr>
        <w:tblStyle w:val="18"/>
        <w:tblW w:w="88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7"/>
        <w:gridCol w:w="84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6" w:hRule="atLeast"/>
          <w:jc w:val="center"/>
        </w:trPr>
        <w:tc>
          <w:tcPr>
            <w:tcW w:w="4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5"/>
              <w:adjustRightInd w:val="0"/>
              <w:snapToGrid w:val="0"/>
              <w:spacing w:before="0" w:beforeAutospacing="0" w:after="0" w:afterAutospacing="0"/>
              <w:ind w:firstLine="0" w:firstLineChars="0"/>
              <w:jc w:val="center"/>
              <w:rPr>
                <w:rFonts w:ascii="Times New Roman" w:hAnsi="Times New Roman" w:cs="宋体"/>
                <w:color w:val="000000"/>
                <w:sz w:val="21"/>
                <w:szCs w:val="21"/>
              </w:rPr>
            </w:pPr>
            <w:r>
              <w:rPr>
                <w:rFonts w:hint="eastAsia" w:ascii="Times New Roman" w:hAnsi="Times New Roman" w:cs="宋体"/>
                <w:color w:val="000000"/>
                <w:szCs w:val="21"/>
              </w:rPr>
              <w:t>建设内容</w:t>
            </w:r>
          </w:p>
        </w:tc>
        <w:tc>
          <w:tcPr>
            <w:tcW w:w="8419" w:type="dxa"/>
            <w:tcBorders>
              <w:top w:val="single" w:color="000000" w:sz="8" w:space="0"/>
              <w:left w:val="single" w:color="000000" w:sz="8" w:space="0"/>
              <w:bottom w:val="single" w:color="000000" w:sz="8" w:space="0"/>
              <w:right w:val="single" w:color="000000" w:sz="8" w:space="0"/>
            </w:tcBorders>
            <w:shd w:val="clear" w:color="auto" w:fill="FFFFFF"/>
          </w:tcPr>
          <w:p>
            <w:pPr>
              <w:pStyle w:val="3"/>
              <w:pageBreakBefore w:val="0"/>
              <w:widowControl w:val="0"/>
              <w:kinsoku/>
              <w:wordWrap/>
              <w:topLinePunct w:val="0"/>
              <w:autoSpaceDE/>
              <w:autoSpaceDN/>
              <w:bidi w:val="0"/>
              <w:adjustRightInd/>
              <w:snapToGrid w:val="0"/>
              <w:spacing w:before="0" w:after="0"/>
              <w:jc w:val="left"/>
              <w:textAlignment w:val="auto"/>
              <w:rPr>
                <w:rFonts w:hint="eastAsia" w:eastAsia="宋体"/>
                <w:color w:val="000000"/>
                <w:lang w:eastAsia="zh-CN"/>
              </w:rPr>
            </w:pPr>
            <w:r>
              <w:rPr>
                <w:rFonts w:hint="eastAsia"/>
                <w:color w:val="000000"/>
              </w:rPr>
              <w:t>2</w:t>
            </w:r>
            <w:r>
              <w:rPr>
                <w:color w:val="000000"/>
              </w:rPr>
              <w:t>.</w:t>
            </w:r>
            <w:r>
              <w:rPr>
                <w:rFonts w:hint="eastAsia"/>
                <w:color w:val="000000"/>
                <w:lang w:val="en-US" w:eastAsia="zh-CN"/>
              </w:rPr>
              <w:t>1</w:t>
            </w:r>
            <w:r>
              <w:rPr>
                <w:rFonts w:hint="eastAsia"/>
                <w:color w:val="000000"/>
              </w:rPr>
              <w:t>建设内容</w:t>
            </w:r>
          </w:p>
          <w:p>
            <w:pPr>
              <w:pStyle w:val="3"/>
              <w:pageBreakBefore w:val="0"/>
              <w:widowControl w:val="0"/>
              <w:kinsoku/>
              <w:wordWrap/>
              <w:topLinePunct w:val="0"/>
              <w:autoSpaceDE/>
              <w:autoSpaceDN/>
              <w:bidi w:val="0"/>
              <w:adjustRightInd/>
              <w:snapToGrid w:val="0"/>
              <w:spacing w:before="0" w:after="0"/>
              <w:jc w:val="left"/>
              <w:textAlignment w:val="auto"/>
              <w:rPr>
                <w:rFonts w:hint="eastAsia" w:asciiTheme="minorEastAsia" w:hAnsiTheme="minorEastAsia" w:eastAsiaTheme="minorEastAsia" w:cstheme="minorEastAsia"/>
                <w:b/>
                <w:bCs/>
                <w:color w:val="000000"/>
                <w:sz w:val="24"/>
                <w:szCs w:val="24"/>
                <w:highlight w:val="none"/>
                <w:lang w:val="en-US" w:eastAsia="zh-CN"/>
              </w:rPr>
            </w:pPr>
            <w:r>
              <w:rPr>
                <w:rFonts w:hint="default" w:ascii="Times New Roman" w:hAnsi="Times New Roman" w:cs="Times New Roman" w:eastAsiaTheme="minorEastAsia"/>
                <w:b/>
                <w:bCs/>
                <w:color w:val="000000"/>
                <w:sz w:val="24"/>
                <w:szCs w:val="24"/>
                <w:highlight w:val="none"/>
                <w:lang w:val="en-US" w:eastAsia="zh-CN"/>
              </w:rPr>
              <w:t>2.1.1</w:t>
            </w:r>
            <w:r>
              <w:rPr>
                <w:rFonts w:hint="eastAsia" w:asciiTheme="minorEastAsia" w:hAnsiTheme="minorEastAsia" w:eastAsiaTheme="minorEastAsia" w:cstheme="minorEastAsia"/>
                <w:b/>
                <w:bCs/>
                <w:color w:val="000000"/>
                <w:sz w:val="24"/>
                <w:szCs w:val="24"/>
                <w:highlight w:val="none"/>
                <w:lang w:val="en-US" w:eastAsia="zh-CN"/>
              </w:rPr>
              <w:t>项目背景</w:t>
            </w:r>
          </w:p>
          <w:p>
            <w:pPr>
              <w:pStyle w:val="3"/>
              <w:keepLines w:val="0"/>
              <w:pageBreakBefore w:val="0"/>
              <w:widowControl w:val="0"/>
              <w:kinsoku/>
              <w:wordWrap/>
              <w:topLinePunct w:val="0"/>
              <w:autoSpaceDE/>
              <w:autoSpaceDN/>
              <w:bidi w:val="0"/>
              <w:adjustRightInd/>
              <w:snapToGrid w:val="0"/>
              <w:spacing w:before="0" w:after="0"/>
              <w:ind w:firstLine="480" w:firstLineChars="200"/>
              <w:jc w:val="left"/>
              <w:textAlignment w:val="auto"/>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eastAsia="zh-CN"/>
                <w14:textFill>
                  <w14:solidFill>
                    <w14:schemeClr w14:val="tx1"/>
                  </w14:solidFill>
                </w14:textFill>
              </w:rPr>
              <w:t>聚氨酯夹芯板外形美观，整体效果好，它集承重、保温、防火、防水于一体，且无需二次装修，安装快捷方便，施工周期短，综合效益好，具有良好的性价比优势，是一种用途广泛、极具潜力的高效节能建筑围护材料，也是国家建设部提倡和推广的一种新型节能板材。目前我国聚氨酯夹芯板供不应求，新疆众力建材有限公司投资</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520万元建设年产2万平米聚氨酯封边岩棉夹芯板生产线项目。按建设审批程序，项目已在</w:t>
            </w:r>
            <w:r>
              <w:rPr>
                <w:rFonts w:hint="eastAsia" w:cs="宋体"/>
                <w:b w:val="0"/>
                <w:bCs w:val="0"/>
                <w:color w:val="000000" w:themeColor="text1"/>
                <w:sz w:val="24"/>
                <w:szCs w:val="24"/>
                <w14:textFill>
                  <w14:solidFill>
                    <w14:schemeClr w14:val="tx1"/>
                  </w14:solidFill>
                </w14:textFill>
              </w:rPr>
              <w:t>昌吉高新技术产业开发区产业发展科技局</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备案，备案证号：</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昌高产发[2020]27号</w:t>
            </w:r>
            <w:r>
              <w:rPr>
                <w:rFonts w:hint="eastAsia" w:cs="Times New Roman"/>
                <w:b w:val="0"/>
                <w:bCs w:val="0"/>
                <w:color w:val="000000" w:themeColor="text1"/>
                <w:sz w:val="24"/>
                <w:szCs w:val="24"/>
                <w:lang w:val="en-US" w:eastAsia="zh-CN"/>
                <w14:textFill>
                  <w14:solidFill>
                    <w14:schemeClr w14:val="tx1"/>
                  </w14:solidFill>
                </w14:textFill>
              </w:rPr>
              <w:t>，见附件2。</w:t>
            </w:r>
          </w:p>
          <w:p>
            <w:pPr>
              <w:keepNext w:val="0"/>
              <w:keepLines w:val="0"/>
              <w:widowControl/>
              <w:suppressLineNumbers w:val="0"/>
              <w:jc w:val="left"/>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2016年2月新疆净源环境咨询有限公司对</w:t>
            </w:r>
            <w:r>
              <w:rPr>
                <w:rFonts w:hint="eastAsia"/>
                <w:color w:val="000000" w:themeColor="text1"/>
                <w:lang w:val="en-US" w:eastAsia="zh-CN"/>
                <w14:textFill>
                  <w14:solidFill>
                    <w14:schemeClr w14:val="tx1"/>
                  </w14:solidFill>
                </w14:textFill>
              </w:rPr>
              <w:t>原</w:t>
            </w:r>
            <w:r>
              <w:rPr>
                <w:rFonts w:hint="default"/>
                <w:color w:val="000000" w:themeColor="text1"/>
                <w:lang w:val="en-US" w:eastAsia="zh-CN"/>
                <w14:textFill>
                  <w14:solidFill>
                    <w14:schemeClr w14:val="tx1"/>
                  </w14:solidFill>
                </w14:textFill>
              </w:rPr>
              <w:t>项目进行环境评价并编制《新疆众力建材有限公司20000</w:t>
            </w:r>
            <w:r>
              <w:rPr>
                <w:rFonts w:hint="eastAsia"/>
                <w:color w:val="000000" w:themeColor="text1"/>
                <w:lang w:val="en-US" w:eastAsia="zh-CN"/>
                <w14:textFill>
                  <w14:solidFill>
                    <w14:schemeClr w14:val="tx1"/>
                  </w14:solidFill>
                </w14:textFill>
              </w:rPr>
              <w:t>t</w:t>
            </w:r>
            <w:r>
              <w:rPr>
                <w:rFonts w:hint="default"/>
                <w:color w:val="000000" w:themeColor="text1"/>
                <w:lang w:val="en-US" w:eastAsia="zh-CN"/>
                <w14:textFill>
                  <w14:solidFill>
                    <w14:schemeClr w14:val="tx1"/>
                  </w14:solidFill>
                </w14:textFill>
              </w:rPr>
              <w:t>钢结构加工生产项目及5000m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工业、民用车库门生产项目环境影响报告表》，并于2016年2月25日，取得昌吉高新技术产业开发区环境保护局批复，批号昌高环字</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[20</w:t>
            </w:r>
            <w:r>
              <w:rPr>
                <w:rFonts w:hint="eastAsia" w:cs="Times New Roman"/>
                <w:b w:val="0"/>
                <w:bCs w:val="0"/>
                <w:color w:val="000000" w:themeColor="text1"/>
                <w:sz w:val="24"/>
                <w:szCs w:val="24"/>
                <w:lang w:val="en-US" w:eastAsia="zh-CN"/>
                <w14:textFill>
                  <w14:solidFill>
                    <w14:schemeClr w14:val="tx1"/>
                  </w14:solidFill>
                </w14:textFill>
              </w:rPr>
              <w:t>16</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9号。</w:t>
            </w:r>
          </w:p>
          <w:p>
            <w:pPr>
              <w:keepNext w:val="0"/>
              <w:keepLines w:val="0"/>
              <w:widowControl/>
              <w:suppressLineNumbers w:val="0"/>
              <w:jc w:val="left"/>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2018年3月新疆净源环境咨询有限公司对</w:t>
            </w:r>
            <w:r>
              <w:rPr>
                <w:rFonts w:hint="eastAsia"/>
                <w:color w:val="000000" w:themeColor="text1"/>
                <w:lang w:val="en-US" w:eastAsia="zh-CN"/>
                <w14:textFill>
                  <w14:solidFill>
                    <w14:schemeClr w14:val="tx1"/>
                  </w14:solidFill>
                </w14:textFill>
              </w:rPr>
              <w:t>原</w:t>
            </w:r>
            <w:r>
              <w:rPr>
                <w:rFonts w:hint="default"/>
                <w:color w:val="000000" w:themeColor="text1"/>
                <w:lang w:val="en-US" w:eastAsia="zh-CN"/>
                <w14:textFill>
                  <w14:solidFill>
                    <w14:schemeClr w14:val="tx1"/>
                  </w14:solidFill>
                </w14:textFill>
              </w:rPr>
              <w:t>项目进行变更环境评价并编制《新疆众力建材有限公司20000</w:t>
            </w:r>
            <w:r>
              <w:rPr>
                <w:rFonts w:hint="eastAsia"/>
                <w:color w:val="000000" w:themeColor="text1"/>
                <w:lang w:val="en-US" w:eastAsia="zh-CN"/>
                <w14:textFill>
                  <w14:solidFill>
                    <w14:schemeClr w14:val="tx1"/>
                  </w14:solidFill>
                </w14:textFill>
              </w:rPr>
              <w:t>t</w:t>
            </w:r>
            <w:r>
              <w:rPr>
                <w:rFonts w:hint="default"/>
                <w:color w:val="000000" w:themeColor="text1"/>
                <w:lang w:val="en-US" w:eastAsia="zh-CN"/>
                <w14:textFill>
                  <w14:solidFill>
                    <w14:schemeClr w14:val="tx1"/>
                  </w14:solidFill>
                </w14:textFill>
              </w:rPr>
              <w:t>钢结构加工生产项目及5000m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工业、民用车库门生产项目变更环境影响说明》，2018年3月8日，取得昌吉高新技术产业开发区环境保护局批复，批号昌高环字</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[20</w:t>
            </w:r>
            <w:r>
              <w:rPr>
                <w:rFonts w:hint="eastAsia" w:cs="Times New Roman"/>
                <w:b w:val="0"/>
                <w:bCs w:val="0"/>
                <w:color w:val="000000" w:themeColor="text1"/>
                <w:sz w:val="24"/>
                <w:szCs w:val="24"/>
                <w:lang w:val="en-US" w:eastAsia="zh-CN"/>
                <w14:textFill>
                  <w14:solidFill>
                    <w14:schemeClr w14:val="tx1"/>
                  </w14:solidFill>
                </w14:textFill>
              </w:rPr>
              <w:t>18</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8号。</w:t>
            </w:r>
          </w:p>
          <w:p>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2018年6月新疆众力建材有限公司委托新疆国泰民康职业环境检测评价有限责任公司对</w:t>
            </w:r>
            <w:r>
              <w:rPr>
                <w:rFonts w:hint="eastAsia"/>
                <w:color w:val="000000" w:themeColor="text1"/>
                <w:lang w:val="en-US" w:eastAsia="zh-CN"/>
                <w14:textFill>
                  <w14:solidFill>
                    <w14:schemeClr w14:val="tx1"/>
                  </w14:solidFill>
                </w14:textFill>
              </w:rPr>
              <w:t>原</w:t>
            </w:r>
            <w:r>
              <w:rPr>
                <w:rFonts w:hint="default"/>
                <w:color w:val="000000" w:themeColor="text1"/>
                <w:lang w:val="en-US" w:eastAsia="zh-CN"/>
                <w14:textFill>
                  <w14:solidFill>
                    <w14:schemeClr w14:val="tx1"/>
                  </w14:solidFill>
                </w14:textFill>
              </w:rPr>
              <w:t>项目开展验收工作。于2019年1月17日取得验收意见。环评批复及验收意见详见附件。</w:t>
            </w:r>
          </w:p>
          <w:p>
            <w:pPr>
              <w:keepLines w:val="0"/>
              <w:pageBreakBefore w:val="0"/>
              <w:widowControl w:val="0"/>
              <w:kinsoku/>
              <w:wordWrap/>
              <w:topLinePunct w:val="0"/>
              <w:autoSpaceDE/>
              <w:autoSpaceDN/>
              <w:bidi w:val="0"/>
              <w:adjustRightInd/>
              <w:ind w:firstLine="480" w:firstLineChars="200"/>
              <w:jc w:val="left"/>
              <w:textAlignment w:val="auto"/>
              <w:rPr>
                <w:color w:val="000000" w:themeColor="text1"/>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依据《中华人民共和国环境影响评价法》、《建设项目环境保护管理条例》以及《建设项目环境影响评价分类管理名录》等有关法律、法规的要求，本项目属于</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二十七、非金属矿物制品业56、砖瓦、石材等建筑材料制造303其他建筑材料制造</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，本项目应编制环境影响报告表。2021年12月，受建设单位委托，项目成员进行了详细的现场踏勘和资料收集，根据《环境影响评价技术导则》的规定，编制完成了本项目的环境影响报告表。</w:t>
            </w:r>
          </w:p>
          <w:p>
            <w:pPr>
              <w:pStyle w:val="4"/>
              <w:pageBreakBefore w:val="0"/>
              <w:widowControl w:val="0"/>
              <w:kinsoku/>
              <w:wordWrap/>
              <w:topLinePunct w:val="0"/>
              <w:autoSpaceDE/>
              <w:autoSpaceDN/>
              <w:bidi w:val="0"/>
              <w:adjustRightInd/>
              <w:snapToGrid w:val="0"/>
              <w:spacing w:before="0" w:after="0"/>
              <w:jc w:val="left"/>
              <w:textAlignment w:val="auto"/>
              <w:rPr>
                <w:color w:val="000000"/>
              </w:rPr>
            </w:pPr>
            <w:r>
              <w:rPr>
                <w:color w:val="000000"/>
              </w:rPr>
              <w:t>2.</w:t>
            </w:r>
            <w:r>
              <w:rPr>
                <w:rFonts w:hint="eastAsia"/>
                <w:color w:val="000000"/>
                <w:lang w:val="en-US" w:eastAsia="zh-CN"/>
              </w:rPr>
              <w:t>1</w:t>
            </w:r>
            <w:r>
              <w:rPr>
                <w:color w:val="000000"/>
              </w:rPr>
              <w:t>.</w:t>
            </w:r>
            <w:r>
              <w:rPr>
                <w:rFonts w:hint="eastAsia"/>
                <w:color w:val="000000"/>
                <w:lang w:val="en-US" w:eastAsia="zh-CN"/>
              </w:rPr>
              <w:t>2</w:t>
            </w:r>
            <w:r>
              <w:rPr>
                <w:rFonts w:hint="eastAsia"/>
                <w:color w:val="000000"/>
              </w:rPr>
              <w:t>项目概况</w:t>
            </w:r>
          </w:p>
          <w:p>
            <w:pPr>
              <w:pageBreakBefore w:val="0"/>
              <w:widowControl w:val="0"/>
              <w:kinsoku/>
              <w:wordWrap/>
              <w:topLinePunct w:val="0"/>
              <w:autoSpaceDE/>
              <w:autoSpaceDN/>
              <w:bidi w:val="0"/>
              <w:adjustRightInd/>
              <w:snapToGrid w:val="0"/>
              <w:ind w:firstLine="480"/>
              <w:jc w:val="left"/>
              <w:textAlignment w:val="auto"/>
              <w:rPr>
                <w:color w:val="000000"/>
              </w:rPr>
            </w:pPr>
            <w:r>
              <w:rPr>
                <w:rFonts w:hint="eastAsia"/>
                <w:color w:val="000000"/>
              </w:rPr>
              <w:t>项目名称：</w:t>
            </w:r>
            <w:r>
              <w:rPr>
                <w:rFonts w:hint="eastAsia"/>
                <w:color w:val="000000"/>
                <w:lang w:eastAsia="zh-CN"/>
              </w:rPr>
              <w:t>年产</w:t>
            </w:r>
            <w:r>
              <w:rPr>
                <w:rFonts w:hint="eastAsia"/>
                <w:color w:val="000000"/>
                <w:lang w:val="en-US" w:eastAsia="zh-CN"/>
              </w:rPr>
              <w:t>2万平米聚氨酯封边岩棉夹芯板加工生产线项目</w:t>
            </w:r>
            <w:r>
              <w:rPr>
                <w:rFonts w:hint="eastAsia"/>
                <w:color w:val="000000"/>
              </w:rPr>
              <w:t>；</w:t>
            </w:r>
          </w:p>
          <w:p>
            <w:pPr>
              <w:pageBreakBefore w:val="0"/>
              <w:widowControl w:val="0"/>
              <w:kinsoku/>
              <w:wordWrap/>
              <w:topLinePunct w:val="0"/>
              <w:autoSpaceDE/>
              <w:autoSpaceDN/>
              <w:bidi w:val="0"/>
              <w:adjustRightInd/>
              <w:snapToGrid w:val="0"/>
              <w:ind w:firstLine="480"/>
              <w:jc w:val="left"/>
              <w:textAlignment w:val="auto"/>
              <w:rPr>
                <w:color w:val="000000"/>
              </w:rPr>
            </w:pPr>
            <w:r>
              <w:rPr>
                <w:rFonts w:hint="eastAsia"/>
                <w:color w:val="000000"/>
              </w:rPr>
              <w:t>建设单位：</w:t>
            </w:r>
            <w:r>
              <w:rPr>
                <w:rFonts w:hint="eastAsia"/>
                <w:color w:val="000000"/>
                <w:lang w:eastAsia="zh-CN"/>
              </w:rPr>
              <w:t>新疆众力建材</w:t>
            </w:r>
            <w:r>
              <w:rPr>
                <w:rFonts w:hint="eastAsia"/>
                <w:color w:val="000000"/>
              </w:rPr>
              <w:t>有限公司；</w:t>
            </w:r>
          </w:p>
          <w:p>
            <w:pPr>
              <w:pageBreakBefore w:val="0"/>
              <w:widowControl w:val="0"/>
              <w:kinsoku/>
              <w:wordWrap/>
              <w:topLinePunct w:val="0"/>
              <w:autoSpaceDE/>
              <w:autoSpaceDN/>
              <w:bidi w:val="0"/>
              <w:adjustRightInd/>
              <w:snapToGrid w:val="0"/>
              <w:ind w:firstLine="480"/>
              <w:jc w:val="left"/>
              <w:textAlignment w:val="auto"/>
              <w:rPr>
                <w:color w:val="000000"/>
              </w:rPr>
            </w:pPr>
            <w:r>
              <w:rPr>
                <w:rFonts w:hint="eastAsia"/>
                <w:color w:val="000000"/>
              </w:rPr>
              <w:t>建设性质：新建；</w:t>
            </w:r>
          </w:p>
          <w:p>
            <w:pPr>
              <w:pageBreakBefore w:val="0"/>
              <w:widowControl w:val="0"/>
              <w:kinsoku/>
              <w:wordWrap/>
              <w:topLinePunct w:val="0"/>
              <w:autoSpaceDE/>
              <w:autoSpaceDN/>
              <w:bidi w:val="0"/>
              <w:adjustRightInd/>
              <w:snapToGrid w:val="0"/>
              <w:ind w:firstLine="480"/>
              <w:jc w:val="left"/>
              <w:textAlignment w:val="auto"/>
              <w:rPr>
                <w:rFonts w:hint="default" w:eastAsia="宋体"/>
                <w:color w:val="000000"/>
                <w:vertAlign w:val="baseline"/>
                <w:lang w:val="en-US" w:eastAsia="zh-CN"/>
              </w:rPr>
            </w:pPr>
            <w:r>
              <w:rPr>
                <w:rFonts w:hint="eastAsia"/>
                <w:color w:val="000000"/>
              </w:rPr>
              <w:t>总投资：项目总投资</w:t>
            </w:r>
            <w:r>
              <w:rPr>
                <w:rFonts w:hint="eastAsia"/>
                <w:color w:val="000000"/>
                <w:lang w:val="en-US" w:eastAsia="zh-CN"/>
              </w:rPr>
              <w:t>52</w:t>
            </w:r>
            <w:r>
              <w:rPr>
                <w:rFonts w:hint="eastAsia"/>
                <w:color w:val="000000"/>
              </w:rPr>
              <w:t>0万元，通过企业自筹解决；</w:t>
            </w:r>
          </w:p>
          <w:p>
            <w:pPr>
              <w:pageBreakBefore w:val="0"/>
              <w:widowControl w:val="0"/>
              <w:kinsoku/>
              <w:wordWrap/>
              <w:topLinePunct w:val="0"/>
              <w:autoSpaceDE/>
              <w:autoSpaceDN/>
              <w:bidi w:val="0"/>
              <w:adjustRightInd/>
              <w:snapToGrid w:val="0"/>
              <w:ind w:firstLine="480"/>
              <w:jc w:val="left"/>
              <w:textAlignment w:val="auto"/>
              <w:rPr>
                <w:rFonts w:hint="eastAsia"/>
                <w:color w:val="000000"/>
                <w:highlight w:val="none"/>
              </w:rPr>
            </w:pPr>
            <w:r>
              <w:rPr>
                <w:rFonts w:hint="eastAsia"/>
                <w:color w:val="000000"/>
              </w:rPr>
              <w:t>建设地点：</w:t>
            </w:r>
            <w:r>
              <w:rPr>
                <w:rFonts w:hint="eastAsia"/>
                <w:color w:val="000000"/>
                <w:lang w:eastAsia="zh-CN"/>
              </w:rPr>
              <w:t>本项目位于</w:t>
            </w:r>
            <w:r>
              <w:rPr>
                <w:rFonts w:hint="eastAsia"/>
                <w:color w:val="000000"/>
              </w:rPr>
              <w:t>昌吉高新技术产业开发区</w:t>
            </w:r>
            <w:r>
              <w:rPr>
                <w:rFonts w:hint="eastAsia"/>
                <w:color w:val="000000"/>
                <w:lang w:eastAsia="zh-CN"/>
              </w:rPr>
              <w:t>建材区建设路</w:t>
            </w:r>
            <w:r>
              <w:rPr>
                <w:rFonts w:hint="eastAsia"/>
                <w:color w:val="000000"/>
                <w:lang w:val="en-US" w:eastAsia="zh-CN"/>
              </w:rPr>
              <w:t>5号</w:t>
            </w:r>
            <w:r>
              <w:rPr>
                <w:rFonts w:hint="eastAsia"/>
                <w:color w:val="000000"/>
              </w:rPr>
              <w:t>新疆</w:t>
            </w:r>
            <w:r>
              <w:rPr>
                <w:rFonts w:hint="eastAsia"/>
                <w:color w:val="000000"/>
                <w:lang w:eastAsia="zh-CN"/>
              </w:rPr>
              <w:t>众力建材有限公司厂区</w:t>
            </w:r>
            <w:r>
              <w:rPr>
                <w:rFonts w:hint="eastAsia"/>
                <w:color w:val="000000"/>
                <w:lang w:val="en-US" w:eastAsia="zh-CN"/>
              </w:rPr>
              <w:t>内</w:t>
            </w:r>
            <w:r>
              <w:rPr>
                <w:rFonts w:hint="eastAsia"/>
                <w:color w:val="000000"/>
              </w:rPr>
              <w:t>。</w:t>
            </w:r>
            <w:r>
              <w:rPr>
                <w:rFonts w:hint="eastAsia"/>
                <w:color w:val="000000"/>
                <w:lang w:eastAsia="zh-CN"/>
              </w:rPr>
              <w:t>项目区</w:t>
            </w:r>
            <w:r>
              <w:rPr>
                <w:rFonts w:hint="eastAsia"/>
                <w:color w:val="000000"/>
                <w:highlight w:val="none"/>
              </w:rPr>
              <w:t>东侧</w:t>
            </w:r>
            <w:r>
              <w:rPr>
                <w:rFonts w:hint="eastAsia"/>
                <w:color w:val="000000"/>
                <w:highlight w:val="none"/>
                <w:lang w:eastAsia="zh-CN"/>
              </w:rPr>
              <w:t>隔建设路为新疆徐工海虹商砼有限公司</w:t>
            </w:r>
            <w:r>
              <w:rPr>
                <w:rFonts w:hint="eastAsia"/>
                <w:color w:val="000000"/>
                <w:highlight w:val="none"/>
              </w:rPr>
              <w:t>，南侧</w:t>
            </w:r>
            <w:r>
              <w:rPr>
                <w:rFonts w:hint="eastAsia"/>
                <w:color w:val="000000"/>
                <w:highlight w:val="none"/>
                <w:lang w:val="en-US" w:eastAsia="zh-CN"/>
              </w:rPr>
              <w:t>隔</w:t>
            </w:r>
            <w:r>
              <w:rPr>
                <w:rFonts w:hint="eastAsia"/>
                <w:color w:val="000000"/>
                <w:sz w:val="24"/>
                <w:szCs w:val="24"/>
                <w:highlight w:val="none"/>
                <w:lang w:val="en-US" w:eastAsia="zh-CN"/>
              </w:rPr>
              <w:t>科韵路为市政公司</w:t>
            </w:r>
            <w:r>
              <w:rPr>
                <w:rFonts w:hint="eastAsia"/>
                <w:color w:val="000000"/>
                <w:highlight w:val="none"/>
              </w:rPr>
              <w:t>，西侧为</w:t>
            </w:r>
            <w:r>
              <w:rPr>
                <w:rFonts w:hint="eastAsia"/>
                <w:color w:val="000000"/>
                <w:highlight w:val="none"/>
                <w:lang w:eastAsia="zh-CN"/>
              </w:rPr>
              <w:t>新疆</w:t>
            </w:r>
            <w:r>
              <w:rPr>
                <w:rFonts w:hint="eastAsia"/>
                <w:color w:val="000000"/>
                <w:sz w:val="24"/>
                <w:szCs w:val="24"/>
                <w:highlight w:val="none"/>
                <w:lang w:val="en-US" w:eastAsia="zh-CN"/>
              </w:rPr>
              <w:t>禹克建材有限公司</w:t>
            </w:r>
            <w:r>
              <w:rPr>
                <w:rFonts w:hint="eastAsia"/>
                <w:color w:val="000000"/>
                <w:highlight w:val="none"/>
              </w:rPr>
              <w:t>，</w:t>
            </w:r>
            <w:r>
              <w:rPr>
                <w:rFonts w:hint="eastAsia"/>
                <w:color w:val="000000"/>
                <w:highlight w:val="none"/>
                <w:lang w:eastAsia="zh-CN"/>
              </w:rPr>
              <w:t>北</w:t>
            </w:r>
            <w:r>
              <w:rPr>
                <w:rFonts w:hint="eastAsia"/>
                <w:color w:val="000000"/>
                <w:highlight w:val="none"/>
              </w:rPr>
              <w:t>侧为</w:t>
            </w:r>
            <w:r>
              <w:rPr>
                <w:rFonts w:hint="eastAsia"/>
                <w:color w:val="000000"/>
                <w:highlight w:val="none"/>
                <w:lang w:eastAsia="zh-CN"/>
              </w:rPr>
              <w:t>昌吉市</w:t>
            </w:r>
            <w:r>
              <w:rPr>
                <w:rFonts w:hint="eastAsia"/>
                <w:color w:val="000000"/>
                <w:sz w:val="24"/>
                <w:szCs w:val="24"/>
                <w:highlight w:val="none"/>
                <w:lang w:val="en-US" w:eastAsia="zh-CN"/>
              </w:rPr>
              <w:t>五岳新型环保建材有限公司</w:t>
            </w:r>
            <w:r>
              <w:rPr>
                <w:rFonts w:hint="eastAsia"/>
                <w:color w:val="000000"/>
              </w:rPr>
              <w:t>，项目所在地中心地理坐标为：</w:t>
            </w:r>
            <w:r>
              <w:rPr>
                <w:color w:val="000000"/>
              </w:rPr>
              <w:t>87°8′</w:t>
            </w:r>
            <w:r>
              <w:rPr>
                <w:rFonts w:hint="eastAsia"/>
                <w:color w:val="000000"/>
                <w:lang w:val="en-US" w:eastAsia="zh-CN"/>
              </w:rPr>
              <w:t>24</w:t>
            </w:r>
            <w:r>
              <w:rPr>
                <w:color w:val="000000"/>
              </w:rPr>
              <w:t>.</w:t>
            </w:r>
            <w:r>
              <w:rPr>
                <w:rFonts w:hint="eastAsia"/>
                <w:color w:val="000000"/>
                <w:lang w:val="en-US" w:eastAsia="zh-CN"/>
              </w:rPr>
              <w:t>7076</w:t>
            </w:r>
            <w:r>
              <w:rPr>
                <w:color w:val="000000"/>
              </w:rPr>
              <w:t>″ E，44°</w:t>
            </w:r>
            <w:r>
              <w:rPr>
                <w:rFonts w:hint="eastAsia"/>
                <w:color w:val="000000"/>
                <w:lang w:val="en-US" w:eastAsia="zh-CN"/>
              </w:rPr>
              <w:t>5</w:t>
            </w:r>
            <w:r>
              <w:rPr>
                <w:color w:val="000000"/>
              </w:rPr>
              <w:t>′</w:t>
            </w:r>
            <w:r>
              <w:rPr>
                <w:rFonts w:hint="eastAsia"/>
                <w:color w:val="000000"/>
                <w:lang w:val="en-US" w:eastAsia="zh-CN"/>
              </w:rPr>
              <w:t>26</w:t>
            </w:r>
            <w:r>
              <w:rPr>
                <w:color w:val="000000"/>
              </w:rPr>
              <w:t>.</w:t>
            </w:r>
            <w:r>
              <w:rPr>
                <w:rFonts w:hint="eastAsia"/>
                <w:color w:val="000000"/>
                <w:lang w:val="en-US" w:eastAsia="zh-CN"/>
              </w:rPr>
              <w:t>6321</w:t>
            </w:r>
            <w:r>
              <w:rPr>
                <w:color w:val="000000"/>
              </w:rPr>
              <w:t>″ N</w:t>
            </w:r>
            <w:r>
              <w:rPr>
                <w:rFonts w:hint="eastAsia"/>
                <w:color w:val="000000"/>
              </w:rPr>
              <w:t>。项目区地理位置示意图见附图</w:t>
            </w:r>
            <w:r>
              <w:rPr>
                <w:rFonts w:hint="eastAsia"/>
                <w:color w:val="000000"/>
                <w:lang w:val="en-US" w:eastAsia="zh-CN"/>
              </w:rPr>
              <w:t>6</w:t>
            </w:r>
            <w:r>
              <w:rPr>
                <w:rFonts w:hint="eastAsia"/>
                <w:color w:val="000000"/>
              </w:rPr>
              <w:t>，</w:t>
            </w:r>
            <w:r>
              <w:rPr>
                <w:rFonts w:hint="eastAsia"/>
                <w:color w:val="000000"/>
                <w:highlight w:val="none"/>
              </w:rPr>
              <w:t>项目周边关系图见附图</w:t>
            </w:r>
            <w:r>
              <w:rPr>
                <w:rFonts w:hint="eastAsia"/>
                <w:color w:val="000000"/>
                <w:highlight w:val="none"/>
                <w:lang w:val="en-US" w:eastAsia="zh-CN"/>
              </w:rPr>
              <w:t>7</w:t>
            </w:r>
            <w:r>
              <w:rPr>
                <w:rFonts w:hint="eastAsia"/>
                <w:color w:val="000000"/>
                <w:highlight w:val="none"/>
              </w:rPr>
              <w:t>。</w:t>
            </w:r>
          </w:p>
          <w:p>
            <w:pPr>
              <w:pStyle w:val="4"/>
              <w:pageBreakBefore w:val="0"/>
              <w:widowControl w:val="0"/>
              <w:kinsoku/>
              <w:wordWrap/>
              <w:overflowPunct/>
              <w:topLinePunct w:val="0"/>
              <w:autoSpaceDE/>
              <w:autoSpaceDN/>
              <w:bidi w:val="0"/>
              <w:adjustRightInd/>
              <w:snapToGrid w:val="0"/>
              <w:spacing w:before="0" w:after="0"/>
              <w:jc w:val="left"/>
              <w:textAlignment w:val="auto"/>
              <w:rPr>
                <w:rFonts w:hint="eastAsia"/>
                <w:color w:val="000000"/>
              </w:rPr>
            </w:pPr>
            <w:r>
              <w:rPr>
                <w:color w:val="000000"/>
              </w:rPr>
              <w:t>2.</w:t>
            </w:r>
            <w:r>
              <w:rPr>
                <w:rFonts w:hint="eastAsia"/>
                <w:color w:val="000000"/>
                <w:lang w:val="en-US" w:eastAsia="zh-CN"/>
              </w:rPr>
              <w:t>1.3</w:t>
            </w:r>
            <w:r>
              <w:rPr>
                <w:rFonts w:hint="eastAsia"/>
                <w:color w:val="000000"/>
              </w:rPr>
              <w:t>工程内容</w:t>
            </w:r>
          </w:p>
          <w:p>
            <w:pPr>
              <w:jc w:val="left"/>
              <w:rPr>
                <w:rFonts w:hint="default"/>
                <w:color w:val="000000" w:themeColor="text1"/>
                <w:lang w:val="en-US"/>
                <w14:textFill>
                  <w14:solidFill>
                    <w14:schemeClr w14:val="tx1"/>
                  </w14:solidFill>
                </w14:textFill>
              </w:rPr>
            </w:pPr>
            <w:r>
              <w:rPr>
                <w:rFonts w:hint="eastAsia"/>
                <w:color w:val="000000" w:themeColor="text1"/>
                <w:highlight w:val="none"/>
                <w:lang w:eastAsia="zh-CN"/>
                <w14:textFill>
                  <w14:solidFill>
                    <w14:schemeClr w14:val="tx1"/>
                  </w14:solidFill>
                </w14:textFill>
              </w:rPr>
              <w:t>建设内容：</w:t>
            </w:r>
            <w:r>
              <w:rPr>
                <w:rFonts w:hint="eastAsia"/>
                <w:color w:val="000000" w:themeColor="text1"/>
                <w:lang w:eastAsia="zh-CN"/>
                <w14:textFill>
                  <w14:solidFill>
                    <w14:schemeClr w14:val="tx1"/>
                  </w14:solidFill>
                </w14:textFill>
              </w:rPr>
              <w:t>拟建项目为新疆众力建材有限公司新建项目，厂区已建</w:t>
            </w:r>
            <w:r>
              <w:rPr>
                <w:rFonts w:hint="eastAsia"/>
                <w:color w:val="000000" w:themeColor="text1"/>
                <w:lang w:val="en-US" w:eastAsia="zh-CN"/>
                <w14:textFill>
                  <w14:solidFill>
                    <w14:schemeClr w14:val="tx1"/>
                  </w14:solidFill>
                </w14:textFill>
              </w:rPr>
              <w:t>1号车间主营生产聚氨酯封边（岩棉/玻璃丝绵）夹芯板新型保温节能产品生产线，原有工程2号车间主营</w:t>
            </w: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加工年产</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2</w:t>
            </w: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0000t钢结构加工，C型钢500t，彩板3000m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，新型工业、民用车库门5000m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等产品生产线。本项目区在1号车间进行生产线加工。</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（1）原有工程主要构筑物及建设内容</w:t>
            </w:r>
          </w:p>
          <w:p>
            <w:pPr>
              <w:pageBreakBefore w:val="0"/>
              <w:widowControl w:val="0"/>
              <w:numPr>
                <w:ilvl w:val="0"/>
                <w:numId w:val="0"/>
              </w:numPr>
              <w:kinsoku/>
              <w:wordWrap/>
              <w:overflowPunct/>
              <w:topLinePunct w:val="0"/>
              <w:autoSpaceDE/>
              <w:autoSpaceDN/>
              <w:bidi w:val="0"/>
              <w:adjustRightInd/>
              <w:snapToGrid w:val="0"/>
              <w:jc w:val="center"/>
              <w:textAlignment w:val="auto"/>
              <w:rPr>
                <w:rFonts w:hint="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5</w:t>
            </w:r>
            <w:r>
              <w:rPr>
                <w:rFonts w:hint="default" w:ascii="Times New Roman" w:hAnsi="Times New Roman" w:cs="Times New Roman"/>
                <w:b/>
                <w:bCs/>
                <w:color w:val="000000" w:themeColor="text1"/>
                <w:sz w:val="21"/>
                <w:szCs w:val="21"/>
                <w:lang w:val="en-US" w:eastAsia="zh-CN"/>
                <w14:textFill>
                  <w14:solidFill>
                    <w14:schemeClr w14:val="tx1"/>
                  </w14:solidFill>
                </w14:textFill>
              </w:rPr>
              <w:t xml:space="preserve">  原工程建设内容一览表</w:t>
            </w:r>
          </w:p>
          <w:tbl>
            <w:tblPr>
              <w:tblStyle w:val="19"/>
              <w:tblW w:w="49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083"/>
              <w:gridCol w:w="5707"/>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名称</w:t>
                  </w: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项目</w:t>
                  </w:r>
                </w:p>
              </w:tc>
              <w:tc>
                <w:tcPr>
                  <w:tcW w:w="351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规模及建设内容</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主体工程</w:t>
                  </w: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2号车间</w:t>
                  </w:r>
                </w:p>
              </w:tc>
              <w:tc>
                <w:tcPr>
                  <w:tcW w:w="351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位于厂区北侧，</w:t>
                  </w:r>
                  <w:r>
                    <w:rPr>
                      <w:rFonts w:hint="eastAsia" w:cs="Times New Roman"/>
                      <w:color w:val="000000" w:themeColor="text1"/>
                      <w:sz w:val="21"/>
                      <w:szCs w:val="21"/>
                      <w:vertAlign w:val="baseline"/>
                      <w:lang w:eastAsia="zh-CN"/>
                      <w14:textFill>
                        <w14:solidFill>
                          <w14:schemeClr w14:val="tx1"/>
                        </w14:solidFill>
                      </w14:textFill>
                    </w:rPr>
                    <w:t>高</w:t>
                  </w:r>
                  <w:r>
                    <w:rPr>
                      <w:rFonts w:hint="eastAsia" w:cs="Times New Roman"/>
                      <w:color w:val="000000" w:themeColor="text1"/>
                      <w:sz w:val="21"/>
                      <w:szCs w:val="21"/>
                      <w:vertAlign w:val="baseline"/>
                      <w:lang w:val="en-US" w:eastAsia="zh-CN"/>
                      <w14:textFill>
                        <w14:solidFill>
                          <w14:schemeClr w14:val="tx1"/>
                        </w14:solidFill>
                      </w14:textFill>
                    </w:rPr>
                    <w:t>8m，单建筑，钢架结构，建筑面积约3600m</w:t>
                  </w:r>
                  <w:r>
                    <w:rPr>
                      <w:rFonts w:hint="eastAsia" w:cs="Times New Roman"/>
                      <w:color w:val="000000" w:themeColor="text1"/>
                      <w:sz w:val="21"/>
                      <w:szCs w:val="21"/>
                      <w:vertAlign w:val="superscript"/>
                      <w:lang w:val="en-US" w:eastAsia="zh-CN"/>
                      <w14:textFill>
                        <w14:solidFill>
                          <w14:schemeClr w14:val="tx1"/>
                        </w14:solidFill>
                      </w14:textFill>
                    </w:rPr>
                    <w:t>2</w:t>
                  </w:r>
                  <w:r>
                    <w:rPr>
                      <w:rFonts w:hint="eastAsia" w:cs="Times New Roman"/>
                      <w:color w:val="000000" w:themeColor="text1"/>
                      <w:sz w:val="21"/>
                      <w:szCs w:val="21"/>
                      <w:vertAlign w:val="baseli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车间内主要加工年产20000t钢结构加工，C型钢500t，彩板3000m</w:t>
                  </w:r>
                  <w:r>
                    <w:rPr>
                      <w:rFonts w:hint="eastAsia" w:cs="Times New Roman"/>
                      <w:color w:val="000000" w:themeColor="text1"/>
                      <w:sz w:val="21"/>
                      <w:szCs w:val="21"/>
                      <w:vertAlign w:val="superscript"/>
                      <w:lang w:val="en-US" w:eastAsia="zh-CN"/>
                      <w14:textFill>
                        <w14:solidFill>
                          <w14:schemeClr w14:val="tx1"/>
                        </w14:solidFill>
                      </w14:textFill>
                    </w:rPr>
                    <w:t>2</w:t>
                  </w:r>
                  <w:r>
                    <w:rPr>
                      <w:rFonts w:hint="eastAsia" w:cs="Times New Roman"/>
                      <w:color w:val="000000" w:themeColor="text1"/>
                      <w:sz w:val="21"/>
                      <w:szCs w:val="21"/>
                      <w:vertAlign w:val="baseline"/>
                      <w:lang w:val="en-US" w:eastAsia="zh-CN"/>
                      <w14:textFill>
                        <w14:solidFill>
                          <w14:schemeClr w14:val="tx1"/>
                        </w14:solidFill>
                      </w14:textFill>
                    </w:rPr>
                    <w:t>，新型工业、民用车库门5000m</w:t>
                  </w:r>
                  <w:r>
                    <w:rPr>
                      <w:rFonts w:hint="eastAsia" w:cs="Times New Roman"/>
                      <w:color w:val="000000" w:themeColor="text1"/>
                      <w:sz w:val="21"/>
                      <w:szCs w:val="21"/>
                      <w:vertAlign w:val="superscript"/>
                      <w:lang w:val="en-US" w:eastAsia="zh-CN"/>
                      <w14:textFill>
                        <w14:solidFill>
                          <w14:schemeClr w14:val="tx1"/>
                        </w14:solidFill>
                      </w14:textFill>
                    </w:rPr>
                    <w:t>2</w:t>
                  </w:r>
                  <w:r>
                    <w:rPr>
                      <w:rFonts w:hint="eastAsia" w:cs="Times New Roman"/>
                      <w:color w:val="000000" w:themeColor="text1"/>
                      <w:sz w:val="21"/>
                      <w:szCs w:val="21"/>
                      <w:vertAlign w:val="baseline"/>
                      <w:lang w:val="en-US" w:eastAsia="zh-CN"/>
                      <w14:textFill>
                        <w14:solidFill>
                          <w14:schemeClr w14:val="tx1"/>
                        </w14:solidFill>
                      </w14:textFill>
                    </w:rPr>
                    <w:t>等生产线及配套设备</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辅助</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工程</w:t>
                  </w: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办公</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综合楼</w:t>
                  </w:r>
                </w:p>
              </w:tc>
              <w:tc>
                <w:tcPr>
                  <w:tcW w:w="351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highlight w:val="none"/>
                      <w:lang w:eastAsia="zh-CN"/>
                      <w14:textFill>
                        <w14:solidFill>
                          <w14:schemeClr w14:val="tx1"/>
                        </w14:solidFill>
                      </w14:textFill>
                    </w:rPr>
                    <w:t>位于厂区</w:t>
                  </w:r>
                  <w:r>
                    <w:rPr>
                      <w:rFonts w:hint="eastAsia"/>
                      <w:b w:val="0"/>
                      <w:bCs w:val="0"/>
                      <w:color w:val="000000" w:themeColor="text1"/>
                      <w:sz w:val="21"/>
                      <w:szCs w:val="21"/>
                      <w:highlight w:val="none"/>
                      <w:lang w:val="en-US" w:eastAsia="zh-CN"/>
                      <w14:textFill>
                        <w14:solidFill>
                          <w14:schemeClr w14:val="tx1"/>
                        </w14:solidFill>
                      </w14:textFill>
                    </w:rPr>
                    <w:t>1号车间东侧，包括办公、食宿，建筑面积约550m</w:t>
                  </w:r>
                  <w:r>
                    <w:rPr>
                      <w:rFonts w:hint="eastAsia"/>
                      <w:b w:val="0"/>
                      <w:bCs w:val="0"/>
                      <w:color w:val="000000" w:themeColor="text1"/>
                      <w:sz w:val="21"/>
                      <w:szCs w:val="21"/>
                      <w:highlight w:val="none"/>
                      <w:vertAlign w:val="superscript"/>
                      <w:lang w:val="en-US" w:eastAsia="zh-CN"/>
                      <w14:textFill>
                        <w14:solidFill>
                          <w14:schemeClr w14:val="tx1"/>
                        </w14:solidFill>
                      </w14:textFill>
                    </w:rPr>
                    <w:t>2</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7"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门卫室</w:t>
                  </w:r>
                </w:p>
              </w:tc>
              <w:tc>
                <w:tcPr>
                  <w:tcW w:w="351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保护公司人员及货物，高</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2.8m，建筑面积</w:t>
                  </w:r>
                  <w:r>
                    <w:rPr>
                      <w:rFonts w:hint="eastAsia" w:cs="Times New Roman"/>
                      <w:color w:val="000000" w:themeColor="text1"/>
                      <w:sz w:val="21"/>
                      <w:szCs w:val="21"/>
                      <w:vertAlign w:val="baseline"/>
                      <w:lang w:val="en-US" w:eastAsia="zh-CN"/>
                      <w14:textFill>
                        <w14:solidFill>
                          <w14:schemeClr w14:val="tx1"/>
                        </w14:solidFill>
                      </w14:textFill>
                    </w:rPr>
                    <w:t>约</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15m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喷漆房</w:t>
                  </w:r>
                </w:p>
              </w:tc>
              <w:tc>
                <w:tcPr>
                  <w:tcW w:w="3510"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ascii="Times New Roman" w:hAnsi="Times New Roman" w:cs="Times New Roman"/>
                      <w:color w:val="000000" w:themeColor="text1"/>
                      <w:sz w:val="21"/>
                      <w:szCs w:val="21"/>
                      <w:highlight w:val="none"/>
                      <w:vertAlign w:val="baseline"/>
                      <w14:textFill>
                        <w14:solidFill>
                          <w14:schemeClr w14:val="tx1"/>
                        </w14:solidFill>
                      </w14:textFill>
                    </w:rPr>
                  </w:pPr>
                  <w:r>
                    <w:rPr>
                      <w:rFonts w:hint="eastAsia"/>
                      <w:b w:val="0"/>
                      <w:bCs w:val="0"/>
                      <w:color w:val="000000" w:themeColor="text1"/>
                      <w:sz w:val="21"/>
                      <w:szCs w:val="21"/>
                      <w:highlight w:val="none"/>
                      <w:lang w:eastAsia="zh-CN"/>
                      <w14:textFill>
                        <w14:solidFill>
                          <w14:schemeClr w14:val="tx1"/>
                        </w14:solidFill>
                      </w14:textFill>
                    </w:rPr>
                    <w:t>位于厂区</w:t>
                  </w:r>
                  <w:r>
                    <w:rPr>
                      <w:rFonts w:hint="eastAsia"/>
                      <w:b w:val="0"/>
                      <w:bCs w:val="0"/>
                      <w:color w:val="000000" w:themeColor="text1"/>
                      <w:sz w:val="21"/>
                      <w:szCs w:val="21"/>
                      <w:highlight w:val="none"/>
                      <w:lang w:val="en-US" w:eastAsia="zh-CN"/>
                      <w14:textFill>
                        <w14:solidFill>
                          <w14:schemeClr w14:val="tx1"/>
                        </w14:solidFill>
                      </w14:textFill>
                    </w:rPr>
                    <w:t>2号车间西侧，建筑面积约163m</w:t>
                  </w:r>
                  <w:r>
                    <w:rPr>
                      <w:rFonts w:hint="eastAsia"/>
                      <w:b w:val="0"/>
                      <w:bCs w:val="0"/>
                      <w:color w:val="000000" w:themeColor="text1"/>
                      <w:sz w:val="21"/>
                      <w:szCs w:val="21"/>
                      <w:highlight w:val="none"/>
                      <w:vertAlign w:val="superscript"/>
                      <w:lang w:val="en-US" w:eastAsia="zh-CN"/>
                      <w14:textFill>
                        <w14:solidFill>
                          <w14:schemeClr w14:val="tx1"/>
                        </w14:solidFill>
                      </w14:textFill>
                    </w:rPr>
                    <w:t>2</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抛丸机房</w:t>
                  </w:r>
                </w:p>
              </w:tc>
              <w:tc>
                <w:tcPr>
                  <w:tcW w:w="3510"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ascii="Times New Roman" w:hAnsi="Times New Roman" w:cs="Times New Roman"/>
                      <w:color w:val="000000" w:themeColor="text1"/>
                      <w:sz w:val="21"/>
                      <w:szCs w:val="21"/>
                      <w:highlight w:val="none"/>
                      <w:vertAlign w:val="baseline"/>
                      <w14:textFill>
                        <w14:solidFill>
                          <w14:schemeClr w14:val="tx1"/>
                        </w14:solidFill>
                      </w14:textFill>
                    </w:rPr>
                  </w:pPr>
                  <w:r>
                    <w:rPr>
                      <w:rFonts w:hint="eastAsia"/>
                      <w:b w:val="0"/>
                      <w:bCs w:val="0"/>
                      <w:color w:val="000000" w:themeColor="text1"/>
                      <w:sz w:val="21"/>
                      <w:szCs w:val="21"/>
                      <w:highlight w:val="none"/>
                      <w:lang w:eastAsia="zh-CN"/>
                      <w14:textFill>
                        <w14:solidFill>
                          <w14:schemeClr w14:val="tx1"/>
                        </w14:solidFill>
                      </w14:textFill>
                    </w:rPr>
                    <w:t>位于厂区</w:t>
                  </w:r>
                  <w:r>
                    <w:rPr>
                      <w:rFonts w:hint="eastAsia"/>
                      <w:b w:val="0"/>
                      <w:bCs w:val="0"/>
                      <w:color w:val="000000" w:themeColor="text1"/>
                      <w:sz w:val="21"/>
                      <w:szCs w:val="21"/>
                      <w:highlight w:val="none"/>
                      <w:lang w:val="en-US" w:eastAsia="zh-CN"/>
                      <w14:textFill>
                        <w14:solidFill>
                          <w14:schemeClr w14:val="tx1"/>
                        </w14:solidFill>
                      </w14:textFill>
                    </w:rPr>
                    <w:t>2号车间西侧，建筑面积约2800m</w:t>
                  </w:r>
                  <w:r>
                    <w:rPr>
                      <w:rFonts w:hint="eastAsia"/>
                      <w:b w:val="0"/>
                      <w:bCs w:val="0"/>
                      <w:color w:val="000000" w:themeColor="text1"/>
                      <w:sz w:val="21"/>
                      <w:szCs w:val="21"/>
                      <w:highlight w:val="none"/>
                      <w:vertAlign w:val="superscript"/>
                      <w:lang w:val="en-US" w:eastAsia="zh-CN"/>
                      <w14:textFill>
                        <w14:solidFill>
                          <w14:schemeClr w14:val="tx1"/>
                        </w14:solidFill>
                      </w14:textFill>
                    </w:rPr>
                    <w:t>2</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vertAlign w:val="baseline"/>
                      <w:lang w:eastAsia="zh-CN"/>
                      <w14:textFill>
                        <w14:solidFill>
                          <w14:schemeClr w14:val="tx1"/>
                        </w14:solidFill>
                      </w14:textFill>
                    </w:rPr>
                    <w:t>油漆房</w:t>
                  </w:r>
                </w:p>
              </w:tc>
              <w:tc>
                <w:tcPr>
                  <w:tcW w:w="3510"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b w:val="0"/>
                      <w:bCs w:val="0"/>
                      <w:color w:val="000000" w:themeColor="text1"/>
                      <w:sz w:val="21"/>
                      <w:szCs w:val="21"/>
                      <w:highlight w:val="none"/>
                      <w:lang w:eastAsia="zh-CN"/>
                      <w14:textFill>
                        <w14:solidFill>
                          <w14:schemeClr w14:val="tx1"/>
                        </w14:solidFill>
                      </w14:textFill>
                    </w:rPr>
                  </w:pPr>
                  <w:r>
                    <w:rPr>
                      <w:rFonts w:hint="eastAsia"/>
                      <w:b w:val="0"/>
                      <w:bCs w:val="0"/>
                      <w:color w:val="000000" w:themeColor="text1"/>
                      <w:sz w:val="21"/>
                      <w:szCs w:val="21"/>
                      <w:highlight w:val="none"/>
                      <w:lang w:eastAsia="zh-CN"/>
                      <w14:textFill>
                        <w14:solidFill>
                          <w14:schemeClr w14:val="tx1"/>
                        </w14:solidFill>
                      </w14:textFill>
                    </w:rPr>
                    <w:t>位于厂区</w:t>
                  </w:r>
                  <w:r>
                    <w:rPr>
                      <w:rFonts w:hint="eastAsia"/>
                      <w:b w:val="0"/>
                      <w:bCs w:val="0"/>
                      <w:color w:val="000000" w:themeColor="text1"/>
                      <w:sz w:val="21"/>
                      <w:szCs w:val="21"/>
                      <w:highlight w:val="none"/>
                      <w:lang w:val="en-US" w:eastAsia="zh-CN"/>
                      <w14:textFill>
                        <w14:solidFill>
                          <w14:schemeClr w14:val="tx1"/>
                        </w14:solidFill>
                      </w14:textFill>
                    </w:rPr>
                    <w:t>2号车间西侧，建筑面积约480m</w:t>
                  </w:r>
                  <w:r>
                    <w:rPr>
                      <w:rFonts w:hint="eastAsia"/>
                      <w:b w:val="0"/>
                      <w:bCs w:val="0"/>
                      <w:color w:val="000000" w:themeColor="text1"/>
                      <w:sz w:val="21"/>
                      <w:szCs w:val="21"/>
                      <w:highlight w:val="none"/>
                      <w:vertAlign w:val="superscript"/>
                      <w:lang w:val="en-US" w:eastAsia="zh-CN"/>
                      <w14:textFill>
                        <w14:solidFill>
                          <w14:schemeClr w14:val="tx1"/>
                        </w14:solidFill>
                      </w14:textFill>
                    </w:rPr>
                    <w:t>2</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vertAlign w:val="baselin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vertAlign w:val="baseline"/>
                      <w:lang w:eastAsia="zh-CN"/>
                      <w14:textFill>
                        <w14:solidFill>
                          <w14:schemeClr w14:val="tx1"/>
                        </w14:solidFill>
                      </w14:textFill>
                    </w:rPr>
                    <w:t>危废间</w:t>
                  </w:r>
                </w:p>
              </w:tc>
              <w:tc>
                <w:tcPr>
                  <w:tcW w:w="3510"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eastAsia="zh-CN"/>
                      <w14:textFill>
                        <w14:solidFill>
                          <w14:schemeClr w14:val="tx1"/>
                        </w14:solidFill>
                      </w14:textFill>
                    </w:rPr>
                    <w:t>位于厂区东北角，建筑面积约</w:t>
                  </w:r>
                  <w:r>
                    <w:rPr>
                      <w:rFonts w:hint="eastAsia"/>
                      <w:b w:val="0"/>
                      <w:bCs w:val="0"/>
                      <w:color w:val="000000" w:themeColor="text1"/>
                      <w:sz w:val="21"/>
                      <w:szCs w:val="21"/>
                      <w:highlight w:val="none"/>
                      <w:lang w:val="en-US" w:eastAsia="zh-CN"/>
                      <w14:textFill>
                        <w14:solidFill>
                          <w14:schemeClr w14:val="tx1"/>
                        </w14:solidFill>
                      </w14:textFill>
                    </w:rPr>
                    <w:t>20m</w:t>
                  </w:r>
                  <w:r>
                    <w:rPr>
                      <w:rFonts w:hint="eastAsia"/>
                      <w:b w:val="0"/>
                      <w:bCs w:val="0"/>
                      <w:color w:val="000000" w:themeColor="text1"/>
                      <w:sz w:val="21"/>
                      <w:szCs w:val="21"/>
                      <w:highlight w:val="none"/>
                      <w:vertAlign w:val="superscript"/>
                      <w:lang w:val="en-US" w:eastAsia="zh-CN"/>
                      <w14:textFill>
                        <w14:solidFill>
                          <w14:schemeClr w14:val="tx1"/>
                        </w14:solidFill>
                      </w14:textFill>
                    </w:rPr>
                    <w:t>2</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vertAlign w:val="baselin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公用</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工程</w:t>
                  </w: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供电</w:t>
                  </w:r>
                </w:p>
              </w:tc>
              <w:tc>
                <w:tcPr>
                  <w:tcW w:w="3510"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依托</w:t>
                  </w:r>
                  <w:r>
                    <w:rPr>
                      <w:color w:val="000000" w:themeColor="text1"/>
                      <w:sz w:val="21"/>
                      <w:szCs w:val="21"/>
                      <w14:textFill>
                        <w14:solidFill>
                          <w14:schemeClr w14:val="tx1"/>
                        </w14:solidFill>
                      </w14:textFill>
                    </w:rPr>
                    <w:t>园区供电管网统一供给</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供水</w:t>
                  </w:r>
                </w:p>
              </w:tc>
              <w:tc>
                <w:tcPr>
                  <w:tcW w:w="3510"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依托</w:t>
                  </w:r>
                  <w:r>
                    <w:rPr>
                      <w:color w:val="000000" w:themeColor="text1"/>
                      <w:sz w:val="21"/>
                      <w:szCs w:val="21"/>
                      <w14:textFill>
                        <w14:solidFill>
                          <w14:schemeClr w14:val="tx1"/>
                        </w14:solidFill>
                      </w14:textFill>
                    </w:rPr>
                    <w:t>园区供水管网统一供给</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供热</w:t>
                  </w:r>
                </w:p>
              </w:tc>
              <w:tc>
                <w:tcPr>
                  <w:tcW w:w="3510"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本项目冬季不生产，厂区内无需供热</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消防水池</w:t>
                  </w:r>
                </w:p>
              </w:tc>
              <w:tc>
                <w:tcPr>
                  <w:tcW w:w="351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highlight w:val="none"/>
                      <w14:textFill>
                        <w14:solidFill>
                          <w14:schemeClr w14:val="tx1"/>
                        </w14:solidFill>
                      </w14:textFill>
                    </w:rPr>
                    <w:t>厂区东</w:t>
                  </w:r>
                  <w:r>
                    <w:rPr>
                      <w:rFonts w:hint="eastAsia"/>
                      <w:color w:val="000000" w:themeColor="text1"/>
                      <w:sz w:val="21"/>
                      <w:szCs w:val="21"/>
                      <w:highlight w:val="none"/>
                      <w:lang w:eastAsia="zh-CN"/>
                      <w14:textFill>
                        <w14:solidFill>
                          <w14:schemeClr w14:val="tx1"/>
                        </w14:solidFill>
                      </w14:textFill>
                    </w:rPr>
                    <w:t>南角有</w:t>
                  </w:r>
                  <w:r>
                    <w:rPr>
                      <w:rFonts w:hint="eastAsia"/>
                      <w:color w:val="000000" w:themeColor="text1"/>
                      <w:sz w:val="21"/>
                      <w:szCs w:val="21"/>
                      <w:highlight w:val="none"/>
                      <w14:textFill>
                        <w14:solidFill>
                          <w14:schemeClr w14:val="tx1"/>
                        </w14:solidFill>
                      </w14:textFill>
                    </w:rPr>
                    <w:t>一座</w:t>
                  </w:r>
                  <w:r>
                    <w:rPr>
                      <w:rFonts w:hint="eastAsia"/>
                      <w:color w:val="000000" w:themeColor="text1"/>
                      <w:sz w:val="21"/>
                      <w:szCs w:val="21"/>
                      <w:highlight w:val="none"/>
                      <w:lang w:val="en-US" w:eastAsia="zh-CN"/>
                      <w14:textFill>
                        <w14:solidFill>
                          <w14:schemeClr w14:val="tx1"/>
                        </w14:solidFill>
                      </w14:textFill>
                    </w:rPr>
                    <w:t>150</w:t>
                  </w:r>
                  <w:r>
                    <w:rPr>
                      <w:rFonts w:hint="eastAsia"/>
                      <w:color w:val="000000" w:themeColor="text1"/>
                      <w:sz w:val="21"/>
                      <w:szCs w:val="21"/>
                      <w:highlight w:val="none"/>
                      <w14:textFill>
                        <w14:solidFill>
                          <w14:schemeClr w14:val="tx1"/>
                        </w14:solidFill>
                      </w14:textFill>
                    </w:rPr>
                    <w:t>m</w:t>
                  </w:r>
                  <w:r>
                    <w:rPr>
                      <w:rFonts w:hint="eastAsia"/>
                      <w:color w:val="000000" w:themeColor="text1"/>
                      <w:sz w:val="21"/>
                      <w:szCs w:val="21"/>
                      <w:highlight w:val="none"/>
                      <w:vertAlign w:val="superscript"/>
                      <w14:textFill>
                        <w14:solidFill>
                          <w14:schemeClr w14:val="tx1"/>
                        </w14:solidFill>
                      </w14:textFill>
                    </w:rPr>
                    <w:t>3</w:t>
                  </w:r>
                  <w:r>
                    <w:rPr>
                      <w:rFonts w:hint="eastAsia"/>
                      <w:color w:val="000000" w:themeColor="text1"/>
                      <w:sz w:val="21"/>
                      <w:szCs w:val="21"/>
                      <w:highlight w:val="none"/>
                      <w:vertAlign w:val="baseline"/>
                      <w:lang w:eastAsia="zh-CN"/>
                      <w14:textFill>
                        <w14:solidFill>
                          <w14:schemeClr w14:val="tx1"/>
                        </w14:solidFill>
                      </w14:textFill>
                    </w:rPr>
                    <w:t>的消防水池，规格</w:t>
                  </w:r>
                  <w:r>
                    <w:rPr>
                      <w:rFonts w:hint="eastAsia"/>
                      <w:color w:val="000000" w:themeColor="text1"/>
                      <w:sz w:val="21"/>
                      <w:szCs w:val="21"/>
                      <w:highlight w:val="none"/>
                      <w:vertAlign w:val="baseline"/>
                      <w:lang w:val="en-US" w:eastAsia="zh-CN"/>
                      <w14:textFill>
                        <w14:solidFill>
                          <w14:schemeClr w14:val="tx1"/>
                        </w14:solidFill>
                      </w14:textFill>
                    </w:rPr>
                    <w:t>6m</w:t>
                  </w:r>
                  <w:r>
                    <w:rPr>
                      <w:rFonts w:hint="eastAsia" w:asciiTheme="minorEastAsia" w:hAnsiTheme="minorEastAsia" w:eastAsiaTheme="minorEastAsia" w:cstheme="minorEastAsia"/>
                      <w:color w:val="000000" w:themeColor="text1"/>
                      <w:sz w:val="28"/>
                      <w:szCs w:val="36"/>
                      <w:highlight w:val="none"/>
                      <w:lang w:val="en-US" w:eastAsia="zh-CN"/>
                      <w14:textFill>
                        <w14:solidFill>
                          <w14:schemeClr w14:val="tx1"/>
                        </w14:solidFill>
                      </w14:textFill>
                    </w:rPr>
                    <w:t>*</w:t>
                  </w:r>
                  <w:r>
                    <w:rPr>
                      <w:rFonts w:hint="eastAsia"/>
                      <w:color w:val="000000" w:themeColor="text1"/>
                      <w:sz w:val="21"/>
                      <w:szCs w:val="21"/>
                      <w:highlight w:val="none"/>
                      <w:vertAlign w:val="baseline"/>
                      <w:lang w:val="en-US" w:eastAsia="zh-CN"/>
                      <w14:textFill>
                        <w14:solidFill>
                          <w14:schemeClr w14:val="tx1"/>
                        </w14:solidFill>
                      </w14:textFill>
                    </w:rPr>
                    <w:t>5m</w:t>
                  </w:r>
                  <w:r>
                    <w:rPr>
                      <w:rFonts w:hint="eastAsia" w:asciiTheme="minorEastAsia" w:hAnsiTheme="minorEastAsia" w:eastAsiaTheme="minorEastAsia" w:cstheme="minorEastAsia"/>
                      <w:color w:val="000000" w:themeColor="text1"/>
                      <w:sz w:val="28"/>
                      <w:szCs w:val="36"/>
                      <w:highlight w:val="none"/>
                      <w:lang w:val="en-US" w:eastAsia="zh-CN"/>
                      <w14:textFill>
                        <w14:solidFill>
                          <w14:schemeClr w14:val="tx1"/>
                        </w14:solidFill>
                      </w14:textFill>
                    </w:rPr>
                    <w:t>*</w:t>
                  </w:r>
                  <w:r>
                    <w:rPr>
                      <w:rFonts w:hint="eastAsia"/>
                      <w:color w:val="000000" w:themeColor="text1"/>
                      <w:sz w:val="21"/>
                      <w:szCs w:val="21"/>
                      <w:highlight w:val="none"/>
                      <w:vertAlign w:val="baseline"/>
                      <w:lang w:val="en-US" w:eastAsia="zh-CN"/>
                      <w14:textFill>
                        <w14:solidFill>
                          <w14:schemeClr w14:val="tx1"/>
                        </w14:solidFill>
                      </w14:textFill>
                    </w:rPr>
                    <w:t>5m</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417"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环保</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工程</w:t>
                  </w: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废气</w:t>
                  </w:r>
                </w:p>
              </w:tc>
              <w:tc>
                <w:tcPr>
                  <w:tcW w:w="351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有机废气经集气罩收集，由UV光氧催化+活性炭吸附装置处理后</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最终由15</w:t>
                  </w:r>
                  <w:r>
                    <w:rPr>
                      <w:rFonts w:hint="eastAsia"/>
                      <w:color w:val="000000" w:themeColor="text1"/>
                      <w:sz w:val="21"/>
                      <w:szCs w:val="21"/>
                      <w:lang w:val="en-US" w:eastAsia="zh-CN"/>
                      <w14:textFill>
                        <w14:solidFill>
                          <w14:schemeClr w14:val="tx1"/>
                        </w14:solidFill>
                      </w14:textFill>
                    </w:rPr>
                    <w:t>m</w:t>
                  </w:r>
                  <w:r>
                    <w:rPr>
                      <w:rFonts w:hint="eastAsia"/>
                      <w:color w:val="000000" w:themeColor="text1"/>
                      <w:sz w:val="21"/>
                      <w:szCs w:val="21"/>
                      <w14:textFill>
                        <w14:solidFill>
                          <w14:schemeClr w14:val="tx1"/>
                        </w14:solidFill>
                      </w14:textFill>
                    </w:rPr>
                    <w:t>排气筒排放</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切割粉尘</w:t>
                  </w:r>
                  <w:r>
                    <w:rPr>
                      <w:rFonts w:hint="eastAsia"/>
                      <w:color w:val="000000" w:themeColor="text1"/>
                      <w:sz w:val="21"/>
                      <w:szCs w:val="21"/>
                      <w:lang w:eastAsia="zh-CN"/>
                      <w14:textFill>
                        <w14:solidFill>
                          <w14:schemeClr w14:val="tx1"/>
                        </w14:solidFill>
                      </w14:textFill>
                    </w:rPr>
                    <w:t>经布袋除尘器处理后，</w:t>
                  </w:r>
                  <w:r>
                    <w:rPr>
                      <w:rFonts w:hint="eastAsia"/>
                      <w:color w:val="000000" w:themeColor="text1"/>
                      <w:sz w:val="21"/>
                      <w:szCs w:val="21"/>
                      <w14:textFill>
                        <w14:solidFill>
                          <w14:schemeClr w14:val="tx1"/>
                        </w14:solidFill>
                      </w14:textFill>
                    </w:rPr>
                    <w:t>最终由15</w:t>
                  </w:r>
                  <w:r>
                    <w:rPr>
                      <w:rFonts w:hint="eastAsia"/>
                      <w:color w:val="000000" w:themeColor="text1"/>
                      <w:sz w:val="21"/>
                      <w:szCs w:val="21"/>
                      <w:lang w:val="en-US" w:eastAsia="zh-CN"/>
                      <w14:textFill>
                        <w14:solidFill>
                          <w14:schemeClr w14:val="tx1"/>
                        </w14:solidFill>
                      </w14:textFill>
                    </w:rPr>
                    <w:t>m</w:t>
                  </w:r>
                  <w:r>
                    <w:rPr>
                      <w:rFonts w:hint="eastAsia"/>
                      <w:color w:val="000000" w:themeColor="text1"/>
                      <w:sz w:val="21"/>
                      <w:szCs w:val="21"/>
                      <w14:textFill>
                        <w14:solidFill>
                          <w14:schemeClr w14:val="tx1"/>
                        </w14:solidFill>
                      </w14:textFill>
                    </w:rPr>
                    <w:t>排气筒排放</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厂房内设置通风设施</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加强通风</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废水</w:t>
                  </w:r>
                </w:p>
              </w:tc>
              <w:tc>
                <w:tcPr>
                  <w:tcW w:w="3510"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生活污水经厂区化粪池预处理后，定期由昌吉市新时代蓝领家政服务有限公司拉运至昌吉排水有限责任公司统一处理</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噪声</w:t>
                  </w:r>
                </w:p>
              </w:tc>
              <w:tc>
                <w:tcPr>
                  <w:tcW w:w="3510"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选用</w:t>
                  </w:r>
                  <w:r>
                    <w:rPr>
                      <w:color w:val="000000" w:themeColor="text1"/>
                      <w:sz w:val="21"/>
                      <w:szCs w:val="21"/>
                      <w14:textFill>
                        <w14:solidFill>
                          <w14:schemeClr w14:val="tx1"/>
                        </w14:solidFill>
                      </w14:textFill>
                    </w:rPr>
                    <w:t>低噪声设备</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采取墙体隔声</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基础减振装置和柔性连接等措施</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固废</w:t>
                  </w:r>
                </w:p>
              </w:tc>
              <w:tc>
                <w:tcPr>
                  <w:tcW w:w="3510"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厂区</w:t>
                  </w:r>
                  <w:r>
                    <w:rPr>
                      <w:rFonts w:hint="eastAsia"/>
                      <w:color w:val="000000" w:themeColor="text1"/>
                      <w:sz w:val="21"/>
                      <w:szCs w:val="21"/>
                      <w:highlight w:val="none"/>
                      <w14:textFill>
                        <w14:solidFill>
                          <w14:schemeClr w14:val="tx1"/>
                        </w14:solidFill>
                      </w14:textFill>
                    </w:rPr>
                    <w:t>东北</w:t>
                  </w:r>
                  <w:r>
                    <w:rPr>
                      <w:rFonts w:hint="eastAsia"/>
                      <w:color w:val="000000" w:themeColor="text1"/>
                      <w:sz w:val="21"/>
                      <w:szCs w:val="21"/>
                      <w:highlight w:val="none"/>
                      <w:lang w:eastAsia="zh-CN"/>
                      <w14:textFill>
                        <w14:solidFill>
                          <w14:schemeClr w14:val="tx1"/>
                        </w14:solidFill>
                      </w14:textFill>
                    </w:rPr>
                    <w:t>角</w:t>
                  </w:r>
                  <w:r>
                    <w:rPr>
                      <w:rFonts w:hint="eastAsia"/>
                      <w:color w:val="000000" w:themeColor="text1"/>
                      <w:sz w:val="21"/>
                      <w:szCs w:val="21"/>
                      <w:highlight w:val="none"/>
                      <w14:textFill>
                        <w14:solidFill>
                          <w14:schemeClr w14:val="tx1"/>
                        </w14:solidFill>
                      </w14:textFill>
                    </w:rPr>
                    <w:t>建设一座危废暂存间</w:t>
                  </w:r>
                  <w:r>
                    <w:rPr>
                      <w:rFonts w:hint="eastAsia"/>
                      <w:color w:val="000000" w:themeColor="text1"/>
                      <w:sz w:val="21"/>
                      <w:szCs w:val="21"/>
                      <w:highlight w:val="none"/>
                      <w:lang w:eastAsia="zh-CN"/>
                      <w14:textFill>
                        <w14:solidFill>
                          <w14:schemeClr w14:val="tx1"/>
                        </w14:solidFill>
                      </w14:textFill>
                    </w:rPr>
                    <w:t>，建筑面积约</w:t>
                  </w:r>
                  <w:r>
                    <w:rPr>
                      <w:rFonts w:hint="eastAsia"/>
                      <w:color w:val="000000" w:themeColor="text1"/>
                      <w:sz w:val="21"/>
                      <w:szCs w:val="21"/>
                      <w:highlight w:val="none"/>
                      <w:lang w:val="en-US" w:eastAsia="zh-CN"/>
                      <w14:textFill>
                        <w14:solidFill>
                          <w14:schemeClr w14:val="tx1"/>
                        </w14:solidFill>
                      </w14:textFill>
                    </w:rPr>
                    <w:t>20m</w:t>
                  </w:r>
                  <w:r>
                    <w:rPr>
                      <w:rFonts w:hint="eastAsia"/>
                      <w:color w:val="000000" w:themeColor="text1"/>
                      <w:sz w:val="21"/>
                      <w:szCs w:val="21"/>
                      <w:highlight w:val="none"/>
                      <w:vertAlign w:val="superscript"/>
                      <w:lang w:val="en-US" w:eastAsia="zh-CN"/>
                      <w14:textFill>
                        <w14:solidFill>
                          <w14:schemeClr w14:val="tx1"/>
                        </w14:solidFill>
                      </w14:textFill>
                    </w:rPr>
                    <w:t>2</w:t>
                  </w:r>
                  <w:r>
                    <w:rPr>
                      <w:rFonts w:hint="eastAsia"/>
                      <w:color w:val="000000" w:themeColor="text1"/>
                      <w:sz w:val="21"/>
                      <w:szCs w:val="21"/>
                      <w:highlight w:val="none"/>
                      <w:vertAlign w:val="baseline"/>
                      <w:lang w:val="en-US" w:eastAsia="zh-CN"/>
                      <w14:textFill>
                        <w14:solidFill>
                          <w14:schemeClr w14:val="tx1"/>
                        </w14:solidFill>
                      </w14:textFill>
                    </w:rPr>
                    <w:t>，用于</w:t>
                  </w:r>
                  <w:r>
                    <w:rPr>
                      <w:rFonts w:hint="eastAsia"/>
                      <w:color w:val="000000" w:themeColor="text1"/>
                      <w:sz w:val="21"/>
                      <w:szCs w:val="21"/>
                      <w:highlight w:val="none"/>
                      <w14:textFill>
                        <w14:solidFill>
                          <w14:schemeClr w14:val="tx1"/>
                        </w14:solidFill>
                      </w14:textFill>
                    </w:rPr>
                    <w:t>收集暂存产生的危险废物</w:t>
                  </w:r>
                  <w:r>
                    <w:rPr>
                      <w:rFonts w:hint="eastAsia"/>
                      <w:color w:val="000000" w:themeColor="text1"/>
                      <w:sz w:val="21"/>
                      <w:szCs w:val="21"/>
                      <w14:textFill>
                        <w14:solidFill>
                          <w14:schemeClr w14:val="tx1"/>
                        </w14:solidFill>
                      </w14:textFill>
                    </w:rPr>
                    <w:t>，并及时交由有危险废物处理资质的单位进行处理；</w:t>
                  </w:r>
                </w:p>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生活垃圾：集中收集后交由环卫部门处理；</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原材料包装袋、</w:t>
                  </w:r>
                  <w:r>
                    <w:rPr>
                      <w:rFonts w:hint="eastAsia"/>
                      <w:color w:val="000000" w:themeColor="text1"/>
                      <w:sz w:val="21"/>
                      <w:szCs w:val="21"/>
                      <w:lang w:eastAsia="zh-CN"/>
                      <w14:textFill>
                        <w14:solidFill>
                          <w14:schemeClr w14:val="tx1"/>
                        </w14:solidFill>
                      </w14:textFill>
                    </w:rPr>
                    <w:t>粉尘及</w:t>
                  </w:r>
                  <w:r>
                    <w:rPr>
                      <w:rFonts w:hint="eastAsia"/>
                      <w:color w:val="000000" w:themeColor="text1"/>
                      <w:sz w:val="21"/>
                      <w:szCs w:val="21"/>
                      <w14:textFill>
                        <w14:solidFill>
                          <w14:schemeClr w14:val="tx1"/>
                        </w14:solidFill>
                      </w14:textFill>
                    </w:rPr>
                    <w:t>残次品</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收集后外售至废品收购站</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储运</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工程</w:t>
                  </w:r>
                </w:p>
              </w:tc>
              <w:tc>
                <w:tcPr>
                  <w:tcW w:w="66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原料堆场</w:t>
                  </w:r>
                </w:p>
              </w:tc>
              <w:tc>
                <w:tcPr>
                  <w:tcW w:w="351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位于项目区东侧空地上，用于存放彩钢等原料</w:t>
                  </w:r>
                </w:p>
              </w:tc>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已建</w:t>
                  </w:r>
                </w:p>
              </w:tc>
            </w:tr>
          </w:tbl>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（2）本项目组成及主要工程内容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6</w:t>
            </w:r>
            <w:r>
              <w:rPr>
                <w:rFonts w:hint="default" w:ascii="Times New Roman" w:hAnsi="Times New Roman" w:cs="Times New Roman"/>
                <w:b/>
                <w:bCs/>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本</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项目建设内容一览表</w:t>
            </w:r>
          </w:p>
          <w:tbl>
            <w:tblPr>
              <w:tblStyle w:val="19"/>
              <w:tblW w:w="49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117"/>
              <w:gridCol w:w="5452"/>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名称</w:t>
                  </w: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项目</w:t>
                  </w:r>
                </w:p>
              </w:tc>
              <w:tc>
                <w:tcPr>
                  <w:tcW w:w="335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规模及建设内容</w:t>
                  </w:r>
                </w:p>
              </w:tc>
              <w:tc>
                <w:tcPr>
                  <w:tcW w:w="56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主体</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工程</w:t>
                  </w: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1号车间</w:t>
                  </w:r>
                </w:p>
              </w:tc>
              <w:tc>
                <w:tcPr>
                  <w:tcW w:w="335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color w:val="000000" w:themeColor="text1"/>
                      <w:sz w:val="21"/>
                      <w:szCs w:val="21"/>
                      <w14:textFill>
                        <w14:solidFill>
                          <w14:schemeClr w14:val="tx1"/>
                        </w14:solidFill>
                      </w14:textFill>
                    </w:rPr>
                    <w:t>位</w:t>
                  </w:r>
                  <w:r>
                    <w:rPr>
                      <w:color w:val="000000" w:themeColor="text1"/>
                      <w:sz w:val="21"/>
                      <w:szCs w:val="21"/>
                      <w:highlight w:val="none"/>
                      <w14:textFill>
                        <w14:solidFill>
                          <w14:schemeClr w14:val="tx1"/>
                        </w14:solidFill>
                      </w14:textFill>
                    </w:rPr>
                    <w:t>于厂区</w:t>
                  </w:r>
                  <w:r>
                    <w:rPr>
                      <w:rFonts w:hint="eastAsia"/>
                      <w:color w:val="000000" w:themeColor="text1"/>
                      <w:sz w:val="21"/>
                      <w:szCs w:val="21"/>
                      <w:highlight w:val="none"/>
                      <w:lang w:eastAsia="zh-CN"/>
                      <w14:textFill>
                        <w14:solidFill>
                          <w14:schemeClr w14:val="tx1"/>
                        </w14:solidFill>
                      </w14:textFill>
                    </w:rPr>
                    <w:t>西南角</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车间为全封闭厂房，单层，钢结构</w:t>
                  </w:r>
                  <w:r>
                    <w:rPr>
                      <w:rFonts w:hint="eastAsia"/>
                      <w:color w:val="000000" w:themeColor="text1"/>
                      <w:sz w:val="21"/>
                      <w:szCs w:val="21"/>
                      <w14:textFill>
                        <w14:solidFill>
                          <w14:schemeClr w14:val="tx1"/>
                        </w14:solidFill>
                      </w14:textFill>
                    </w:rPr>
                    <w:t>，</w:t>
                  </w:r>
                  <w:r>
                    <w:rPr>
                      <w:rFonts w:hint="eastAsia"/>
                      <w:color w:val="000000" w:themeColor="text1"/>
                      <w:sz w:val="21"/>
                      <w:szCs w:val="21"/>
                      <w:lang w:eastAsia="zh-CN"/>
                      <w14:textFill>
                        <w14:solidFill>
                          <w14:schemeClr w14:val="tx1"/>
                        </w14:solidFill>
                      </w14:textFill>
                    </w:rPr>
                    <w:t>建筑</w:t>
                  </w:r>
                  <w:r>
                    <w:rPr>
                      <w:rFonts w:hint="eastAsia"/>
                      <w:color w:val="000000" w:themeColor="text1"/>
                      <w:sz w:val="21"/>
                      <w:szCs w:val="21"/>
                      <w14:textFill>
                        <w14:solidFill>
                          <w14:schemeClr w14:val="tx1"/>
                        </w14:solidFill>
                      </w14:textFill>
                    </w:rPr>
                    <w:t>面积约</w:t>
                  </w:r>
                  <w:r>
                    <w:rPr>
                      <w:rFonts w:hint="eastAsia"/>
                      <w:color w:val="000000" w:themeColor="text1"/>
                      <w:sz w:val="21"/>
                      <w:szCs w:val="21"/>
                      <w:lang w:val="en-US" w:eastAsia="zh-CN"/>
                      <w14:textFill>
                        <w14:solidFill>
                          <w14:schemeClr w14:val="tx1"/>
                        </w14:solidFill>
                      </w14:textFill>
                    </w:rPr>
                    <w:t>3600</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，车间内</w:t>
                  </w:r>
                  <w:r>
                    <w:rPr>
                      <w:color w:val="000000" w:themeColor="text1"/>
                      <w:sz w:val="21"/>
                      <w:szCs w:val="21"/>
                      <w14:textFill>
                        <w14:solidFill>
                          <w14:schemeClr w14:val="tx1"/>
                        </w14:solidFill>
                      </w14:textFill>
                    </w:rPr>
                    <w:t>设置</w:t>
                  </w:r>
                  <w:r>
                    <w:rPr>
                      <w:rFonts w:hint="eastAsia"/>
                      <w:color w:val="000000" w:themeColor="text1"/>
                      <w:sz w:val="21"/>
                      <w:szCs w:val="21"/>
                      <w:lang w:eastAsia="zh-CN"/>
                      <w14:textFill>
                        <w14:solidFill>
                          <w14:schemeClr w14:val="tx1"/>
                        </w14:solidFill>
                      </w14:textFill>
                    </w:rPr>
                    <w:t>聚氨酯封边岩棉夹芯板生产线一条及配套设备</w:t>
                  </w:r>
                </w:p>
              </w:tc>
              <w:tc>
                <w:tcPr>
                  <w:tcW w:w="56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辅助</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工程</w:t>
                  </w: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办公</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综合楼</w:t>
                  </w:r>
                </w:p>
              </w:tc>
              <w:tc>
                <w:tcPr>
                  <w:tcW w:w="335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highlight w:val="none"/>
                      <w:lang w:eastAsia="zh-CN"/>
                      <w14:textFill>
                        <w14:solidFill>
                          <w14:schemeClr w14:val="tx1"/>
                        </w14:solidFill>
                      </w14:textFill>
                    </w:rPr>
                    <w:t>位于厂区</w:t>
                  </w:r>
                  <w:r>
                    <w:rPr>
                      <w:rFonts w:hint="eastAsia"/>
                      <w:b w:val="0"/>
                      <w:bCs w:val="0"/>
                      <w:color w:val="000000" w:themeColor="text1"/>
                      <w:sz w:val="21"/>
                      <w:szCs w:val="21"/>
                      <w:highlight w:val="none"/>
                      <w:lang w:val="en-US" w:eastAsia="zh-CN"/>
                      <w14:textFill>
                        <w14:solidFill>
                          <w14:schemeClr w14:val="tx1"/>
                        </w14:solidFill>
                      </w14:textFill>
                    </w:rPr>
                    <w:t>1号车间东侧，包括办公、食宿，建筑面积约550m</w:t>
                  </w:r>
                  <w:r>
                    <w:rPr>
                      <w:rFonts w:hint="eastAsia"/>
                      <w:b w:val="0"/>
                      <w:bCs w:val="0"/>
                      <w:color w:val="000000" w:themeColor="text1"/>
                      <w:sz w:val="21"/>
                      <w:szCs w:val="21"/>
                      <w:highlight w:val="none"/>
                      <w:vertAlign w:val="superscript"/>
                      <w:lang w:val="en-US" w:eastAsia="zh-CN"/>
                      <w14:textFill>
                        <w14:solidFill>
                          <w14:schemeClr w14:val="tx1"/>
                        </w14:solidFill>
                      </w14:textFill>
                    </w:rPr>
                    <w:t>2</w:t>
                  </w:r>
                </w:p>
              </w:tc>
              <w:tc>
                <w:tcPr>
                  <w:tcW w:w="562"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依托原有配套设施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门卫室</w:t>
                  </w:r>
                </w:p>
              </w:tc>
              <w:tc>
                <w:tcPr>
                  <w:tcW w:w="335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保护公司人员及货物，</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建筑面积</w:t>
                  </w:r>
                  <w:r>
                    <w:rPr>
                      <w:rFonts w:hint="eastAsia" w:cs="Times New Roman"/>
                      <w:color w:val="000000" w:themeColor="text1"/>
                      <w:sz w:val="21"/>
                      <w:szCs w:val="21"/>
                      <w:vertAlign w:val="baseline"/>
                      <w:lang w:val="en-US" w:eastAsia="zh-CN"/>
                      <w14:textFill>
                        <w14:solidFill>
                          <w14:schemeClr w14:val="tx1"/>
                        </w14:solidFill>
                      </w14:textFill>
                    </w:rPr>
                    <w:t>约</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15m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p>
              </w:tc>
              <w:tc>
                <w:tcPr>
                  <w:tcW w:w="56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公用工程</w:t>
                  </w: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供电</w:t>
                  </w:r>
                </w:p>
              </w:tc>
              <w:tc>
                <w:tcPr>
                  <w:tcW w:w="3354"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依托</w:t>
                  </w:r>
                  <w:r>
                    <w:rPr>
                      <w:color w:val="000000" w:themeColor="text1"/>
                      <w:sz w:val="21"/>
                      <w:szCs w:val="21"/>
                      <w14:textFill>
                        <w14:solidFill>
                          <w14:schemeClr w14:val="tx1"/>
                        </w14:solidFill>
                      </w14:textFill>
                    </w:rPr>
                    <w:t>园区供电管网统一供给</w:t>
                  </w:r>
                </w:p>
              </w:tc>
              <w:tc>
                <w:tcPr>
                  <w:tcW w:w="562"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依托原有配套设施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供水</w:t>
                  </w:r>
                </w:p>
              </w:tc>
              <w:tc>
                <w:tcPr>
                  <w:tcW w:w="3354"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依托</w:t>
                  </w:r>
                  <w:r>
                    <w:rPr>
                      <w:color w:val="000000" w:themeColor="text1"/>
                      <w:sz w:val="21"/>
                      <w:szCs w:val="21"/>
                      <w14:textFill>
                        <w14:solidFill>
                          <w14:schemeClr w14:val="tx1"/>
                        </w14:solidFill>
                      </w14:textFill>
                    </w:rPr>
                    <w:t>园区供水管网统一供给</w:t>
                  </w:r>
                </w:p>
              </w:tc>
              <w:tc>
                <w:tcPr>
                  <w:tcW w:w="56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消防水池</w:t>
                  </w:r>
                </w:p>
              </w:tc>
              <w:tc>
                <w:tcPr>
                  <w:tcW w:w="335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highlight w:val="none"/>
                      <w14:textFill>
                        <w14:solidFill>
                          <w14:schemeClr w14:val="tx1"/>
                        </w14:solidFill>
                      </w14:textFill>
                    </w:rPr>
                    <w:t>厂区东</w:t>
                  </w:r>
                  <w:r>
                    <w:rPr>
                      <w:rFonts w:hint="eastAsia"/>
                      <w:color w:val="000000" w:themeColor="text1"/>
                      <w:sz w:val="21"/>
                      <w:szCs w:val="21"/>
                      <w:highlight w:val="none"/>
                      <w:lang w:eastAsia="zh-CN"/>
                      <w14:textFill>
                        <w14:solidFill>
                          <w14:schemeClr w14:val="tx1"/>
                        </w14:solidFill>
                      </w14:textFill>
                    </w:rPr>
                    <w:t>南角有</w:t>
                  </w:r>
                  <w:r>
                    <w:rPr>
                      <w:rFonts w:hint="eastAsia"/>
                      <w:color w:val="000000" w:themeColor="text1"/>
                      <w:sz w:val="21"/>
                      <w:szCs w:val="21"/>
                      <w:highlight w:val="none"/>
                      <w14:textFill>
                        <w14:solidFill>
                          <w14:schemeClr w14:val="tx1"/>
                        </w14:solidFill>
                      </w14:textFill>
                    </w:rPr>
                    <w:t>一座</w:t>
                  </w:r>
                  <w:r>
                    <w:rPr>
                      <w:rFonts w:hint="eastAsia"/>
                      <w:color w:val="000000" w:themeColor="text1"/>
                      <w:sz w:val="21"/>
                      <w:szCs w:val="21"/>
                      <w:highlight w:val="none"/>
                      <w:lang w:val="en-US" w:eastAsia="zh-CN"/>
                      <w14:textFill>
                        <w14:solidFill>
                          <w14:schemeClr w14:val="tx1"/>
                        </w14:solidFill>
                      </w14:textFill>
                    </w:rPr>
                    <w:t>150</w:t>
                  </w:r>
                  <w:r>
                    <w:rPr>
                      <w:rFonts w:hint="eastAsia"/>
                      <w:color w:val="000000" w:themeColor="text1"/>
                      <w:sz w:val="21"/>
                      <w:szCs w:val="21"/>
                      <w:highlight w:val="none"/>
                      <w14:textFill>
                        <w14:solidFill>
                          <w14:schemeClr w14:val="tx1"/>
                        </w14:solidFill>
                      </w14:textFill>
                    </w:rPr>
                    <w:t>m</w:t>
                  </w:r>
                  <w:r>
                    <w:rPr>
                      <w:rFonts w:hint="eastAsia"/>
                      <w:color w:val="000000" w:themeColor="text1"/>
                      <w:sz w:val="21"/>
                      <w:szCs w:val="21"/>
                      <w:highlight w:val="none"/>
                      <w:vertAlign w:val="superscript"/>
                      <w14:textFill>
                        <w14:solidFill>
                          <w14:schemeClr w14:val="tx1"/>
                        </w14:solidFill>
                      </w14:textFill>
                    </w:rPr>
                    <w:t>3</w:t>
                  </w:r>
                  <w:r>
                    <w:rPr>
                      <w:rFonts w:hint="eastAsia"/>
                      <w:color w:val="000000" w:themeColor="text1"/>
                      <w:sz w:val="21"/>
                      <w:szCs w:val="21"/>
                      <w:highlight w:val="none"/>
                      <w:vertAlign w:val="baseline"/>
                      <w:lang w:eastAsia="zh-CN"/>
                      <w14:textFill>
                        <w14:solidFill>
                          <w14:schemeClr w14:val="tx1"/>
                        </w14:solidFill>
                      </w14:textFill>
                    </w:rPr>
                    <w:t>的消防水池，规格</w:t>
                  </w:r>
                  <w:r>
                    <w:rPr>
                      <w:rFonts w:hint="eastAsia"/>
                      <w:color w:val="000000" w:themeColor="text1"/>
                      <w:sz w:val="21"/>
                      <w:szCs w:val="21"/>
                      <w:highlight w:val="none"/>
                      <w:vertAlign w:val="baseline"/>
                      <w:lang w:val="en-US" w:eastAsia="zh-CN"/>
                      <w14:textFill>
                        <w14:solidFill>
                          <w14:schemeClr w14:val="tx1"/>
                        </w14:solidFill>
                      </w14:textFill>
                    </w:rPr>
                    <w:t>6m</w:t>
                  </w:r>
                  <w:r>
                    <w:rPr>
                      <w:rFonts w:hint="eastAsia" w:asciiTheme="minorEastAsia" w:hAnsiTheme="minorEastAsia" w:eastAsiaTheme="minorEastAsia" w:cstheme="minorEastAsia"/>
                      <w:color w:val="000000" w:themeColor="text1"/>
                      <w:sz w:val="28"/>
                      <w:szCs w:val="36"/>
                      <w:highlight w:val="none"/>
                      <w:lang w:val="en-US" w:eastAsia="zh-CN"/>
                      <w14:textFill>
                        <w14:solidFill>
                          <w14:schemeClr w14:val="tx1"/>
                        </w14:solidFill>
                      </w14:textFill>
                    </w:rPr>
                    <w:t>*</w:t>
                  </w:r>
                  <w:r>
                    <w:rPr>
                      <w:rFonts w:hint="eastAsia"/>
                      <w:color w:val="000000" w:themeColor="text1"/>
                      <w:sz w:val="21"/>
                      <w:szCs w:val="21"/>
                      <w:highlight w:val="none"/>
                      <w:vertAlign w:val="baseline"/>
                      <w:lang w:val="en-US" w:eastAsia="zh-CN"/>
                      <w14:textFill>
                        <w14:solidFill>
                          <w14:schemeClr w14:val="tx1"/>
                        </w14:solidFill>
                      </w14:textFill>
                    </w:rPr>
                    <w:t>5m</w:t>
                  </w:r>
                  <w:r>
                    <w:rPr>
                      <w:rFonts w:hint="eastAsia" w:asciiTheme="minorEastAsia" w:hAnsiTheme="minorEastAsia" w:eastAsiaTheme="minorEastAsia" w:cstheme="minorEastAsia"/>
                      <w:color w:val="000000" w:themeColor="text1"/>
                      <w:sz w:val="28"/>
                      <w:szCs w:val="36"/>
                      <w:highlight w:val="none"/>
                      <w:lang w:val="en-US" w:eastAsia="zh-CN"/>
                      <w14:textFill>
                        <w14:solidFill>
                          <w14:schemeClr w14:val="tx1"/>
                        </w14:solidFill>
                      </w14:textFill>
                    </w:rPr>
                    <w:t>*</w:t>
                  </w:r>
                  <w:r>
                    <w:rPr>
                      <w:rFonts w:hint="eastAsia"/>
                      <w:color w:val="000000" w:themeColor="text1"/>
                      <w:sz w:val="21"/>
                      <w:szCs w:val="21"/>
                      <w:highlight w:val="none"/>
                      <w:vertAlign w:val="baseline"/>
                      <w:lang w:val="en-US" w:eastAsia="zh-CN"/>
                      <w14:textFill>
                        <w14:solidFill>
                          <w14:schemeClr w14:val="tx1"/>
                        </w14:solidFill>
                      </w14:textFill>
                    </w:rPr>
                    <w:t>5m</w:t>
                  </w:r>
                </w:p>
              </w:tc>
              <w:tc>
                <w:tcPr>
                  <w:tcW w:w="56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供热</w:t>
                  </w:r>
                </w:p>
              </w:tc>
              <w:tc>
                <w:tcPr>
                  <w:tcW w:w="3354"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本项目冬季不生产，厂区内无需供热</w:t>
                  </w:r>
                </w:p>
              </w:tc>
              <w:tc>
                <w:tcPr>
                  <w:tcW w:w="56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96"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环保</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工程</w:t>
                  </w: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废气</w:t>
                  </w:r>
                </w:p>
              </w:tc>
              <w:tc>
                <w:tcPr>
                  <w:tcW w:w="335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lang w:eastAsia="zh-CN"/>
                      <w14:textFill>
                        <w14:solidFill>
                          <w14:schemeClr w14:val="tx1"/>
                        </w14:solidFill>
                      </w14:textFill>
                    </w:rPr>
                    <w:t>布袋除尘器</w:t>
                  </w:r>
                  <w:r>
                    <w:rPr>
                      <w:rFonts w:hint="eastAsia"/>
                      <w:color w:val="000000" w:themeColor="text1"/>
                      <w:sz w:val="21"/>
                      <w:szCs w:val="21"/>
                      <w:lang w:val="en-US" w:eastAsia="zh-CN"/>
                      <w14:textFill>
                        <w14:solidFill>
                          <w14:schemeClr w14:val="tx1"/>
                        </w14:solidFill>
                      </w14:textFill>
                    </w:rPr>
                    <w:t>1套；15m高排气筒2根；UV光氧+活性炭吸附装置1套</w:t>
                  </w:r>
                </w:p>
              </w:tc>
              <w:tc>
                <w:tcPr>
                  <w:tcW w:w="56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highlight w:val="none"/>
                      <w:vertAlign w:val="baselin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废水</w:t>
                  </w:r>
                </w:p>
              </w:tc>
              <w:tc>
                <w:tcPr>
                  <w:tcW w:w="3354"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生活污水排入</w:t>
                  </w:r>
                  <w:r>
                    <w:rPr>
                      <w:rFonts w:hint="default" w:ascii="Times New Roman" w:hAnsi="Times New Roman" w:cs="Times New Roman"/>
                      <w:color w:val="000000" w:themeColor="text1"/>
                      <w:sz w:val="21"/>
                      <w:szCs w:val="21"/>
                      <w:lang w:eastAsia="zh-CN"/>
                      <w14:textFill>
                        <w14:solidFill>
                          <w14:schemeClr w14:val="tx1"/>
                        </w14:solidFill>
                      </w14:textFill>
                    </w:rPr>
                    <w:t>园区管网</w:t>
                  </w:r>
                  <w:r>
                    <w:rPr>
                      <w:rFonts w:hint="eastAsia" w:cs="Times New Roman"/>
                      <w:color w:val="000000" w:themeColor="text1"/>
                      <w:sz w:val="21"/>
                      <w:szCs w:val="21"/>
                      <w:lang w:eastAsia="zh-CN"/>
                      <w14:textFill>
                        <w14:solidFill>
                          <w14:schemeClr w14:val="tx1"/>
                        </w14:solidFill>
                      </w14:textFill>
                    </w:rPr>
                    <w:t>，最终进入昌吉高新区污水管网处置</w:t>
                  </w:r>
                </w:p>
              </w:tc>
              <w:tc>
                <w:tcPr>
                  <w:tcW w:w="56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噪声</w:t>
                  </w:r>
                </w:p>
              </w:tc>
              <w:tc>
                <w:tcPr>
                  <w:tcW w:w="3354" w:type="pc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选用</w:t>
                  </w:r>
                  <w:r>
                    <w:rPr>
                      <w:color w:val="000000" w:themeColor="text1"/>
                      <w:sz w:val="21"/>
                      <w:szCs w:val="21"/>
                      <w14:textFill>
                        <w14:solidFill>
                          <w14:schemeClr w14:val="tx1"/>
                        </w14:solidFill>
                      </w14:textFill>
                    </w:rPr>
                    <w:t>低噪声设备</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基础减振装置和柔性连接等措施</w:t>
                  </w:r>
                </w:p>
              </w:tc>
              <w:tc>
                <w:tcPr>
                  <w:tcW w:w="56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highlight w:val="none"/>
                      <w:vertAlign w:val="baseline"/>
                      <w:lang w:eastAsia="zh-CN"/>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固废</w:t>
                  </w:r>
                </w:p>
              </w:tc>
              <w:tc>
                <w:tcPr>
                  <w:tcW w:w="335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厂区</w:t>
                  </w:r>
                  <w:r>
                    <w:rPr>
                      <w:rFonts w:hint="eastAsia"/>
                      <w:color w:val="000000" w:themeColor="text1"/>
                      <w:sz w:val="21"/>
                      <w:szCs w:val="21"/>
                      <w:highlight w:val="none"/>
                      <w14:textFill>
                        <w14:solidFill>
                          <w14:schemeClr w14:val="tx1"/>
                        </w14:solidFill>
                      </w14:textFill>
                    </w:rPr>
                    <w:t>东北</w:t>
                  </w:r>
                  <w:r>
                    <w:rPr>
                      <w:rFonts w:hint="eastAsia"/>
                      <w:color w:val="000000" w:themeColor="text1"/>
                      <w:sz w:val="21"/>
                      <w:szCs w:val="21"/>
                      <w:highlight w:val="none"/>
                      <w:lang w:eastAsia="zh-CN"/>
                      <w14:textFill>
                        <w14:solidFill>
                          <w14:schemeClr w14:val="tx1"/>
                        </w14:solidFill>
                      </w14:textFill>
                    </w:rPr>
                    <w:t>角</w:t>
                  </w:r>
                  <w:r>
                    <w:rPr>
                      <w:rFonts w:hint="eastAsia"/>
                      <w:color w:val="000000" w:themeColor="text1"/>
                      <w:sz w:val="21"/>
                      <w:szCs w:val="21"/>
                      <w:highlight w:val="none"/>
                      <w14:textFill>
                        <w14:solidFill>
                          <w14:schemeClr w14:val="tx1"/>
                        </w14:solidFill>
                      </w14:textFill>
                    </w:rPr>
                    <w:t>建设一座危废暂存间</w:t>
                  </w:r>
                  <w:r>
                    <w:rPr>
                      <w:rFonts w:hint="eastAsia"/>
                      <w:color w:val="000000" w:themeColor="text1"/>
                      <w:sz w:val="21"/>
                      <w:szCs w:val="21"/>
                      <w:highlight w:val="none"/>
                      <w:lang w:eastAsia="zh-CN"/>
                      <w14:textFill>
                        <w14:solidFill>
                          <w14:schemeClr w14:val="tx1"/>
                        </w14:solidFill>
                      </w14:textFill>
                    </w:rPr>
                    <w:t>，建筑面积约</w:t>
                  </w:r>
                  <w:r>
                    <w:rPr>
                      <w:rFonts w:hint="eastAsia"/>
                      <w:color w:val="000000" w:themeColor="text1"/>
                      <w:sz w:val="21"/>
                      <w:szCs w:val="21"/>
                      <w:highlight w:val="none"/>
                      <w:lang w:val="en-US" w:eastAsia="zh-CN"/>
                      <w14:textFill>
                        <w14:solidFill>
                          <w14:schemeClr w14:val="tx1"/>
                        </w14:solidFill>
                      </w14:textFill>
                    </w:rPr>
                    <w:t>20m</w:t>
                  </w:r>
                  <w:r>
                    <w:rPr>
                      <w:rFonts w:hint="eastAsia"/>
                      <w:color w:val="000000" w:themeColor="text1"/>
                      <w:sz w:val="21"/>
                      <w:szCs w:val="21"/>
                      <w:highlight w:val="none"/>
                      <w:vertAlign w:val="superscript"/>
                      <w:lang w:val="en-US" w:eastAsia="zh-CN"/>
                      <w14:textFill>
                        <w14:solidFill>
                          <w14:schemeClr w14:val="tx1"/>
                        </w14:solidFill>
                      </w14:textFill>
                    </w:rPr>
                    <w:t>2</w:t>
                  </w:r>
                </w:p>
              </w:tc>
              <w:tc>
                <w:tcPr>
                  <w:tcW w:w="562"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依托原有配套设施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储运</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工程</w:t>
                  </w: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成品堆场</w:t>
                  </w:r>
                </w:p>
              </w:tc>
              <w:tc>
                <w:tcPr>
                  <w:tcW w:w="335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color w:val="000000" w:themeColor="text1"/>
                      <w:sz w:val="21"/>
                      <w:szCs w:val="21"/>
                      <w14:textFill>
                        <w14:solidFill>
                          <w14:schemeClr w14:val="tx1"/>
                        </w14:solidFill>
                      </w14:textFill>
                    </w:rPr>
                    <w:t>位</w:t>
                  </w:r>
                  <w:r>
                    <w:rPr>
                      <w:rFonts w:hint="eastAsia"/>
                      <w:color w:val="000000" w:themeColor="text1"/>
                      <w:sz w:val="21"/>
                      <w:szCs w:val="21"/>
                      <w:lang w:eastAsia="zh-CN"/>
                      <w14:textFill>
                        <w14:solidFill>
                          <w14:schemeClr w14:val="tx1"/>
                        </w14:solidFill>
                      </w14:textFill>
                    </w:rPr>
                    <w:t>于项目区东</w:t>
                  </w:r>
                  <w:r>
                    <w:rPr>
                      <w:rFonts w:hint="eastAsia"/>
                      <w:color w:val="000000" w:themeColor="text1"/>
                      <w:sz w:val="21"/>
                      <w:szCs w:val="21"/>
                      <w14:textFill>
                        <w14:solidFill>
                          <w14:schemeClr w14:val="tx1"/>
                        </w14:solidFill>
                      </w14:textFill>
                    </w:rPr>
                    <w:t>侧</w:t>
                  </w:r>
                  <w:r>
                    <w:rPr>
                      <w:rFonts w:hint="eastAsia"/>
                      <w:color w:val="000000" w:themeColor="text1"/>
                      <w:sz w:val="21"/>
                      <w:szCs w:val="21"/>
                      <w:lang w:eastAsia="zh-CN"/>
                      <w14:textFill>
                        <w14:solidFill>
                          <w14:schemeClr w14:val="tx1"/>
                        </w14:solidFill>
                      </w14:textFill>
                    </w:rPr>
                    <w:t>的空地</w:t>
                  </w:r>
                  <w:r>
                    <w:rPr>
                      <w:rFonts w:hint="eastAsia"/>
                      <w:color w:val="000000" w:themeColor="text1"/>
                      <w:sz w:val="21"/>
                      <w:szCs w:val="21"/>
                      <w14:textFill>
                        <w14:solidFill>
                          <w14:schemeClr w14:val="tx1"/>
                        </w14:solidFill>
                      </w14:textFill>
                    </w:rPr>
                    <w:t>，用于存放成品</w:t>
                  </w:r>
                </w:p>
              </w:tc>
              <w:tc>
                <w:tcPr>
                  <w:tcW w:w="56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eastAsia="宋体" w:cs="Times New Roman"/>
                      <w:color w:val="FF000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p>
              </w:tc>
              <w:tc>
                <w:tcPr>
                  <w:tcW w:w="68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原料堆场</w:t>
                  </w:r>
                </w:p>
              </w:tc>
              <w:tc>
                <w:tcPr>
                  <w:tcW w:w="335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Times New Roman" w:hAnsi="Times New Roman" w:cs="Times New Roman"/>
                      <w:color w:val="000000" w:themeColor="text1"/>
                      <w:sz w:val="21"/>
                      <w:szCs w:val="21"/>
                      <w:vertAlign w:val="baseline"/>
                      <w:lang w:eastAsia="zh-CN"/>
                      <w14:textFill>
                        <w14:solidFill>
                          <w14:schemeClr w14:val="tx1"/>
                        </w14:solidFill>
                      </w14:textFill>
                    </w:rPr>
                  </w:pPr>
                  <w:r>
                    <w:rPr>
                      <w:rFonts w:hint="eastAsia"/>
                      <w:color w:val="000000" w:themeColor="text1"/>
                      <w:sz w:val="21"/>
                      <w:szCs w:val="21"/>
                      <w14:textFill>
                        <w14:solidFill>
                          <w14:schemeClr w14:val="tx1"/>
                        </w14:solidFill>
                      </w14:textFill>
                    </w:rPr>
                    <w:t>位</w:t>
                  </w:r>
                  <w:r>
                    <w:rPr>
                      <w:rFonts w:hint="eastAsia"/>
                      <w:color w:val="000000" w:themeColor="text1"/>
                      <w:sz w:val="21"/>
                      <w:szCs w:val="21"/>
                      <w:lang w:eastAsia="zh-CN"/>
                      <w14:textFill>
                        <w14:solidFill>
                          <w14:schemeClr w14:val="tx1"/>
                        </w14:solidFill>
                      </w14:textFill>
                    </w:rPr>
                    <w:t>于项目区西</w:t>
                  </w:r>
                  <w:r>
                    <w:rPr>
                      <w:rFonts w:hint="eastAsia"/>
                      <w:color w:val="000000" w:themeColor="text1"/>
                      <w:sz w:val="21"/>
                      <w:szCs w:val="21"/>
                      <w14:textFill>
                        <w14:solidFill>
                          <w14:schemeClr w14:val="tx1"/>
                        </w14:solidFill>
                      </w14:textFill>
                    </w:rPr>
                    <w:t>侧</w:t>
                  </w:r>
                  <w:r>
                    <w:rPr>
                      <w:rFonts w:hint="eastAsia"/>
                      <w:color w:val="000000" w:themeColor="text1"/>
                      <w:sz w:val="21"/>
                      <w:szCs w:val="21"/>
                      <w:lang w:eastAsia="zh-CN"/>
                      <w14:textFill>
                        <w14:solidFill>
                          <w14:schemeClr w14:val="tx1"/>
                        </w14:solidFill>
                      </w14:textFill>
                    </w:rPr>
                    <w:t>的空地</w:t>
                  </w:r>
                  <w:r>
                    <w:rPr>
                      <w:rFonts w:hint="eastAsia"/>
                      <w:color w:val="000000" w:themeColor="text1"/>
                      <w:sz w:val="21"/>
                      <w:szCs w:val="21"/>
                      <w14:textFill>
                        <w14:solidFill>
                          <w14:schemeClr w14:val="tx1"/>
                        </w14:solidFill>
                      </w14:textFill>
                    </w:rPr>
                    <w:t>，用于存放</w:t>
                  </w:r>
                  <w:r>
                    <w:rPr>
                      <w:rFonts w:hint="eastAsia"/>
                      <w:color w:val="000000" w:themeColor="text1"/>
                      <w:sz w:val="21"/>
                      <w:szCs w:val="21"/>
                      <w:lang w:eastAsia="zh-CN"/>
                      <w14:textFill>
                        <w14:solidFill>
                          <w14:schemeClr w14:val="tx1"/>
                        </w14:solidFill>
                      </w14:textFill>
                    </w:rPr>
                    <w:t>岩棉、玻璃丝绵等原料</w:t>
                  </w:r>
                </w:p>
              </w:tc>
              <w:tc>
                <w:tcPr>
                  <w:tcW w:w="562"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s="Times New Roman"/>
                      <w:color w:val="FF0000"/>
                      <w:sz w:val="21"/>
                      <w:szCs w:val="21"/>
                      <w:vertAlign w:val="baseline"/>
                      <w:lang w:eastAsia="zh-CN"/>
                    </w:rPr>
                  </w:pPr>
                </w:p>
              </w:tc>
            </w:tr>
          </w:tbl>
          <w:p>
            <w:pPr>
              <w:pStyle w:val="4"/>
              <w:pageBreakBefore w:val="0"/>
              <w:widowControl w:val="0"/>
              <w:kinsoku/>
              <w:wordWrap/>
              <w:overflowPunct/>
              <w:topLinePunct w:val="0"/>
              <w:autoSpaceDE/>
              <w:autoSpaceDN/>
              <w:bidi w:val="0"/>
              <w:adjustRightInd/>
              <w:snapToGrid w:val="0"/>
              <w:spacing w:before="0" w:after="0"/>
              <w:jc w:val="left"/>
              <w:textAlignment w:val="auto"/>
              <w:rPr>
                <w:color w:val="000000"/>
              </w:rPr>
            </w:pPr>
            <w:r>
              <w:rPr>
                <w:color w:val="000000"/>
              </w:rPr>
              <w:t>2.</w:t>
            </w:r>
            <w:r>
              <w:rPr>
                <w:rFonts w:hint="eastAsia"/>
                <w:color w:val="000000"/>
                <w:lang w:val="en-US" w:eastAsia="zh-CN"/>
              </w:rPr>
              <w:t>1</w:t>
            </w:r>
            <w:r>
              <w:rPr>
                <w:color w:val="000000"/>
              </w:rPr>
              <w:t>.</w:t>
            </w:r>
            <w:r>
              <w:rPr>
                <w:rFonts w:hint="eastAsia"/>
                <w:color w:val="000000"/>
                <w:lang w:val="en-US" w:eastAsia="zh-CN"/>
              </w:rPr>
              <w:t>4</w:t>
            </w:r>
            <w:r>
              <w:rPr>
                <w:rFonts w:hint="eastAsia"/>
                <w:color w:val="000000"/>
              </w:rPr>
              <w:t>产品方案</w:t>
            </w:r>
          </w:p>
          <w:p>
            <w:pPr>
              <w:pageBreakBefore w:val="0"/>
              <w:widowControl w:val="0"/>
              <w:kinsoku/>
              <w:wordWrap/>
              <w:overflowPunct/>
              <w:topLinePunct w:val="0"/>
              <w:autoSpaceDE/>
              <w:autoSpaceDN/>
              <w:bidi w:val="0"/>
              <w:adjustRightInd/>
              <w:snapToGrid w:val="0"/>
              <w:ind w:firstLine="480"/>
              <w:jc w:val="left"/>
              <w:textAlignment w:val="auto"/>
              <w:rPr>
                <w:color w:val="000000"/>
              </w:rPr>
            </w:pPr>
            <w:r>
              <w:rPr>
                <w:rFonts w:hint="eastAsia"/>
                <w:color w:val="000000"/>
              </w:rPr>
              <w:t>本项目年产</w:t>
            </w:r>
            <w:r>
              <w:rPr>
                <w:rFonts w:hint="eastAsia"/>
                <w:color w:val="000000"/>
                <w:lang w:val="en-US" w:eastAsia="zh-CN"/>
              </w:rPr>
              <w:t>2</w:t>
            </w:r>
            <w:r>
              <w:rPr>
                <w:rFonts w:hint="eastAsia"/>
                <w:color w:val="000000"/>
              </w:rPr>
              <w:t>万</w:t>
            </w:r>
            <w:r>
              <w:rPr>
                <w:rFonts w:hint="eastAsia"/>
                <w:color w:val="000000"/>
                <w:lang w:eastAsia="zh-CN"/>
              </w:rPr>
              <w:t>平</w:t>
            </w:r>
            <w:r>
              <w:rPr>
                <w:rFonts w:hint="eastAsia"/>
                <w:color w:val="000000"/>
              </w:rPr>
              <w:t>方米聚</w:t>
            </w:r>
            <w:r>
              <w:rPr>
                <w:rFonts w:hint="eastAsia"/>
                <w:color w:val="000000"/>
                <w:lang w:eastAsia="zh-CN"/>
              </w:rPr>
              <w:t>氨酯封边岩棉夹芯板加工生产线项目</w:t>
            </w:r>
            <w:r>
              <w:rPr>
                <w:rFonts w:hint="eastAsia"/>
                <w:color w:val="000000"/>
              </w:rPr>
              <w:t>，产品规格型号根据客户要求确定。具体产品方案见表</w:t>
            </w:r>
            <w:r>
              <w:rPr>
                <w:rFonts w:hint="eastAsia"/>
                <w:color w:val="000000"/>
                <w:lang w:val="en-US" w:eastAsia="zh-CN"/>
              </w:rPr>
              <w:t>7</w:t>
            </w:r>
            <w:r>
              <w:rPr>
                <w:rFonts w:hint="eastAsia"/>
                <w:color w:val="000000"/>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rPr>
            </w:pPr>
            <w:r>
              <w:rPr>
                <w:rFonts w:hint="eastAsia" w:asciiTheme="minorEastAsia" w:hAnsiTheme="minorEastAsia" w:eastAsiaTheme="minorEastAsia" w:cstheme="minorEastAsia"/>
                <w:color w:val="000000"/>
                <w:sz w:val="21"/>
                <w:szCs w:val="21"/>
              </w:rPr>
              <w:t>表</w:t>
            </w: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rPr>
              <w:t xml:space="preserve">  项目产品方案</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3"/>
              <w:gridCol w:w="1362"/>
              <w:gridCol w:w="1696"/>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eastAsia="zh-CN"/>
                    </w:rPr>
                    <w:t>产品</w:t>
                  </w:r>
                  <w:r>
                    <w:rPr>
                      <w:color w:val="000000"/>
                      <w:sz w:val="21"/>
                      <w:szCs w:val="21"/>
                    </w:rPr>
                    <w:t>名称</w:t>
                  </w:r>
                </w:p>
              </w:tc>
              <w:tc>
                <w:tcPr>
                  <w:tcW w:w="8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年产量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(万m</w:t>
                  </w:r>
                  <w:r>
                    <w:rPr>
                      <w:rFonts w:hint="eastAsia"/>
                      <w:color w:val="000000"/>
                      <w:sz w:val="21"/>
                      <w:szCs w:val="21"/>
                      <w:vertAlign w:val="superscript"/>
                      <w:lang w:val="en-US" w:eastAsia="zh-CN"/>
                    </w:rPr>
                    <w:t>2</w:t>
                  </w:r>
                  <w:r>
                    <w:rPr>
                      <w:rFonts w:hint="eastAsia"/>
                      <w:color w:val="000000"/>
                      <w:sz w:val="21"/>
                      <w:szCs w:val="21"/>
                      <w:lang w:val="en-US" w:eastAsia="zh-CN"/>
                    </w:rPr>
                    <w:t>)</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储存位置</w:t>
                  </w:r>
                </w:p>
              </w:tc>
              <w:tc>
                <w:tcPr>
                  <w:tcW w:w="14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eastAsia="zh-CN"/>
                    </w:rPr>
                  </w:pPr>
                  <w:r>
                    <w:rPr>
                      <w:rFonts w:hint="eastAsia"/>
                      <w:color w:val="000000"/>
                      <w:sz w:val="21"/>
                      <w:szCs w:val="21"/>
                      <w:lang w:eastAsia="zh-CN"/>
                    </w:rPr>
                    <w:t>产品厚度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sz w:val="21"/>
                      <w:szCs w:val="21"/>
                      <w:lang w:eastAsia="zh-CN"/>
                    </w:rPr>
                  </w:pPr>
                  <w:r>
                    <w:rPr>
                      <w:rFonts w:hint="eastAsia"/>
                      <w:color w:val="000000"/>
                      <w:sz w:val="21"/>
                      <w:szCs w:val="21"/>
                      <w:lang w:eastAsia="zh-CN"/>
                    </w:rPr>
                    <w:t>聚氨酯封边岩棉夹芯板</w:t>
                  </w:r>
                </w:p>
              </w:tc>
              <w:tc>
                <w:tcPr>
                  <w:tcW w:w="8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sz w:val="21"/>
                      <w:szCs w:val="21"/>
                      <w:lang w:val="en-US" w:eastAsia="zh-CN"/>
                    </w:rPr>
                  </w:pPr>
                  <w:r>
                    <w:rPr>
                      <w:rFonts w:hint="eastAsia"/>
                      <w:color w:val="000000"/>
                      <w:sz w:val="21"/>
                      <w:szCs w:val="21"/>
                      <w:lang w:val="en-US" w:eastAsia="zh-CN"/>
                    </w:rPr>
                    <w:t>1</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厂区露天储藏区</w:t>
                  </w:r>
                </w:p>
              </w:tc>
              <w:tc>
                <w:tcPr>
                  <w:tcW w:w="14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50、75、100、120、150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sz w:val="21"/>
                      <w:szCs w:val="21"/>
                      <w:lang w:eastAsia="zh-CN"/>
                    </w:rPr>
                  </w:pPr>
                  <w:r>
                    <w:rPr>
                      <w:rFonts w:hint="eastAsia"/>
                      <w:color w:val="000000"/>
                      <w:sz w:val="21"/>
                      <w:szCs w:val="21"/>
                      <w:lang w:eastAsia="zh-CN"/>
                    </w:rPr>
                    <w:t>聚氨酯封边玻璃丝绵夹芯板</w:t>
                  </w:r>
                </w:p>
              </w:tc>
              <w:tc>
                <w:tcPr>
                  <w:tcW w:w="8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0.7</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厂区露天储藏区</w:t>
                  </w:r>
                </w:p>
              </w:tc>
              <w:tc>
                <w:tcPr>
                  <w:tcW w:w="14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sz w:val="21"/>
                      <w:szCs w:val="21"/>
                      <w:lang w:eastAsia="zh-CN"/>
                    </w:rPr>
                  </w:pPr>
                  <w:r>
                    <w:rPr>
                      <w:rFonts w:hint="eastAsia"/>
                      <w:color w:val="000000"/>
                      <w:sz w:val="21"/>
                      <w:szCs w:val="21"/>
                      <w:lang w:val="en-US" w:eastAsia="zh-CN"/>
                    </w:rPr>
                    <w:t>50、75、100、120、150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eastAsia="zh-CN"/>
                    </w:rPr>
                    <w:t>聚氨酯板</w:t>
                  </w:r>
                </w:p>
              </w:tc>
              <w:tc>
                <w:tcPr>
                  <w:tcW w:w="8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0.3</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厂区露天储藏区</w:t>
                  </w:r>
                </w:p>
              </w:tc>
              <w:tc>
                <w:tcPr>
                  <w:tcW w:w="14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sz w:val="21"/>
                      <w:szCs w:val="21"/>
                      <w:lang w:eastAsia="zh-CN"/>
                    </w:rPr>
                  </w:pPr>
                  <w:r>
                    <w:rPr>
                      <w:rFonts w:hint="eastAsia"/>
                      <w:color w:val="000000"/>
                      <w:sz w:val="21"/>
                      <w:szCs w:val="21"/>
                      <w:lang w:val="en-US" w:eastAsia="zh-CN"/>
                    </w:rPr>
                    <w:t>50、75、100、120、150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eastAsia="zh-CN"/>
                    </w:rPr>
                  </w:pPr>
                  <w:r>
                    <w:rPr>
                      <w:rFonts w:hint="eastAsia"/>
                      <w:color w:val="000000"/>
                      <w:sz w:val="21"/>
                      <w:szCs w:val="21"/>
                      <w:lang w:eastAsia="zh-CN"/>
                    </w:rPr>
                    <w:t>合计</w:t>
                  </w:r>
                </w:p>
              </w:tc>
              <w:tc>
                <w:tcPr>
                  <w:tcW w:w="8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2</w:t>
                  </w:r>
                </w:p>
              </w:tc>
              <w:tc>
                <w:tcPr>
                  <w:tcW w:w="10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w:t>
                  </w:r>
                </w:p>
              </w:tc>
              <w:tc>
                <w:tcPr>
                  <w:tcW w:w="14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w:t>
                  </w:r>
                </w:p>
              </w:tc>
            </w:tr>
          </w:tbl>
          <w:p>
            <w:pPr>
              <w:pStyle w:val="4"/>
              <w:pageBreakBefore w:val="0"/>
              <w:widowControl w:val="0"/>
              <w:kinsoku/>
              <w:wordWrap/>
              <w:overflowPunct/>
              <w:topLinePunct w:val="0"/>
              <w:autoSpaceDE/>
              <w:autoSpaceDN/>
              <w:bidi w:val="0"/>
              <w:adjustRightInd/>
              <w:snapToGrid w:val="0"/>
              <w:spacing w:before="0" w:after="0"/>
              <w:jc w:val="left"/>
              <w:textAlignment w:val="auto"/>
              <w:rPr>
                <w:rFonts w:hint="eastAsia" w:eastAsia="宋体"/>
                <w:color w:val="000000"/>
                <w:highlight w:val="none"/>
                <w:lang w:eastAsia="zh-CN"/>
              </w:rPr>
            </w:pPr>
            <w:r>
              <w:rPr>
                <w:color w:val="000000"/>
                <w:highlight w:val="none"/>
              </w:rPr>
              <w:t>2.</w:t>
            </w:r>
            <w:r>
              <w:rPr>
                <w:rFonts w:hint="eastAsia"/>
                <w:color w:val="000000"/>
                <w:highlight w:val="none"/>
                <w:lang w:val="en-US" w:eastAsia="zh-CN"/>
              </w:rPr>
              <w:t>1</w:t>
            </w:r>
            <w:r>
              <w:rPr>
                <w:color w:val="000000"/>
                <w:highlight w:val="none"/>
              </w:rPr>
              <w:t>.</w:t>
            </w:r>
            <w:r>
              <w:rPr>
                <w:rFonts w:hint="eastAsia"/>
                <w:color w:val="000000"/>
                <w:highlight w:val="none"/>
                <w:lang w:val="en-US" w:eastAsia="zh-CN"/>
              </w:rPr>
              <w:t>5</w:t>
            </w:r>
            <w:r>
              <w:rPr>
                <w:rFonts w:hint="eastAsia"/>
                <w:color w:val="000000"/>
                <w:highlight w:val="none"/>
              </w:rPr>
              <w:t>主要原辅材料</w:t>
            </w:r>
            <w:r>
              <w:rPr>
                <w:rFonts w:hint="eastAsia"/>
                <w:color w:val="000000"/>
                <w:highlight w:val="none"/>
                <w:lang w:eastAsia="zh-CN"/>
              </w:rPr>
              <w:t>及能耗</w:t>
            </w:r>
          </w:p>
          <w:p>
            <w:pPr>
              <w:pageBreakBefore w:val="0"/>
              <w:widowControl w:val="0"/>
              <w:kinsoku/>
              <w:wordWrap/>
              <w:overflowPunct/>
              <w:topLinePunct w:val="0"/>
              <w:autoSpaceDE/>
              <w:autoSpaceDN/>
              <w:bidi w:val="0"/>
              <w:adjustRightInd/>
              <w:snapToGrid w:val="0"/>
              <w:ind w:firstLine="480"/>
              <w:jc w:val="left"/>
              <w:textAlignment w:val="auto"/>
              <w:rPr>
                <w:color w:val="000000"/>
              </w:rPr>
            </w:pPr>
            <w:r>
              <w:rPr>
                <w:rFonts w:hint="eastAsia"/>
                <w:color w:val="000000"/>
              </w:rPr>
              <w:t>本项目生产所需原辅材料为</w:t>
            </w:r>
            <w:r>
              <w:rPr>
                <w:rFonts w:hint="eastAsia"/>
                <w:color w:val="000000"/>
                <w:sz w:val="24"/>
                <w:szCs w:val="24"/>
                <w:lang w:eastAsia="zh-CN"/>
              </w:rPr>
              <w:t>岩棉、</w:t>
            </w:r>
            <w:r>
              <w:rPr>
                <w:rFonts w:hint="eastAsia"/>
                <w:color w:val="000000"/>
                <w:sz w:val="24"/>
                <w:szCs w:val="24"/>
                <w:lang w:val="en-US" w:eastAsia="zh-CN"/>
              </w:rPr>
              <w:t>玻璃丝绵、</w:t>
            </w:r>
            <w:r>
              <w:rPr>
                <w:rFonts w:hint="eastAsia"/>
                <w:color w:val="000000"/>
                <w:sz w:val="24"/>
                <w:szCs w:val="24"/>
                <w:lang w:eastAsia="zh-CN"/>
              </w:rPr>
              <w:t>彩卷、封边海绵条等</w:t>
            </w:r>
            <w:r>
              <w:rPr>
                <w:rFonts w:hint="eastAsia"/>
                <w:color w:val="000000"/>
              </w:rPr>
              <w:t>。本项目原辅材料</w:t>
            </w:r>
            <w:r>
              <w:rPr>
                <w:rFonts w:hint="eastAsia"/>
                <w:color w:val="000000"/>
                <w:lang w:eastAsia="zh-CN"/>
              </w:rPr>
              <w:t>及能源</w:t>
            </w:r>
            <w:r>
              <w:rPr>
                <w:rFonts w:hint="eastAsia"/>
                <w:color w:val="000000"/>
              </w:rPr>
              <w:t>消耗情况见表</w:t>
            </w:r>
            <w:r>
              <w:rPr>
                <w:rFonts w:hint="eastAsia"/>
                <w:color w:val="000000"/>
                <w:lang w:val="en-US" w:eastAsia="zh-CN"/>
              </w:rPr>
              <w:t>8</w:t>
            </w:r>
            <w:r>
              <w:rPr>
                <w:rFonts w:hint="eastAsia"/>
                <w:color w:val="000000"/>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color w:val="000000"/>
              </w:rPr>
            </w:pPr>
            <w:r>
              <w:rPr>
                <w:rFonts w:hint="eastAsia" w:asciiTheme="minorEastAsia" w:hAnsiTheme="minorEastAsia" w:eastAsiaTheme="minorEastAsia" w:cstheme="minorEastAsia"/>
                <w:color w:val="000000"/>
                <w:sz w:val="21"/>
                <w:szCs w:val="21"/>
              </w:rPr>
              <w:t>表</w:t>
            </w:r>
            <w:r>
              <w:rPr>
                <w:rFonts w:hint="eastAsia" w:cs="Times New Roman" w:eastAsia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 xml:space="preserve">  主要原辅材料</w:t>
            </w:r>
            <w:r>
              <w:rPr>
                <w:rFonts w:hint="eastAsia" w:asciiTheme="minorEastAsia" w:hAnsiTheme="minorEastAsia" w:eastAsiaTheme="minorEastAsia" w:cstheme="minorEastAsia"/>
                <w:color w:val="000000"/>
                <w:sz w:val="21"/>
                <w:szCs w:val="21"/>
                <w:lang w:eastAsia="zh-CN"/>
              </w:rPr>
              <w:t>及能源</w:t>
            </w:r>
            <w:r>
              <w:rPr>
                <w:rFonts w:hint="eastAsia" w:asciiTheme="minorEastAsia" w:hAnsiTheme="minorEastAsia" w:eastAsiaTheme="minorEastAsia" w:cstheme="minorEastAsia"/>
                <w:color w:val="000000"/>
                <w:sz w:val="21"/>
                <w:szCs w:val="21"/>
              </w:rPr>
              <w:t>消耗汇总</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685"/>
              <w:gridCol w:w="1288"/>
              <w:gridCol w:w="1322"/>
              <w:gridCol w:w="1368"/>
              <w:gridCol w:w="1144"/>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序号</w:t>
                  </w:r>
                </w:p>
              </w:tc>
              <w:tc>
                <w:tcPr>
                  <w:tcW w:w="4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项目</w:t>
                  </w: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名称</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年消耗量</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最大储存量</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包装方式</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一</w:t>
                  </w:r>
                </w:p>
              </w:tc>
              <w:tc>
                <w:tcPr>
                  <w:tcW w:w="4311"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主要原辅材料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41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聚氨酯封边岩棉夹芯板</w:t>
                  </w: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岩棉</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1200m</w:t>
                  </w:r>
                  <w:r>
                    <w:rPr>
                      <w:rFonts w:hint="eastAsia"/>
                      <w:color w:val="000000" w:themeColor="text1"/>
                      <w:sz w:val="21"/>
                      <w:szCs w:val="21"/>
                      <w:vertAlign w:val="superscript"/>
                      <w:lang w:val="en-US" w:eastAsia="zh-CN"/>
                      <w14:textFill>
                        <w14:solidFill>
                          <w14:schemeClr w14:val="tx1"/>
                        </w14:solidFill>
                      </w14:textFill>
                    </w:rPr>
                    <w:t>3</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400m</w:t>
                  </w:r>
                  <w:r>
                    <w:rPr>
                      <w:rFonts w:hint="eastAsia"/>
                      <w:color w:val="000000" w:themeColor="text1"/>
                      <w:sz w:val="21"/>
                      <w:szCs w:val="21"/>
                      <w:vertAlign w:val="superscript"/>
                      <w:lang w:val="en-US" w:eastAsia="zh-CN"/>
                      <w14:textFill>
                        <w14:solidFill>
                          <w14:schemeClr w14:val="tx1"/>
                        </w14:solidFill>
                      </w14:textFill>
                    </w:rPr>
                    <w:t>3</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彩卷</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40t</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100t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成卷包装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黑胶</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3.5t</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桶装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白胶</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3t</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桶装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封边海绵条</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7000m</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30000m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卷装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胶带</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7000m</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50000m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卷装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41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聚氨酯封边玻璃丝绵夹芯板</w:t>
                  </w: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玻璃丝绵</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300m</w:t>
                  </w:r>
                  <w:r>
                    <w:rPr>
                      <w:rFonts w:hint="eastAsia"/>
                      <w:color w:val="000000" w:themeColor="text1"/>
                      <w:sz w:val="21"/>
                      <w:szCs w:val="21"/>
                      <w:vertAlign w:val="superscript"/>
                      <w:lang w:val="en-US" w:eastAsia="zh-CN"/>
                      <w14:textFill>
                        <w14:solidFill>
                          <w14:schemeClr w14:val="tx1"/>
                        </w14:solidFill>
                      </w14:textFill>
                    </w:rPr>
                    <w:t>3</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200m</w:t>
                  </w:r>
                  <w:r>
                    <w:rPr>
                      <w:rFonts w:hint="eastAsia"/>
                      <w:color w:val="000000" w:themeColor="text1"/>
                      <w:sz w:val="21"/>
                      <w:szCs w:val="21"/>
                      <w:vertAlign w:val="superscript"/>
                      <w:lang w:val="en-US" w:eastAsia="zh-CN"/>
                      <w14:textFill>
                        <w14:solidFill>
                          <w14:schemeClr w14:val="tx1"/>
                        </w14:solidFill>
                      </w14:textFill>
                    </w:rPr>
                    <w:t>3</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彩卷</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20t</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100t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成卷包装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黑胶</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2t</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桶装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白胶</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1.5t</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桶装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封边海绵条</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5500m</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30000m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卷装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胶带</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5500m</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50000m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卷装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41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聚氨酯板</w:t>
                  </w: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彩卷</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10t</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100t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成卷包装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黑胶</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0.5t</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桶装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白胶</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0.5t</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桶装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封边海绵条</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2500m</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30000m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卷装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41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胶带</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2500m</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50000m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卷装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二</w:t>
                  </w:r>
                </w:p>
              </w:tc>
              <w:tc>
                <w:tcPr>
                  <w:tcW w:w="4311"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20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电</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40</w:t>
                  </w:r>
                  <w:r>
                    <w:rPr>
                      <w:rFonts w:hint="eastAsia"/>
                      <w:color w:val="000000" w:themeColor="text1"/>
                      <w:sz w:val="21"/>
                      <w:szCs w:val="21"/>
                      <w14:textFill>
                        <w14:solidFill>
                          <w14:schemeClr w14:val="tx1"/>
                        </w14:solidFill>
                      </w14:textFill>
                    </w:rPr>
                    <w:t>万</w:t>
                  </w:r>
                  <w:r>
                    <w:rPr>
                      <w:color w:val="000000" w:themeColor="text1"/>
                      <w:sz w:val="21"/>
                      <w:szCs w:val="21"/>
                      <w14:textFill>
                        <w14:solidFill>
                          <w14:schemeClr w14:val="tx1"/>
                        </w14:solidFill>
                      </w14:textFill>
                    </w:rPr>
                    <w:t>kW·h</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电网</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园区供电网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20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水</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105.6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供水管网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三</w:t>
                  </w:r>
                </w:p>
              </w:tc>
              <w:tc>
                <w:tcPr>
                  <w:tcW w:w="4311"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岩棉</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1200m</w:t>
                  </w:r>
                  <w:r>
                    <w:rPr>
                      <w:rFonts w:hint="eastAsia"/>
                      <w:color w:val="000000" w:themeColor="text1"/>
                      <w:sz w:val="21"/>
                      <w:szCs w:val="21"/>
                      <w:vertAlign w:val="superscript"/>
                      <w:lang w:val="en-US" w:eastAsia="zh-CN"/>
                      <w14:textFill>
                        <w14:solidFill>
                          <w14:schemeClr w14:val="tx1"/>
                        </w14:solidFill>
                      </w14:textFill>
                    </w:rPr>
                    <w:t>3</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400m</w:t>
                  </w:r>
                  <w:r>
                    <w:rPr>
                      <w:rFonts w:hint="eastAsia"/>
                      <w:color w:val="000000" w:themeColor="text1"/>
                      <w:sz w:val="21"/>
                      <w:szCs w:val="21"/>
                      <w:vertAlign w:val="superscript"/>
                      <w:lang w:val="en-US" w:eastAsia="zh-CN"/>
                      <w14:textFill>
                        <w14:solidFill>
                          <w14:schemeClr w14:val="tx1"/>
                        </w14:solidFill>
                      </w14:textFill>
                    </w:rPr>
                    <w:t>3</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玻璃丝绵</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300m</w:t>
                  </w:r>
                  <w:r>
                    <w:rPr>
                      <w:rFonts w:hint="eastAsia"/>
                      <w:color w:val="000000" w:themeColor="text1"/>
                      <w:sz w:val="21"/>
                      <w:szCs w:val="21"/>
                      <w:vertAlign w:val="superscript"/>
                      <w:lang w:val="en-US" w:eastAsia="zh-CN"/>
                      <w14:textFill>
                        <w14:solidFill>
                          <w14:schemeClr w14:val="tx1"/>
                        </w14:solidFill>
                      </w14:textFill>
                    </w:rPr>
                    <w:t>3</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200m</w:t>
                  </w:r>
                  <w:r>
                    <w:rPr>
                      <w:rFonts w:hint="eastAsia"/>
                      <w:color w:val="000000" w:themeColor="text1"/>
                      <w:sz w:val="21"/>
                      <w:szCs w:val="21"/>
                      <w:vertAlign w:val="superscript"/>
                      <w:lang w:val="en-US" w:eastAsia="zh-CN"/>
                      <w14:textFill>
                        <w14:solidFill>
                          <w14:schemeClr w14:val="tx1"/>
                        </w14:solidFill>
                      </w14:textFill>
                    </w:rPr>
                    <w:t>3</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彩卷</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70t</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100t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成卷包装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黑胶</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6t</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桶装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白胶</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5t</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桶装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封边海绵条</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15000m</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30000m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卷装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胶带</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15000m</w:t>
                  </w:r>
                </w:p>
              </w:tc>
              <w:tc>
                <w:tcPr>
                  <w:tcW w:w="8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50000m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卷装</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外购</w:t>
                  </w:r>
                </w:p>
              </w:tc>
            </w:tr>
          </w:tbl>
          <w:p>
            <w:pPr>
              <w:ind w:firstLine="482"/>
              <w:jc w:val="left"/>
              <w:rPr>
                <w:b/>
                <w:color w:val="000000"/>
              </w:rPr>
            </w:pPr>
            <w:r>
              <w:rPr>
                <w:rFonts w:hint="eastAsia"/>
                <w:b/>
                <w:color w:val="000000"/>
              </w:rPr>
              <w:t>原辅材料理化性质：</w:t>
            </w:r>
          </w:p>
          <w:p>
            <w:pPr>
              <w:pageBreakBefore w:val="0"/>
              <w:widowControl w:val="0"/>
              <w:kinsoku/>
              <w:wordWrap/>
              <w:overflowPunct/>
              <w:topLinePunct w:val="0"/>
              <w:autoSpaceDE/>
              <w:autoSpaceDN/>
              <w:bidi w:val="0"/>
              <w:adjustRightInd/>
              <w:snapToGrid w:val="0"/>
              <w:ind w:firstLine="480"/>
              <w:jc w:val="left"/>
              <w:textAlignment w:val="auto"/>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聚氨酯</w:t>
            </w:r>
            <w:r>
              <w:rPr>
                <w:rFonts w:hint="eastAsia" w:asciiTheme="minorEastAsia" w:hAnsiTheme="minorEastAsia" w:eastAsiaTheme="minorEastAsia" w:cstheme="minorEastAsia"/>
                <w:b w:val="0"/>
                <w:bCs w:val="0"/>
                <w:color w:val="000000"/>
                <w:sz w:val="24"/>
                <w:szCs w:val="24"/>
              </w:rPr>
              <w:t>是一种性能介于塑料和橡胶之间的特种材料,具有高强度、耐磨耗、抗撕裂、挠曲性能好、耐油和良好的相容性等优点</w:t>
            </w:r>
            <w:r>
              <w:rPr>
                <w:rFonts w:hint="eastAsia" w:asciiTheme="minorEastAsia" w:hAnsiTheme="minorEastAsia" w:eastAsiaTheme="minorEastAsia" w:cstheme="minorEastAsia"/>
                <w:b w:val="0"/>
                <w:bCs w:val="0"/>
                <w:color w:val="000000"/>
                <w:sz w:val="24"/>
                <w:szCs w:val="24"/>
                <w:lang w:eastAsia="zh-CN"/>
              </w:rPr>
              <w:t>。不溶于水，溶于苯乙烯、二甲苯等有机溶剂。分解产物：一氧化碳、二氧化碳、氮氧化物。</w:t>
            </w:r>
          </w:p>
          <w:p>
            <w:pPr>
              <w:pageBreakBefore w:val="0"/>
              <w:widowControl w:val="0"/>
              <w:kinsoku/>
              <w:wordWrap/>
              <w:overflowPunct/>
              <w:topLinePunct w:val="0"/>
              <w:autoSpaceDE/>
              <w:autoSpaceDN/>
              <w:bidi w:val="0"/>
              <w:adjustRightInd/>
              <w:snapToGrid w:val="0"/>
              <w:ind w:firstLine="480"/>
              <w:jc w:val="left"/>
              <w:textAlignment w:val="auto"/>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岩棉是以玄武岩为主要原料而生产的绝热材料，其主要生产工艺是，玄武岩经过高温熔化成液态，经过离心工艺生产出具有一定长度、密度的轻质纤维，然后固化、成型，从而获得不同容重、规格的岩棉制品。</w:t>
            </w:r>
          </w:p>
          <w:p>
            <w:pPr>
              <w:pageBreakBefore w:val="0"/>
              <w:widowControl w:val="0"/>
              <w:kinsoku/>
              <w:wordWrap/>
              <w:overflowPunct/>
              <w:topLinePunct w:val="0"/>
              <w:autoSpaceDE/>
              <w:autoSpaceDN/>
              <w:bidi w:val="0"/>
              <w:adjustRightInd/>
              <w:snapToGrid w:val="0"/>
              <w:ind w:firstLine="480"/>
              <w:jc w:val="left"/>
              <w:textAlignment w:val="auto"/>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岩棉具有质地柔软、容重轻、保温、隔热性能好、导热系数小、耐热性强、隔音、防水、抗酸碱、不腐烂及化学性能稳定等优良性能。</w:t>
            </w:r>
          </w:p>
          <w:p>
            <w:pPr>
              <w:pageBreakBefore w:val="0"/>
              <w:widowControl w:val="0"/>
              <w:kinsoku/>
              <w:wordWrap/>
              <w:overflowPunct/>
              <w:topLinePunct w:val="0"/>
              <w:autoSpaceDE/>
              <w:autoSpaceDN/>
              <w:bidi w:val="0"/>
              <w:adjustRightInd/>
              <w:snapToGrid w:val="0"/>
              <w:jc w:val="left"/>
              <w:textAlignment w:val="auto"/>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玻璃丝绵属于玻璃纤维中的一个类别，是一种人造无机纤维。玻璃棉是将熔融玻璃纤维化，形成棉状的材料，化学成分属玻璃类，是一种无机质纤维。具有成型好、体积密度小、热导率彽、保温绝热、吸音性能好、耐腐蚀、化学性能稳定。</w:t>
            </w:r>
          </w:p>
          <w:p>
            <w:pPr>
              <w:pageBreakBefore w:val="0"/>
              <w:widowControl w:val="0"/>
              <w:kinsoku/>
              <w:wordWrap/>
              <w:overflowPunct/>
              <w:topLinePunct w:val="0"/>
              <w:autoSpaceDE/>
              <w:autoSpaceDN/>
              <w:bidi w:val="0"/>
              <w:adjustRightInd/>
              <w:snapToGrid w:val="0"/>
              <w:jc w:val="left"/>
              <w:textAlignment w:val="auto"/>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黑胶为白色透明液体，主要适用于瓷器、玻璃、金属也适用于油性物体表面。粘性大，固定后不容易脱落，具有耐温、耐溶剂、不溢胶等特性。</w:t>
            </w:r>
          </w:p>
          <w:p>
            <w:pPr>
              <w:pageBreakBefore w:val="0"/>
              <w:widowControl w:val="0"/>
              <w:kinsoku/>
              <w:wordWrap/>
              <w:overflowPunct/>
              <w:topLinePunct w:val="0"/>
              <w:autoSpaceDE/>
              <w:autoSpaceDN/>
              <w:bidi w:val="0"/>
              <w:adjustRightInd/>
              <w:snapToGrid w:val="0"/>
              <w:jc w:val="left"/>
              <w:textAlignment w:val="auto"/>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白胶又叫白乳胶，是一种水溶性胶粘剂，其主要成分为醋酸乙烯，制作的过程中，会由引发剂促使醋酸乙烯进行聚合反应，从而生产热塑性粘合剂，也就是白胶，其胶膜为透明状，不会影响美观。</w:t>
            </w:r>
          </w:p>
          <w:p>
            <w:pPr>
              <w:pageBreakBefore w:val="0"/>
              <w:widowControl w:val="0"/>
              <w:kinsoku/>
              <w:wordWrap/>
              <w:overflowPunct/>
              <w:topLinePunct w:val="0"/>
              <w:autoSpaceDE/>
              <w:autoSpaceDN/>
              <w:bidi w:val="0"/>
              <w:adjustRightInd/>
              <w:snapToGrid w:val="0"/>
              <w:jc w:val="left"/>
              <w:textAlignment w:val="auto"/>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白胶具有常温固化、固化速度快、粘性强、韧性好的特点，是目前使用范围最广、用量最大的一种粘合剂。而且白胶以水作为分散介质，不会出现燃烧现象，也不会产生有毒气体，无毒无害。</w:t>
            </w:r>
          </w:p>
          <w:p>
            <w:pPr>
              <w:pStyle w:val="4"/>
              <w:pageBreakBefore w:val="0"/>
              <w:widowControl w:val="0"/>
              <w:kinsoku/>
              <w:wordWrap/>
              <w:overflowPunct/>
              <w:topLinePunct w:val="0"/>
              <w:autoSpaceDE/>
              <w:autoSpaceDN/>
              <w:bidi w:val="0"/>
              <w:adjustRightInd/>
              <w:snapToGrid w:val="0"/>
              <w:spacing w:before="0" w:after="0"/>
              <w:jc w:val="left"/>
              <w:textAlignment w:val="auto"/>
              <w:rPr>
                <w:color w:val="000000"/>
              </w:rPr>
            </w:pPr>
            <w:r>
              <w:rPr>
                <w:color w:val="000000"/>
              </w:rPr>
              <w:t>2.</w:t>
            </w:r>
            <w:r>
              <w:rPr>
                <w:rFonts w:hint="eastAsia"/>
                <w:color w:val="000000"/>
                <w:lang w:val="en-US" w:eastAsia="zh-CN"/>
              </w:rPr>
              <w:t>1</w:t>
            </w:r>
            <w:r>
              <w:rPr>
                <w:color w:val="000000"/>
              </w:rPr>
              <w:t>.</w:t>
            </w:r>
            <w:r>
              <w:rPr>
                <w:rFonts w:hint="eastAsia"/>
                <w:color w:val="000000"/>
                <w:lang w:val="en-US" w:eastAsia="zh-CN"/>
              </w:rPr>
              <w:t>6</w:t>
            </w:r>
            <w:r>
              <w:rPr>
                <w:rFonts w:hint="eastAsia"/>
                <w:color w:val="000000"/>
              </w:rPr>
              <w:t>主要生产设备</w:t>
            </w:r>
          </w:p>
          <w:p>
            <w:pPr>
              <w:pageBreakBefore w:val="0"/>
              <w:widowControl w:val="0"/>
              <w:kinsoku/>
              <w:wordWrap/>
              <w:overflowPunct/>
              <w:topLinePunct w:val="0"/>
              <w:autoSpaceDE/>
              <w:autoSpaceDN/>
              <w:bidi w:val="0"/>
              <w:adjustRightInd/>
              <w:snapToGrid w:val="0"/>
              <w:ind w:firstLine="480"/>
              <w:jc w:val="left"/>
              <w:textAlignment w:val="auto"/>
              <w:rPr>
                <w:color w:val="000000"/>
              </w:rPr>
            </w:pPr>
            <w:r>
              <w:rPr>
                <w:rFonts w:hint="eastAsia"/>
                <w:color w:val="000000"/>
              </w:rPr>
              <w:t>本项目主要生产设备见表</w:t>
            </w:r>
            <w:r>
              <w:rPr>
                <w:rFonts w:hint="eastAsia"/>
                <w:color w:val="000000"/>
                <w:lang w:val="en-US" w:eastAsia="zh-CN"/>
              </w:rPr>
              <w:t>9</w:t>
            </w:r>
            <w:r>
              <w:rPr>
                <w:rFonts w:hint="eastAsia"/>
                <w:color w:val="000000"/>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color w:val="000000"/>
              </w:rPr>
            </w:pPr>
            <w:r>
              <w:rPr>
                <w:rFonts w:hint="eastAsia" w:asciiTheme="minorEastAsia" w:hAnsiTheme="minorEastAsia" w:eastAsiaTheme="minorEastAsia" w:cstheme="minorEastAsia"/>
                <w:color w:val="000000"/>
                <w:sz w:val="21"/>
                <w:szCs w:val="21"/>
              </w:rPr>
              <w:t>表</w:t>
            </w:r>
            <w:r>
              <w:rPr>
                <w:rFonts w:hint="eastAsia" w:cs="Times New Roman" w:eastAsiaTheme="minorEastAsia"/>
                <w:color w:val="000000"/>
                <w:sz w:val="21"/>
                <w:szCs w:val="21"/>
                <w:lang w:val="en-US" w:eastAsia="zh-CN"/>
              </w:rPr>
              <w:t>9</w:t>
            </w:r>
            <w:r>
              <w:rPr>
                <w:rFonts w:hint="eastAsia" w:asciiTheme="minorEastAsia" w:hAnsiTheme="minorEastAsia" w:eastAsiaTheme="minorEastAsia" w:cstheme="minorEastAsia"/>
                <w:color w:val="000000"/>
                <w:sz w:val="21"/>
                <w:szCs w:val="21"/>
              </w:rPr>
              <w:t xml:space="preserve"> 主要生产设备一览表</w:t>
            </w:r>
          </w:p>
          <w:tbl>
            <w:tblPr>
              <w:tblStyle w:val="18"/>
              <w:tblW w:w="499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3046"/>
              <w:gridCol w:w="2264"/>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序号</w:t>
                  </w:r>
                </w:p>
              </w:tc>
              <w:tc>
                <w:tcPr>
                  <w:tcW w:w="18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设备名称</w:t>
                  </w:r>
                </w:p>
              </w:tc>
              <w:tc>
                <w:tcPr>
                  <w:tcW w:w="13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单位</w:t>
                  </w:r>
                </w:p>
              </w:tc>
              <w:tc>
                <w:tcPr>
                  <w:tcW w:w="9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1</w:t>
                  </w:r>
                </w:p>
              </w:tc>
              <w:tc>
                <w:tcPr>
                  <w:tcW w:w="18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sz w:val="21"/>
                      <w:szCs w:val="21"/>
                      <w:lang w:val="en-US" w:eastAsia="zh-CN"/>
                    </w:rPr>
                  </w:pPr>
                  <w:r>
                    <w:rPr>
                      <w:rFonts w:hint="eastAsia"/>
                      <w:color w:val="000000"/>
                      <w:sz w:val="21"/>
                      <w:szCs w:val="21"/>
                    </w:rPr>
                    <w:t>全自动</w:t>
                  </w:r>
                  <w:r>
                    <w:rPr>
                      <w:rFonts w:hint="eastAsia"/>
                      <w:color w:val="000000"/>
                      <w:sz w:val="21"/>
                      <w:szCs w:val="21"/>
                      <w:lang w:eastAsia="zh-CN"/>
                    </w:rPr>
                    <w:t>开卷机</w:t>
                  </w:r>
                </w:p>
              </w:tc>
              <w:tc>
                <w:tcPr>
                  <w:tcW w:w="13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台</w:t>
                  </w:r>
                </w:p>
              </w:tc>
              <w:tc>
                <w:tcPr>
                  <w:tcW w:w="9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2</w:t>
                  </w:r>
                </w:p>
              </w:tc>
              <w:tc>
                <w:tcPr>
                  <w:tcW w:w="18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sz w:val="21"/>
                      <w:szCs w:val="21"/>
                      <w:lang w:eastAsia="zh-CN"/>
                    </w:rPr>
                  </w:pPr>
                  <w:r>
                    <w:rPr>
                      <w:rFonts w:hint="eastAsia"/>
                      <w:color w:val="000000"/>
                      <w:sz w:val="21"/>
                      <w:szCs w:val="21"/>
                    </w:rPr>
                    <w:t>全自</w:t>
                  </w:r>
                  <w:r>
                    <w:rPr>
                      <w:rFonts w:hint="eastAsia"/>
                      <w:color w:val="000000"/>
                      <w:sz w:val="21"/>
                      <w:szCs w:val="21"/>
                      <w:lang w:eastAsia="zh-CN"/>
                    </w:rPr>
                    <w:t>动压型机</w:t>
                  </w:r>
                </w:p>
              </w:tc>
              <w:tc>
                <w:tcPr>
                  <w:tcW w:w="13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台</w:t>
                  </w:r>
                </w:p>
              </w:tc>
              <w:tc>
                <w:tcPr>
                  <w:tcW w:w="9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sz w:val="21"/>
                      <w:szCs w:val="21"/>
                      <w:lang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3</w:t>
                  </w:r>
                </w:p>
              </w:tc>
              <w:tc>
                <w:tcPr>
                  <w:tcW w:w="18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sz w:val="21"/>
                      <w:szCs w:val="21"/>
                      <w:lang w:eastAsia="zh-CN"/>
                    </w:rPr>
                  </w:pPr>
                  <w:r>
                    <w:rPr>
                      <w:rFonts w:hint="eastAsia"/>
                      <w:color w:val="000000"/>
                      <w:sz w:val="21"/>
                      <w:szCs w:val="21"/>
                      <w:lang w:eastAsia="zh-CN"/>
                    </w:rPr>
                    <w:t>自动分条上棉设备</w:t>
                  </w:r>
                </w:p>
              </w:tc>
              <w:tc>
                <w:tcPr>
                  <w:tcW w:w="13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台</w:t>
                  </w:r>
                </w:p>
              </w:tc>
              <w:tc>
                <w:tcPr>
                  <w:tcW w:w="9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sz w:val="21"/>
                      <w:szCs w:val="21"/>
                      <w:lang w:eastAsia="zh-CN"/>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4</w:t>
                  </w:r>
                </w:p>
              </w:tc>
              <w:tc>
                <w:tcPr>
                  <w:tcW w:w="18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(高压/低压)发泡机</w:t>
                  </w:r>
                </w:p>
              </w:tc>
              <w:tc>
                <w:tcPr>
                  <w:tcW w:w="13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台</w:t>
                  </w:r>
                </w:p>
              </w:tc>
              <w:tc>
                <w:tcPr>
                  <w:tcW w:w="9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sz w:val="21"/>
                      <w:szCs w:val="21"/>
                      <w:lang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5</w:t>
                  </w:r>
                </w:p>
              </w:tc>
              <w:tc>
                <w:tcPr>
                  <w:tcW w:w="18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sz w:val="21"/>
                      <w:szCs w:val="21"/>
                      <w:lang w:eastAsia="zh-CN"/>
                    </w:rPr>
                  </w:pPr>
                  <w:r>
                    <w:rPr>
                      <w:rFonts w:hint="eastAsia"/>
                      <w:color w:val="000000"/>
                      <w:sz w:val="21"/>
                      <w:szCs w:val="21"/>
                      <w:lang w:eastAsia="zh-CN"/>
                    </w:rPr>
                    <w:t>双履带复合机</w:t>
                  </w:r>
                </w:p>
              </w:tc>
              <w:tc>
                <w:tcPr>
                  <w:tcW w:w="13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sz w:val="21"/>
                      <w:szCs w:val="21"/>
                    </w:rPr>
                  </w:pPr>
                  <w:r>
                    <w:rPr>
                      <w:rFonts w:hint="eastAsia"/>
                      <w:color w:val="000000"/>
                      <w:sz w:val="21"/>
                      <w:szCs w:val="21"/>
                    </w:rPr>
                    <w:t>台</w:t>
                  </w:r>
                </w:p>
              </w:tc>
              <w:tc>
                <w:tcPr>
                  <w:tcW w:w="9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sz w:val="21"/>
                      <w:szCs w:val="21"/>
                      <w:lang w:val="en-US" w:eastAsia="zh-CN"/>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sz w:val="21"/>
                      <w:szCs w:val="21"/>
                      <w:lang w:val="en-US" w:eastAsia="zh-CN"/>
                    </w:rPr>
                  </w:pPr>
                  <w:r>
                    <w:rPr>
                      <w:rFonts w:hint="eastAsia"/>
                      <w:color w:val="000000"/>
                      <w:sz w:val="21"/>
                      <w:szCs w:val="21"/>
                      <w:lang w:val="en-US" w:eastAsia="zh-CN"/>
                    </w:rPr>
                    <w:t>6</w:t>
                  </w:r>
                </w:p>
              </w:tc>
              <w:tc>
                <w:tcPr>
                  <w:tcW w:w="18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sz w:val="21"/>
                      <w:szCs w:val="21"/>
                      <w:lang w:eastAsia="zh-CN"/>
                    </w:rPr>
                  </w:pPr>
                  <w:r>
                    <w:rPr>
                      <w:rFonts w:hint="eastAsia"/>
                      <w:color w:val="000000"/>
                      <w:sz w:val="21"/>
                      <w:szCs w:val="21"/>
                      <w:lang w:eastAsia="zh-CN"/>
                    </w:rPr>
                    <w:t>切割机</w:t>
                  </w:r>
                </w:p>
              </w:tc>
              <w:tc>
                <w:tcPr>
                  <w:tcW w:w="13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sz w:val="21"/>
                      <w:szCs w:val="21"/>
                      <w:lang w:eastAsia="zh-CN"/>
                    </w:rPr>
                  </w:pPr>
                  <w:r>
                    <w:rPr>
                      <w:rFonts w:hint="eastAsia"/>
                      <w:color w:val="000000"/>
                      <w:sz w:val="21"/>
                      <w:szCs w:val="21"/>
                      <w:lang w:eastAsia="zh-CN"/>
                    </w:rPr>
                    <w:t>台</w:t>
                  </w:r>
                </w:p>
              </w:tc>
              <w:tc>
                <w:tcPr>
                  <w:tcW w:w="9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1</w:t>
                  </w:r>
                </w:p>
              </w:tc>
            </w:tr>
          </w:tbl>
          <w:p>
            <w:pPr>
              <w:pStyle w:val="4"/>
              <w:pageBreakBefore w:val="0"/>
              <w:widowControl w:val="0"/>
              <w:kinsoku/>
              <w:wordWrap/>
              <w:overflowPunct/>
              <w:topLinePunct w:val="0"/>
              <w:autoSpaceDE/>
              <w:autoSpaceDN/>
              <w:bidi w:val="0"/>
              <w:adjustRightInd/>
              <w:snapToGrid w:val="0"/>
              <w:spacing w:before="0" w:after="0"/>
              <w:jc w:val="left"/>
              <w:textAlignment w:val="auto"/>
              <w:rPr>
                <w:color w:val="000000"/>
              </w:rPr>
            </w:pPr>
            <w:r>
              <w:rPr>
                <w:color w:val="000000"/>
              </w:rPr>
              <w:t>2.</w:t>
            </w:r>
            <w:r>
              <w:rPr>
                <w:rFonts w:hint="eastAsia"/>
                <w:color w:val="000000"/>
                <w:lang w:val="en-US" w:eastAsia="zh-CN"/>
              </w:rPr>
              <w:t>1</w:t>
            </w:r>
            <w:r>
              <w:rPr>
                <w:color w:val="000000"/>
              </w:rPr>
              <w:t>.</w:t>
            </w:r>
            <w:r>
              <w:rPr>
                <w:rFonts w:hint="eastAsia"/>
                <w:color w:val="000000"/>
                <w:lang w:val="en-US" w:eastAsia="zh-CN"/>
              </w:rPr>
              <w:t>7</w:t>
            </w:r>
            <w:r>
              <w:rPr>
                <w:rFonts w:hint="eastAsia"/>
                <w:color w:val="000000"/>
              </w:rPr>
              <w:t>公用工程</w:t>
            </w:r>
          </w:p>
          <w:p>
            <w:pPr>
              <w:pageBreakBefore w:val="0"/>
              <w:widowControl w:val="0"/>
              <w:kinsoku/>
              <w:wordWrap/>
              <w:overflowPunct/>
              <w:topLinePunct w:val="0"/>
              <w:autoSpaceDE/>
              <w:autoSpaceDN/>
              <w:bidi w:val="0"/>
              <w:adjustRightInd/>
              <w:snapToGrid w:val="0"/>
              <w:ind w:firstLine="480"/>
              <w:jc w:val="left"/>
              <w:textAlignment w:val="auto"/>
              <w:rPr>
                <w:color w:val="000000"/>
              </w:rPr>
            </w:pPr>
            <w:r>
              <w:rPr>
                <w:rFonts w:hint="eastAsia"/>
                <w:color w:val="000000"/>
              </w:rPr>
              <w:t>（1）供电</w:t>
            </w:r>
          </w:p>
          <w:p>
            <w:pPr>
              <w:pageBreakBefore w:val="0"/>
              <w:widowControl w:val="0"/>
              <w:kinsoku/>
              <w:wordWrap/>
              <w:overflowPunct/>
              <w:topLinePunct w:val="0"/>
              <w:autoSpaceDE/>
              <w:autoSpaceDN/>
              <w:bidi w:val="0"/>
              <w:adjustRightInd/>
              <w:snapToGrid w:val="0"/>
              <w:ind w:firstLine="480"/>
              <w:jc w:val="left"/>
              <w:textAlignment w:val="auto"/>
              <w:rPr>
                <w:rFonts w:hint="eastAsia" w:eastAsia="宋体"/>
                <w:color w:val="000000"/>
                <w:lang w:eastAsia="zh-CN"/>
              </w:rPr>
            </w:pPr>
            <w:r>
              <w:rPr>
                <w:rFonts w:hint="eastAsia"/>
                <w:color w:val="000000"/>
              </w:rPr>
              <w:t>本项目电源由园区供电网统一供给，电力设施基础完好，能满足项目用电需求</w:t>
            </w:r>
            <w:r>
              <w:rPr>
                <w:rFonts w:hint="eastAsia"/>
                <w:color w:val="000000"/>
                <w:lang w:eastAsia="zh-CN"/>
              </w:rPr>
              <w:t>。</w:t>
            </w:r>
          </w:p>
          <w:p>
            <w:pPr>
              <w:pageBreakBefore w:val="0"/>
              <w:widowControl w:val="0"/>
              <w:kinsoku/>
              <w:wordWrap/>
              <w:overflowPunct/>
              <w:topLinePunct w:val="0"/>
              <w:autoSpaceDE/>
              <w:autoSpaceDN/>
              <w:bidi w:val="0"/>
              <w:adjustRightInd/>
              <w:snapToGrid w:val="0"/>
              <w:ind w:firstLine="480"/>
              <w:jc w:val="left"/>
              <w:textAlignment w:val="auto"/>
              <w:rPr>
                <w:color w:val="000000"/>
              </w:rPr>
            </w:pPr>
            <w:r>
              <w:rPr>
                <w:rFonts w:hint="eastAsia"/>
                <w:color w:val="000000"/>
              </w:rPr>
              <w:t>（2）给排水</w:t>
            </w:r>
          </w:p>
          <w:p>
            <w:pPr>
              <w:pageBreakBefore w:val="0"/>
              <w:widowControl w:val="0"/>
              <w:kinsoku/>
              <w:wordWrap/>
              <w:overflowPunct/>
              <w:topLinePunct w:val="0"/>
              <w:autoSpaceDE/>
              <w:autoSpaceDN/>
              <w:bidi w:val="0"/>
              <w:adjustRightInd/>
              <w:snapToGrid w:val="0"/>
              <w:ind w:firstLine="480"/>
              <w:jc w:val="left"/>
              <w:textAlignment w:val="auto"/>
              <w:rPr>
                <w:rFonts w:hint="eastAsia" w:eastAsia="宋体"/>
                <w:color w:val="000000"/>
                <w:lang w:eastAsia="zh-CN"/>
              </w:rPr>
            </w:pPr>
            <w:r>
              <w:rPr>
                <w:rFonts w:hint="eastAsia"/>
                <w:color w:val="000000"/>
              </w:rPr>
              <w:t>本项目用水主要为生活用水，由园区供水管网统一供给</w:t>
            </w:r>
            <w:r>
              <w:rPr>
                <w:rFonts w:hint="eastAsia"/>
                <w:color w:val="000000"/>
                <w:lang w:eastAsia="zh-CN"/>
              </w:rPr>
              <w:t>。</w:t>
            </w:r>
          </w:p>
          <w:p>
            <w:pPr>
              <w:pageBreakBefore w:val="0"/>
              <w:widowControl w:val="0"/>
              <w:kinsoku/>
              <w:wordWrap/>
              <w:overflowPunct/>
              <w:topLinePunct w:val="0"/>
              <w:autoSpaceDE/>
              <w:autoSpaceDN/>
              <w:bidi w:val="0"/>
              <w:adjustRightInd/>
              <w:snapToGrid w:val="0"/>
              <w:ind w:firstLine="480"/>
              <w:jc w:val="left"/>
              <w:textAlignment w:val="auto"/>
              <w:rPr>
                <w:rFonts w:hint="eastAsia" w:eastAsia="宋体"/>
                <w:color w:val="000000"/>
                <w:lang w:eastAsia="zh-CN"/>
              </w:rPr>
            </w:pPr>
            <w:r>
              <w:rPr>
                <w:rFonts w:hint="eastAsia"/>
                <w:color w:val="000000"/>
              </w:rPr>
              <w:t>本项目排水主要为员工生活用水，生产过程中不产生生产废水，生活污水排入园区</w:t>
            </w:r>
            <w:r>
              <w:rPr>
                <w:rFonts w:hint="eastAsia"/>
                <w:color w:val="000000"/>
                <w:lang w:eastAsia="zh-CN"/>
              </w:rPr>
              <w:t>管</w:t>
            </w:r>
            <w:r>
              <w:rPr>
                <w:rFonts w:hint="eastAsia"/>
                <w:color w:val="000000"/>
              </w:rPr>
              <w:t>网</w:t>
            </w:r>
            <w:r>
              <w:rPr>
                <w:rFonts w:hint="eastAsia"/>
                <w:color w:val="000000"/>
                <w:lang w:eastAsia="zh-CN"/>
              </w:rPr>
              <w:t>。</w:t>
            </w:r>
          </w:p>
          <w:p>
            <w:pPr>
              <w:pageBreakBefore w:val="0"/>
              <w:widowControl w:val="0"/>
              <w:kinsoku/>
              <w:wordWrap/>
              <w:overflowPunct/>
              <w:topLinePunct w:val="0"/>
              <w:autoSpaceDE/>
              <w:autoSpaceDN/>
              <w:bidi w:val="0"/>
              <w:adjustRightInd/>
              <w:snapToGrid w:val="0"/>
              <w:ind w:firstLine="480"/>
              <w:jc w:val="left"/>
              <w:textAlignment w:val="auto"/>
              <w:rPr>
                <w:rFonts w:hint="default" w:eastAsia="宋体"/>
                <w:color w:val="000000"/>
                <w:lang w:val="en-US" w:eastAsia="zh-CN"/>
              </w:rPr>
            </w:pPr>
            <w:r>
              <w:rPr>
                <w:rFonts w:hint="eastAsia"/>
                <w:color w:val="000000"/>
              </w:rPr>
              <w:t>本项目</w:t>
            </w:r>
            <w:r>
              <w:rPr>
                <w:rFonts w:hint="eastAsia"/>
                <w:color w:val="000000"/>
                <w:lang w:eastAsia="zh-CN"/>
              </w:rPr>
              <w:t>劳动定员</w:t>
            </w:r>
            <w:r>
              <w:rPr>
                <w:rFonts w:hint="eastAsia"/>
                <w:color w:val="000000"/>
                <w:highlight w:val="none"/>
              </w:rPr>
              <w:t>1</w:t>
            </w:r>
            <w:r>
              <w:rPr>
                <w:rFonts w:hint="eastAsia"/>
                <w:color w:val="000000"/>
                <w:highlight w:val="none"/>
                <w:lang w:val="en-US" w:eastAsia="zh-CN"/>
              </w:rPr>
              <w:t>1</w:t>
            </w:r>
            <w:r>
              <w:rPr>
                <w:rFonts w:hint="eastAsia"/>
                <w:color w:val="000000"/>
              </w:rPr>
              <w:t>人，</w:t>
            </w:r>
            <w:r>
              <w:rPr>
                <w:rFonts w:hint="eastAsia"/>
                <w:color w:val="000000"/>
                <w:lang w:eastAsia="zh-CN"/>
              </w:rPr>
              <w:t>根据建设单位提供的相关资料</w:t>
            </w:r>
            <w:r>
              <w:rPr>
                <w:rFonts w:hint="eastAsia"/>
                <w:color w:val="000000"/>
              </w:rPr>
              <w:t>，</w:t>
            </w:r>
            <w:r>
              <w:rPr>
                <w:rFonts w:hint="eastAsia"/>
                <w:color w:val="000000"/>
                <w:lang w:eastAsia="zh-CN"/>
              </w:rPr>
              <w:t>本项目</w:t>
            </w:r>
            <w:r>
              <w:rPr>
                <w:rFonts w:hint="eastAsia"/>
                <w:color w:val="000000"/>
              </w:rPr>
              <w:t>生活用水量为</w:t>
            </w:r>
            <w:r>
              <w:rPr>
                <w:rFonts w:hint="eastAsia"/>
                <w:color w:val="000000"/>
                <w:lang w:val="en-US" w:eastAsia="zh-CN"/>
              </w:rPr>
              <w:t>105.6</w:t>
            </w:r>
            <w:r>
              <w:rPr>
                <w:rFonts w:hint="eastAsia"/>
                <w:color w:val="000000"/>
              </w:rPr>
              <w:t>m</w:t>
            </w:r>
            <w:r>
              <w:rPr>
                <w:rFonts w:hint="eastAsia"/>
                <w:color w:val="000000"/>
                <w:vertAlign w:val="superscript"/>
              </w:rPr>
              <w:t>3</w:t>
            </w:r>
            <w:r>
              <w:rPr>
                <w:rFonts w:hint="eastAsia"/>
                <w:color w:val="000000"/>
              </w:rPr>
              <w:t>/a，生活污水排放量为</w:t>
            </w:r>
            <w:r>
              <w:rPr>
                <w:rFonts w:hint="eastAsia"/>
                <w:color w:val="000000"/>
                <w:lang w:val="en-US" w:eastAsia="zh-CN"/>
              </w:rPr>
              <w:t>89.76</w:t>
            </w:r>
            <w:r>
              <w:rPr>
                <w:rFonts w:hint="eastAsia"/>
                <w:color w:val="000000"/>
              </w:rPr>
              <w:t>m</w:t>
            </w:r>
            <w:r>
              <w:rPr>
                <w:rFonts w:hint="eastAsia"/>
                <w:color w:val="000000"/>
                <w:vertAlign w:val="superscript"/>
              </w:rPr>
              <w:t>3</w:t>
            </w:r>
            <w:r>
              <w:rPr>
                <w:rFonts w:hint="eastAsia"/>
                <w:color w:val="000000"/>
              </w:rPr>
              <w:t>/a（全年工作日按照</w:t>
            </w:r>
            <w:r>
              <w:rPr>
                <w:rFonts w:hint="eastAsia"/>
                <w:color w:val="000000"/>
                <w:lang w:val="en-US" w:eastAsia="zh-CN"/>
              </w:rPr>
              <w:t>120</w:t>
            </w:r>
            <w:r>
              <w:rPr>
                <w:rFonts w:hint="eastAsia"/>
                <w:color w:val="000000"/>
              </w:rPr>
              <w:t>天计）。生活污水排入园区</w:t>
            </w:r>
            <w:r>
              <w:rPr>
                <w:rFonts w:hint="eastAsia"/>
                <w:color w:val="000000"/>
                <w:lang w:eastAsia="zh-CN"/>
              </w:rPr>
              <w:t>管</w:t>
            </w:r>
            <w:r>
              <w:rPr>
                <w:rFonts w:hint="eastAsia"/>
                <w:color w:val="000000"/>
              </w:rPr>
              <w:t>网，主要污染物为COD</w:t>
            </w:r>
            <w:r>
              <w:rPr>
                <w:rFonts w:hint="eastAsia"/>
                <w:color w:val="000000"/>
                <w:vertAlign w:val="subscript"/>
              </w:rPr>
              <w:t>Cr</w:t>
            </w:r>
            <w:r>
              <w:rPr>
                <w:rFonts w:hint="eastAsia"/>
                <w:color w:val="000000"/>
              </w:rPr>
              <w:t>、BOD</w:t>
            </w:r>
            <w:r>
              <w:rPr>
                <w:rFonts w:hint="eastAsia"/>
                <w:color w:val="000000"/>
                <w:vertAlign w:val="subscript"/>
              </w:rPr>
              <w:t>5</w:t>
            </w:r>
            <w:r>
              <w:rPr>
                <w:rFonts w:hint="eastAsia"/>
                <w:color w:val="000000"/>
              </w:rPr>
              <w:t>、SS、NH</w:t>
            </w:r>
            <w:r>
              <w:rPr>
                <w:rFonts w:hint="eastAsia"/>
                <w:color w:val="000000"/>
                <w:vertAlign w:val="subscript"/>
              </w:rPr>
              <w:t>3</w:t>
            </w:r>
            <w:r>
              <w:rPr>
                <w:rFonts w:hint="eastAsia"/>
                <w:color w:val="000000"/>
              </w:rPr>
              <w:t>-N等。</w:t>
            </w:r>
            <w:r>
              <w:rPr>
                <w:rFonts w:hint="eastAsia"/>
                <w:color w:val="000000"/>
                <w:lang w:eastAsia="zh-CN"/>
              </w:rPr>
              <w:t>本项目水平衡图见图</w:t>
            </w:r>
            <w:r>
              <w:rPr>
                <w:rFonts w:hint="eastAsia"/>
                <w:color w:val="000000"/>
                <w:lang w:val="en-US" w:eastAsia="zh-CN"/>
              </w:rPr>
              <w:t>8。</w:t>
            </w:r>
          </w:p>
          <w:p>
            <w:pPr>
              <w:ind w:firstLine="0" w:firstLineChars="0"/>
              <w:jc w:val="center"/>
              <w:rPr>
                <w:color w:val="000000"/>
              </w:rPr>
            </w:pPr>
            <w:r>
              <w:rPr>
                <w:color w:val="000000"/>
              </w:rPr>
              <w:drawing>
                <wp:inline distT="0" distB="0" distL="114300" distR="114300">
                  <wp:extent cx="3457575" cy="990600"/>
                  <wp:effectExtent l="0" t="0" r="9525"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4"/>
                          <a:stretch>
                            <a:fillRect/>
                          </a:stretch>
                        </pic:blipFill>
                        <pic:spPr>
                          <a:xfrm>
                            <a:off x="0" y="0"/>
                            <a:ext cx="3457575" cy="990600"/>
                          </a:xfrm>
                          <a:prstGeom prst="rect">
                            <a:avLst/>
                          </a:prstGeom>
                          <a:noFill/>
                          <a:ln>
                            <a:noFill/>
                          </a:ln>
                        </pic:spPr>
                      </pic:pic>
                    </a:graphicData>
                  </a:graphic>
                </wp:inline>
              </w:drawing>
            </w:r>
          </w:p>
          <w:p>
            <w:pPr>
              <w:pStyle w:val="6"/>
              <w:pageBreakBefore w:val="0"/>
              <w:widowControl w:val="0"/>
              <w:kinsoku/>
              <w:wordWrap/>
              <w:overflowPunct/>
              <w:topLinePunct w:val="0"/>
              <w:autoSpaceDE/>
              <w:autoSpaceDN/>
              <w:bidi w:val="0"/>
              <w:adjustRightInd/>
              <w:snapToGrid w:val="0"/>
              <w:textAlignment w:val="auto"/>
              <w:rPr>
                <w:color w:val="000000"/>
              </w:rPr>
            </w:pPr>
            <w:r>
              <w:rPr>
                <w:rFonts w:hint="eastAsia"/>
                <w:color w:val="000000"/>
              </w:rPr>
              <w:t>图</w:t>
            </w:r>
            <w:r>
              <w:rPr>
                <w:rFonts w:hint="eastAsia"/>
                <w:color w:val="000000"/>
                <w:lang w:val="en-US" w:eastAsia="zh-CN"/>
              </w:rPr>
              <w:t>8</w:t>
            </w:r>
            <w:r>
              <w:rPr>
                <w:rFonts w:hint="eastAsia"/>
                <w:color w:val="000000"/>
              </w:rPr>
              <w:t xml:space="preserve">  项目水平衡图（单位：m</w:t>
            </w:r>
            <w:r>
              <w:rPr>
                <w:rFonts w:hint="eastAsia"/>
                <w:color w:val="000000"/>
                <w:vertAlign w:val="superscript"/>
              </w:rPr>
              <w:t>3</w:t>
            </w:r>
            <w:r>
              <w:rPr>
                <w:rFonts w:hint="eastAsia"/>
                <w:color w:val="000000"/>
              </w:rPr>
              <w:t>/a）</w:t>
            </w:r>
          </w:p>
          <w:p>
            <w:pPr>
              <w:pageBreakBefore w:val="0"/>
              <w:widowControl w:val="0"/>
              <w:kinsoku/>
              <w:wordWrap/>
              <w:overflowPunct/>
              <w:topLinePunct w:val="0"/>
              <w:autoSpaceDE/>
              <w:autoSpaceDN/>
              <w:bidi w:val="0"/>
              <w:adjustRightInd/>
              <w:snapToGrid w:val="0"/>
              <w:ind w:firstLine="480"/>
              <w:textAlignment w:val="auto"/>
              <w:rPr>
                <w:color w:val="000000"/>
              </w:rPr>
            </w:pPr>
            <w:r>
              <w:rPr>
                <w:rFonts w:hint="eastAsia"/>
                <w:color w:val="000000"/>
              </w:rPr>
              <w:t>（</w:t>
            </w:r>
            <w:r>
              <w:rPr>
                <w:rFonts w:hint="eastAsia"/>
                <w:color w:val="000000"/>
                <w:lang w:val="en-US" w:eastAsia="zh-CN"/>
              </w:rPr>
              <w:t>3</w:t>
            </w:r>
            <w:r>
              <w:rPr>
                <w:rFonts w:hint="eastAsia"/>
                <w:color w:val="000000"/>
              </w:rPr>
              <w:t>）供热</w:t>
            </w:r>
          </w:p>
          <w:p>
            <w:pPr>
              <w:pageBreakBefore w:val="0"/>
              <w:widowControl w:val="0"/>
              <w:kinsoku/>
              <w:wordWrap/>
              <w:overflowPunct/>
              <w:topLinePunct w:val="0"/>
              <w:autoSpaceDE/>
              <w:autoSpaceDN/>
              <w:bidi w:val="0"/>
              <w:adjustRightInd/>
              <w:snapToGrid w:val="0"/>
              <w:ind w:firstLine="480"/>
              <w:jc w:val="left"/>
              <w:textAlignment w:val="auto"/>
              <w:rPr>
                <w:rFonts w:hint="eastAsia"/>
                <w:color w:val="000000"/>
                <w:lang w:eastAsia="zh-CN"/>
              </w:rPr>
            </w:pPr>
            <w:r>
              <w:rPr>
                <w:rFonts w:hint="eastAsia"/>
                <w:color w:val="000000"/>
              </w:rPr>
              <w:t>本项目冬季不生产，厂区内无需供热</w:t>
            </w:r>
            <w:r>
              <w:rPr>
                <w:rFonts w:hint="eastAsia"/>
                <w:color w:val="000000"/>
                <w:lang w:eastAsia="zh-CN"/>
              </w:rPr>
              <w:t>。</w:t>
            </w:r>
          </w:p>
          <w:p>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eastAsiaTheme="minorEastAsia"/>
                <w:b w:val="0"/>
                <w:bCs/>
                <w:color w:val="000000"/>
                <w:lang w:val="en-US" w:eastAsia="zh-CN"/>
              </w:rPr>
            </w:pPr>
            <w:r>
              <w:rPr>
                <w:rFonts w:hint="default" w:ascii="Times New Roman" w:hAnsi="Times New Roman" w:cs="Times New Roman" w:eastAsiaTheme="minorEastAsia"/>
                <w:b w:val="0"/>
                <w:bCs/>
                <w:color w:val="000000"/>
                <w:lang w:val="en-US" w:eastAsia="zh-CN"/>
              </w:rPr>
              <w:t>（4）消防</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color w:val="000000"/>
                <w:lang w:val="en-US" w:eastAsia="zh-CN"/>
              </w:rPr>
              <w:t>本项目消防系统有消火栓</w:t>
            </w:r>
            <w:r>
              <w:rPr>
                <w:rFonts w:hint="eastAsia" w:cs="Times New Roman" w:eastAsiaTheme="minorEastAsia"/>
                <w:color w:val="000000"/>
                <w:lang w:val="en-US" w:eastAsia="zh-CN"/>
              </w:rPr>
              <w:t>和</w:t>
            </w:r>
            <w:r>
              <w:rPr>
                <w:rFonts w:hint="default" w:ascii="Times New Roman" w:hAnsi="Times New Roman" w:cs="Times New Roman" w:eastAsiaTheme="minorEastAsia"/>
                <w:color w:val="000000"/>
                <w:lang w:val="en-US" w:eastAsia="zh-CN"/>
              </w:rPr>
              <w:t>灭火器。</w:t>
            </w:r>
          </w:p>
          <w:p>
            <w:pPr>
              <w:pStyle w:val="17"/>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left"/>
              <w:textAlignment w:val="auto"/>
              <w:rPr>
                <w:rFonts w:hint="default" w:ascii="Times New Roman" w:hAnsi="Times New Roman" w:cs="Times New Roman" w:eastAsiaTheme="minorEastAsia"/>
                <w:lang w:val="en-US" w:eastAsia="zh-CN"/>
              </w:rPr>
            </w:pPr>
            <w:r>
              <w:rPr>
                <w:rFonts w:hint="eastAsia" w:cs="Times New Roman" w:eastAsiaTheme="minorEastAsia"/>
                <w:lang w:val="en-US" w:eastAsia="zh-CN"/>
              </w:rPr>
              <w:t>①</w:t>
            </w:r>
            <w:r>
              <w:rPr>
                <w:rFonts w:hint="default" w:ascii="Times New Roman" w:hAnsi="Times New Roman" w:cs="Times New Roman" w:eastAsiaTheme="minorEastAsia"/>
                <w:lang w:val="en-US" w:eastAsia="zh-CN"/>
              </w:rPr>
              <w:t>灭火器</w:t>
            </w:r>
          </w:p>
          <w:p>
            <w:pPr>
              <w:pStyle w:val="17"/>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left"/>
              <w:textAlignment w:val="auto"/>
              <w:rPr>
                <w:rFonts w:hint="default" w:ascii="Times New Roman" w:hAnsi="Times New Roman" w:cs="Times New Roman"/>
                <w:lang w:val="en-US" w:eastAsia="zh-CN"/>
              </w:rPr>
            </w:pPr>
            <w:r>
              <w:rPr>
                <w:rFonts w:hint="default" w:ascii="Times New Roman" w:hAnsi="Times New Roman" w:cs="Times New Roman" w:eastAsiaTheme="minorEastAsia"/>
                <w:lang w:val="en-US" w:eastAsia="zh-CN"/>
              </w:rPr>
              <w:t>各建筑物室内均配有一定数量手提式干粉灭火器，以扑灭初期火灾及零星火灾。</w:t>
            </w:r>
          </w:p>
          <w:p>
            <w:pPr>
              <w:pStyle w:val="17"/>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②消防废水量</w:t>
            </w:r>
          </w:p>
          <w:p>
            <w:pPr>
              <w:pStyle w:val="17"/>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根据《建筑设计防火规范》（GB 50016-2014），项目消防用水量共15L/S，火灾延续时间2h，一次灭火用水量为108m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vertAlign w:val="baseline"/>
                <w:lang w:val="en-US" w:eastAsia="zh-CN"/>
                <w14:textFill>
                  <w14:solidFill>
                    <w14:schemeClr w14:val="tx1"/>
                  </w14:solidFill>
                </w14:textFill>
              </w:rPr>
              <w:t>，废水系数按0.8计算，则产生的消防废水量为86.4</w:t>
            </w:r>
            <w:r>
              <w:rPr>
                <w:rFonts w:hint="default" w:ascii="Times New Roman" w:hAnsi="Times New Roman" w:cs="Times New Roman"/>
                <w:color w:val="000000" w:themeColor="text1"/>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vertAlign w:val="baseline"/>
                <w:lang w:val="en-US" w:eastAsia="zh-CN"/>
                <w14:textFill>
                  <w14:solidFill>
                    <w14:schemeClr w14:val="tx1"/>
                  </w14:solidFill>
                </w14:textFill>
              </w:rPr>
              <w:t>，根据《水体污染防控紧急措施设计导则》中对事故应急池大小的规定，经计算</w:t>
            </w:r>
            <w:r>
              <w:rPr>
                <w:rFonts w:hint="default" w:ascii="Times New Roman" w:hAnsi="Times New Roman" w:cs="Times New Roman"/>
                <w:color w:val="000000" w:themeColor="text1"/>
                <w:lang w:val="en-US" w:eastAsia="zh-CN"/>
                <w14:textFill>
                  <w14:solidFill>
                    <w14:schemeClr w14:val="tx1"/>
                  </w14:solidFill>
                </w14:textFill>
              </w:rPr>
              <w:t>可得事故应急池的大小约为105m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200"/>
              <w:jc w:val="lef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③</w:t>
            </w:r>
            <w:r>
              <w:rPr>
                <w:rFonts w:hint="default" w:ascii="Times New Roman" w:hAnsi="Times New Roman" w:cs="Times New Roman"/>
                <w:color w:val="000000" w:themeColor="text1"/>
                <w:highlight w:val="none"/>
                <w:lang w:val="en-US" w:eastAsia="zh-CN"/>
                <w14:textFill>
                  <w14:solidFill>
                    <w14:schemeClr w14:val="tx1"/>
                  </w14:solidFill>
                </w14:textFill>
              </w:rPr>
              <w:t>事故应急池</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firstLine="480" w:firstLineChars="200"/>
              <w:jc w:val="left"/>
              <w:textAlignment w:val="auto"/>
              <w:rPr>
                <w:rFonts w:hint="default" w:cs="Times New Roman"/>
                <w:color w:val="000000" w:themeColor="text1"/>
                <w:highlight w:val="none"/>
                <w:vertAlign w:val="baseli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本环评要求建设单位新建一座事故池，容积为105</w:t>
            </w:r>
            <w:r>
              <w:rPr>
                <w:rFonts w:hint="default" w:ascii="Times New Roman" w:hAnsi="Times New Roman" w:cs="Times New Roman"/>
                <w:color w:val="000000" w:themeColor="text1"/>
                <w:highlight w:val="none"/>
                <w:lang w:val="en-US" w:eastAsia="zh-CN"/>
                <w14:textFill>
                  <w14:solidFill>
                    <w14:schemeClr w14:val="tx1"/>
                  </w14:solidFill>
                </w14:textFill>
              </w:rPr>
              <w:t>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eastAsia" w:cs="Times New Roman"/>
                <w:color w:val="000000" w:themeColor="text1"/>
                <w:highlight w:val="none"/>
                <w:vertAlign w:val="baseline"/>
                <w:lang w:val="en-US" w:eastAsia="zh-CN"/>
                <w14:textFill>
                  <w14:solidFill>
                    <w14:schemeClr w14:val="tx1"/>
                  </w14:solidFill>
                </w14:textFill>
              </w:rPr>
              <w:t>，位于厂区东南角（消防水池东侧）。</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firstLine="480" w:firstLineChars="200"/>
              <w:jc w:val="lef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④</w:t>
            </w:r>
            <w:r>
              <w:rPr>
                <w:rFonts w:hint="default" w:ascii="Times New Roman" w:hAnsi="Times New Roman" w:cs="Times New Roman"/>
                <w:color w:val="000000" w:themeColor="text1"/>
                <w:highlight w:val="none"/>
                <w:lang w:val="en-US" w:eastAsia="zh-CN"/>
                <w14:textFill>
                  <w14:solidFill>
                    <w14:schemeClr w14:val="tx1"/>
                  </w14:solidFill>
                </w14:textFill>
              </w:rPr>
              <w:t>消防废水处理方案</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firstLine="480" w:firstLineChars="200"/>
              <w:jc w:val="lef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项目拟在生产车间周围设置排污渠，排污渠与市政雨水管网、项目事故池接通，并在雨水管网、事故池前设置了阀门。在正常情况下，关闭事故池前的阀门。</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firstLine="480" w:firstLineChars="200"/>
              <w:jc w:val="lef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项目在发生火灾爆炸事故时，立即切断雨水管网前的阀门，打开事故池前的阀门，将消防废水由排污渠收集并引事故池暂存，待事故结束后，对事故池内废水进行检测分析，根据水质情况拟定相应处理、处置措施。</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firstLine="480" w:firstLineChars="200"/>
              <w:jc w:val="lef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火灾结束后，联系有资质的水处理单位，将消防废水用槽车运出厂区交有资质单位集中处理。</w:t>
            </w:r>
          </w:p>
          <w:p>
            <w:pPr>
              <w:pStyle w:val="4"/>
              <w:pageBreakBefore w:val="0"/>
              <w:widowControl w:val="0"/>
              <w:kinsoku/>
              <w:wordWrap/>
              <w:overflowPunct/>
              <w:topLinePunct w:val="0"/>
              <w:autoSpaceDE/>
              <w:autoSpaceDN/>
              <w:bidi w:val="0"/>
              <w:adjustRightInd/>
              <w:snapToGrid w:val="0"/>
              <w:spacing w:before="0" w:after="0"/>
              <w:textAlignment w:val="auto"/>
              <w:rPr>
                <w:color w:val="000000"/>
              </w:rPr>
            </w:pPr>
            <w:r>
              <w:rPr>
                <w:color w:val="000000"/>
              </w:rPr>
              <w:t>2.</w:t>
            </w:r>
            <w:r>
              <w:rPr>
                <w:rFonts w:hint="eastAsia"/>
                <w:color w:val="000000"/>
                <w:lang w:val="en-US" w:eastAsia="zh-CN"/>
              </w:rPr>
              <w:t>1</w:t>
            </w:r>
            <w:r>
              <w:rPr>
                <w:color w:val="000000"/>
              </w:rPr>
              <w:t>.</w:t>
            </w:r>
            <w:r>
              <w:rPr>
                <w:rFonts w:hint="eastAsia"/>
                <w:color w:val="000000"/>
                <w:lang w:val="en-US" w:eastAsia="zh-CN"/>
              </w:rPr>
              <w:t>8</w:t>
            </w:r>
            <w:r>
              <w:rPr>
                <w:rFonts w:hint="eastAsia"/>
                <w:color w:val="000000"/>
              </w:rPr>
              <w:t>劳动定员及工作制度</w:t>
            </w:r>
          </w:p>
          <w:p>
            <w:pPr>
              <w:pageBreakBefore w:val="0"/>
              <w:widowControl w:val="0"/>
              <w:kinsoku/>
              <w:wordWrap/>
              <w:overflowPunct/>
              <w:topLinePunct w:val="0"/>
              <w:autoSpaceDE/>
              <w:autoSpaceDN/>
              <w:bidi w:val="0"/>
              <w:adjustRightInd/>
              <w:snapToGrid w:val="0"/>
              <w:ind w:firstLine="480"/>
              <w:jc w:val="left"/>
              <w:textAlignment w:val="auto"/>
              <w:rPr>
                <w:color w:val="000000"/>
              </w:rPr>
            </w:pPr>
            <w:r>
              <w:rPr>
                <w:rFonts w:hint="eastAsia"/>
                <w:color w:val="000000"/>
                <w:lang w:eastAsia="zh-CN"/>
              </w:rPr>
              <w:t>本项目</w:t>
            </w:r>
            <w:r>
              <w:rPr>
                <w:rFonts w:hint="eastAsia"/>
                <w:color w:val="000000"/>
              </w:rPr>
              <w:t>劳动定员为1</w:t>
            </w:r>
            <w:r>
              <w:rPr>
                <w:rFonts w:hint="eastAsia"/>
                <w:color w:val="000000"/>
                <w:lang w:val="en-US" w:eastAsia="zh-CN"/>
              </w:rPr>
              <w:t>1</w:t>
            </w:r>
            <w:r>
              <w:rPr>
                <w:rFonts w:hint="eastAsia"/>
                <w:color w:val="000000"/>
              </w:rPr>
              <w:t>人，8小时工作制，年工作</w:t>
            </w:r>
            <w:r>
              <w:rPr>
                <w:rFonts w:hint="eastAsia"/>
                <w:color w:val="000000"/>
                <w:lang w:val="en-US" w:eastAsia="zh-CN"/>
              </w:rPr>
              <w:t>120</w:t>
            </w:r>
            <w:r>
              <w:rPr>
                <w:rFonts w:hint="eastAsia"/>
                <w:color w:val="000000"/>
              </w:rPr>
              <w:t>天。</w:t>
            </w:r>
            <w:r>
              <w:rPr>
                <w:rFonts w:hint="eastAsia"/>
                <w:color w:val="000000"/>
                <w:lang w:eastAsia="zh-CN"/>
              </w:rPr>
              <w:t>其中</w:t>
            </w:r>
            <w:r>
              <w:rPr>
                <w:rFonts w:hint="eastAsia"/>
                <w:color w:val="000000"/>
                <w:lang w:val="en-US" w:eastAsia="zh-CN"/>
              </w:rPr>
              <w:t>4人住宿，7人就餐。</w:t>
            </w:r>
          </w:p>
          <w:p>
            <w:pPr>
              <w:pStyle w:val="4"/>
              <w:pageBreakBefore w:val="0"/>
              <w:widowControl w:val="0"/>
              <w:kinsoku/>
              <w:wordWrap/>
              <w:overflowPunct/>
              <w:topLinePunct w:val="0"/>
              <w:autoSpaceDE/>
              <w:autoSpaceDN/>
              <w:bidi w:val="0"/>
              <w:adjustRightInd/>
              <w:snapToGrid w:val="0"/>
              <w:spacing w:before="0" w:after="0"/>
              <w:jc w:val="left"/>
              <w:textAlignment w:val="auto"/>
              <w:rPr>
                <w:color w:val="000000"/>
              </w:rPr>
            </w:pPr>
            <w:r>
              <w:rPr>
                <w:rFonts w:hint="eastAsia"/>
                <w:color w:val="000000"/>
              </w:rPr>
              <w:t>2.</w:t>
            </w:r>
            <w:r>
              <w:rPr>
                <w:rFonts w:hint="eastAsia"/>
                <w:color w:val="000000"/>
                <w:lang w:val="en-US" w:eastAsia="zh-CN"/>
              </w:rPr>
              <w:t>1.9</w:t>
            </w:r>
            <w:r>
              <w:rPr>
                <w:rFonts w:hint="eastAsia"/>
                <w:color w:val="000000"/>
              </w:rPr>
              <w:t>平面布置</w:t>
            </w:r>
          </w:p>
          <w:p>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厂区</w:t>
            </w:r>
            <w:r>
              <w:rPr>
                <w:rFonts w:hint="default" w:ascii="Times New Roman" w:hAnsi="Times New Roman" w:cs="Times New Roman"/>
                <w:color w:val="000000" w:themeColor="text1"/>
                <w:highlight w:val="none"/>
                <w:lang w:val="en-US" w:eastAsia="zh-CN"/>
                <w14:textFill>
                  <w14:solidFill>
                    <w14:schemeClr w14:val="tx1"/>
                  </w14:solidFill>
                </w14:textFill>
              </w:rPr>
              <w:t>主要建筑物有生产车间、办公楼、宿舍楼、门卫室、原料堆场、成品堆场等。</w:t>
            </w:r>
            <w:r>
              <w:rPr>
                <w:rFonts w:hint="default" w:ascii="Times New Roman" w:hAnsi="Times New Roman" w:cs="Times New Roman"/>
                <w:color w:val="000000" w:themeColor="text1"/>
                <w:highlight w:val="none"/>
                <w14:textFill>
                  <w14:solidFill>
                    <w14:schemeClr w14:val="tx1"/>
                  </w14:solidFill>
                </w14:textFill>
              </w:rPr>
              <w:t>本项目</w:t>
            </w:r>
            <w:r>
              <w:rPr>
                <w:rFonts w:hint="eastAsia" w:cs="Times New Roman"/>
                <w:color w:val="000000" w:themeColor="text1"/>
                <w:highlight w:val="none"/>
                <w:lang w:eastAsia="zh-CN"/>
                <w14:textFill>
                  <w14:solidFill>
                    <w14:schemeClr w14:val="tx1"/>
                  </w14:solidFill>
                </w14:textFill>
              </w:rPr>
              <w:t>在</w:t>
            </w:r>
            <w:r>
              <w:rPr>
                <w:rFonts w:hint="eastAsia" w:cs="Times New Roman"/>
                <w:color w:val="000000" w:themeColor="text1"/>
                <w:highlight w:val="none"/>
                <w:lang w:val="en-US" w:eastAsia="zh-CN"/>
                <w14:textFill>
                  <w14:solidFill>
                    <w14:schemeClr w14:val="tx1"/>
                  </w14:solidFill>
                </w14:textFill>
              </w:rPr>
              <w:t>1号生产车间生产加工，</w:t>
            </w:r>
            <w:r>
              <w:rPr>
                <w:rFonts w:hint="default" w:ascii="Times New Roman" w:hAnsi="Times New Roman" w:cs="Times New Roman"/>
                <w:color w:val="000000" w:themeColor="text1"/>
                <w:highlight w:val="none"/>
                <w:lang w:eastAsia="zh-CN"/>
                <w14:textFill>
                  <w14:solidFill>
                    <w14:schemeClr w14:val="tx1"/>
                  </w14:solidFill>
                </w14:textFill>
              </w:rPr>
              <w:t>车间位于厂区西南角，废弃物放置区位于厂区的东北角，办公楼位于厂区的东侧，宿舍楼位于办公楼背后，生产车间粉尘及噪声对临近企业的影响较小。</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highlight w:val="none"/>
                <w:vertAlign w:val="baseline"/>
                <w:lang w:val="en-US" w:eastAsia="zh-CN"/>
                <w14:textFill>
                  <w14:solidFill>
                    <w14:schemeClr w14:val="tx1"/>
                  </w14:solidFill>
                </w14:textFill>
              </w:rPr>
              <w:t>项目区</w:t>
            </w:r>
            <w:r>
              <w:rPr>
                <w:rFonts w:hint="default" w:ascii="Times New Roman" w:hAnsi="Times New Roman" w:cs="Times New Roman"/>
                <w:color w:val="000000" w:themeColor="text1"/>
                <w:highlight w:val="none"/>
                <w:vertAlign w:val="baseline"/>
                <w:lang w:val="en-US" w:eastAsia="zh-CN"/>
                <w14:textFill>
                  <w14:solidFill>
                    <w14:schemeClr w14:val="tx1"/>
                  </w14:solidFill>
                </w14:textFill>
              </w:rPr>
              <w:t>噪声较大的设备均位于生产车间内，运行期间对周围的影响较小。</w:t>
            </w:r>
          </w:p>
          <w:p>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color w:val="000000"/>
              </w:rPr>
            </w:pPr>
            <w:r>
              <w:rPr>
                <w:rFonts w:hint="default" w:ascii="Times New Roman" w:hAnsi="Times New Roman" w:cs="Times New Roman"/>
                <w:color w:val="000000" w:themeColor="text1"/>
                <w:highlight w:val="none"/>
                <w:lang w:eastAsia="zh-CN"/>
                <w14:textFill>
                  <w14:solidFill>
                    <w14:schemeClr w14:val="tx1"/>
                  </w14:solidFill>
                </w14:textFill>
              </w:rPr>
              <w:t>本项目</w:t>
            </w:r>
            <w:r>
              <w:rPr>
                <w:rFonts w:hint="eastAsia" w:ascii="Times New Roman" w:hAnsi="Times New Roman" w:cs="Times New Roman"/>
                <w:color w:val="000000" w:themeColor="text1"/>
                <w:highlight w:val="none"/>
                <w:lang w:eastAsia="zh-CN"/>
                <w14:textFill>
                  <w14:solidFill>
                    <w14:schemeClr w14:val="tx1"/>
                  </w14:solidFill>
                </w14:textFill>
              </w:rPr>
              <w:t>常年</w:t>
            </w:r>
            <w:r>
              <w:rPr>
                <w:rFonts w:hint="default" w:ascii="Times New Roman" w:hAnsi="Times New Roman" w:cs="Times New Roman"/>
                <w:color w:val="000000" w:themeColor="text1"/>
                <w:highlight w:val="none"/>
                <w:lang w:eastAsia="zh-CN"/>
                <w14:textFill>
                  <w14:solidFill>
                    <w14:schemeClr w14:val="tx1"/>
                  </w14:solidFill>
                </w14:textFill>
              </w:rPr>
              <w:t>主导风向是</w:t>
            </w:r>
            <w:r>
              <w:rPr>
                <w:rFonts w:hint="default" w:ascii="Times New Roman" w:hAnsi="Times New Roman" w:cs="Times New Roman"/>
                <w:color w:val="000000" w:themeColor="text1"/>
                <w:highlight w:val="none"/>
                <w:lang w:val="en-US" w:eastAsia="zh-CN"/>
                <w14:textFill>
                  <w14:solidFill>
                    <w14:schemeClr w14:val="tx1"/>
                  </w14:solidFill>
                </w14:textFill>
              </w:rPr>
              <w:t>西南</w:t>
            </w:r>
            <w:r>
              <w:rPr>
                <w:rFonts w:hint="default" w:ascii="Times New Roman" w:hAnsi="Times New Roman" w:cs="Times New Roman"/>
                <w:color w:val="000000" w:themeColor="text1"/>
                <w:highlight w:val="none"/>
                <w:lang w:eastAsia="zh-CN"/>
                <w14:textFill>
                  <w14:solidFill>
                    <w14:schemeClr w14:val="tx1"/>
                  </w14:solidFill>
                </w14:textFill>
              </w:rPr>
              <w:t>风，生活区位于主导风向的侧风向，污染物排放对生活区影响较小。项目平面布置充分考虑了生产需求，使生产过程中物料输送距离短，便于节能降耗、提高生产效率，兼顾了附近环境情况。从方便生产、安全管理、保护环境角度考虑，项目布局合理，满足企业有关标准规范要求。</w:t>
            </w:r>
            <w:r>
              <w:rPr>
                <w:rFonts w:hint="default" w:ascii="Times New Roman" w:hAnsi="Times New Roman" w:cs="Times New Roman"/>
                <w:color w:val="000000" w:themeColor="text1"/>
                <w:highlight w:val="none"/>
                <w14:textFill>
                  <w14:solidFill>
                    <w14:schemeClr w14:val="tx1"/>
                  </w14:solidFill>
                </w14:textFill>
              </w:rPr>
              <w:t>厂区平面布置图见附图</w:t>
            </w:r>
            <w:r>
              <w:rPr>
                <w:rFonts w:hint="default" w:ascii="Times New Roman" w:hAns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5"/>
              <w:adjustRightInd w:val="0"/>
              <w:snapToGrid w:val="0"/>
              <w:spacing w:before="0" w:beforeAutospacing="0" w:after="0" w:afterAutospacing="0"/>
              <w:ind w:firstLine="0" w:firstLineChars="0"/>
              <w:jc w:val="center"/>
              <w:rPr>
                <w:rFonts w:ascii="Times New Roman" w:hAnsi="Times New Roman" w:cs="宋体"/>
                <w:color w:val="000000"/>
                <w:sz w:val="21"/>
                <w:szCs w:val="21"/>
              </w:rPr>
            </w:pPr>
            <w:r>
              <w:rPr>
                <w:rFonts w:hint="eastAsia" w:ascii="Times New Roman" w:hAnsi="Times New Roman" w:cs="宋体"/>
                <w:color w:val="000000"/>
                <w:szCs w:val="21"/>
              </w:rPr>
              <w:t>工艺流程和产排污环节</w:t>
            </w:r>
          </w:p>
        </w:tc>
        <w:tc>
          <w:tcPr>
            <w:tcW w:w="8419" w:type="dxa"/>
            <w:tcBorders>
              <w:top w:val="single" w:color="000000" w:sz="8" w:space="0"/>
              <w:left w:val="single" w:color="000000" w:sz="8" w:space="0"/>
              <w:bottom w:val="single" w:color="000000" w:sz="8" w:space="0"/>
              <w:right w:val="single" w:color="000000" w:sz="8" w:space="0"/>
            </w:tcBorders>
            <w:shd w:val="clear" w:color="auto" w:fill="FFFFFF"/>
          </w:tcPr>
          <w:p>
            <w:pPr>
              <w:pStyle w:val="3"/>
              <w:keepNext/>
              <w:pageBreakBefore w:val="0"/>
              <w:widowControl w:val="0"/>
              <w:kinsoku/>
              <w:wordWrap/>
              <w:topLinePunct w:val="0"/>
              <w:autoSpaceDE/>
              <w:autoSpaceDN/>
              <w:bidi w:val="0"/>
              <w:adjustRightInd/>
              <w:snapToGrid w:val="0"/>
              <w:spacing w:before="0" w:after="0"/>
              <w:jc w:val="left"/>
              <w:textAlignment w:val="auto"/>
              <w:rPr>
                <w:color w:val="000000"/>
              </w:rPr>
            </w:pPr>
            <w:r>
              <w:rPr>
                <w:rFonts w:hint="eastAsia"/>
                <w:color w:val="000000"/>
              </w:rPr>
              <w:t>2.</w:t>
            </w:r>
            <w:r>
              <w:rPr>
                <w:rFonts w:hint="eastAsia"/>
                <w:color w:val="000000"/>
                <w:lang w:val="en-US" w:eastAsia="zh-CN"/>
              </w:rPr>
              <w:t>2</w:t>
            </w:r>
            <w:r>
              <w:rPr>
                <w:rFonts w:hint="eastAsia"/>
                <w:color w:val="000000"/>
              </w:rPr>
              <w:t>工艺流程和产排污环节</w:t>
            </w:r>
          </w:p>
          <w:p>
            <w:pPr>
              <w:pStyle w:val="4"/>
              <w:keepNext/>
              <w:pageBreakBefore w:val="0"/>
              <w:widowControl w:val="0"/>
              <w:kinsoku/>
              <w:wordWrap/>
              <w:topLinePunct w:val="0"/>
              <w:autoSpaceDE/>
              <w:autoSpaceDN/>
              <w:bidi w:val="0"/>
              <w:adjustRightInd/>
              <w:snapToGrid w:val="0"/>
              <w:spacing w:before="0" w:after="0"/>
              <w:jc w:val="left"/>
              <w:textAlignment w:val="auto"/>
              <w:rPr>
                <w:rFonts w:hint="default" w:eastAsia="宋体"/>
                <w:color w:val="000000"/>
                <w:highlight w:val="none"/>
                <w:lang w:val="en-US" w:eastAsia="zh-CN"/>
              </w:rPr>
            </w:pPr>
            <w:r>
              <w:rPr>
                <w:rFonts w:hint="eastAsia"/>
                <w:color w:val="000000"/>
                <w:highlight w:val="none"/>
                <w:lang w:val="en-US" w:eastAsia="zh-CN"/>
              </w:rPr>
              <w:t>2.2.1施工期工艺流程简述</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本项目厂房已建，施工期在1号车间内生产设备的安装及调试试机，主要以设备安装产生的噪声为主。</w:t>
            </w:r>
            <w:r>
              <w:rPr>
                <w:rFonts w:hint="eastAsia"/>
                <w:color w:val="000000" w:themeColor="text1"/>
                <w:lang w:eastAsia="zh-CN"/>
                <w14:textFill>
                  <w14:solidFill>
                    <w14:schemeClr w14:val="tx1"/>
                  </w14:solidFill>
                </w14:textFill>
              </w:rPr>
              <w:t>由于施工期简单且污染将随着施工期的结束而消失，因此，施工期对周围环境影响较小。</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color w:val="000000" w:themeColor="text1"/>
                <w:lang w:val="en-US" w:eastAsia="zh-CN"/>
                <w14:textFill>
                  <w14:solidFill>
                    <w14:schemeClr w14:val="tx1"/>
                  </w14:solidFill>
                </w14:textFill>
              </w:rPr>
            </w:pPr>
            <w:r>
              <w:drawing>
                <wp:inline distT="0" distB="0" distL="114300" distR="114300">
                  <wp:extent cx="5208270" cy="1560830"/>
                  <wp:effectExtent l="0" t="0" r="11430" b="127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5"/>
                          <a:stretch>
                            <a:fillRect/>
                          </a:stretch>
                        </pic:blipFill>
                        <pic:spPr>
                          <a:xfrm>
                            <a:off x="0" y="0"/>
                            <a:ext cx="5208270" cy="1560830"/>
                          </a:xfrm>
                          <a:prstGeom prst="rect">
                            <a:avLst/>
                          </a:prstGeom>
                          <a:noFill/>
                          <a:ln>
                            <a:noFill/>
                          </a:ln>
                        </pic:spPr>
                      </pic:pic>
                    </a:graphicData>
                  </a:graphic>
                </wp:inline>
              </w:drawing>
            </w:r>
          </w:p>
          <w:p>
            <w:pPr>
              <w:pStyle w:val="4"/>
              <w:keepNext/>
              <w:keepLines/>
              <w:pageBreakBefore w:val="0"/>
              <w:widowControl w:val="0"/>
              <w:kinsoku/>
              <w:wordWrap/>
              <w:overflowPunct/>
              <w:topLinePunct w:val="0"/>
              <w:autoSpaceDE/>
              <w:autoSpaceDN/>
              <w:bidi w:val="0"/>
              <w:adjustRightInd/>
              <w:snapToGrid w:val="0"/>
              <w:spacing w:before="0" w:after="0" w:line="360" w:lineRule="auto"/>
              <w:jc w:val="center"/>
              <w:textAlignment w:val="auto"/>
              <w:rPr>
                <w:rFonts w:hint="default" w:eastAsia="宋体"/>
                <w:b/>
                <w:bCs/>
                <w:color w:val="000000"/>
                <w:highlight w:val="none"/>
                <w:lang w:val="en-US" w:eastAsia="zh-CN"/>
              </w:rPr>
            </w:pPr>
            <w:r>
              <w:rPr>
                <w:rFonts w:hint="eastAsia"/>
                <w:b/>
                <w:bCs/>
                <w:color w:val="000000"/>
                <w:highlight w:val="none"/>
                <w:lang w:val="en-US" w:eastAsia="zh-CN"/>
              </w:rPr>
              <w:t xml:space="preserve">图10  </w:t>
            </w:r>
            <w:r>
              <w:rPr>
                <w:rFonts w:hint="eastAsia"/>
                <w:b/>
                <w:bCs/>
              </w:rPr>
              <w:t>施工期工艺流程及产污环节</w:t>
            </w:r>
          </w:p>
          <w:p>
            <w:pPr>
              <w:pStyle w:val="4"/>
              <w:keepNext/>
              <w:pageBreakBefore w:val="0"/>
              <w:widowControl w:val="0"/>
              <w:kinsoku/>
              <w:wordWrap/>
              <w:topLinePunct w:val="0"/>
              <w:autoSpaceDE/>
              <w:autoSpaceDN/>
              <w:bidi w:val="0"/>
              <w:adjustRightInd/>
              <w:snapToGrid w:val="0"/>
              <w:spacing w:before="0" w:after="0"/>
              <w:jc w:val="left"/>
              <w:textAlignment w:val="auto"/>
              <w:rPr>
                <w:rFonts w:hint="eastAsia"/>
                <w:color w:val="000000"/>
                <w:highlight w:val="none"/>
              </w:rPr>
            </w:pPr>
            <w:r>
              <w:rPr>
                <w:color w:val="000000"/>
                <w:highlight w:val="none"/>
              </w:rPr>
              <w:t>2.</w:t>
            </w:r>
            <w:r>
              <w:rPr>
                <w:rFonts w:hint="eastAsia"/>
                <w:color w:val="000000"/>
                <w:highlight w:val="none"/>
                <w:lang w:val="en-US" w:eastAsia="zh-CN"/>
              </w:rPr>
              <w:t>2</w:t>
            </w:r>
            <w:r>
              <w:rPr>
                <w:color w:val="000000"/>
                <w:highlight w:val="none"/>
              </w:rPr>
              <w:t>.</w:t>
            </w:r>
            <w:r>
              <w:rPr>
                <w:rFonts w:hint="eastAsia"/>
                <w:color w:val="000000"/>
                <w:highlight w:val="none"/>
                <w:lang w:val="en-US" w:eastAsia="zh-CN"/>
              </w:rPr>
              <w:t>2</w:t>
            </w:r>
            <w:r>
              <w:rPr>
                <w:rFonts w:hint="eastAsia"/>
                <w:color w:val="000000"/>
                <w:highlight w:val="none"/>
              </w:rPr>
              <w:t>运营期工艺流程简述</w:t>
            </w:r>
          </w:p>
          <w:p>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eastAsia="宋体"/>
                <w:color w:val="000000"/>
                <w:lang w:val="en-US" w:eastAsia="zh-CN"/>
              </w:rPr>
            </w:pPr>
            <w:r>
              <w:rPr>
                <w:rFonts w:hint="eastAsia"/>
                <w:color w:val="000000"/>
                <w:highlight w:val="none"/>
                <w:lang w:eastAsia="zh-CN"/>
              </w:rPr>
              <w:t>（</w:t>
            </w:r>
            <w:r>
              <w:rPr>
                <w:rFonts w:hint="eastAsia"/>
                <w:color w:val="000000"/>
                <w:highlight w:val="none"/>
                <w:lang w:val="en-US" w:eastAsia="zh-CN"/>
              </w:rPr>
              <w:t>1</w:t>
            </w:r>
            <w:r>
              <w:rPr>
                <w:rFonts w:hint="eastAsia"/>
                <w:color w:val="000000"/>
                <w:highlight w:val="none"/>
                <w:lang w:eastAsia="zh-CN"/>
              </w:rPr>
              <w:t>）聚氨酯封边岩棉夹芯板工艺流程及产污环节图</w:t>
            </w:r>
            <w:r>
              <w:rPr>
                <w:rFonts w:hint="eastAsia"/>
                <w:color w:val="000000"/>
                <w:highlight w:val="none"/>
                <w:lang w:val="en-US" w:eastAsia="zh-CN"/>
              </w:rPr>
              <w:t>11</w:t>
            </w:r>
          </w:p>
          <w:p>
            <w:pPr>
              <w:adjustRightInd w:val="0"/>
              <w:snapToGrid w:val="0"/>
              <w:ind w:firstLine="0" w:firstLineChars="0"/>
              <w:jc w:val="center"/>
              <w:rPr>
                <w:color w:val="000000"/>
              </w:rPr>
            </w:pPr>
            <w:r>
              <w:rPr>
                <w:color w:val="000000"/>
              </w:rPr>
              <w:drawing>
                <wp:inline distT="0" distB="0" distL="114300" distR="114300">
                  <wp:extent cx="4290060" cy="1203960"/>
                  <wp:effectExtent l="0" t="0" r="15240" b="152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4290060" cy="1203960"/>
                          </a:xfrm>
                          <a:prstGeom prst="rect">
                            <a:avLst/>
                          </a:prstGeom>
                          <a:noFill/>
                          <a:ln>
                            <a:noFill/>
                          </a:ln>
                        </pic:spPr>
                      </pic:pic>
                    </a:graphicData>
                  </a:graphic>
                </wp:inline>
              </w:drawing>
            </w:r>
          </w:p>
          <w:p>
            <w:pPr>
              <w:pStyle w:val="6"/>
              <w:keepNext w:val="0"/>
              <w:keepLines w:val="0"/>
              <w:pageBreakBefore w:val="0"/>
              <w:widowControl w:val="0"/>
              <w:kinsoku/>
              <w:wordWrap/>
              <w:overflowPunct/>
              <w:topLinePunct w:val="0"/>
              <w:autoSpaceDE/>
              <w:autoSpaceDN/>
              <w:bidi w:val="0"/>
              <w:adjustRightInd/>
              <w:snapToGrid w:val="0"/>
              <w:textAlignment w:val="auto"/>
              <w:rPr>
                <w:color w:val="000000"/>
              </w:rPr>
            </w:pPr>
            <w:r>
              <w:rPr>
                <w:rFonts w:hint="eastAsia"/>
                <w:color w:val="000000"/>
              </w:rPr>
              <w:t>图</w:t>
            </w:r>
            <w:r>
              <w:rPr>
                <w:rFonts w:hint="eastAsia"/>
                <w:color w:val="000000"/>
                <w:lang w:val="en-US" w:eastAsia="zh-CN"/>
              </w:rPr>
              <w:t>11</w:t>
            </w:r>
            <w:r>
              <w:rPr>
                <w:rFonts w:hint="eastAsia"/>
                <w:color w:val="000000"/>
              </w:rPr>
              <w:t xml:space="preserve">  </w:t>
            </w:r>
            <w:r>
              <w:rPr>
                <w:rFonts w:hint="eastAsia"/>
                <w:color w:val="000000"/>
                <w:lang w:eastAsia="zh-CN"/>
              </w:rPr>
              <w:t>聚氨酯封边岩棉夹芯板</w:t>
            </w:r>
            <w:r>
              <w:rPr>
                <w:rFonts w:hint="eastAsia"/>
                <w:color w:val="000000"/>
              </w:rPr>
              <w:t>工艺流程及产污环节</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eastAsia="zh-CN"/>
                <w14:textFill>
                  <w14:solidFill>
                    <w14:schemeClr w14:val="tx1"/>
                  </w14:solidFill>
                </w14:textFill>
              </w:rPr>
              <w:t>工艺流程简述：</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①彩卷压型/岩棉分条：将彩卷通过压型机压紧压平处理，保证表面的平整；将岩棉按照规格分成不同长度和规格的岩棉条，为后续加工做准备；</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②喷胶：喷胶区的上下喷胶装置以往复方式进行喷胶作业，通过输送辊道将喷好胶水的金属板材料、芯材同步输送到双履带中压紧复合成一体，此过程产生有机废气。</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③岩棉夹芯：将岩棉条送至彩钢板中进行压制入模，对岩棉表层喷胶，使其与钢板之间粘结。</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④固化成型：喷胶和发泡后的产品进入双履带复合机进行连续固化（约60℃），由双履带复合机通电自加热方式供热，以保证板材密实、粘结牢固，固化时间约6分钟，连续固化过程产生少量有机废气；</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default"/>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⑤压型成型：双履带能使板材在复合过程中固化时间加长，传送更稳固定，从而确保了板材平整度及粘结强度；</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⑥切割：将夹芯板用剪裁机切割成一定规格的产品，此过程会产生边角料及切割粉尘；</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⑦晾板：将切割后的产品自然凉放至室温；</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⑧成品入库：</w:t>
            </w:r>
            <w:r>
              <w:rPr>
                <w:rFonts w:hint="eastAsia"/>
                <w:color w:val="000000" w:themeColor="text1"/>
                <w:lang w:val="en-US" w:eastAsia="zh-CN"/>
                <w14:textFill>
                  <w14:solidFill>
                    <w14:schemeClr w14:val="tx1"/>
                  </w14:solidFill>
                </w14:textFill>
              </w:rPr>
              <w:t>经检验合格后的产品即可进入库房待售。</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default"/>
                <w:bCs/>
                <w:color w:val="000000"/>
                <w:szCs w:val="21"/>
                <w:lang w:val="en-US" w:eastAsia="zh-CN"/>
              </w:rPr>
            </w:pPr>
            <w:r>
              <w:rPr>
                <w:rFonts w:hint="eastAsia"/>
                <w:bCs/>
                <w:color w:val="000000"/>
                <w:szCs w:val="21"/>
                <w:lang w:val="en-US" w:eastAsia="zh-CN"/>
              </w:rPr>
              <w:t>（2）聚氨酯封边玻璃丝绵夹芯板工艺流程及产污环节图12</w:t>
            </w:r>
          </w:p>
          <w:p>
            <w:pPr>
              <w:keepNext w:val="0"/>
              <w:keepLines w:val="0"/>
              <w:pageBreakBefore w:val="0"/>
              <w:widowControl w:val="0"/>
              <w:kinsoku/>
              <w:wordWrap/>
              <w:overflowPunct/>
              <w:topLinePunct w:val="0"/>
              <w:autoSpaceDE/>
              <w:autoSpaceDN/>
              <w:bidi w:val="0"/>
              <w:adjustRightInd/>
              <w:snapToGrid w:val="0"/>
              <w:ind w:firstLine="480"/>
              <w:jc w:val="both"/>
              <w:textAlignment w:val="auto"/>
              <w:rPr>
                <w:rFonts w:hint="eastAsia"/>
                <w:bCs/>
                <w:color w:val="000000"/>
                <w:szCs w:val="21"/>
                <w:lang w:val="en-US" w:eastAsia="zh-CN"/>
              </w:rPr>
            </w:pPr>
            <w:r>
              <w:rPr>
                <w:color w:val="000000"/>
              </w:rPr>
              <w:drawing>
                <wp:inline distT="0" distB="0" distL="114300" distR="114300">
                  <wp:extent cx="4822825" cy="1913255"/>
                  <wp:effectExtent l="0" t="0" r="15875" b="1079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7"/>
                          <a:stretch>
                            <a:fillRect/>
                          </a:stretch>
                        </pic:blipFill>
                        <pic:spPr>
                          <a:xfrm>
                            <a:off x="0" y="0"/>
                            <a:ext cx="4822825" cy="19132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ind w:firstLine="480"/>
              <w:jc w:val="center"/>
              <w:textAlignment w:val="auto"/>
              <w:rPr>
                <w:rFonts w:hint="eastAsia" w:eastAsia="宋体"/>
                <w:bCs/>
                <w:color w:val="000000"/>
                <w:szCs w:val="21"/>
                <w:lang w:val="en-US" w:eastAsia="zh-CN"/>
              </w:rPr>
            </w:pPr>
            <w:r>
              <w:rPr>
                <w:rFonts w:hint="default" w:ascii="Times New Roman" w:hAnsi="Times New Roman" w:cs="Times New Roman"/>
                <w:b/>
                <w:bCs w:val="0"/>
                <w:color w:val="000000"/>
                <w:szCs w:val="21"/>
                <w:lang w:val="en-US" w:eastAsia="zh-CN"/>
              </w:rPr>
              <w:t>图1</w:t>
            </w:r>
            <w:r>
              <w:rPr>
                <w:rFonts w:hint="eastAsia" w:cs="Times New Roman"/>
                <w:b/>
                <w:bCs w:val="0"/>
                <w:color w:val="000000"/>
                <w:szCs w:val="21"/>
                <w:lang w:val="en-US" w:eastAsia="zh-CN"/>
              </w:rPr>
              <w:t>2</w:t>
            </w:r>
            <w:r>
              <w:rPr>
                <w:rFonts w:hint="default" w:ascii="Times New Roman" w:hAnsi="Times New Roman" w:cs="Times New Roman"/>
                <w:b/>
                <w:bCs w:val="0"/>
                <w:color w:val="000000"/>
                <w:szCs w:val="21"/>
                <w:lang w:val="en-US" w:eastAsia="zh-CN"/>
              </w:rPr>
              <w:t xml:space="preserve">  </w:t>
            </w:r>
            <w:r>
              <w:rPr>
                <w:rFonts w:hint="default" w:ascii="Times New Roman" w:hAnsi="Times New Roman" w:cs="Times New Roman"/>
                <w:b/>
                <w:bCs w:val="0"/>
                <w:color w:val="000000"/>
                <w:lang w:eastAsia="zh-CN"/>
              </w:rPr>
              <w:t>聚氨酯封边玻璃丝绵夹芯板</w:t>
            </w:r>
            <w:r>
              <w:rPr>
                <w:rFonts w:hint="default" w:ascii="Times New Roman" w:hAnsi="Times New Roman" w:cs="Times New Roman"/>
                <w:b/>
                <w:bCs w:val="0"/>
                <w:color w:val="000000"/>
              </w:rPr>
              <w:t>工艺流程及产污环节</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工艺流程简述：</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①彩卷压型：将彩卷放卷，并检查板材是否平整，涂层是否有破损划伤；</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②岩棉分条：将岩棉按照规格分成不同长度和规格的岩棉条，为后续加工做准备，此过程会产生少量的有机废气；</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③玻璃丝绵夹芯：将玻璃丝绵条送至彩钢板中进行压制入模，对玻璃丝绵表层喷胶，使其与钢板之间粘结。</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default"/>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④固化成型：喷胶和发泡后的产品进入双履带复合机进行连续固化（约60℃），由双履带复合机通电自加热方式供热，以保证板材密实、粘结牢固，固化时间约6分钟，连续固化过程产生少量有机废气；</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default"/>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⑤压型成型：双履带能使板材在复合过程中固化时间加长，传送更稳固定，从而确保了板材平整度及粘结强度；</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⑥切割：根据工艺要求，将固化后的产品进行切割，此过程会产生板边角料及切割粉尘；</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⑦晾板：将切割后的产品自然凉放至室温；</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⑧成品入库：</w:t>
            </w:r>
            <w:r>
              <w:rPr>
                <w:rFonts w:hint="eastAsia"/>
                <w:color w:val="000000" w:themeColor="text1"/>
                <w:lang w:val="en-US" w:eastAsia="zh-CN"/>
                <w14:textFill>
                  <w14:solidFill>
                    <w14:schemeClr w14:val="tx1"/>
                  </w14:solidFill>
                </w14:textFill>
              </w:rPr>
              <w:t>经检验合格后的产品即可进入库房待售。</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default"/>
                <w:bCs/>
                <w:color w:val="000000"/>
                <w:szCs w:val="21"/>
                <w:lang w:val="en-US" w:eastAsia="zh-CN"/>
              </w:rPr>
            </w:pPr>
            <w:r>
              <w:rPr>
                <w:rFonts w:hint="eastAsia"/>
                <w:bCs/>
                <w:color w:val="000000"/>
                <w:szCs w:val="21"/>
                <w:lang w:val="en-US" w:eastAsia="zh-CN"/>
              </w:rPr>
              <w:t>（3）聚氨酯板工艺流程及产污环节图13</w:t>
            </w:r>
          </w:p>
          <w:p>
            <w:pPr>
              <w:keepNext w:val="0"/>
              <w:keepLines w:val="0"/>
              <w:pageBreakBefore w:val="0"/>
              <w:widowControl w:val="0"/>
              <w:kinsoku/>
              <w:wordWrap/>
              <w:overflowPunct/>
              <w:topLinePunct w:val="0"/>
              <w:autoSpaceDE/>
              <w:autoSpaceDN/>
              <w:bidi w:val="0"/>
              <w:adjustRightInd/>
              <w:snapToGrid w:val="0"/>
              <w:ind w:firstLine="480"/>
              <w:jc w:val="center"/>
              <w:textAlignment w:val="auto"/>
              <w:rPr>
                <w:color w:val="000000"/>
              </w:rPr>
            </w:pPr>
            <w:r>
              <w:rPr>
                <w:color w:val="000000"/>
              </w:rPr>
              <w:drawing>
                <wp:inline distT="0" distB="0" distL="114300" distR="114300">
                  <wp:extent cx="4822825" cy="1913255"/>
                  <wp:effectExtent l="0" t="0" r="15875" b="10795"/>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7"/>
                          <a:stretch>
                            <a:fillRect/>
                          </a:stretch>
                        </pic:blipFill>
                        <pic:spPr>
                          <a:xfrm>
                            <a:off x="0" y="0"/>
                            <a:ext cx="4822825" cy="19132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ind w:firstLine="480"/>
              <w:jc w:val="center"/>
              <w:textAlignment w:val="auto"/>
              <w:rPr>
                <w:rFonts w:hint="default" w:eastAsia="宋体"/>
                <w:color w:val="000000" w:themeColor="text1"/>
                <w:lang w:val="en-US" w:eastAsia="zh-CN"/>
                <w14:textFill>
                  <w14:solidFill>
                    <w14:schemeClr w14:val="tx1"/>
                  </w14:solidFill>
                </w14:textFill>
              </w:rPr>
            </w:pPr>
            <w:r>
              <w:rPr>
                <w:rFonts w:hint="eastAsia"/>
                <w:b/>
                <w:bCs/>
                <w:color w:val="000000" w:themeColor="text1"/>
                <w:lang w:eastAsia="zh-CN"/>
                <w14:textFill>
                  <w14:solidFill>
                    <w14:schemeClr w14:val="tx1"/>
                  </w14:solidFill>
                </w14:textFill>
              </w:rPr>
              <w:t>图</w:t>
            </w:r>
            <w:r>
              <w:rPr>
                <w:rFonts w:hint="eastAsia"/>
                <w:b/>
                <w:bCs/>
                <w:color w:val="000000" w:themeColor="text1"/>
                <w:lang w:val="en-US" w:eastAsia="zh-CN"/>
                <w14:textFill>
                  <w14:solidFill>
                    <w14:schemeClr w14:val="tx1"/>
                  </w14:solidFill>
                </w14:textFill>
              </w:rPr>
              <w:t xml:space="preserve">13  </w:t>
            </w:r>
            <w:r>
              <w:rPr>
                <w:rFonts w:hint="eastAsia"/>
                <w:b/>
                <w:bCs/>
                <w:color w:val="000000" w:themeColor="text1"/>
                <w:szCs w:val="21"/>
                <w:lang w:val="en-US" w:eastAsia="zh-CN"/>
                <w14:textFill>
                  <w14:solidFill>
                    <w14:schemeClr w14:val="tx1"/>
                  </w14:solidFill>
                </w14:textFill>
              </w:rPr>
              <w:t>聚氨酯板工艺流程及产污环节</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工艺流程简述：</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①彩卷压型：将彩卷放卷，并检查板材是否平整，涂层是否有破损划伤；</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②岩棉分条：将岩棉按照规格分成不同长度和规格的岩棉条，为后续加工做准备，此过程会产生少量的有机废气；</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③聚氨酯封边：夹芯板咬口两侧聚氨酯侧封有效的解决了板材整体强度，同时安装插接口安装稳固，提高墙面整体平整效果；</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default"/>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④固化成型：喷胶和发泡后的产品进入双履带复合机进行连续固化（约60℃），由双履带复合机通电自加热方式供热，以保证板材密实、粘结牢固，固化时间约6分钟，连续固化过程产生少量有机废气；</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default"/>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⑤压型成型：双履带能使板材在复合过程中固化时间加长，传送更稳固定，从而确保了板材平整度及粘结强度；</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⑥切割：根据工艺要求，将固化后的产品进行切割，此过程会产生边角料及切割粉尘；</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⑦晾板：将切割后的产品自然凉放至室温；</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⑧码垛包装：检验成品是否缺料、划伤、变形，不合格的产品收集后进行修补，合格产品包装外售。</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2.</w:t>
            </w:r>
            <w:r>
              <w:rPr>
                <w:rFonts w:hint="eastAsia" w:cs="Times New Roman"/>
                <w:b/>
                <w:bCs w:val="0"/>
                <w:color w:val="000000"/>
                <w:szCs w:val="21"/>
                <w:highlight w:val="none"/>
                <w:lang w:val="en-US" w:eastAsia="zh-CN"/>
              </w:rPr>
              <w:t>2</w:t>
            </w:r>
            <w:r>
              <w:rPr>
                <w:rFonts w:hint="default" w:ascii="Times New Roman" w:hAnsi="Times New Roman" w:cs="Times New Roman"/>
                <w:b/>
                <w:bCs w:val="0"/>
                <w:color w:val="000000"/>
                <w:szCs w:val="21"/>
                <w:highlight w:val="none"/>
                <w:lang w:val="en-US" w:eastAsia="zh-CN"/>
              </w:rPr>
              <w:t>.3运营期产污工序及污染物分析</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szCs w:val="21"/>
                <w:lang w:val="en-US" w:eastAsia="zh-CN"/>
              </w:rPr>
            </w:pPr>
            <w:r>
              <w:rPr>
                <w:rFonts w:hint="eastAsia"/>
                <w:bCs/>
                <w:color w:val="000000"/>
                <w:szCs w:val="21"/>
                <w:lang w:val="en-US" w:eastAsia="zh-CN"/>
              </w:rPr>
              <w:t>①废气</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szCs w:val="21"/>
                <w:lang w:val="en-US" w:eastAsia="zh-CN"/>
              </w:rPr>
            </w:pPr>
            <w:r>
              <w:rPr>
                <w:rFonts w:hint="eastAsia"/>
                <w:bCs/>
                <w:color w:val="000000"/>
                <w:szCs w:val="21"/>
                <w:lang w:val="en-US" w:eastAsia="zh-CN"/>
              </w:rPr>
              <w:t>主要是聚氨酯封边、喷胶、发泡、连续固化过程中产生的少量有机废气，以VOCs计，板材修整、切割过程产生少量的粉尘。</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szCs w:val="21"/>
                <w:lang w:val="en-US" w:eastAsia="zh-CN"/>
              </w:rPr>
            </w:pPr>
            <w:r>
              <w:rPr>
                <w:rFonts w:hint="eastAsia"/>
                <w:bCs/>
                <w:color w:val="000000"/>
                <w:szCs w:val="21"/>
                <w:lang w:val="en-US" w:eastAsia="zh-CN"/>
              </w:rPr>
              <w:t>②废水</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szCs w:val="21"/>
                <w:lang w:val="en-US" w:eastAsia="zh-CN"/>
              </w:rPr>
            </w:pPr>
            <w:r>
              <w:rPr>
                <w:rFonts w:hint="eastAsia"/>
                <w:bCs/>
                <w:color w:val="000000"/>
                <w:szCs w:val="21"/>
                <w:lang w:val="en-US" w:eastAsia="zh-CN"/>
              </w:rPr>
              <w:t>本项目生产过程中使用的原料均为固体，工艺过程无生产工艺废水排放；生产设备只进行擦拭维护，不进行清洗，车间地面清洁采用洒扫方式，不进行地面冲洗，故不产生车间清洁废水。营运期项目废水主要为员工办公生活污水。</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szCs w:val="21"/>
                <w:lang w:val="en-US" w:eastAsia="zh-CN"/>
              </w:rPr>
            </w:pPr>
            <w:r>
              <w:rPr>
                <w:rFonts w:hint="eastAsia"/>
                <w:bCs/>
                <w:color w:val="000000"/>
                <w:szCs w:val="21"/>
                <w:lang w:val="en-US" w:eastAsia="zh-CN"/>
              </w:rPr>
              <w:t>③噪声</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szCs w:val="21"/>
                <w:lang w:val="en-US" w:eastAsia="zh-CN"/>
              </w:rPr>
            </w:pPr>
            <w:r>
              <w:rPr>
                <w:rFonts w:hint="eastAsia"/>
                <w:bCs/>
                <w:color w:val="000000"/>
                <w:szCs w:val="21"/>
                <w:lang w:val="en-US" w:eastAsia="zh-CN"/>
              </w:rPr>
              <w:t>本项目噪声源主要来自厂房内开卷机、压型机、履带复合机、切割机等各种机械设备运行噪声。此外，还有工件装卸噪声、车辆运输噪声等，其源强约70~90dB（A）。</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szCs w:val="21"/>
                <w:lang w:val="en-US" w:eastAsia="zh-CN"/>
              </w:rPr>
            </w:pPr>
            <w:r>
              <w:rPr>
                <w:rFonts w:hint="eastAsia"/>
                <w:bCs/>
                <w:color w:val="000000"/>
                <w:szCs w:val="21"/>
                <w:lang w:val="en-US" w:eastAsia="zh-CN"/>
              </w:rPr>
              <w:t>④固体废物</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bCs/>
                <w:color w:val="000000"/>
                <w:szCs w:val="21"/>
                <w:lang w:val="en-US" w:eastAsia="zh-CN"/>
              </w:rPr>
            </w:pPr>
            <w:r>
              <w:rPr>
                <w:rFonts w:hint="eastAsia"/>
                <w:bCs/>
                <w:color w:val="000000"/>
                <w:szCs w:val="21"/>
                <w:lang w:val="en-US" w:eastAsia="zh-CN"/>
              </w:rPr>
              <w:t>主要生产加工过程中产生的废弃金属边角料、废芯材边角料/收尘、有机废气处理产生的废活性炭、废弃黑白胶包装桶、维修和擦拭设备产生的废矿物油及包装桶、废包装材料等，以及员工办公生活垃圾等。</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center"/>
              <w:textAlignment w:val="auto"/>
              <w:rPr>
                <w:rFonts w:hint="eastAsia"/>
                <w:bCs/>
                <w:color w:val="000000"/>
                <w:szCs w:val="21"/>
                <w:lang w:val="en-US" w:eastAsia="zh-CN"/>
              </w:rPr>
            </w:pPr>
            <w:r>
              <w:rPr>
                <w:rFonts w:hint="default" w:ascii="Times New Roman" w:hAnsi="Times New Roman" w:cs="Times New Roman"/>
                <w:b/>
                <w:bCs w:val="0"/>
                <w:color w:val="000000"/>
                <w:sz w:val="21"/>
                <w:szCs w:val="21"/>
                <w:lang w:val="en-US" w:eastAsia="zh-CN"/>
              </w:rPr>
              <w:t>表</w:t>
            </w:r>
            <w:r>
              <w:rPr>
                <w:rFonts w:hint="eastAsia" w:cs="Times New Roman"/>
                <w:b/>
                <w:bCs w:val="0"/>
                <w:color w:val="000000"/>
                <w:sz w:val="21"/>
                <w:szCs w:val="21"/>
                <w:lang w:val="en-US" w:eastAsia="zh-CN"/>
              </w:rPr>
              <w:t>10</w:t>
            </w:r>
            <w:r>
              <w:rPr>
                <w:rFonts w:hint="default" w:ascii="Times New Roman" w:hAnsi="Times New Roman" w:cs="Times New Roman"/>
                <w:b/>
                <w:bCs w:val="0"/>
                <w:color w:val="000000"/>
                <w:sz w:val="21"/>
                <w:szCs w:val="21"/>
                <w:lang w:val="en-US" w:eastAsia="zh-CN"/>
              </w:rPr>
              <w:t xml:space="preserve">  项目营运期主要污染工序及污染物分析一览表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657"/>
              <w:gridCol w:w="1576"/>
              <w:gridCol w:w="2105"/>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类别</w:t>
                  </w:r>
                </w:p>
              </w:tc>
              <w:tc>
                <w:tcPr>
                  <w:tcW w:w="4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编号</w:t>
                  </w:r>
                </w:p>
              </w:tc>
              <w:tc>
                <w:tcPr>
                  <w:tcW w:w="96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污染工序</w:t>
                  </w:r>
                </w:p>
              </w:tc>
              <w:tc>
                <w:tcPr>
                  <w:tcW w:w="128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主要污染物</w:t>
                  </w:r>
                </w:p>
              </w:tc>
              <w:tc>
                <w:tcPr>
                  <w:tcW w:w="194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废气</w:t>
                  </w:r>
                </w:p>
              </w:tc>
              <w:tc>
                <w:tcPr>
                  <w:tcW w:w="4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1</w:t>
                  </w:r>
                </w:p>
              </w:tc>
              <w:tc>
                <w:tcPr>
                  <w:tcW w:w="96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聚氨酯封边、</w:t>
                  </w:r>
                  <w:r>
                    <w:rPr>
                      <w:rFonts w:hint="default" w:ascii="Times New Roman" w:hAnsi="Times New Roman" w:cs="Times New Roman" w:eastAsiaTheme="minorEastAsia"/>
                      <w:bCs/>
                      <w:color w:val="000000"/>
                      <w:sz w:val="21"/>
                      <w:szCs w:val="21"/>
                      <w:vertAlign w:val="baseline"/>
                      <w:lang w:val="en-US" w:eastAsia="zh-CN"/>
                    </w:rPr>
                    <w:t>喷胶、发泡、固化</w:t>
                  </w:r>
                </w:p>
              </w:tc>
              <w:tc>
                <w:tcPr>
                  <w:tcW w:w="128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VOCs</w:t>
                  </w:r>
                </w:p>
              </w:tc>
              <w:tc>
                <w:tcPr>
                  <w:tcW w:w="194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工位上方集气罩、汇集管道，废气经集气装置收集后</w:t>
                  </w:r>
                  <w:r>
                    <w:rPr>
                      <w:rFonts w:hint="eastAsia" w:cs="Times New Roman" w:eastAsiaTheme="minorEastAsia"/>
                      <w:bCs/>
                      <w:color w:val="000000"/>
                      <w:sz w:val="21"/>
                      <w:szCs w:val="21"/>
                      <w:vertAlign w:val="baseline"/>
                      <w:lang w:val="en-US" w:eastAsia="zh-CN"/>
                    </w:rPr>
                    <w:t>，经UV光氧+</w:t>
                  </w:r>
                  <w:r>
                    <w:rPr>
                      <w:rFonts w:hint="default" w:ascii="Times New Roman" w:hAnsi="Times New Roman" w:cs="Times New Roman" w:eastAsiaTheme="minorEastAsia"/>
                      <w:bCs/>
                      <w:color w:val="000000"/>
                      <w:sz w:val="21"/>
                      <w:szCs w:val="21"/>
                      <w:vertAlign w:val="baseline"/>
                      <w:lang w:val="en-US" w:eastAsia="zh-CN"/>
                    </w:rPr>
                    <w:t>活性炭吸附装置处理，尾气通过15m高排气筒</w:t>
                  </w:r>
                  <w:r>
                    <w:rPr>
                      <w:rFonts w:hint="eastAsia" w:ascii="Times New Roman" w:hAnsi="Times New Roman" w:cs="Times New Roman" w:eastAsiaTheme="minorEastAsia"/>
                      <w:bCs/>
                      <w:color w:val="000000"/>
                      <w:sz w:val="21"/>
                      <w:szCs w:val="21"/>
                      <w:vertAlign w:val="baseline"/>
                      <w:lang w:val="en-US" w:eastAsia="zh-CN"/>
                    </w:rPr>
                    <w:t>高空</w:t>
                  </w:r>
                  <w:r>
                    <w:rPr>
                      <w:rFonts w:hint="default" w:ascii="Times New Roman" w:hAnsi="Times New Roman" w:cs="Times New Roman" w:eastAsiaTheme="minorEastAsia"/>
                      <w:bCs/>
                      <w:color w:val="000000"/>
                      <w:sz w:val="21"/>
                      <w:szCs w:val="21"/>
                      <w:vertAlign w:val="baseline"/>
                      <w:lang w:val="en-US" w:eastAsia="zh-CN"/>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405"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p>
              </w:tc>
              <w:tc>
                <w:tcPr>
                  <w:tcW w:w="4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2</w:t>
                  </w:r>
                </w:p>
              </w:tc>
              <w:tc>
                <w:tcPr>
                  <w:tcW w:w="96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切割</w:t>
                  </w:r>
                </w:p>
              </w:tc>
              <w:tc>
                <w:tcPr>
                  <w:tcW w:w="128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颗粒物</w:t>
                  </w:r>
                </w:p>
              </w:tc>
              <w:tc>
                <w:tcPr>
                  <w:tcW w:w="194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产品成型后的切割工序配套除尘风道和布袋除尘装置收集，经布袋除尘装置净化后的尾气在车间通过15m的排气筒高空排放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废水</w:t>
                  </w:r>
                </w:p>
              </w:tc>
              <w:tc>
                <w:tcPr>
                  <w:tcW w:w="4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1</w:t>
                  </w:r>
                </w:p>
              </w:tc>
              <w:tc>
                <w:tcPr>
                  <w:tcW w:w="96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生活污水</w:t>
                  </w:r>
                </w:p>
              </w:tc>
              <w:tc>
                <w:tcPr>
                  <w:tcW w:w="128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COD</w:t>
                  </w:r>
                  <w:r>
                    <w:rPr>
                      <w:rFonts w:hint="default" w:ascii="Times New Roman" w:hAnsi="Times New Roman" w:cs="Times New Roman" w:eastAsiaTheme="minorEastAsia"/>
                      <w:bCs/>
                      <w:color w:val="000000"/>
                      <w:sz w:val="21"/>
                      <w:szCs w:val="21"/>
                      <w:vertAlign w:val="subscript"/>
                      <w:lang w:val="en-US" w:eastAsia="zh-CN"/>
                    </w:rPr>
                    <w:t>cr</w:t>
                  </w:r>
                  <w:r>
                    <w:rPr>
                      <w:rFonts w:hint="default" w:ascii="Times New Roman" w:hAnsi="Times New Roman" w:cs="Times New Roman" w:eastAsiaTheme="minorEastAsia"/>
                      <w:bCs/>
                      <w:color w:val="000000"/>
                      <w:sz w:val="21"/>
                      <w:szCs w:val="21"/>
                      <w:vertAlign w:val="baseline"/>
                      <w:lang w:val="en-US" w:eastAsia="zh-CN"/>
                    </w:rPr>
                    <w:t>、BOD</w:t>
                  </w:r>
                  <w:r>
                    <w:rPr>
                      <w:rFonts w:hint="default" w:ascii="Times New Roman" w:hAnsi="Times New Roman" w:cs="Times New Roman" w:eastAsiaTheme="minorEastAsia"/>
                      <w:bCs/>
                      <w:color w:val="000000"/>
                      <w:sz w:val="21"/>
                      <w:szCs w:val="21"/>
                      <w:vertAlign w:val="subscript"/>
                      <w:lang w:val="en-US" w:eastAsia="zh-CN"/>
                    </w:rPr>
                    <w:t>5</w:t>
                  </w:r>
                  <w:r>
                    <w:rPr>
                      <w:rFonts w:hint="default" w:ascii="Times New Roman" w:hAnsi="Times New Roman" w:cs="Times New Roman" w:eastAsiaTheme="minorEastAsia"/>
                      <w:bCs/>
                      <w:color w:val="000000"/>
                      <w:sz w:val="21"/>
                      <w:szCs w:val="21"/>
                      <w:vertAlign w:val="baseline"/>
                      <w:lang w:val="en-US" w:eastAsia="zh-CN"/>
                    </w:rPr>
                    <w:t>、</w:t>
                  </w:r>
                  <w:r>
                    <w:rPr>
                      <w:rFonts w:hint="eastAsia" w:cs="Times New Roman" w:eastAsiaTheme="minorEastAsia"/>
                      <w:bCs/>
                      <w:color w:val="000000"/>
                      <w:sz w:val="21"/>
                      <w:szCs w:val="21"/>
                      <w:vertAlign w:val="baseline"/>
                      <w:lang w:val="en-US" w:eastAsia="zh-CN"/>
                    </w:rPr>
                    <w:t>SS、</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NH</w:t>
                  </w:r>
                  <w:r>
                    <w:rPr>
                      <w:rFonts w:hint="eastAsia" w:cs="Times New Roman" w:eastAsiaTheme="minorEastAsia"/>
                      <w:bCs/>
                      <w:color w:val="000000"/>
                      <w:sz w:val="21"/>
                      <w:szCs w:val="21"/>
                      <w:vertAlign w:val="subscript"/>
                      <w:lang w:val="en-US" w:eastAsia="zh-CN"/>
                    </w:rPr>
                    <w:t>3</w:t>
                  </w:r>
                  <w:r>
                    <w:rPr>
                      <w:rFonts w:hint="eastAsia" w:cs="Times New Roman" w:eastAsiaTheme="minorEastAsia"/>
                      <w:bCs/>
                      <w:color w:val="000000"/>
                      <w:sz w:val="21"/>
                      <w:szCs w:val="21"/>
                      <w:vertAlign w:val="baseline"/>
                      <w:lang w:val="en-US" w:eastAsia="zh-CN"/>
                    </w:rPr>
                    <w:t>-N</w:t>
                  </w:r>
                </w:p>
              </w:tc>
              <w:tc>
                <w:tcPr>
                  <w:tcW w:w="194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排入园区管网，最终排入昌吉高新区</w:t>
                  </w:r>
                  <w:r>
                    <w:rPr>
                      <w:rFonts w:hint="default" w:ascii="Times New Roman" w:hAnsi="Times New Roman" w:cs="Times New Roman" w:eastAsiaTheme="minorEastAsia"/>
                      <w:bCs/>
                      <w:color w:val="000000"/>
                      <w:sz w:val="21"/>
                      <w:szCs w:val="21"/>
                      <w:vertAlign w:val="baseline"/>
                      <w:lang w:val="en-US" w:eastAsia="zh-CN"/>
                    </w:rPr>
                    <w:t>污水管网统一处理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噪声</w:t>
                  </w:r>
                </w:p>
              </w:tc>
              <w:tc>
                <w:tcPr>
                  <w:tcW w:w="4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1</w:t>
                  </w:r>
                </w:p>
              </w:tc>
              <w:tc>
                <w:tcPr>
                  <w:tcW w:w="96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设备运行</w:t>
                  </w:r>
                </w:p>
              </w:tc>
              <w:tc>
                <w:tcPr>
                  <w:tcW w:w="128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噪声</w:t>
                  </w:r>
                </w:p>
              </w:tc>
              <w:tc>
                <w:tcPr>
                  <w:tcW w:w="194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选用低噪声设备并加强维护，设备基础减振、生产车间隔声，加强操作管理等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固体废物</w:t>
                  </w:r>
                </w:p>
              </w:tc>
              <w:tc>
                <w:tcPr>
                  <w:tcW w:w="4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1</w:t>
                  </w:r>
                </w:p>
              </w:tc>
              <w:tc>
                <w:tcPr>
                  <w:tcW w:w="96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成型</w:t>
                  </w:r>
                </w:p>
              </w:tc>
              <w:tc>
                <w:tcPr>
                  <w:tcW w:w="128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废金属边角料</w:t>
                  </w:r>
                </w:p>
              </w:tc>
              <w:tc>
                <w:tcPr>
                  <w:tcW w:w="1946"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ascii="Times New Roman" w:hAnsi="Times New Roman" w:cs="Times New Roman" w:eastAsiaTheme="minorEastAsia"/>
                      <w:bCs/>
                      <w:color w:val="000000"/>
                      <w:sz w:val="21"/>
                      <w:szCs w:val="21"/>
                      <w:vertAlign w:val="baseline"/>
                      <w:lang w:val="en-US" w:eastAsia="zh-CN"/>
                    </w:rPr>
                    <w:t>统一收集外售，综合利用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p>
              </w:tc>
              <w:tc>
                <w:tcPr>
                  <w:tcW w:w="4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2</w:t>
                  </w:r>
                </w:p>
              </w:tc>
              <w:tc>
                <w:tcPr>
                  <w:tcW w:w="96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切割</w:t>
                  </w:r>
                </w:p>
              </w:tc>
              <w:tc>
                <w:tcPr>
                  <w:tcW w:w="128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废芯材边角料/收尘</w:t>
                  </w:r>
                </w:p>
              </w:tc>
              <w:tc>
                <w:tcPr>
                  <w:tcW w:w="1946"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eastAsiaTheme="minorEastAsia"/>
                      <w:bCs/>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p>
              </w:tc>
              <w:tc>
                <w:tcPr>
                  <w:tcW w:w="4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3</w:t>
                  </w:r>
                </w:p>
              </w:tc>
              <w:tc>
                <w:tcPr>
                  <w:tcW w:w="96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有机废气处理</w:t>
                  </w:r>
                </w:p>
              </w:tc>
              <w:tc>
                <w:tcPr>
                  <w:tcW w:w="128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废活性炭</w:t>
                  </w:r>
                </w:p>
              </w:tc>
              <w:tc>
                <w:tcPr>
                  <w:tcW w:w="1946"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ascii="Times New Roman" w:hAnsi="Times New Roman" w:cs="Times New Roman" w:eastAsiaTheme="minorEastAsia"/>
                      <w:bCs/>
                      <w:color w:val="000000"/>
                      <w:sz w:val="21"/>
                      <w:szCs w:val="21"/>
                      <w:vertAlign w:val="baseline"/>
                      <w:lang w:val="en-US" w:eastAsia="zh-CN"/>
                    </w:rPr>
                    <w:t>委托有危废处置资质的单位处理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p>
              </w:tc>
              <w:tc>
                <w:tcPr>
                  <w:tcW w:w="4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4</w:t>
                  </w:r>
                </w:p>
              </w:tc>
              <w:tc>
                <w:tcPr>
                  <w:tcW w:w="96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喷胶</w:t>
                  </w:r>
                </w:p>
              </w:tc>
              <w:tc>
                <w:tcPr>
                  <w:tcW w:w="128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废弃黑白胶包装桶</w:t>
                  </w:r>
                </w:p>
              </w:tc>
              <w:tc>
                <w:tcPr>
                  <w:tcW w:w="1946"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eastAsiaTheme="minorEastAsia"/>
                      <w:bCs/>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p>
              </w:tc>
              <w:tc>
                <w:tcPr>
                  <w:tcW w:w="4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5</w:t>
                  </w:r>
                </w:p>
              </w:tc>
              <w:tc>
                <w:tcPr>
                  <w:tcW w:w="96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设备润滑维护</w:t>
                  </w:r>
                </w:p>
              </w:tc>
              <w:tc>
                <w:tcPr>
                  <w:tcW w:w="128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废润滑油及包装桶</w:t>
                  </w:r>
                </w:p>
              </w:tc>
              <w:tc>
                <w:tcPr>
                  <w:tcW w:w="1946"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eastAsiaTheme="minorEastAsia"/>
                      <w:bCs/>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p>
              </w:tc>
              <w:tc>
                <w:tcPr>
                  <w:tcW w:w="4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6</w:t>
                  </w:r>
                </w:p>
              </w:tc>
              <w:tc>
                <w:tcPr>
                  <w:tcW w:w="96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原料包装</w:t>
                  </w:r>
                </w:p>
              </w:tc>
              <w:tc>
                <w:tcPr>
                  <w:tcW w:w="128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ascii="Times New Roman" w:hAnsi="Times New Roman" w:cs="Times New Roman" w:eastAsiaTheme="minorEastAsia"/>
                      <w:bCs/>
                      <w:color w:val="000000"/>
                      <w:sz w:val="21"/>
                      <w:szCs w:val="21"/>
                      <w:vertAlign w:val="baseline"/>
                      <w:lang w:val="en-US" w:eastAsia="zh-CN"/>
                    </w:rPr>
                    <w:t>废包装材料</w:t>
                  </w:r>
                </w:p>
              </w:tc>
              <w:tc>
                <w:tcPr>
                  <w:tcW w:w="194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ascii="Times New Roman" w:hAnsi="Times New Roman" w:cs="Times New Roman" w:eastAsiaTheme="minorEastAsia"/>
                      <w:bCs/>
                      <w:color w:val="000000"/>
                      <w:sz w:val="21"/>
                      <w:szCs w:val="21"/>
                      <w:vertAlign w:val="baseline"/>
                      <w:lang w:val="en-US" w:eastAsia="zh-CN"/>
                    </w:rPr>
                    <w:t>生产厂家回收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p>
              </w:tc>
              <w:tc>
                <w:tcPr>
                  <w:tcW w:w="4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cs="Times New Roman" w:eastAsiaTheme="minorEastAsia"/>
                      <w:bCs/>
                      <w:color w:val="000000"/>
                      <w:sz w:val="21"/>
                      <w:szCs w:val="21"/>
                      <w:vertAlign w:val="baseline"/>
                      <w:lang w:val="en-US" w:eastAsia="zh-CN"/>
                    </w:rPr>
                    <w:t>7</w:t>
                  </w:r>
                </w:p>
              </w:tc>
              <w:tc>
                <w:tcPr>
                  <w:tcW w:w="961"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default" w:ascii="Times New Roman" w:hAnsi="Times New Roman" w:cs="Times New Roman" w:eastAsiaTheme="minorEastAsia"/>
                      <w:bCs/>
                      <w:color w:val="000000"/>
                      <w:sz w:val="21"/>
                      <w:szCs w:val="21"/>
                      <w:vertAlign w:val="baseline"/>
                      <w:lang w:val="en-US" w:eastAsia="zh-CN"/>
                    </w:rPr>
                    <w:t>办公生活</w:t>
                  </w:r>
                </w:p>
              </w:tc>
              <w:tc>
                <w:tcPr>
                  <w:tcW w:w="128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ascii="Times New Roman" w:hAnsi="Times New Roman" w:cs="Times New Roman" w:eastAsiaTheme="minorEastAsia"/>
                      <w:bCs/>
                      <w:color w:val="000000"/>
                      <w:sz w:val="21"/>
                      <w:szCs w:val="21"/>
                      <w:vertAlign w:val="baseline"/>
                      <w:lang w:val="en-US" w:eastAsia="zh-CN"/>
                    </w:rPr>
                    <w:t>生活垃圾</w:t>
                  </w:r>
                </w:p>
              </w:tc>
              <w:tc>
                <w:tcPr>
                  <w:tcW w:w="194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eastAsiaTheme="minorEastAsia"/>
                      <w:bCs/>
                      <w:color w:val="000000"/>
                      <w:sz w:val="21"/>
                      <w:szCs w:val="21"/>
                      <w:vertAlign w:val="baseline"/>
                      <w:lang w:val="en-US" w:eastAsia="zh-CN"/>
                    </w:rPr>
                  </w:pPr>
                  <w:r>
                    <w:rPr>
                      <w:rFonts w:hint="eastAsia" w:ascii="Times New Roman" w:hAnsi="Times New Roman" w:cs="Times New Roman" w:eastAsiaTheme="minorEastAsia"/>
                      <w:bCs/>
                      <w:color w:val="000000"/>
                      <w:sz w:val="21"/>
                      <w:szCs w:val="21"/>
                      <w:vertAlign w:val="baseline"/>
                      <w:lang w:val="en-US" w:eastAsia="zh-CN"/>
                    </w:rPr>
                    <w:t>委托环卫部门清运</w:t>
                  </w:r>
                </w:p>
              </w:tc>
            </w:tr>
          </w:tbl>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bCs/>
                <w:color w:val="00000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7" w:hRule="atLeast"/>
          <w:jc w:val="center"/>
        </w:trPr>
        <w:tc>
          <w:tcPr>
            <w:tcW w:w="4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5"/>
              <w:adjustRightInd w:val="0"/>
              <w:snapToGrid w:val="0"/>
              <w:spacing w:before="0" w:beforeAutospacing="0" w:after="0" w:afterAutospacing="0"/>
              <w:ind w:firstLine="0" w:firstLineChars="0"/>
              <w:jc w:val="center"/>
              <w:rPr>
                <w:rFonts w:ascii="Times New Roman" w:hAnsi="Times New Roman" w:cs="宋体"/>
                <w:color w:val="000000"/>
                <w:sz w:val="21"/>
                <w:szCs w:val="21"/>
              </w:rPr>
            </w:pPr>
            <w:r>
              <w:rPr>
                <w:rFonts w:hint="eastAsia" w:ascii="Times New Roman" w:hAnsi="Times New Roman" w:cs="宋体"/>
                <w:bCs/>
                <w:color w:val="000000"/>
                <w:kern w:val="2"/>
                <w:szCs w:val="21"/>
              </w:rPr>
              <w:t>与项目有关的原有环境污染问题</w:t>
            </w:r>
          </w:p>
        </w:tc>
        <w:tc>
          <w:tcPr>
            <w:tcW w:w="8419" w:type="dxa"/>
            <w:tcBorders>
              <w:top w:val="single" w:color="000000" w:sz="8" w:space="0"/>
              <w:left w:val="single" w:color="000000" w:sz="8" w:space="0"/>
              <w:bottom w:val="single" w:color="000000" w:sz="8" w:space="0"/>
              <w:right w:val="single" w:color="000000" w:sz="8" w:space="0"/>
            </w:tcBorders>
            <w:shd w:val="clear" w:color="auto" w:fill="FFFFFF"/>
          </w:tcPr>
          <w:p>
            <w:pPr>
              <w:pStyle w:val="3"/>
              <w:keepLines w:val="0"/>
              <w:pageBreakBefore w:val="0"/>
              <w:widowControl w:val="0"/>
              <w:kinsoku/>
              <w:wordWrap/>
              <w:topLinePunct w:val="0"/>
              <w:autoSpaceDE/>
              <w:autoSpaceDN/>
              <w:bidi w:val="0"/>
              <w:snapToGrid w:val="0"/>
              <w:spacing w:before="0" w:after="0"/>
              <w:jc w:val="left"/>
              <w:textAlignment w:val="auto"/>
              <w:rPr>
                <w:color w:val="000000"/>
              </w:rPr>
            </w:pPr>
            <w:r>
              <w:rPr>
                <w:rFonts w:hint="eastAsia"/>
                <w:color w:val="000000"/>
              </w:rPr>
              <w:t>2</w:t>
            </w:r>
            <w:r>
              <w:rPr>
                <w:color w:val="000000"/>
              </w:rPr>
              <w:t>.</w:t>
            </w:r>
            <w:r>
              <w:rPr>
                <w:rFonts w:hint="eastAsia"/>
                <w:color w:val="000000"/>
                <w:lang w:val="en-US" w:eastAsia="zh-CN"/>
              </w:rPr>
              <w:t>3</w:t>
            </w:r>
            <w:r>
              <w:rPr>
                <w:rFonts w:hint="eastAsia"/>
                <w:color w:val="000000"/>
              </w:rPr>
              <w:t>与本项目有关的原有污染情况及主要环境问题</w:t>
            </w:r>
          </w:p>
          <w:p>
            <w:pPr>
              <w:keepLines w:val="0"/>
              <w:pageBreakBefore w:val="0"/>
              <w:widowControl w:val="0"/>
              <w:kinsoku/>
              <w:wordWrap/>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本项目为聚氨酯封边岩棉夹芯板加工生产线项目，在新疆众力建材有限公司厂区内建设。与项目有关的原有污染是项目厂区现有工程产生的废气、废水、噪声、固废。</w:t>
            </w:r>
          </w:p>
          <w:p>
            <w:pPr>
              <w:keepLines w:val="0"/>
              <w:pageBreakBefore w:val="0"/>
              <w:widowControl w:val="0"/>
              <w:kinsoku/>
              <w:wordWrap/>
              <w:topLinePunct w:val="0"/>
              <w:autoSpaceDE/>
              <w:autoSpaceDN/>
              <w:bidi w:val="0"/>
              <w:adjustRightInd w:val="0"/>
              <w:snapToGrid w:val="0"/>
              <w:ind w:left="0" w:leftChars="0" w:firstLine="0" w:firstLineChars="0"/>
              <w:jc w:val="left"/>
              <w:textAlignment w:val="auto"/>
              <w:rPr>
                <w:rFonts w:hint="eastAsia"/>
                <w:b/>
                <w:bCs/>
                <w:color w:val="000000"/>
                <w:lang w:val="en-US" w:eastAsia="zh-CN"/>
              </w:rPr>
            </w:pPr>
            <w:r>
              <w:rPr>
                <w:rFonts w:hint="eastAsia"/>
                <w:b/>
                <w:bCs/>
                <w:color w:val="000000"/>
                <w:lang w:val="en-US" w:eastAsia="zh-CN"/>
              </w:rPr>
              <w:t>2.3.1企业现状</w:t>
            </w:r>
          </w:p>
          <w:p>
            <w:pPr>
              <w:keepLines w:val="0"/>
              <w:pageBreakBefore w:val="0"/>
              <w:widowControl w:val="0"/>
              <w:kinsoku/>
              <w:wordWrap/>
              <w:topLinePunct w:val="0"/>
              <w:autoSpaceDE/>
              <w:autoSpaceDN/>
              <w:bidi w:val="0"/>
              <w:adjustRightInd w:val="0"/>
              <w:snapToGrid w:val="0"/>
              <w:ind w:firstLine="48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（1）原有工程环保手续履行情况</w:t>
            </w:r>
          </w:p>
          <w:p>
            <w:pPr>
              <w:keepNext w:val="0"/>
              <w:keepLines w:val="0"/>
              <w:widowControl/>
              <w:suppressLineNumbers w:val="0"/>
              <w:jc w:val="left"/>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建设用地位于昌吉高新技术产业开发建材区，整体占地形状为矩形，实际用地面积约2565m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。实际总投资1200万元，实际环保投资61.6万元，占实际总投资的5.13%。</w:t>
            </w:r>
            <w:r>
              <w:rPr>
                <w:rFonts w:hint="eastAsia"/>
                <w:color w:val="000000" w:themeColor="text1"/>
                <w:highlight w:val="none"/>
                <w:lang w:val="en-US" w:eastAsia="zh-CN"/>
                <w14:textFill>
                  <w14:solidFill>
                    <w14:schemeClr w14:val="tx1"/>
                  </w14:solidFill>
                </w14:textFill>
              </w:rPr>
              <w:t>2号生产车间</w:t>
            </w:r>
            <w:r>
              <w:rPr>
                <w:rFonts w:hint="default"/>
                <w:color w:val="000000" w:themeColor="text1"/>
                <w:lang w:val="en-US" w:eastAsia="zh-CN"/>
                <w14:textFill>
                  <w14:solidFill>
                    <w14:schemeClr w14:val="tx1"/>
                  </w14:solidFill>
                </w14:textFill>
              </w:rPr>
              <w:t>实际生产规模为年加工钢结构20000t，C型钢500t，彩板3000m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，新型工业、民用车库门5000m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w:t>
            </w:r>
          </w:p>
          <w:p>
            <w:pPr>
              <w:keepNext w:val="0"/>
              <w:keepLines w:val="0"/>
              <w:widowControl/>
              <w:suppressLineNumbers w:val="0"/>
              <w:jc w:val="left"/>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2016年2月新疆净源环境咨询有限公司进行环境评价并编制《新疆众力建材有限公司20000</w:t>
            </w:r>
            <w:r>
              <w:rPr>
                <w:rFonts w:hint="eastAsia"/>
                <w:color w:val="000000" w:themeColor="text1"/>
                <w:lang w:val="en-US" w:eastAsia="zh-CN"/>
                <w14:textFill>
                  <w14:solidFill>
                    <w14:schemeClr w14:val="tx1"/>
                  </w14:solidFill>
                </w14:textFill>
              </w:rPr>
              <w:t>t</w:t>
            </w:r>
            <w:r>
              <w:rPr>
                <w:rFonts w:hint="default"/>
                <w:color w:val="000000" w:themeColor="text1"/>
                <w:lang w:val="en-US" w:eastAsia="zh-CN"/>
                <w14:textFill>
                  <w14:solidFill>
                    <w14:schemeClr w14:val="tx1"/>
                  </w14:solidFill>
                </w14:textFill>
              </w:rPr>
              <w:t>钢结构加工生产项目及5000m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工业、民用车库门生产项目环境影响报告表》，并于2016年2月25日，取得昌吉高新技术产业开发区环境保护局批复，批号昌</w:t>
            </w:r>
            <w:r>
              <w:rPr>
                <w:rFonts w:hint="default" w:ascii="Times New Roman" w:hAnsi="Times New Roman" w:cs="Times New Roman"/>
                <w:color w:val="000000" w:themeColor="text1"/>
                <w:lang w:val="en-US" w:eastAsia="zh-CN"/>
                <w14:textFill>
                  <w14:solidFill>
                    <w14:schemeClr w14:val="tx1"/>
                  </w14:solidFill>
                </w14:textFill>
              </w:rPr>
              <w:t>高环字</w:t>
            </w:r>
            <w:r>
              <w:rPr>
                <w:rFonts w:hint="default" w:ascii="Times New Roman" w:hAnsi="Times New Roman" w:eastAsia="宋体" w:cs="Times New Roman"/>
                <w:color w:val="000000" w:themeColor="text1"/>
                <w:lang w:val="en-US" w:eastAsia="zh-CN"/>
                <w14:textFill>
                  <w14:solidFill>
                    <w14:schemeClr w14:val="tx1"/>
                  </w14:solidFill>
                </w14:textFill>
              </w:rPr>
              <w:t>[2016]</w:t>
            </w:r>
            <w:r>
              <w:rPr>
                <w:rFonts w:hint="default" w:ascii="Times New Roman" w:hAnsi="Times New Roman" w:cs="Times New Roman"/>
                <w:color w:val="000000" w:themeColor="text1"/>
                <w:lang w:val="en-US" w:eastAsia="zh-CN"/>
                <w14:textFill>
                  <w14:solidFill>
                    <w14:schemeClr w14:val="tx1"/>
                  </w14:solidFill>
                </w14:textFill>
              </w:rPr>
              <w:t>9号。</w:t>
            </w:r>
          </w:p>
          <w:p>
            <w:pPr>
              <w:keepNext w:val="0"/>
              <w:keepLines w:val="0"/>
              <w:widowControl/>
              <w:suppressLineNumbers w:val="0"/>
              <w:jc w:val="left"/>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2018年3月新疆净源环境咨询有限公司对项目进行变更环境评价并编制《新疆众力建材有限公司20000</w:t>
            </w:r>
            <w:r>
              <w:rPr>
                <w:rFonts w:hint="eastAsia"/>
                <w:color w:val="000000" w:themeColor="text1"/>
                <w:lang w:val="en-US" w:eastAsia="zh-CN"/>
                <w14:textFill>
                  <w14:solidFill>
                    <w14:schemeClr w14:val="tx1"/>
                  </w14:solidFill>
                </w14:textFill>
              </w:rPr>
              <w:t>t</w:t>
            </w:r>
            <w:r>
              <w:rPr>
                <w:rFonts w:hint="default"/>
                <w:color w:val="000000" w:themeColor="text1"/>
                <w:lang w:val="en-US" w:eastAsia="zh-CN"/>
                <w14:textFill>
                  <w14:solidFill>
                    <w14:schemeClr w14:val="tx1"/>
                  </w14:solidFill>
                </w14:textFill>
              </w:rPr>
              <w:t>钢结构加工生产项目及5000m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工业、民用车库门生产项目变更环境影响说明》，2018年3月8日，取得昌吉高新技术产业开发区环境保护局批复，批号昌高环字</w:t>
            </w:r>
            <w:r>
              <w:rPr>
                <w:rFonts w:hint="default" w:ascii="Times New Roman" w:hAnsi="Times New Roman" w:eastAsia="宋体" w:cs="Times New Roman"/>
                <w:color w:val="000000" w:themeColor="text1"/>
                <w:lang w:val="en-US" w:eastAsia="zh-CN"/>
                <w14:textFill>
                  <w14:solidFill>
                    <w14:schemeClr w14:val="tx1"/>
                  </w14:solidFill>
                </w14:textFill>
              </w:rPr>
              <w:t>[201</w:t>
            </w:r>
            <w:r>
              <w:rPr>
                <w:rFonts w:hint="eastAsia"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8号。</w:t>
            </w:r>
          </w:p>
          <w:p>
            <w:pPr>
              <w:keepNext w:val="0"/>
              <w:keepLines w:val="0"/>
              <w:widowControl/>
              <w:suppressLineNumbers w:val="0"/>
              <w:jc w:val="left"/>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2013年9月新疆众力建材有限公司承担该项目的建设工作，项目于2018年5月投入运营。</w:t>
            </w:r>
          </w:p>
          <w:p>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国家及新疆环境保护有关法律法规及文件的规定和要求，2018年6月新疆众力建材有限公司委托新疆国泰民康职业环境检测评价有限责任公司对项目开展验收工作。于2019年1月17日取得验收意见。环评批复及验收意见详见附件。</w:t>
            </w:r>
          </w:p>
          <w:p>
            <w:pPr>
              <w:keepLines w:val="0"/>
              <w:pageBreakBefore w:val="0"/>
              <w:widowControl w:val="0"/>
              <w:kinsoku/>
              <w:wordWrap/>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（2）原有项目工艺流程及产污环节</w:t>
            </w:r>
          </w:p>
          <w:p>
            <w:pPr>
              <w:keepLines w:val="0"/>
              <w:pageBreakBefore w:val="0"/>
              <w:widowControl w:val="0"/>
              <w:kinsoku/>
              <w:wordWrap/>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原项目钢结构、C型钢生产工艺流程及产污节点图14。</w:t>
            </w:r>
          </w:p>
          <w:p>
            <w:pPr>
              <w:adjustRightInd w:val="0"/>
              <w:snapToGrid w:val="0"/>
              <w:ind w:left="0" w:leftChars="0" w:firstLine="0" w:firstLineChars="0"/>
              <w:jc w:val="center"/>
              <w:rPr>
                <w:rFonts w:hint="eastAsia"/>
                <w:color w:val="000000"/>
                <w:lang w:val="en-US" w:eastAsia="zh-CN"/>
              </w:rPr>
            </w:pPr>
            <w:r>
              <w:rPr>
                <w:color w:val="000000"/>
              </w:rPr>
              <w:drawing>
                <wp:inline distT="0" distB="0" distL="114300" distR="114300">
                  <wp:extent cx="3181985" cy="2755900"/>
                  <wp:effectExtent l="0" t="0" r="18415" b="635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8"/>
                          <a:stretch>
                            <a:fillRect/>
                          </a:stretch>
                        </pic:blipFill>
                        <pic:spPr>
                          <a:xfrm>
                            <a:off x="0" y="0"/>
                            <a:ext cx="3181985" cy="27559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ind w:firstLine="480"/>
              <w:jc w:val="center"/>
              <w:textAlignment w:val="auto"/>
              <w:rPr>
                <w:rFonts w:hint="default"/>
                <w:color w:val="000000"/>
                <w:lang w:val="en-US" w:eastAsia="zh-CN"/>
              </w:rPr>
            </w:pPr>
            <w:r>
              <w:rPr>
                <w:rFonts w:hint="default" w:ascii="Times New Roman" w:hAnsi="Times New Roman" w:cs="Times New Roman"/>
                <w:b/>
                <w:bCs/>
                <w:color w:val="000000"/>
                <w:lang w:val="en-US" w:eastAsia="zh-CN"/>
              </w:rPr>
              <w:t>图1</w:t>
            </w:r>
            <w:r>
              <w:rPr>
                <w:rFonts w:hint="eastAsia" w:cs="Times New Roman"/>
                <w:b/>
                <w:bCs/>
                <w:color w:val="000000"/>
                <w:lang w:val="en-US" w:eastAsia="zh-CN"/>
              </w:rPr>
              <w:t>4</w:t>
            </w:r>
            <w:r>
              <w:rPr>
                <w:rFonts w:hint="default" w:ascii="Times New Roman" w:hAnsi="Times New Roman" w:cs="Times New Roman"/>
                <w:b/>
                <w:bCs/>
                <w:color w:val="000000"/>
                <w:lang w:val="en-US" w:eastAsia="zh-CN"/>
              </w:rPr>
              <w:t xml:space="preserve">  钢结构、C型钢生产工艺流程及产污节点图</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default"/>
                <w:color w:val="000000"/>
                <w:lang w:val="en-US" w:eastAsia="zh-CN"/>
              </w:rPr>
            </w:pPr>
            <w:r>
              <w:rPr>
                <w:rFonts w:hint="eastAsia"/>
                <w:color w:val="000000"/>
                <w:lang w:val="en-US" w:eastAsia="zh-CN"/>
              </w:rPr>
              <w:t>钢结构、C型钢生产工艺流程简述：</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default"/>
                <w:color w:val="000000"/>
                <w:lang w:val="en-US" w:eastAsia="zh-CN"/>
              </w:rPr>
            </w:pPr>
            <w:r>
              <w:rPr>
                <w:rFonts w:hint="eastAsia"/>
                <w:color w:val="000000"/>
                <w:lang w:val="en-US" w:eastAsia="zh-CN"/>
              </w:rPr>
              <w:t>①下料加工：使用剪板机、折弯机等设备，将各类钢材原料剪切、加工成为所需要的尺寸和形状；</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②组装：通过组立机将剪切好的钢板拼在一起；</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③焊接：将加工、组装好的钢材按照设计要求进行焊接；</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④喷砂除锈：在封闭的车间内，采用喷砂除锈工艺对焊接好的构件进行除锈；</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⑤喷涂工序：在喷涂车间内对本项目产品喷涂防腐底漆；</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⑥检验入库：经检验合格后的产品即可进入库房待售。</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default"/>
                <w:color w:val="000000"/>
                <w:lang w:val="en-US" w:eastAsia="zh-CN"/>
              </w:rPr>
            </w:pPr>
            <w:r>
              <w:rPr>
                <w:rFonts w:hint="eastAsia"/>
                <w:color w:val="000000"/>
                <w:lang w:val="en-US" w:eastAsia="zh-CN"/>
              </w:rPr>
              <w:t>原项目彩板生产工艺流程及产污节点图15。</w:t>
            </w:r>
          </w:p>
          <w:p>
            <w:pPr>
              <w:adjustRightInd w:val="0"/>
              <w:snapToGrid w:val="0"/>
              <w:ind w:left="0" w:leftChars="0" w:firstLine="0" w:firstLineChars="0"/>
              <w:jc w:val="center"/>
              <w:rPr>
                <w:rFonts w:hint="eastAsia"/>
                <w:color w:val="000000"/>
                <w:lang w:val="en-US" w:eastAsia="zh-CN"/>
              </w:rPr>
            </w:pPr>
            <w:r>
              <w:rPr>
                <w:color w:val="000000"/>
              </w:rPr>
              <w:drawing>
                <wp:inline distT="0" distB="0" distL="114300" distR="114300">
                  <wp:extent cx="4572000" cy="820420"/>
                  <wp:effectExtent l="0" t="0" r="0" b="1778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9"/>
                          <a:stretch>
                            <a:fillRect/>
                          </a:stretch>
                        </pic:blipFill>
                        <pic:spPr>
                          <a:xfrm>
                            <a:off x="0" y="0"/>
                            <a:ext cx="4572000" cy="8204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ind w:firstLine="480"/>
              <w:jc w:val="center"/>
              <w:textAlignment w:val="auto"/>
              <w:rPr>
                <w:rFonts w:hint="default"/>
                <w:color w:val="000000"/>
                <w:lang w:val="en-US" w:eastAsia="zh-CN"/>
              </w:rPr>
            </w:pPr>
            <w:r>
              <w:rPr>
                <w:rFonts w:hint="eastAsia"/>
                <w:b/>
                <w:bCs/>
                <w:color w:val="000000"/>
                <w:lang w:val="en-US" w:eastAsia="zh-CN"/>
              </w:rPr>
              <w:t>图</w:t>
            </w:r>
            <w:r>
              <w:rPr>
                <w:rFonts w:hint="default"/>
                <w:b/>
                <w:bCs/>
                <w:color w:val="000000"/>
                <w:lang w:val="en-US" w:eastAsia="zh-CN"/>
              </w:rPr>
              <w:t>1</w:t>
            </w:r>
            <w:r>
              <w:rPr>
                <w:rFonts w:hint="eastAsia"/>
                <w:b/>
                <w:bCs/>
                <w:color w:val="000000"/>
                <w:lang w:val="en-US" w:eastAsia="zh-CN"/>
              </w:rPr>
              <w:t>5  彩板生产工艺流程及产污节点图</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彩板生产工艺流程简述：</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①入口段：包括开卷、剪齐、缝接及贮料活套等设备，作用是将原料卷松开并联接起来，连续均匀的为机组供应金属薄板；</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②缝合机：主要是用来板带的接头缝合保证生产稳定运行；</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default"/>
                <w:color w:val="000000"/>
                <w:lang w:val="en-US" w:eastAsia="zh-CN"/>
              </w:rPr>
            </w:pPr>
            <w:r>
              <w:rPr>
                <w:rFonts w:hint="eastAsia"/>
                <w:color w:val="000000"/>
                <w:lang w:val="en-US" w:eastAsia="zh-CN"/>
              </w:rPr>
              <w:t>③出口段：将产品分卷（或按要求尺寸将产品切成单张）。</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原项目工业、民用车库门生产工艺流程及产污节点图16。</w:t>
            </w:r>
          </w:p>
          <w:p>
            <w:pPr>
              <w:adjustRightInd w:val="0"/>
              <w:snapToGrid w:val="0"/>
              <w:ind w:left="0" w:leftChars="0" w:firstLine="0" w:firstLineChars="0"/>
              <w:jc w:val="center"/>
              <w:rPr>
                <w:rFonts w:hint="eastAsia"/>
                <w:color w:val="000000"/>
                <w:lang w:val="en-US" w:eastAsia="zh-CN"/>
              </w:rPr>
            </w:pPr>
            <w:r>
              <w:rPr>
                <w:color w:val="000000"/>
              </w:rPr>
              <w:drawing>
                <wp:inline distT="0" distB="0" distL="114300" distR="114300">
                  <wp:extent cx="4839970" cy="980440"/>
                  <wp:effectExtent l="0" t="0" r="17780" b="1016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20"/>
                          <a:stretch>
                            <a:fillRect/>
                          </a:stretch>
                        </pic:blipFill>
                        <pic:spPr>
                          <a:xfrm>
                            <a:off x="0" y="0"/>
                            <a:ext cx="4839970" cy="9804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ind w:firstLine="480"/>
              <w:jc w:val="center"/>
              <w:textAlignment w:val="auto"/>
              <w:rPr>
                <w:rFonts w:hint="eastAsia"/>
                <w:b/>
                <w:bCs/>
                <w:color w:val="000000"/>
                <w:lang w:val="en-US" w:eastAsia="zh-CN"/>
              </w:rPr>
            </w:pPr>
            <w:r>
              <w:rPr>
                <w:rFonts w:hint="eastAsia"/>
                <w:b/>
                <w:bCs/>
                <w:color w:val="000000"/>
                <w:lang w:val="en-US" w:eastAsia="zh-CN"/>
              </w:rPr>
              <w:t>图</w:t>
            </w:r>
            <w:r>
              <w:rPr>
                <w:rFonts w:hint="default"/>
                <w:b/>
                <w:bCs/>
                <w:color w:val="000000"/>
                <w:lang w:val="en-US" w:eastAsia="zh-CN"/>
              </w:rPr>
              <w:t>1</w:t>
            </w:r>
            <w:r>
              <w:rPr>
                <w:rFonts w:hint="eastAsia"/>
                <w:b/>
                <w:bCs/>
                <w:color w:val="000000"/>
                <w:lang w:val="en-US" w:eastAsia="zh-CN"/>
              </w:rPr>
              <w:t>6  工业、民用车库门生产工艺流程及产污节点图</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工业、民用车库门生产工艺流程简述：</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从专业厂家购置的原材料，经过剪板机切削成大致形体，再按所需要求经过剪切、细致的加工得到雏形。加工好的铁板进行焊接、校正后组立拼接再外购配件进行组装配制成品。</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color w:val="000000"/>
                <w:lang w:val="en-US" w:eastAsia="zh-CN"/>
              </w:rPr>
            </w:pPr>
            <w:r>
              <w:rPr>
                <w:rFonts w:hint="eastAsia"/>
                <w:color w:val="000000"/>
                <w:lang w:val="en-US" w:eastAsia="zh-CN"/>
              </w:rPr>
              <w:t>（3）原工程原辅料消耗情况见表11。</w:t>
            </w:r>
          </w:p>
          <w:p>
            <w:pPr>
              <w:keepNext w:val="0"/>
              <w:keepLines w:val="0"/>
              <w:pageBreakBefore w:val="0"/>
              <w:widowControl w:val="0"/>
              <w:kinsoku/>
              <w:wordWrap/>
              <w:overflowPunct/>
              <w:topLinePunct w:val="0"/>
              <w:autoSpaceDE/>
              <w:autoSpaceDN/>
              <w:bidi w:val="0"/>
              <w:adjustRightInd w:val="0"/>
              <w:snapToGrid w:val="0"/>
              <w:spacing w:line="360" w:lineRule="auto"/>
              <w:ind w:firstLine="480"/>
              <w:jc w:val="center"/>
              <w:textAlignment w:val="auto"/>
              <w:rPr>
                <w:rFonts w:hint="eastAsia"/>
                <w:color w:val="000000"/>
                <w:lang w:val="en-US" w:eastAsia="zh-CN"/>
              </w:rPr>
            </w:pPr>
            <w:r>
              <w:rPr>
                <w:rFonts w:hint="default" w:ascii="Times New Roman" w:hAnsi="Times New Roman" w:cs="Times New Roman"/>
                <w:b/>
                <w:bCs/>
                <w:color w:val="000000"/>
                <w:sz w:val="21"/>
                <w:szCs w:val="21"/>
                <w:lang w:val="en-US" w:eastAsia="zh-CN"/>
              </w:rPr>
              <w:t>表1</w:t>
            </w:r>
            <w:r>
              <w:rPr>
                <w:rFonts w:hint="eastAsia" w:cs="Times New Roman"/>
                <w:b/>
                <w:bCs/>
                <w:color w:val="000000"/>
                <w:sz w:val="21"/>
                <w:szCs w:val="21"/>
                <w:lang w:val="en-US" w:eastAsia="zh-CN"/>
              </w:rPr>
              <w:t>1</w:t>
            </w:r>
            <w:r>
              <w:rPr>
                <w:rFonts w:hint="default" w:ascii="Times New Roman" w:hAnsi="Times New Roman" w:cs="Times New Roman"/>
                <w:b/>
                <w:bCs/>
                <w:color w:val="000000"/>
                <w:sz w:val="21"/>
                <w:szCs w:val="21"/>
                <w:lang w:val="en-US" w:eastAsia="zh-CN"/>
              </w:rPr>
              <w:t xml:space="preserve">  原工程原辅材料消耗情况一览表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62"/>
              <w:gridCol w:w="903"/>
              <w:gridCol w:w="1851"/>
              <w:gridCol w:w="1038"/>
              <w:gridCol w:w="859"/>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项目</w:t>
                  </w:r>
                </w:p>
              </w:tc>
              <w:tc>
                <w:tcPr>
                  <w:tcW w:w="1626"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环评设计</w:t>
                  </w:r>
                </w:p>
              </w:tc>
              <w:tc>
                <w:tcPr>
                  <w:tcW w:w="1762"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实际建设</w:t>
                  </w:r>
                </w:p>
              </w:tc>
              <w:tc>
                <w:tcPr>
                  <w:tcW w:w="52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来源</w:t>
                  </w:r>
                </w:p>
              </w:tc>
              <w:tc>
                <w:tcPr>
                  <w:tcW w:w="51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p>
              </w:tc>
              <w:tc>
                <w:tcPr>
                  <w:tcW w:w="107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原料名称</w:t>
                  </w:r>
                </w:p>
              </w:tc>
              <w:tc>
                <w:tcPr>
                  <w:tcW w:w="5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数量</w:t>
                  </w:r>
                </w:p>
              </w:tc>
              <w:tc>
                <w:tcPr>
                  <w:tcW w:w="112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原料名称</w:t>
                  </w:r>
                </w:p>
              </w:tc>
              <w:tc>
                <w:tcPr>
                  <w:tcW w:w="6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数量</w:t>
                  </w:r>
                </w:p>
              </w:tc>
              <w:tc>
                <w:tcPr>
                  <w:tcW w:w="52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p>
              </w:tc>
              <w:tc>
                <w:tcPr>
                  <w:tcW w:w="51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原材料</w:t>
                  </w:r>
                </w:p>
              </w:tc>
              <w:tc>
                <w:tcPr>
                  <w:tcW w:w="107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各类钢材</w:t>
                  </w:r>
                </w:p>
              </w:tc>
              <w:tc>
                <w:tcPr>
                  <w:tcW w:w="5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3万 t/a</w:t>
                  </w:r>
                </w:p>
              </w:tc>
              <w:tc>
                <w:tcPr>
                  <w:tcW w:w="112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各类钢材</w:t>
                  </w:r>
                </w:p>
              </w:tc>
              <w:tc>
                <w:tcPr>
                  <w:tcW w:w="6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2.1万 t/a</w:t>
                  </w:r>
                </w:p>
              </w:tc>
              <w:tc>
                <w:tcPr>
                  <w:tcW w:w="52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市场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外购</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p>
              </w:tc>
              <w:tc>
                <w:tcPr>
                  <w:tcW w:w="107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焊接材料</w:t>
                  </w:r>
                </w:p>
              </w:tc>
              <w:tc>
                <w:tcPr>
                  <w:tcW w:w="5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10t/a</w:t>
                  </w:r>
                </w:p>
              </w:tc>
              <w:tc>
                <w:tcPr>
                  <w:tcW w:w="112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焊接材料</w:t>
                  </w:r>
                </w:p>
              </w:tc>
              <w:tc>
                <w:tcPr>
                  <w:tcW w:w="6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8t/a</w:t>
                  </w:r>
                </w:p>
              </w:tc>
              <w:tc>
                <w:tcPr>
                  <w:tcW w:w="52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p>
              </w:tc>
              <w:tc>
                <w:tcPr>
                  <w:tcW w:w="107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水溶性醇酸树脂底漆防腐涂料</w:t>
                  </w:r>
                </w:p>
              </w:tc>
              <w:tc>
                <w:tcPr>
                  <w:tcW w:w="55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9t/a</w:t>
                  </w:r>
                </w:p>
              </w:tc>
              <w:tc>
                <w:tcPr>
                  <w:tcW w:w="112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水溶性醇酸树脂底漆防腐涂料</w:t>
                  </w:r>
                </w:p>
              </w:tc>
              <w:tc>
                <w:tcPr>
                  <w:tcW w:w="63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6.5t/a</w:t>
                  </w:r>
                </w:p>
              </w:tc>
              <w:tc>
                <w:tcPr>
                  <w:tcW w:w="52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r>
          </w:tbl>
          <w:p>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default"/>
                <w:b/>
                <w:bCs/>
                <w:color w:val="000000"/>
                <w:lang w:val="en-US" w:eastAsia="zh-CN"/>
              </w:rPr>
            </w:pPr>
            <w:r>
              <w:rPr>
                <w:rFonts w:hint="eastAsia"/>
                <w:b/>
                <w:bCs/>
                <w:color w:val="000000"/>
                <w:lang w:val="en-US" w:eastAsia="zh-CN"/>
              </w:rPr>
              <w:t>2.3.2</w:t>
            </w:r>
            <w:r>
              <w:rPr>
                <w:rFonts w:hint="default"/>
                <w:b/>
                <w:bCs/>
                <w:color w:val="000000"/>
                <w:lang w:val="en-US" w:eastAsia="zh-CN"/>
              </w:rPr>
              <w:t>原有项目主要污染源、污染物处理</w:t>
            </w:r>
            <w:r>
              <w:rPr>
                <w:rFonts w:hint="eastAsia"/>
                <w:b/>
                <w:bCs/>
                <w:color w:val="000000"/>
                <w:lang w:val="en-US" w:eastAsia="zh-CN"/>
              </w:rPr>
              <w:t>、</w:t>
            </w:r>
            <w:r>
              <w:rPr>
                <w:rFonts w:hint="default"/>
                <w:b/>
                <w:bCs/>
                <w:color w:val="000000"/>
                <w:lang w:val="en-US" w:eastAsia="zh-CN"/>
              </w:rPr>
              <w:t>排放流程</w:t>
            </w:r>
            <w:r>
              <w:rPr>
                <w:rFonts w:hint="eastAsia"/>
                <w:b/>
                <w:bCs/>
                <w:color w:val="000000"/>
                <w:lang w:val="en-US" w:eastAsia="zh-CN"/>
              </w:rPr>
              <w:t>及验收监测结果</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该章节所有数据来源于验收监测报告，监测报告见附件。</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color w:val="000000"/>
                <w:lang w:val="en-US" w:eastAsia="zh-CN"/>
              </w:rPr>
            </w:pPr>
            <w:r>
              <w:rPr>
                <w:rFonts w:hint="eastAsia"/>
                <w:color w:val="000000"/>
                <w:lang w:val="en-US" w:eastAsia="zh-CN"/>
              </w:rPr>
              <w:t>（1）废气</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default"/>
                <w:color w:val="000000"/>
                <w:lang w:val="en-US" w:eastAsia="zh-CN"/>
              </w:rPr>
            </w:pPr>
            <w:r>
              <w:rPr>
                <w:rFonts w:hint="eastAsia"/>
                <w:color w:val="000000"/>
                <w:lang w:val="en-US" w:eastAsia="zh-CN"/>
              </w:rPr>
              <w:t>①有组织排放</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厂界有组织废气监测结果统计表分别见表12~13。</w:t>
            </w:r>
          </w:p>
          <w:p>
            <w:pPr>
              <w:keepNext w:val="0"/>
              <w:keepLines w:val="0"/>
              <w:pageBreakBefore w:val="0"/>
              <w:widowControl w:val="0"/>
              <w:kinsoku/>
              <w:wordWrap/>
              <w:overflowPunct/>
              <w:topLinePunct w:val="0"/>
              <w:autoSpaceDE/>
              <w:autoSpaceDN/>
              <w:bidi w:val="0"/>
              <w:adjustRightInd w:val="0"/>
              <w:snapToGrid w:val="0"/>
              <w:spacing w:line="360" w:lineRule="auto"/>
              <w:ind w:firstLine="480"/>
              <w:jc w:val="center"/>
              <w:textAlignment w:val="auto"/>
              <w:rPr>
                <w:rFonts w:hint="eastAsia"/>
                <w:color w:val="000000"/>
                <w:lang w:val="en-US" w:eastAsia="zh-CN"/>
              </w:rPr>
            </w:pPr>
            <w:r>
              <w:rPr>
                <w:rFonts w:hint="default" w:ascii="Times New Roman" w:hAnsi="Times New Roman" w:cs="Times New Roman"/>
                <w:b/>
                <w:bCs/>
                <w:color w:val="000000"/>
                <w:sz w:val="21"/>
                <w:szCs w:val="21"/>
                <w:lang w:val="en-US" w:eastAsia="zh-CN"/>
              </w:rPr>
              <w:t>表1</w:t>
            </w:r>
            <w:r>
              <w:rPr>
                <w:rFonts w:hint="eastAsia" w:cs="Times New Roman"/>
                <w:b/>
                <w:bCs/>
                <w:color w:val="000000"/>
                <w:sz w:val="21"/>
                <w:szCs w:val="21"/>
                <w:lang w:val="en-US" w:eastAsia="zh-CN"/>
              </w:rPr>
              <w:t>2</w:t>
            </w:r>
            <w:r>
              <w:rPr>
                <w:rFonts w:hint="default" w:ascii="Times New Roman" w:hAnsi="Times New Roman" w:cs="Times New Roman"/>
                <w:b/>
                <w:bCs/>
                <w:color w:val="000000"/>
                <w:sz w:val="21"/>
                <w:szCs w:val="21"/>
                <w:lang w:val="en-US" w:eastAsia="zh-CN"/>
              </w:rPr>
              <w:t xml:space="preserve">  喷砂车间有组织废气监测结果与评价</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61"/>
              <w:gridCol w:w="973"/>
              <w:gridCol w:w="249"/>
              <w:gridCol w:w="711"/>
              <w:gridCol w:w="29"/>
              <w:gridCol w:w="636"/>
              <w:gridCol w:w="295"/>
              <w:gridCol w:w="18"/>
              <w:gridCol w:w="836"/>
              <w:gridCol w:w="90"/>
              <w:gridCol w:w="16"/>
              <w:gridCol w:w="960"/>
              <w:gridCol w:w="62"/>
              <w:gridCol w:w="77"/>
              <w:gridCol w:w="821"/>
              <w:gridCol w:w="51"/>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设备型号</w:t>
                  </w:r>
                </w:p>
              </w:tc>
              <w:tc>
                <w:tcPr>
                  <w:tcW w:w="84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喷砂车间</w:t>
                  </w:r>
                </w:p>
              </w:tc>
              <w:tc>
                <w:tcPr>
                  <w:tcW w:w="84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设备负荷</w:t>
                  </w:r>
                </w:p>
              </w:tc>
              <w:tc>
                <w:tcPr>
                  <w:tcW w:w="70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736"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检测人员</w:t>
                  </w:r>
                </w:p>
              </w:tc>
              <w:tc>
                <w:tcPr>
                  <w:tcW w:w="109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朵红兵、张小虎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净化设备</w:t>
                  </w:r>
                </w:p>
              </w:tc>
              <w:tc>
                <w:tcPr>
                  <w:tcW w:w="84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布袋除尘器</w:t>
                  </w:r>
                </w:p>
              </w:tc>
              <w:tc>
                <w:tcPr>
                  <w:tcW w:w="84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排气筒高度</w:t>
                  </w:r>
                </w:p>
              </w:tc>
              <w:tc>
                <w:tcPr>
                  <w:tcW w:w="70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15m</w:t>
                  </w:r>
                </w:p>
              </w:tc>
              <w:tc>
                <w:tcPr>
                  <w:tcW w:w="736"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含氧量</w:t>
                  </w:r>
                </w:p>
              </w:tc>
              <w:tc>
                <w:tcPr>
                  <w:tcW w:w="109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燃料类型</w:t>
                  </w:r>
                </w:p>
              </w:tc>
              <w:tc>
                <w:tcPr>
                  <w:tcW w:w="84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84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测点截面积</w:t>
                  </w:r>
                </w:p>
              </w:tc>
              <w:tc>
                <w:tcPr>
                  <w:tcW w:w="70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0.10m</w:t>
                  </w:r>
                  <w:r>
                    <w:rPr>
                      <w:rFonts w:hint="default" w:ascii="Times New Roman" w:hAnsi="Times New Roman" w:cs="Times New Roman"/>
                      <w:color w:val="000000"/>
                      <w:sz w:val="21"/>
                      <w:szCs w:val="21"/>
                      <w:vertAlign w:val="superscript"/>
                      <w:lang w:val="en-US" w:eastAsia="zh-CN"/>
                    </w:rPr>
                    <w:t>2</w:t>
                  </w:r>
                </w:p>
              </w:tc>
              <w:tc>
                <w:tcPr>
                  <w:tcW w:w="736"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含氧量</w:t>
                  </w:r>
                </w:p>
              </w:tc>
              <w:tc>
                <w:tcPr>
                  <w:tcW w:w="109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测试方法</w:t>
                  </w:r>
                </w:p>
              </w:tc>
              <w:tc>
                <w:tcPr>
                  <w:tcW w:w="4216" w:type="pct"/>
                  <w:gridSpan w:val="1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《固定污染源废气监测技术规范》 HJ/T 397-2007</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《固定污染源排气中颗粒物测定与气态污染物采样方法》 GB/T 16157-1996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测点位置及监测日期</w:t>
                  </w:r>
                </w:p>
              </w:tc>
              <w:tc>
                <w:tcPr>
                  <w:tcW w:w="1748" w:type="pct"/>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06.22喷砂车间除尘器排口</w:t>
                  </w:r>
                </w:p>
              </w:tc>
              <w:tc>
                <w:tcPr>
                  <w:tcW w:w="1776"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06.23喷砂车间除尘器排口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检测次数</w:t>
                  </w:r>
                </w:p>
              </w:tc>
              <w:tc>
                <w:tcPr>
                  <w:tcW w:w="60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57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56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w:t>
                  </w:r>
                </w:p>
              </w:tc>
              <w:tc>
                <w:tcPr>
                  <w:tcW w:w="63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57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5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烟气温度（℃）</w:t>
                  </w:r>
                </w:p>
              </w:tc>
              <w:tc>
                <w:tcPr>
                  <w:tcW w:w="60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28</w:t>
                  </w:r>
                </w:p>
              </w:tc>
              <w:tc>
                <w:tcPr>
                  <w:tcW w:w="57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28</w:t>
                  </w:r>
                </w:p>
              </w:tc>
              <w:tc>
                <w:tcPr>
                  <w:tcW w:w="56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28</w:t>
                  </w:r>
                </w:p>
              </w:tc>
              <w:tc>
                <w:tcPr>
                  <w:tcW w:w="63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30</w:t>
                  </w:r>
                </w:p>
              </w:tc>
              <w:tc>
                <w:tcPr>
                  <w:tcW w:w="57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30</w:t>
                  </w:r>
                </w:p>
              </w:tc>
              <w:tc>
                <w:tcPr>
                  <w:tcW w:w="5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折算系数</w:t>
                  </w:r>
                </w:p>
              </w:tc>
              <w:tc>
                <w:tcPr>
                  <w:tcW w:w="60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7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6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63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7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标干烟气流量（m</w:t>
                  </w:r>
                  <w:r>
                    <w:rPr>
                      <w:rFonts w:hint="default" w:ascii="Times New Roman" w:hAnsi="Times New Roman" w:cs="Times New Roman"/>
                      <w:color w:val="000000"/>
                      <w:sz w:val="21"/>
                      <w:szCs w:val="21"/>
                      <w:vertAlign w:val="superscript"/>
                      <w:lang w:val="en-US" w:eastAsia="zh-CN"/>
                    </w:rPr>
                    <w:t>3</w:t>
                  </w:r>
                  <w:r>
                    <w:rPr>
                      <w:rFonts w:hint="default" w:ascii="Times New Roman" w:hAnsi="Times New Roman" w:cs="Times New Roman"/>
                      <w:color w:val="000000"/>
                      <w:sz w:val="21"/>
                      <w:szCs w:val="21"/>
                      <w:lang w:val="en-US" w:eastAsia="zh-CN"/>
                    </w:rPr>
                    <w:t>/h）</w:t>
                  </w:r>
                </w:p>
              </w:tc>
              <w:tc>
                <w:tcPr>
                  <w:tcW w:w="60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5619</w:t>
                  </w:r>
                </w:p>
              </w:tc>
              <w:tc>
                <w:tcPr>
                  <w:tcW w:w="57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5867</w:t>
                  </w:r>
                </w:p>
              </w:tc>
              <w:tc>
                <w:tcPr>
                  <w:tcW w:w="56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5938</w:t>
                  </w:r>
                </w:p>
              </w:tc>
              <w:tc>
                <w:tcPr>
                  <w:tcW w:w="63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5562</w:t>
                  </w:r>
                </w:p>
              </w:tc>
              <w:tc>
                <w:tcPr>
                  <w:tcW w:w="57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5530</w:t>
                  </w:r>
                </w:p>
              </w:tc>
              <w:tc>
                <w:tcPr>
                  <w:tcW w:w="5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5470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pct"/>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颗粒物排放浓度（mg/m</w:t>
                  </w:r>
                  <w:r>
                    <w:rPr>
                      <w:rFonts w:hint="default" w:ascii="Times New Roman" w:hAnsi="Times New Roman" w:cs="Times New Roman"/>
                      <w:color w:val="000000"/>
                      <w:sz w:val="21"/>
                      <w:szCs w:val="21"/>
                      <w:vertAlign w:val="superscript"/>
                      <w:lang w:val="en-US" w:eastAsia="zh-CN"/>
                    </w:rPr>
                    <w:t>3</w:t>
                  </w:r>
                  <w:r>
                    <w:rPr>
                      <w:rFonts w:hint="default" w:ascii="Times New Roman" w:hAnsi="Times New Roman" w:cs="Times New Roman"/>
                      <w:color w:val="000000"/>
                      <w:sz w:val="21"/>
                      <w:szCs w:val="21"/>
                      <w:lang w:val="en-US" w:eastAsia="zh-CN"/>
                    </w:rPr>
                    <w:t>）</w:t>
                  </w:r>
                </w:p>
              </w:tc>
              <w:tc>
                <w:tcPr>
                  <w:tcW w:w="5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实测值</w:t>
                  </w:r>
                </w:p>
              </w:tc>
              <w:tc>
                <w:tcPr>
                  <w:tcW w:w="60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&lt;20</w:t>
                  </w:r>
                </w:p>
              </w:tc>
              <w:tc>
                <w:tcPr>
                  <w:tcW w:w="57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&lt;20</w:t>
                  </w:r>
                </w:p>
              </w:tc>
              <w:tc>
                <w:tcPr>
                  <w:tcW w:w="56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&lt;20</w:t>
                  </w:r>
                </w:p>
              </w:tc>
              <w:tc>
                <w:tcPr>
                  <w:tcW w:w="63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&lt;20</w:t>
                  </w:r>
                </w:p>
              </w:tc>
              <w:tc>
                <w:tcPr>
                  <w:tcW w:w="57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&lt;20</w:t>
                  </w:r>
                </w:p>
              </w:tc>
              <w:tc>
                <w:tcPr>
                  <w:tcW w:w="5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pct"/>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p>
              </w:tc>
              <w:tc>
                <w:tcPr>
                  <w:tcW w:w="5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折算值</w:t>
                  </w:r>
                </w:p>
              </w:tc>
              <w:tc>
                <w:tcPr>
                  <w:tcW w:w="60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7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6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63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7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颗粒物排放速率（kg/h）</w:t>
                  </w:r>
                </w:p>
              </w:tc>
              <w:tc>
                <w:tcPr>
                  <w:tcW w:w="586"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0.42</w:t>
                  </w:r>
                </w:p>
              </w:tc>
              <w:tc>
                <w:tcPr>
                  <w:tcW w:w="586"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0.21</w:t>
                  </w:r>
                </w:p>
              </w:tc>
              <w:tc>
                <w:tcPr>
                  <w:tcW w:w="586"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0.23</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0.20</w:t>
                  </w:r>
                </w:p>
              </w:tc>
              <w:tc>
                <w:tcPr>
                  <w:tcW w:w="586"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0.20</w:t>
                  </w:r>
                </w:p>
              </w:tc>
              <w:tc>
                <w:tcPr>
                  <w:tcW w:w="590"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标准限值（mg/m</w:t>
                  </w:r>
                  <w:r>
                    <w:rPr>
                      <w:rFonts w:hint="default" w:ascii="Times New Roman" w:hAnsi="Times New Roman" w:cs="Times New Roman"/>
                      <w:color w:val="000000"/>
                      <w:sz w:val="21"/>
                      <w:szCs w:val="21"/>
                      <w:vertAlign w:val="superscript"/>
                      <w:lang w:val="en-US" w:eastAsia="zh-CN"/>
                    </w:rPr>
                    <w:t>3</w:t>
                  </w:r>
                  <w:r>
                    <w:rPr>
                      <w:rFonts w:hint="default" w:ascii="Times New Roman" w:hAnsi="Times New Roman" w:cs="Times New Roman"/>
                      <w:color w:val="000000"/>
                      <w:sz w:val="21"/>
                      <w:szCs w:val="21"/>
                      <w:lang w:val="en-US" w:eastAsia="zh-CN"/>
                    </w:rPr>
                    <w:t>）</w:t>
                  </w:r>
                </w:p>
              </w:tc>
              <w:tc>
                <w:tcPr>
                  <w:tcW w:w="3524" w:type="pct"/>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标准限值（kg/h）</w:t>
                  </w:r>
                </w:p>
              </w:tc>
              <w:tc>
                <w:tcPr>
                  <w:tcW w:w="3524" w:type="pct"/>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是否合格</w:t>
                  </w:r>
                </w:p>
              </w:tc>
              <w:tc>
                <w:tcPr>
                  <w:tcW w:w="3524" w:type="pct"/>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合格</w:t>
                  </w:r>
                </w:p>
              </w:tc>
            </w:tr>
          </w:tbl>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default"/>
                <w:color w:val="000000"/>
                <w:lang w:val="en-US" w:eastAsia="zh-CN"/>
              </w:rPr>
            </w:pPr>
            <w:r>
              <w:rPr>
                <w:rFonts w:hint="eastAsia"/>
                <w:color w:val="000000"/>
                <w:lang w:val="en-US" w:eastAsia="zh-CN"/>
              </w:rPr>
              <w:t>监测结果表明：验收监测期间，除锈车间布袋除尘器排气筒颗粒物有组织废气排放浓度＜20mg/m</w:t>
            </w:r>
            <w:r>
              <w:rPr>
                <w:rFonts w:hint="eastAsia"/>
                <w:color w:val="000000"/>
                <w:vertAlign w:val="superscript"/>
                <w:lang w:val="en-US" w:eastAsia="zh-CN"/>
              </w:rPr>
              <w:t>3</w:t>
            </w:r>
            <w:r>
              <w:rPr>
                <w:rFonts w:hint="eastAsia"/>
                <w:color w:val="000000"/>
                <w:lang w:val="en-US" w:eastAsia="zh-CN"/>
              </w:rPr>
              <w:t>，颗粒物有组织废气排放速率为0.14kg/h~0.42kg/h，均未超过《大气污染物综合排放标准》（GB16297-1996）表2新污染源大气污染物二级标准。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jc w:val="center"/>
              <w:textAlignment w:val="auto"/>
              <w:rPr>
                <w:rFonts w:hint="eastAsia"/>
                <w:color w:val="000000"/>
                <w:lang w:val="en-US" w:eastAsia="zh-CN"/>
              </w:rPr>
            </w:pPr>
            <w:r>
              <w:rPr>
                <w:rFonts w:hint="eastAsia"/>
                <w:b/>
                <w:bCs/>
                <w:color w:val="000000"/>
                <w:sz w:val="21"/>
                <w:szCs w:val="21"/>
                <w:lang w:val="en-US" w:eastAsia="zh-CN"/>
              </w:rPr>
              <w:t>表13  喷漆房有组织废气监测结果与评价</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69"/>
              <w:gridCol w:w="147"/>
              <w:gridCol w:w="949"/>
              <w:gridCol w:w="239"/>
              <w:gridCol w:w="700"/>
              <w:gridCol w:w="25"/>
              <w:gridCol w:w="619"/>
              <w:gridCol w:w="288"/>
              <w:gridCol w:w="15"/>
              <w:gridCol w:w="824"/>
              <w:gridCol w:w="85"/>
              <w:gridCol w:w="8"/>
              <w:gridCol w:w="947"/>
              <w:gridCol w:w="57"/>
              <w:gridCol w:w="67"/>
              <w:gridCol w:w="811"/>
              <w:gridCol w:w="43"/>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8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设备型号</w:t>
                  </w:r>
                </w:p>
              </w:tc>
              <w:tc>
                <w:tcPr>
                  <w:tcW w:w="81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喷砂车间</w:t>
                  </w:r>
                </w:p>
              </w:tc>
              <w:tc>
                <w:tcPr>
                  <w:tcW w:w="82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设备负荷</w:t>
                  </w:r>
                </w:p>
              </w:tc>
              <w:tc>
                <w:tcPr>
                  <w:tcW w:w="68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w:t>
                  </w:r>
                </w:p>
              </w:tc>
              <w:tc>
                <w:tcPr>
                  <w:tcW w:w="711"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检测人员</w:t>
                  </w:r>
                </w:p>
              </w:tc>
              <w:tc>
                <w:tcPr>
                  <w:tcW w:w="108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朵红兵、张小虎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净化设备</w:t>
                  </w:r>
                </w:p>
              </w:tc>
              <w:tc>
                <w:tcPr>
                  <w:tcW w:w="81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活性炭吸附装置</w:t>
                  </w:r>
                </w:p>
              </w:tc>
              <w:tc>
                <w:tcPr>
                  <w:tcW w:w="82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排气筒高度</w:t>
                  </w:r>
                </w:p>
              </w:tc>
              <w:tc>
                <w:tcPr>
                  <w:tcW w:w="68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15m</w:t>
                  </w:r>
                </w:p>
              </w:tc>
              <w:tc>
                <w:tcPr>
                  <w:tcW w:w="711"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含氧量</w:t>
                  </w:r>
                </w:p>
              </w:tc>
              <w:tc>
                <w:tcPr>
                  <w:tcW w:w="108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燃料类型</w:t>
                  </w:r>
                </w:p>
              </w:tc>
              <w:tc>
                <w:tcPr>
                  <w:tcW w:w="815"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w:t>
                  </w:r>
                </w:p>
              </w:tc>
              <w:tc>
                <w:tcPr>
                  <w:tcW w:w="82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测点截面积</w:t>
                  </w:r>
                </w:p>
              </w:tc>
              <w:tc>
                <w:tcPr>
                  <w:tcW w:w="68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0.13m</w:t>
                  </w:r>
                  <w:r>
                    <w:rPr>
                      <w:rFonts w:hint="default" w:ascii="Times New Roman" w:hAnsi="Times New Roman" w:cs="Times New Roman" w:eastAsiaTheme="minorEastAsia"/>
                      <w:color w:val="000000"/>
                      <w:sz w:val="21"/>
                      <w:szCs w:val="21"/>
                      <w:vertAlign w:val="superscript"/>
                      <w:lang w:val="en-US" w:eastAsia="zh-CN"/>
                    </w:rPr>
                    <w:t>2</w:t>
                  </w:r>
                </w:p>
              </w:tc>
              <w:tc>
                <w:tcPr>
                  <w:tcW w:w="711"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含氧量</w:t>
                  </w:r>
                </w:p>
              </w:tc>
              <w:tc>
                <w:tcPr>
                  <w:tcW w:w="108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测试方法</w:t>
                  </w:r>
                </w:p>
              </w:tc>
              <w:tc>
                <w:tcPr>
                  <w:tcW w:w="4115" w:type="pct"/>
                  <w:gridSpan w:val="1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《固定污染源废气监测技术规范》 HJ/T 397-2007</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《固定污染源排气中颗粒物测定与气态污染物采样方法》 GB/T 16157-1996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55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测点位置及监测日期</w:t>
                  </w:r>
                </w:p>
              </w:tc>
              <w:tc>
                <w:tcPr>
                  <w:tcW w:w="1706" w:type="pct"/>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06.22喷漆房</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活性炭吸附装置排口</w:t>
                  </w:r>
                </w:p>
              </w:tc>
              <w:tc>
                <w:tcPr>
                  <w:tcW w:w="1740"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06.23喷漆房</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活性炭吸附装置排口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检测次数</w:t>
                  </w:r>
                </w:p>
              </w:tc>
              <w:tc>
                <w:tcPr>
                  <w:tcW w:w="58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56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55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w:t>
                  </w:r>
                </w:p>
              </w:tc>
              <w:tc>
                <w:tcPr>
                  <w:tcW w:w="61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562"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5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烟气温度（℃）</w:t>
                  </w:r>
                </w:p>
              </w:tc>
              <w:tc>
                <w:tcPr>
                  <w:tcW w:w="58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35</w:t>
                  </w:r>
                </w:p>
              </w:tc>
              <w:tc>
                <w:tcPr>
                  <w:tcW w:w="56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35</w:t>
                  </w:r>
                </w:p>
              </w:tc>
              <w:tc>
                <w:tcPr>
                  <w:tcW w:w="55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35</w:t>
                  </w:r>
                </w:p>
              </w:tc>
              <w:tc>
                <w:tcPr>
                  <w:tcW w:w="61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30</w:t>
                  </w:r>
                </w:p>
              </w:tc>
              <w:tc>
                <w:tcPr>
                  <w:tcW w:w="562"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30</w:t>
                  </w:r>
                </w:p>
              </w:tc>
              <w:tc>
                <w:tcPr>
                  <w:tcW w:w="5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折算系数</w:t>
                  </w:r>
                </w:p>
              </w:tc>
              <w:tc>
                <w:tcPr>
                  <w:tcW w:w="58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6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5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61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62"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标干烟气流量（m</w:t>
                  </w:r>
                  <w:r>
                    <w:rPr>
                      <w:rFonts w:hint="default" w:ascii="Times New Roman" w:hAnsi="Times New Roman" w:cs="Times New Roman"/>
                      <w:color w:val="000000"/>
                      <w:sz w:val="21"/>
                      <w:szCs w:val="21"/>
                      <w:vertAlign w:val="superscript"/>
                      <w:lang w:val="en-US" w:eastAsia="zh-CN"/>
                    </w:rPr>
                    <w:t>3</w:t>
                  </w:r>
                  <w:r>
                    <w:rPr>
                      <w:rFonts w:hint="default" w:ascii="Times New Roman" w:hAnsi="Times New Roman" w:cs="Times New Roman"/>
                      <w:color w:val="000000"/>
                      <w:sz w:val="21"/>
                      <w:szCs w:val="21"/>
                      <w:lang w:val="en-US" w:eastAsia="zh-CN"/>
                    </w:rPr>
                    <w:t>/h）</w:t>
                  </w:r>
                </w:p>
              </w:tc>
              <w:tc>
                <w:tcPr>
                  <w:tcW w:w="58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6989</w:t>
                  </w:r>
                </w:p>
              </w:tc>
              <w:tc>
                <w:tcPr>
                  <w:tcW w:w="56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6669</w:t>
                  </w:r>
                </w:p>
              </w:tc>
              <w:tc>
                <w:tcPr>
                  <w:tcW w:w="55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6655</w:t>
                  </w:r>
                </w:p>
              </w:tc>
              <w:tc>
                <w:tcPr>
                  <w:tcW w:w="61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6638</w:t>
                  </w:r>
                </w:p>
              </w:tc>
              <w:tc>
                <w:tcPr>
                  <w:tcW w:w="562"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7174</w:t>
                  </w:r>
                </w:p>
              </w:tc>
              <w:tc>
                <w:tcPr>
                  <w:tcW w:w="5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7088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gridSpan w:val="3"/>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颗粒物排放浓度（mg/m</w:t>
                  </w:r>
                  <w:r>
                    <w:rPr>
                      <w:rFonts w:hint="default" w:ascii="Times New Roman" w:hAnsi="Times New Roman" w:cs="Times New Roman"/>
                      <w:color w:val="000000"/>
                      <w:sz w:val="21"/>
                      <w:szCs w:val="21"/>
                      <w:vertAlign w:val="superscript"/>
                      <w:lang w:val="en-US" w:eastAsia="zh-CN"/>
                    </w:rPr>
                    <w:t>3</w:t>
                  </w:r>
                  <w:r>
                    <w:rPr>
                      <w:rFonts w:hint="default" w:ascii="Times New Roman" w:hAnsi="Times New Roman" w:cs="Times New Roman"/>
                      <w:color w:val="000000"/>
                      <w:sz w:val="21"/>
                      <w:szCs w:val="21"/>
                      <w:lang w:val="en-US" w:eastAsia="zh-CN"/>
                    </w:rPr>
                    <w:t>）</w:t>
                  </w:r>
                </w:p>
              </w:tc>
              <w:tc>
                <w:tcPr>
                  <w:tcW w:w="5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实测值</w:t>
                  </w:r>
                </w:p>
              </w:tc>
              <w:tc>
                <w:tcPr>
                  <w:tcW w:w="58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&lt;20</w:t>
                  </w:r>
                </w:p>
              </w:tc>
              <w:tc>
                <w:tcPr>
                  <w:tcW w:w="56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&lt;20</w:t>
                  </w:r>
                </w:p>
              </w:tc>
              <w:tc>
                <w:tcPr>
                  <w:tcW w:w="55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&lt;20</w:t>
                  </w:r>
                </w:p>
              </w:tc>
              <w:tc>
                <w:tcPr>
                  <w:tcW w:w="61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&lt;20</w:t>
                  </w:r>
                </w:p>
              </w:tc>
              <w:tc>
                <w:tcPr>
                  <w:tcW w:w="562"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&lt;20</w:t>
                  </w:r>
                </w:p>
              </w:tc>
              <w:tc>
                <w:tcPr>
                  <w:tcW w:w="5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gridSpan w:val="3"/>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p>
              </w:tc>
              <w:tc>
                <w:tcPr>
                  <w:tcW w:w="5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折算值</w:t>
                  </w:r>
                </w:p>
              </w:tc>
              <w:tc>
                <w:tcPr>
                  <w:tcW w:w="58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6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5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61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62"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颗粒物排放速率（kg/h）</w:t>
                  </w:r>
                </w:p>
              </w:tc>
              <w:tc>
                <w:tcPr>
                  <w:tcW w:w="58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0.24</w:t>
                  </w:r>
                </w:p>
              </w:tc>
              <w:tc>
                <w:tcPr>
                  <w:tcW w:w="56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0.27</w:t>
                  </w:r>
                </w:p>
              </w:tc>
              <w:tc>
                <w:tcPr>
                  <w:tcW w:w="55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0.22</w:t>
                  </w:r>
                </w:p>
              </w:tc>
              <w:tc>
                <w:tcPr>
                  <w:tcW w:w="61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0.03</w:t>
                  </w:r>
                </w:p>
              </w:tc>
              <w:tc>
                <w:tcPr>
                  <w:tcW w:w="562"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0.02</w:t>
                  </w:r>
                </w:p>
              </w:tc>
              <w:tc>
                <w:tcPr>
                  <w:tcW w:w="5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标准限值（mg/m</w:t>
                  </w:r>
                  <w:r>
                    <w:rPr>
                      <w:rFonts w:hint="default" w:ascii="Times New Roman" w:hAnsi="Times New Roman" w:cs="Times New Roman"/>
                      <w:color w:val="000000"/>
                      <w:sz w:val="21"/>
                      <w:szCs w:val="21"/>
                      <w:vertAlign w:val="superscript"/>
                      <w:lang w:val="en-US" w:eastAsia="zh-CN"/>
                    </w:rPr>
                    <w:t>3</w:t>
                  </w:r>
                  <w:r>
                    <w:rPr>
                      <w:rFonts w:hint="default" w:ascii="Times New Roman" w:hAnsi="Times New Roman" w:cs="Times New Roman"/>
                      <w:color w:val="000000"/>
                      <w:sz w:val="21"/>
                      <w:szCs w:val="21"/>
                      <w:lang w:val="en-US" w:eastAsia="zh-CN"/>
                    </w:rPr>
                    <w:t>）</w:t>
                  </w:r>
                </w:p>
              </w:tc>
              <w:tc>
                <w:tcPr>
                  <w:tcW w:w="3446" w:type="pct"/>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标准限值（kg/h）</w:t>
                  </w:r>
                </w:p>
              </w:tc>
              <w:tc>
                <w:tcPr>
                  <w:tcW w:w="3446" w:type="pct"/>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是否合格</w:t>
                  </w:r>
                </w:p>
              </w:tc>
              <w:tc>
                <w:tcPr>
                  <w:tcW w:w="3446" w:type="pct"/>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非甲烷总烃排放浓度（mg/m3）</w:t>
                  </w:r>
                </w:p>
              </w:tc>
              <w:tc>
                <w:tcPr>
                  <w:tcW w:w="71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实测值</w:t>
                  </w:r>
                </w:p>
              </w:tc>
              <w:tc>
                <w:tcPr>
                  <w:tcW w:w="57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3.78</w:t>
                  </w:r>
                </w:p>
              </w:tc>
              <w:tc>
                <w:tcPr>
                  <w:tcW w:w="56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2.14</w:t>
                  </w:r>
                </w:p>
              </w:tc>
              <w:tc>
                <w:tcPr>
                  <w:tcW w:w="569"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1.60</w:t>
                  </w:r>
                </w:p>
              </w:tc>
              <w:tc>
                <w:tcPr>
                  <w:tcW w:w="5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4.13</w:t>
                  </w:r>
                </w:p>
              </w:tc>
              <w:tc>
                <w:tcPr>
                  <w:tcW w:w="57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2.40</w:t>
                  </w:r>
                </w:p>
              </w:tc>
              <w:tc>
                <w:tcPr>
                  <w:tcW w:w="58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p>
              </w:tc>
              <w:tc>
                <w:tcPr>
                  <w:tcW w:w="71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折算值</w:t>
                  </w:r>
                </w:p>
              </w:tc>
              <w:tc>
                <w:tcPr>
                  <w:tcW w:w="57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6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69"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7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58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非甲烷总烃排放速率（kg/h）</w:t>
                  </w:r>
                </w:p>
              </w:tc>
              <w:tc>
                <w:tcPr>
                  <w:tcW w:w="57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0.03</w:t>
                  </w:r>
                </w:p>
              </w:tc>
              <w:tc>
                <w:tcPr>
                  <w:tcW w:w="569"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0.01</w:t>
                  </w:r>
                </w:p>
              </w:tc>
              <w:tc>
                <w:tcPr>
                  <w:tcW w:w="569"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0.01</w:t>
                  </w:r>
                </w:p>
              </w:tc>
              <w:tc>
                <w:tcPr>
                  <w:tcW w:w="5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0.03</w:t>
                  </w:r>
                </w:p>
              </w:tc>
              <w:tc>
                <w:tcPr>
                  <w:tcW w:w="57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0.02</w:t>
                  </w:r>
                </w:p>
              </w:tc>
              <w:tc>
                <w:tcPr>
                  <w:tcW w:w="58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标准限值（mg/m</w:t>
                  </w:r>
                  <w:r>
                    <w:rPr>
                      <w:rFonts w:hint="default" w:ascii="Times New Roman" w:hAnsi="Times New Roman" w:cs="Times New Roman"/>
                      <w:color w:val="000000"/>
                      <w:sz w:val="21"/>
                      <w:szCs w:val="21"/>
                      <w:vertAlign w:val="superscript"/>
                      <w:lang w:val="en-US" w:eastAsia="zh-CN"/>
                    </w:rPr>
                    <w:t>3</w:t>
                  </w:r>
                  <w:r>
                    <w:rPr>
                      <w:rFonts w:hint="default" w:ascii="Times New Roman" w:hAnsi="Times New Roman" w:cs="Times New Roman"/>
                      <w:color w:val="000000"/>
                      <w:sz w:val="21"/>
                      <w:szCs w:val="21"/>
                      <w:lang w:val="en-US" w:eastAsia="zh-CN"/>
                    </w:rPr>
                    <w:t>）</w:t>
                  </w:r>
                </w:p>
              </w:tc>
              <w:tc>
                <w:tcPr>
                  <w:tcW w:w="3446" w:type="pct"/>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标准限值（kg/h）</w:t>
                  </w:r>
                </w:p>
              </w:tc>
              <w:tc>
                <w:tcPr>
                  <w:tcW w:w="3446" w:type="pct"/>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是否合格</w:t>
                  </w:r>
                </w:p>
              </w:tc>
              <w:tc>
                <w:tcPr>
                  <w:tcW w:w="3446" w:type="pct"/>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合格</w:t>
                  </w:r>
                </w:p>
              </w:tc>
            </w:tr>
          </w:tbl>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监测结果表明：验收监测期间，喷漆房活性炭吸附装置排气筒颗粒物有组织废气排放浓度</w:t>
            </w:r>
            <w:r>
              <w:rPr>
                <w:rFonts w:hint="default"/>
                <w:color w:val="000000"/>
                <w:lang w:val="en-US" w:eastAsia="zh-CN"/>
              </w:rPr>
              <w:t>＜20mg/m</w:t>
            </w:r>
            <w:r>
              <w:rPr>
                <w:rFonts w:hint="default"/>
                <w:color w:val="000000"/>
                <w:vertAlign w:val="superscript"/>
                <w:lang w:val="en-US" w:eastAsia="zh-CN"/>
              </w:rPr>
              <w:t>3</w:t>
            </w:r>
            <w:r>
              <w:rPr>
                <w:rFonts w:hint="eastAsia"/>
                <w:color w:val="000000"/>
                <w:lang w:val="en-US" w:eastAsia="zh-CN"/>
              </w:rPr>
              <w:t>，颗粒物有组织废气排放速率为0.02kg/h~0.27kg/h；非甲烷总烃有组织废气排放浓度1.60~4.13mg/m</w:t>
            </w:r>
            <w:r>
              <w:rPr>
                <w:rFonts w:hint="eastAsia"/>
                <w:color w:val="000000"/>
                <w:vertAlign w:val="superscript"/>
                <w:lang w:val="en-US" w:eastAsia="zh-CN"/>
              </w:rPr>
              <w:t>3</w:t>
            </w:r>
            <w:r>
              <w:rPr>
                <w:rFonts w:hint="eastAsia"/>
                <w:color w:val="000000"/>
                <w:lang w:val="en-US" w:eastAsia="zh-CN"/>
              </w:rPr>
              <w:t>，非甲烷总烃有组织废气排放速率为0.01~0.03kg/h，均未超过《大气污染物综合排放标准》（GB16297-1996）表2新污染源大气污染物二级标准。</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default"/>
                <w:color w:val="000000"/>
                <w:lang w:val="en-US" w:eastAsia="zh-CN"/>
              </w:rPr>
            </w:pPr>
            <w:r>
              <w:rPr>
                <w:rFonts w:hint="eastAsia"/>
                <w:color w:val="000000"/>
                <w:lang w:val="en-US" w:eastAsia="zh-CN"/>
              </w:rPr>
              <w:t>②无组织排放</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default"/>
                <w:color w:val="000000"/>
                <w:lang w:val="en-US" w:eastAsia="zh-CN"/>
              </w:rPr>
            </w:pPr>
            <w:r>
              <w:rPr>
                <w:rFonts w:hint="eastAsia"/>
                <w:color w:val="000000"/>
                <w:lang w:val="en-US" w:eastAsia="zh-CN"/>
              </w:rPr>
              <w:t>厂界无组织废气监测结果统计表分别见表14~15。</w:t>
            </w:r>
          </w:p>
          <w:p>
            <w:pPr>
              <w:keepNext w:val="0"/>
              <w:keepLines w:val="0"/>
              <w:pageBreakBefore w:val="0"/>
              <w:widowControl w:val="0"/>
              <w:kinsoku/>
              <w:wordWrap/>
              <w:overflowPunct/>
              <w:topLinePunct w:val="0"/>
              <w:autoSpaceDE/>
              <w:autoSpaceDN/>
              <w:bidi w:val="0"/>
              <w:adjustRightInd w:val="0"/>
              <w:snapToGrid w:val="0"/>
              <w:spacing w:line="360" w:lineRule="auto"/>
              <w:ind w:firstLine="480"/>
              <w:jc w:val="center"/>
              <w:textAlignment w:val="auto"/>
              <w:rPr>
                <w:rFonts w:hint="default"/>
                <w:color w:val="000000"/>
                <w:lang w:val="en-US" w:eastAsia="zh-CN"/>
              </w:rPr>
            </w:pPr>
            <w:r>
              <w:rPr>
                <w:rFonts w:hint="default" w:ascii="Times New Roman" w:hAnsi="Times New Roman" w:cs="Times New Roman"/>
                <w:b/>
                <w:bCs/>
                <w:color w:val="000000"/>
                <w:sz w:val="21"/>
                <w:szCs w:val="21"/>
                <w:lang w:val="en-US" w:eastAsia="zh-CN"/>
              </w:rPr>
              <w:t>表1</w:t>
            </w:r>
            <w:r>
              <w:rPr>
                <w:rFonts w:hint="eastAsia" w:cs="Times New Roman"/>
                <w:b/>
                <w:bCs/>
                <w:color w:val="000000"/>
                <w:sz w:val="21"/>
                <w:szCs w:val="21"/>
                <w:lang w:val="en-US" w:eastAsia="zh-CN"/>
              </w:rPr>
              <w:t>4</w:t>
            </w:r>
            <w:r>
              <w:rPr>
                <w:rFonts w:hint="default" w:ascii="Times New Roman" w:hAnsi="Times New Roman" w:cs="Times New Roman"/>
                <w:b/>
                <w:bCs/>
                <w:color w:val="000000"/>
                <w:sz w:val="21"/>
                <w:szCs w:val="21"/>
                <w:lang w:val="en-US" w:eastAsia="zh-CN"/>
              </w:rPr>
              <w:t xml:space="preserve">  颗粒物监测结果统计表   单位：（mg/m</w:t>
            </w:r>
            <w:r>
              <w:rPr>
                <w:rFonts w:hint="default" w:ascii="Times New Roman" w:hAnsi="Times New Roman" w:cs="Times New Roman"/>
                <w:b/>
                <w:bCs/>
                <w:color w:val="000000"/>
                <w:sz w:val="21"/>
                <w:szCs w:val="21"/>
                <w:vertAlign w:val="superscript"/>
                <w:lang w:val="en-US" w:eastAsia="zh-CN"/>
              </w:rPr>
              <w:t>3</w:t>
            </w:r>
            <w:r>
              <w:rPr>
                <w:rFonts w:hint="default" w:ascii="Times New Roman" w:hAnsi="Times New Roman" w:cs="Times New Roman"/>
                <w:b/>
                <w:bCs/>
                <w:color w:val="000000"/>
                <w:sz w:val="21"/>
                <w:szCs w:val="21"/>
                <w:lang w:val="en-US" w:eastAsia="zh-CN"/>
              </w:rPr>
              <w:t>）</w:t>
            </w:r>
          </w:p>
          <w:tbl>
            <w:tblPr>
              <w:tblStyle w:val="19"/>
              <w:tblW w:w="8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122"/>
              <w:gridCol w:w="1147"/>
              <w:gridCol w:w="1147"/>
              <w:gridCol w:w="1147"/>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43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采样时间</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2018.06.22</w:t>
                  </w:r>
                </w:p>
              </w:tc>
              <w:tc>
                <w:tcPr>
                  <w:tcW w:w="21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10:00~11:00</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0.176</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0.314</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0.412</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p>
              </w:tc>
              <w:tc>
                <w:tcPr>
                  <w:tcW w:w="21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12:00~13:00</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0255</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0.373</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0.451</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p>
              </w:tc>
              <w:tc>
                <w:tcPr>
                  <w:tcW w:w="21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16:00~17:00</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0.315</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0.334</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0.236</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p>
              </w:tc>
              <w:tc>
                <w:tcPr>
                  <w:tcW w:w="21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18:00~19:00</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0.218</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0.396</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0.415</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2018.06.23</w:t>
                  </w:r>
                </w:p>
              </w:tc>
              <w:tc>
                <w:tcPr>
                  <w:tcW w:w="21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10:00~11:00</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0.275</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0.491</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0.275</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p>
              </w:tc>
              <w:tc>
                <w:tcPr>
                  <w:tcW w:w="21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12:00~13:00</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0.158</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0.395</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0.414</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p>
              </w:tc>
              <w:tc>
                <w:tcPr>
                  <w:tcW w:w="21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16:00~17:00</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0.138</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0.414</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0.435</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p>
              </w:tc>
              <w:tc>
                <w:tcPr>
                  <w:tcW w:w="21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18:00~19:00</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0.198</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0.297</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0.455</w:t>
                  </w:r>
                </w:p>
              </w:tc>
              <w:tc>
                <w:tcPr>
                  <w:tcW w:w="11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厂界最大浓度</w:t>
                  </w:r>
                </w:p>
              </w:tc>
              <w:tc>
                <w:tcPr>
                  <w:tcW w:w="4588"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0.533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标准限值</w:t>
                  </w:r>
                </w:p>
              </w:tc>
              <w:tc>
                <w:tcPr>
                  <w:tcW w:w="4588"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评价情况</w:t>
                  </w:r>
                </w:p>
              </w:tc>
              <w:tc>
                <w:tcPr>
                  <w:tcW w:w="4588"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达标</w:t>
                  </w:r>
                </w:p>
              </w:tc>
            </w:tr>
          </w:tbl>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default"/>
                <w:color w:val="000000"/>
                <w:lang w:val="en-US" w:eastAsia="zh-CN"/>
              </w:rPr>
            </w:pPr>
            <w:r>
              <w:rPr>
                <w:rFonts w:hint="eastAsia"/>
                <w:color w:val="000000"/>
                <w:lang w:val="en-US" w:eastAsia="zh-CN"/>
              </w:rPr>
              <w:t>监测结果表明：验收监测期间，颗粒物的厂界最大浓度为</w:t>
            </w:r>
            <w:r>
              <w:rPr>
                <w:rFonts w:hint="default"/>
                <w:color w:val="000000"/>
                <w:lang w:val="en-US" w:eastAsia="zh-CN"/>
              </w:rPr>
              <w:t>0.533mg/m</w:t>
            </w:r>
            <w:r>
              <w:rPr>
                <w:rFonts w:hint="default"/>
                <w:color w:val="000000"/>
                <w:vertAlign w:val="superscript"/>
                <w:lang w:val="en-US" w:eastAsia="zh-CN"/>
              </w:rPr>
              <w:t>3</w:t>
            </w:r>
            <w:r>
              <w:rPr>
                <w:rFonts w:hint="eastAsia"/>
                <w:color w:val="000000"/>
                <w:lang w:val="en-US" w:eastAsia="zh-CN"/>
              </w:rPr>
              <w:t>低于标准限值</w:t>
            </w:r>
            <w:r>
              <w:rPr>
                <w:rFonts w:hint="default"/>
                <w:color w:val="000000"/>
                <w:lang w:val="en-US" w:eastAsia="zh-CN"/>
              </w:rPr>
              <w:t>1.0mg/m</w:t>
            </w:r>
            <w:r>
              <w:rPr>
                <w:rFonts w:hint="eastAsia"/>
                <w:color w:val="000000"/>
                <w:vertAlign w:val="superscript"/>
                <w:lang w:val="en-US" w:eastAsia="zh-CN"/>
              </w:rPr>
              <w:t>3</w:t>
            </w:r>
            <w:r>
              <w:rPr>
                <w:rFonts w:hint="eastAsia"/>
                <w:color w:val="000000"/>
                <w:lang w:val="en-US" w:eastAsia="zh-CN"/>
              </w:rPr>
              <w:t>，满足《大气污染物综合排放标准》</w:t>
            </w:r>
            <w:r>
              <w:rPr>
                <w:rFonts w:hint="default"/>
                <w:color w:val="000000"/>
                <w:lang w:val="en-US" w:eastAsia="zh-CN"/>
              </w:rPr>
              <w:t>（GB1697-1996）</w:t>
            </w:r>
            <w:r>
              <w:rPr>
                <w:rFonts w:hint="eastAsia"/>
                <w:color w:val="000000"/>
                <w:lang w:val="en-US" w:eastAsia="zh-CN"/>
              </w:rPr>
              <w:t>表</w:t>
            </w:r>
            <w:r>
              <w:rPr>
                <w:rFonts w:hint="default"/>
                <w:color w:val="000000"/>
                <w:lang w:val="en-US" w:eastAsia="zh-CN"/>
              </w:rPr>
              <w:t>2</w:t>
            </w:r>
            <w:r>
              <w:rPr>
                <w:rFonts w:hint="eastAsia"/>
                <w:color w:val="000000"/>
                <w:lang w:val="en-US" w:eastAsia="zh-CN"/>
              </w:rPr>
              <w:t>新污染源大气污染物排放限值。</w:t>
            </w:r>
          </w:p>
          <w:p>
            <w:pPr>
              <w:keepNext w:val="0"/>
              <w:keepLines w:val="0"/>
              <w:pageBreakBefore w:val="0"/>
              <w:widowControl w:val="0"/>
              <w:kinsoku/>
              <w:wordWrap/>
              <w:overflowPunct/>
              <w:topLinePunct w:val="0"/>
              <w:autoSpaceDE/>
              <w:autoSpaceDN/>
              <w:bidi w:val="0"/>
              <w:adjustRightInd w:val="0"/>
              <w:snapToGrid w:val="0"/>
              <w:spacing w:line="360" w:lineRule="auto"/>
              <w:ind w:firstLine="480"/>
              <w:jc w:val="center"/>
              <w:textAlignment w:val="auto"/>
              <w:rPr>
                <w:rFonts w:hint="default"/>
                <w:color w:val="000000"/>
                <w:lang w:val="en-US" w:eastAsia="zh-CN"/>
              </w:rPr>
            </w:pPr>
            <w:r>
              <w:rPr>
                <w:rFonts w:hint="default" w:ascii="Times New Roman" w:hAnsi="Times New Roman" w:cs="Times New Roman"/>
                <w:b/>
                <w:bCs/>
                <w:color w:val="000000"/>
                <w:sz w:val="21"/>
                <w:szCs w:val="21"/>
                <w:lang w:val="en-US" w:eastAsia="zh-CN"/>
              </w:rPr>
              <w:t>表1</w:t>
            </w:r>
            <w:r>
              <w:rPr>
                <w:rFonts w:hint="eastAsia" w:cs="Times New Roman"/>
                <w:b/>
                <w:bCs/>
                <w:color w:val="000000"/>
                <w:sz w:val="21"/>
                <w:szCs w:val="21"/>
                <w:lang w:val="en-US" w:eastAsia="zh-CN"/>
              </w:rPr>
              <w:t>5</w:t>
            </w:r>
            <w:r>
              <w:rPr>
                <w:rFonts w:hint="default" w:ascii="Times New Roman" w:hAnsi="Times New Roman" w:cs="Times New Roman"/>
                <w:b/>
                <w:bCs/>
                <w:color w:val="000000"/>
                <w:sz w:val="21"/>
                <w:szCs w:val="21"/>
                <w:lang w:val="en-US" w:eastAsia="zh-CN"/>
              </w:rPr>
              <w:t xml:space="preserve">  非甲烷总烃监测结果统计表   单位：（mg/m</w:t>
            </w:r>
            <w:r>
              <w:rPr>
                <w:rFonts w:hint="default" w:ascii="Times New Roman" w:hAnsi="Times New Roman" w:cs="Times New Roman"/>
                <w:b/>
                <w:bCs/>
                <w:color w:val="000000"/>
                <w:sz w:val="21"/>
                <w:szCs w:val="21"/>
                <w:vertAlign w:val="superscript"/>
                <w:lang w:val="en-US" w:eastAsia="zh-CN"/>
              </w:rPr>
              <w:t>3</w:t>
            </w:r>
            <w:r>
              <w:rPr>
                <w:rFonts w:hint="default" w:ascii="Times New Roman" w:hAnsi="Times New Roman" w:cs="Times New Roman"/>
                <w:b/>
                <w:bCs/>
                <w:color w:val="000000"/>
                <w:sz w:val="21"/>
                <w:szCs w:val="21"/>
                <w:lang w:val="en-US" w:eastAsia="zh-CN"/>
              </w:rPr>
              <w:t>）</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94"/>
              <w:gridCol w:w="1234"/>
              <w:gridCol w:w="1483"/>
              <w:gridCol w:w="1404"/>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采样时间</w:t>
                  </w:r>
                </w:p>
              </w:tc>
              <w:tc>
                <w:tcPr>
                  <w:tcW w:w="75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1#</w:t>
                  </w:r>
                </w:p>
              </w:tc>
              <w:tc>
                <w:tcPr>
                  <w:tcW w:w="9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2#</w:t>
                  </w:r>
                </w:p>
              </w:tc>
              <w:tc>
                <w:tcPr>
                  <w:tcW w:w="85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3#</w:t>
                  </w:r>
                </w:p>
              </w:tc>
              <w:tc>
                <w:tcPr>
                  <w:tcW w:w="81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vMerge w:val="restart"/>
                  <w:vAlign w:val="center"/>
                </w:tcPr>
                <w:p>
                  <w:pPr>
                    <w:pStyle w:val="17"/>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center"/>
                    <w:textAlignment w:val="auto"/>
                    <w:rPr>
                      <w:rFonts w:hint="default" w:ascii="Times New Roman" w:hAnsi="Times New Roman" w:cs="Times New Roman"/>
                      <w:b w:val="0"/>
                      <w:bCs w:val="0"/>
                      <w:color w:val="000000"/>
                      <w:sz w:val="21"/>
                      <w:szCs w:val="21"/>
                      <w:vertAlign w:val="baseline"/>
                      <w:lang w:val="en-US" w:eastAsia="zh-CN"/>
                    </w:rPr>
                  </w:pPr>
                  <w:r>
                    <w:rPr>
                      <w:rFonts w:hint="eastAsia" w:cs="Times New Roman"/>
                      <w:b w:val="0"/>
                      <w:bCs w:val="0"/>
                      <w:color w:val="000000"/>
                      <w:sz w:val="21"/>
                      <w:szCs w:val="21"/>
                      <w:vertAlign w:val="baseline"/>
                      <w:lang w:val="en-US" w:eastAsia="zh-CN"/>
                    </w:rPr>
                    <w:t>2018.06.22</w:t>
                  </w:r>
                </w:p>
              </w:tc>
              <w:tc>
                <w:tcPr>
                  <w:tcW w:w="91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10:00~11:00</w:t>
                  </w:r>
                </w:p>
              </w:tc>
              <w:tc>
                <w:tcPr>
                  <w:tcW w:w="75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0.81</w:t>
                  </w:r>
                </w:p>
              </w:tc>
              <w:tc>
                <w:tcPr>
                  <w:tcW w:w="9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0.78</w:t>
                  </w:r>
                </w:p>
              </w:tc>
              <w:tc>
                <w:tcPr>
                  <w:tcW w:w="85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0.93</w:t>
                  </w:r>
                </w:p>
              </w:tc>
              <w:tc>
                <w:tcPr>
                  <w:tcW w:w="81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vMerge w:val="continue"/>
                  <w:vAlign w:val="center"/>
                </w:tcPr>
                <w:p>
                  <w:pPr>
                    <w:pStyle w:val="17"/>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cs="Times New Roman"/>
                      <w:b w:val="0"/>
                      <w:bCs w:val="0"/>
                      <w:color w:val="000000"/>
                      <w:sz w:val="21"/>
                      <w:szCs w:val="21"/>
                      <w:vertAlign w:val="baseline"/>
                      <w:lang w:val="en-US" w:eastAsia="zh-CN"/>
                    </w:rPr>
                  </w:pPr>
                </w:p>
              </w:tc>
              <w:tc>
                <w:tcPr>
                  <w:tcW w:w="91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12:00~13:00</w:t>
                  </w:r>
                </w:p>
              </w:tc>
              <w:tc>
                <w:tcPr>
                  <w:tcW w:w="75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0.80</w:t>
                  </w:r>
                </w:p>
              </w:tc>
              <w:tc>
                <w:tcPr>
                  <w:tcW w:w="9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0.79</w:t>
                  </w:r>
                </w:p>
              </w:tc>
              <w:tc>
                <w:tcPr>
                  <w:tcW w:w="85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0.96</w:t>
                  </w:r>
                </w:p>
              </w:tc>
              <w:tc>
                <w:tcPr>
                  <w:tcW w:w="81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vMerge w:val="continue"/>
                  <w:vAlign w:val="center"/>
                </w:tcPr>
                <w:p>
                  <w:pPr>
                    <w:pStyle w:val="17"/>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cs="Times New Roman"/>
                      <w:b w:val="0"/>
                      <w:bCs w:val="0"/>
                      <w:color w:val="000000"/>
                      <w:sz w:val="21"/>
                      <w:szCs w:val="21"/>
                      <w:vertAlign w:val="baseline"/>
                      <w:lang w:val="en-US" w:eastAsia="zh-CN"/>
                    </w:rPr>
                  </w:pPr>
                </w:p>
              </w:tc>
              <w:tc>
                <w:tcPr>
                  <w:tcW w:w="91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16:00~17:00</w:t>
                  </w:r>
                </w:p>
              </w:tc>
              <w:tc>
                <w:tcPr>
                  <w:tcW w:w="75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0.79</w:t>
                  </w:r>
                </w:p>
              </w:tc>
              <w:tc>
                <w:tcPr>
                  <w:tcW w:w="9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0.85</w:t>
                  </w:r>
                </w:p>
              </w:tc>
              <w:tc>
                <w:tcPr>
                  <w:tcW w:w="85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1.07</w:t>
                  </w:r>
                </w:p>
              </w:tc>
              <w:tc>
                <w:tcPr>
                  <w:tcW w:w="81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vMerge w:val="continue"/>
                  <w:vAlign w:val="center"/>
                </w:tcPr>
                <w:p>
                  <w:pPr>
                    <w:pStyle w:val="17"/>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cs="Times New Roman"/>
                      <w:b w:val="0"/>
                      <w:bCs w:val="0"/>
                      <w:color w:val="000000"/>
                      <w:sz w:val="21"/>
                      <w:szCs w:val="21"/>
                      <w:vertAlign w:val="baseline"/>
                      <w:lang w:val="en-US" w:eastAsia="zh-CN"/>
                    </w:rPr>
                  </w:pPr>
                </w:p>
              </w:tc>
              <w:tc>
                <w:tcPr>
                  <w:tcW w:w="91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18:00~19:00</w:t>
                  </w:r>
                </w:p>
              </w:tc>
              <w:tc>
                <w:tcPr>
                  <w:tcW w:w="75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0.75</w:t>
                  </w:r>
                </w:p>
              </w:tc>
              <w:tc>
                <w:tcPr>
                  <w:tcW w:w="9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0.94</w:t>
                  </w:r>
                </w:p>
              </w:tc>
              <w:tc>
                <w:tcPr>
                  <w:tcW w:w="85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0.69</w:t>
                  </w:r>
                </w:p>
              </w:tc>
              <w:tc>
                <w:tcPr>
                  <w:tcW w:w="81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vMerge w:val="restart"/>
                  <w:vAlign w:val="center"/>
                </w:tcPr>
                <w:p>
                  <w:pPr>
                    <w:pStyle w:val="17"/>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center"/>
                    <w:textAlignment w:val="auto"/>
                    <w:rPr>
                      <w:rFonts w:hint="default" w:ascii="Times New Roman" w:hAnsi="Times New Roman" w:cs="Times New Roman"/>
                      <w:b w:val="0"/>
                      <w:bCs w:val="0"/>
                      <w:color w:val="000000"/>
                      <w:sz w:val="21"/>
                      <w:szCs w:val="21"/>
                      <w:vertAlign w:val="baseline"/>
                      <w:lang w:val="en-US" w:eastAsia="zh-CN"/>
                    </w:rPr>
                  </w:pPr>
                  <w:r>
                    <w:rPr>
                      <w:rFonts w:hint="eastAsia" w:cs="Times New Roman"/>
                      <w:b w:val="0"/>
                      <w:bCs w:val="0"/>
                      <w:color w:val="000000"/>
                      <w:sz w:val="21"/>
                      <w:szCs w:val="21"/>
                      <w:vertAlign w:val="baseline"/>
                      <w:lang w:val="en-US" w:eastAsia="zh-CN"/>
                    </w:rPr>
                    <w:t>2018.06.23</w:t>
                  </w:r>
                </w:p>
              </w:tc>
              <w:tc>
                <w:tcPr>
                  <w:tcW w:w="91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10:00~11:00</w:t>
                  </w:r>
                </w:p>
              </w:tc>
              <w:tc>
                <w:tcPr>
                  <w:tcW w:w="75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0.96</w:t>
                  </w:r>
                </w:p>
              </w:tc>
              <w:tc>
                <w:tcPr>
                  <w:tcW w:w="9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0.84</w:t>
                  </w:r>
                </w:p>
              </w:tc>
              <w:tc>
                <w:tcPr>
                  <w:tcW w:w="85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0.91</w:t>
                  </w:r>
                </w:p>
              </w:tc>
              <w:tc>
                <w:tcPr>
                  <w:tcW w:w="81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vMerge w:val="continue"/>
                </w:tcPr>
                <w:p>
                  <w:pPr>
                    <w:pStyle w:val="17"/>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default" w:ascii="Times New Roman" w:hAnsi="Times New Roman" w:cs="Times New Roman"/>
                      <w:b/>
                      <w:bCs/>
                      <w:color w:val="000000"/>
                      <w:sz w:val="21"/>
                      <w:szCs w:val="21"/>
                      <w:vertAlign w:val="baseline"/>
                      <w:lang w:val="en-US" w:eastAsia="zh-CN"/>
                    </w:rPr>
                  </w:pPr>
                </w:p>
              </w:tc>
              <w:tc>
                <w:tcPr>
                  <w:tcW w:w="91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12:00~13:00</w:t>
                  </w:r>
                </w:p>
              </w:tc>
              <w:tc>
                <w:tcPr>
                  <w:tcW w:w="75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0.90</w:t>
                  </w:r>
                </w:p>
              </w:tc>
              <w:tc>
                <w:tcPr>
                  <w:tcW w:w="9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0.84</w:t>
                  </w:r>
                </w:p>
              </w:tc>
              <w:tc>
                <w:tcPr>
                  <w:tcW w:w="85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0.86</w:t>
                  </w:r>
                </w:p>
              </w:tc>
              <w:tc>
                <w:tcPr>
                  <w:tcW w:w="81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vMerge w:val="continue"/>
                </w:tcPr>
                <w:p>
                  <w:pPr>
                    <w:pStyle w:val="17"/>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default" w:ascii="Times New Roman" w:hAnsi="Times New Roman" w:cs="Times New Roman"/>
                      <w:b/>
                      <w:bCs/>
                      <w:color w:val="000000"/>
                      <w:sz w:val="21"/>
                      <w:szCs w:val="21"/>
                      <w:vertAlign w:val="baseline"/>
                      <w:lang w:val="en-US" w:eastAsia="zh-CN"/>
                    </w:rPr>
                  </w:pPr>
                </w:p>
              </w:tc>
              <w:tc>
                <w:tcPr>
                  <w:tcW w:w="91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16:00~17:00</w:t>
                  </w:r>
                </w:p>
              </w:tc>
              <w:tc>
                <w:tcPr>
                  <w:tcW w:w="75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0.90</w:t>
                  </w:r>
                </w:p>
              </w:tc>
              <w:tc>
                <w:tcPr>
                  <w:tcW w:w="9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0.93</w:t>
                  </w:r>
                </w:p>
              </w:tc>
              <w:tc>
                <w:tcPr>
                  <w:tcW w:w="85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0.90</w:t>
                  </w:r>
                </w:p>
              </w:tc>
              <w:tc>
                <w:tcPr>
                  <w:tcW w:w="81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vMerge w:val="continue"/>
                </w:tcPr>
                <w:p>
                  <w:pPr>
                    <w:pStyle w:val="17"/>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default" w:ascii="Times New Roman" w:hAnsi="Times New Roman" w:cs="Times New Roman"/>
                      <w:b/>
                      <w:bCs/>
                      <w:color w:val="000000"/>
                      <w:sz w:val="21"/>
                      <w:szCs w:val="21"/>
                      <w:vertAlign w:val="baseline"/>
                      <w:lang w:val="en-US" w:eastAsia="zh-CN"/>
                    </w:rPr>
                  </w:pPr>
                </w:p>
              </w:tc>
              <w:tc>
                <w:tcPr>
                  <w:tcW w:w="91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18:00~19:00</w:t>
                  </w:r>
                </w:p>
              </w:tc>
              <w:tc>
                <w:tcPr>
                  <w:tcW w:w="75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0.92</w:t>
                  </w:r>
                </w:p>
              </w:tc>
              <w:tc>
                <w:tcPr>
                  <w:tcW w:w="9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0.94</w:t>
                  </w:r>
                </w:p>
              </w:tc>
              <w:tc>
                <w:tcPr>
                  <w:tcW w:w="85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0.90</w:t>
                  </w:r>
                </w:p>
              </w:tc>
              <w:tc>
                <w:tcPr>
                  <w:tcW w:w="81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厂界最大浓度</w:t>
                  </w:r>
                </w:p>
              </w:tc>
              <w:tc>
                <w:tcPr>
                  <w:tcW w:w="3335" w:type="pct"/>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标准限值</w:t>
                  </w:r>
                </w:p>
              </w:tc>
              <w:tc>
                <w:tcPr>
                  <w:tcW w:w="3335" w:type="pct"/>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评价情况</w:t>
                  </w:r>
                </w:p>
              </w:tc>
              <w:tc>
                <w:tcPr>
                  <w:tcW w:w="3335" w:type="pct"/>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bCs/>
                      <w:color w:val="000000"/>
                      <w:sz w:val="21"/>
                      <w:szCs w:val="21"/>
                      <w:vertAlign w:val="baseline"/>
                      <w:lang w:val="en-US" w:eastAsia="zh-CN"/>
                    </w:rPr>
                  </w:pPr>
                  <w:r>
                    <w:rPr>
                      <w:rFonts w:hint="default" w:ascii="Times New Roman" w:hAnsi="Times New Roman" w:cs="Times New Roman"/>
                      <w:color w:val="000000"/>
                      <w:sz w:val="21"/>
                      <w:szCs w:val="21"/>
                      <w:lang w:val="en-US" w:eastAsia="zh-CN"/>
                    </w:rPr>
                    <w:t>达标</w:t>
                  </w:r>
                </w:p>
              </w:tc>
            </w:tr>
          </w:tbl>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监测结果表明：验收监测期间，原有工程厂界无组织颗粒物的最大排放浓度为1.07mg/m</w:t>
            </w:r>
            <w:r>
              <w:rPr>
                <w:rFonts w:hint="default" w:ascii="Times New Roman" w:hAnsi="Times New Roman" w:cs="Times New Roman" w:eastAsiaTheme="minorEastAsia"/>
                <w:color w:val="000000"/>
                <w:vertAlign w:val="superscript"/>
                <w:lang w:val="en-US" w:eastAsia="zh-CN"/>
              </w:rPr>
              <w:t>3</w:t>
            </w:r>
            <w:r>
              <w:rPr>
                <w:rFonts w:hint="default" w:ascii="Times New Roman" w:hAnsi="Times New Roman" w:cs="Times New Roman" w:eastAsiaTheme="minorEastAsia"/>
                <w:color w:val="000000"/>
                <w:lang w:val="en-US" w:eastAsia="zh-CN"/>
              </w:rPr>
              <w:t>低于标准限值4.0mg/m</w:t>
            </w:r>
            <w:r>
              <w:rPr>
                <w:rFonts w:hint="default" w:ascii="Times New Roman" w:hAnsi="Times New Roman" w:cs="Times New Roman" w:eastAsiaTheme="minorEastAsia"/>
                <w:color w:val="000000"/>
                <w:vertAlign w:val="superscript"/>
                <w:lang w:val="en-US" w:eastAsia="zh-CN"/>
              </w:rPr>
              <w:t>3</w:t>
            </w:r>
            <w:r>
              <w:rPr>
                <w:rFonts w:hint="default" w:ascii="Times New Roman" w:hAnsi="Times New Roman" w:cs="Times New Roman" w:eastAsiaTheme="minorEastAsia"/>
                <w:color w:val="000000"/>
                <w:lang w:val="en-US" w:eastAsia="zh-CN"/>
              </w:rPr>
              <w:t>，满足《大气污染物综合排放标准》（GB1697-1996）表2新污染源大气污染物排放限值。</w:t>
            </w:r>
          </w:p>
          <w:p>
            <w:pPr>
              <w:keepNext w:val="0"/>
              <w:keepLines w:val="0"/>
              <w:pageBreakBefore w:val="0"/>
              <w:widowControl w:val="0"/>
              <w:kinsoku/>
              <w:wordWrap/>
              <w:overflowPunct/>
              <w:topLinePunct w:val="0"/>
              <w:autoSpaceDE/>
              <w:autoSpaceDN/>
              <w:bidi w:val="0"/>
              <w:adjustRightInd w:val="0"/>
              <w:snapToGrid w:val="0"/>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原项目废气为有组织排放废气和无组织排放废气。废气治理设施一览表见表16。</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jc w:val="center"/>
              <w:textAlignment w:val="auto"/>
              <w:rPr>
                <w:rFonts w:hint="default"/>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表1</w:t>
            </w:r>
            <w:r>
              <w:rPr>
                <w:rFonts w:hint="eastAsia" w:cs="Times New Roman"/>
                <w:b/>
                <w:bCs/>
                <w:color w:val="000000" w:themeColor="text1"/>
                <w:sz w:val="21"/>
                <w:szCs w:val="21"/>
                <w:lang w:val="en-US" w:eastAsia="zh-CN"/>
                <w14:textFill>
                  <w14:solidFill>
                    <w14:schemeClr w14:val="tx1"/>
                  </w14:solidFill>
                </w14:textFill>
              </w:rPr>
              <w:t>6</w:t>
            </w:r>
            <w:r>
              <w:rPr>
                <w:rFonts w:hint="default" w:ascii="Times New Roman" w:hAnsi="Times New Roman" w:cs="Times New Roman"/>
                <w:b/>
                <w:bCs/>
                <w:color w:val="000000" w:themeColor="text1"/>
                <w:sz w:val="21"/>
                <w:szCs w:val="21"/>
                <w:lang w:val="en-US" w:eastAsia="zh-CN"/>
                <w14:textFill>
                  <w14:solidFill>
                    <w14:schemeClr w14:val="tx1"/>
                  </w14:solidFill>
                </w14:textFill>
              </w:rPr>
              <w:t xml:space="preserve">  原项目运营期废气排放及治理设施</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327"/>
              <w:gridCol w:w="1904"/>
              <w:gridCol w:w="1753"/>
              <w:gridCol w:w="716"/>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废气名称</w:t>
                  </w:r>
                </w:p>
              </w:tc>
              <w:tc>
                <w:tcPr>
                  <w:tcW w:w="13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主要污染物</w:t>
                  </w:r>
                </w:p>
              </w:tc>
              <w:tc>
                <w:tcPr>
                  <w:tcW w:w="19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生产工序</w:t>
                  </w:r>
                </w:p>
              </w:tc>
              <w:tc>
                <w:tcPr>
                  <w:tcW w:w="17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治理设施</w:t>
                  </w: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工作状态</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排气筒高度（m）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有组织废气</w:t>
                  </w:r>
                </w:p>
              </w:tc>
              <w:tc>
                <w:tcPr>
                  <w:tcW w:w="13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19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喷砂除锈工序</w:t>
                  </w:r>
                </w:p>
              </w:tc>
              <w:tc>
                <w:tcPr>
                  <w:tcW w:w="17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布袋除尘器</w:t>
                  </w: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间断</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3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非甲烷总烃</w:t>
                  </w:r>
                </w:p>
              </w:tc>
              <w:tc>
                <w:tcPr>
                  <w:tcW w:w="19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喷漆工序</w:t>
                  </w:r>
                </w:p>
              </w:tc>
              <w:tc>
                <w:tcPr>
                  <w:tcW w:w="17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活性炭吸附装置</w:t>
                  </w: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间断</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无组织废气</w:t>
                  </w:r>
                </w:p>
              </w:tc>
              <w:tc>
                <w:tcPr>
                  <w:tcW w:w="13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19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原料切割焊接工序</w:t>
                  </w:r>
                </w:p>
              </w:tc>
              <w:tc>
                <w:tcPr>
                  <w:tcW w:w="17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移动式静电焊接烟气净化器</w:t>
                  </w: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间断</w:t>
                  </w: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原项目通过以下措施治理有组织废气：</w:t>
            </w:r>
          </w:p>
          <w:p>
            <w:pPr>
              <w:keepNext w:val="0"/>
              <w:keepLines w:val="0"/>
              <w:pageBreakBefore w:val="0"/>
              <w:widowControl w:val="0"/>
              <w:kinsoku/>
              <w:wordWrap/>
              <w:overflowPunct/>
              <w:topLinePunct w:val="0"/>
              <w:autoSpaceDE/>
              <w:autoSpaceDN/>
              <w:bidi w:val="0"/>
              <w:adjustRightInd w:val="0"/>
              <w:snapToGrid w:val="0"/>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①喷砂除锈工序产生的颗粒物通过风管收集输送至布袋除尘器进行处置，处理后废气经15m高排气筒排放；</w:t>
            </w:r>
          </w:p>
          <w:p>
            <w:pPr>
              <w:keepNext w:val="0"/>
              <w:keepLines w:val="0"/>
              <w:pageBreakBefore w:val="0"/>
              <w:widowControl w:val="0"/>
              <w:kinsoku/>
              <w:wordWrap/>
              <w:overflowPunct/>
              <w:topLinePunct w:val="0"/>
              <w:autoSpaceDE/>
              <w:autoSpaceDN/>
              <w:bidi w:val="0"/>
              <w:adjustRightInd w:val="0"/>
              <w:snapToGrid w:val="0"/>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②喷漆工序过程中产生的废气通过集气罩收集，输送至活性炭吸附装置进行处置，处理后废气经</w:t>
            </w:r>
            <w:r>
              <w:rPr>
                <w:rFonts w:hint="default"/>
                <w:color w:val="000000" w:themeColor="text1"/>
                <w:lang w:val="en-US" w:eastAsia="zh-CN"/>
                <w14:textFill>
                  <w14:solidFill>
                    <w14:schemeClr w14:val="tx1"/>
                  </w14:solidFill>
                </w14:textFill>
              </w:rPr>
              <w:t>15m高排气筒排放</w:t>
            </w:r>
            <w:r>
              <w:rPr>
                <w:rFonts w:hint="eastAsia"/>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原项目采取以下措施来防治无组织废气对外环境的影响：</w:t>
            </w:r>
          </w:p>
          <w:p>
            <w:pPr>
              <w:keepNext w:val="0"/>
              <w:keepLines w:val="0"/>
              <w:pageBreakBefore w:val="0"/>
              <w:widowControl/>
              <w:suppressLineNumbers w:val="0"/>
              <w:kinsoku/>
              <w:wordWrap/>
              <w:overflowPunct/>
              <w:topLinePunct w:val="0"/>
              <w:autoSpaceDE/>
              <w:autoSpaceDN/>
              <w:bidi w:val="0"/>
              <w:ind w:firstLine="480" w:firstLineChars="200"/>
              <w:jc w:val="lef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①车间安装排风扇加强焊接车间的通风和换气；</w:t>
            </w:r>
          </w:p>
          <w:p>
            <w:pPr>
              <w:keepNext w:val="0"/>
              <w:keepLines w:val="0"/>
              <w:pageBreakBefore w:val="0"/>
              <w:widowControl/>
              <w:suppressLineNumbers w:val="0"/>
              <w:kinsoku/>
              <w:wordWrap/>
              <w:overflowPunct/>
              <w:topLinePunct w:val="0"/>
              <w:autoSpaceDE/>
              <w:autoSpaceDN/>
              <w:bidi w:val="0"/>
              <w:ind w:firstLine="480" w:firstLineChars="200"/>
              <w:jc w:val="lef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②配备移动式静电焊接烟气净化设备收集处理焊接烟尘；</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③安全生产，操作规范，确保生产设施及污染治理设施的正常运行。</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（2）废水</w:t>
            </w:r>
          </w:p>
          <w:p>
            <w:pPr>
              <w:adjustRightInd w:val="0"/>
              <w:snapToGrid w:val="0"/>
              <w:ind w:firstLine="480"/>
              <w:jc w:val="lef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原</w:t>
            </w:r>
            <w:r>
              <w:rPr>
                <w:rFonts w:hint="default"/>
                <w:color w:val="000000" w:themeColor="text1"/>
                <w:lang w:val="en-US" w:eastAsia="zh-CN"/>
                <w14:textFill>
                  <w14:solidFill>
                    <w14:schemeClr w14:val="tx1"/>
                  </w14:solidFill>
                </w14:textFill>
              </w:rPr>
              <w:t>项目</w:t>
            </w:r>
            <w:r>
              <w:rPr>
                <w:rFonts w:hint="eastAsia"/>
                <w:color w:val="000000" w:themeColor="text1"/>
                <w:lang w:eastAsia="zh-CN"/>
                <w14:textFill>
                  <w14:solidFill>
                    <w14:schemeClr w14:val="tx1"/>
                  </w14:solidFill>
                </w14:textFill>
              </w:rPr>
              <w:t>废水主要为生活污水。废水治理设施一览表见表</w:t>
            </w:r>
            <w:r>
              <w:rPr>
                <w:rFonts w:hint="eastAsia"/>
                <w:color w:val="000000" w:themeColor="text1"/>
                <w:lang w:val="en-US" w:eastAsia="zh-CN"/>
                <w14:textFill>
                  <w14:solidFill>
                    <w14:schemeClr w14:val="tx1"/>
                  </w14:solidFill>
                </w14:textFill>
              </w:rPr>
              <w:t>17。</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表</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17  原项目运营期废水治理设施</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505"/>
              <w:gridCol w:w="1217"/>
              <w:gridCol w:w="1359"/>
              <w:gridCol w:w="1359"/>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废水类型</w:t>
                  </w:r>
                </w:p>
              </w:tc>
              <w:tc>
                <w:tcPr>
                  <w:tcW w:w="15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生产工序</w:t>
                  </w:r>
                </w:p>
              </w:tc>
              <w:tc>
                <w:tcPr>
                  <w:tcW w:w="12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治理设施</w:t>
                  </w:r>
                </w:p>
              </w:tc>
              <w:tc>
                <w:tcPr>
                  <w:tcW w:w="13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工作状态</w:t>
                  </w:r>
                </w:p>
              </w:tc>
              <w:tc>
                <w:tcPr>
                  <w:tcW w:w="13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排放去向</w:t>
                  </w:r>
                </w:p>
              </w:tc>
              <w:tc>
                <w:tcPr>
                  <w:tcW w:w="13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排放量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/d</w:t>
                  </w:r>
                  <w:r>
                    <w:rPr>
                      <w:rFonts w:hint="default" w:ascii="Times New Roman" w:hAnsi="Times New Roman" w:cs="Times New Roman"/>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生活污水</w:t>
                  </w:r>
                </w:p>
              </w:tc>
              <w:tc>
                <w:tcPr>
                  <w:tcW w:w="15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食堂、宿舍等</w:t>
                  </w:r>
                </w:p>
              </w:tc>
              <w:tc>
                <w:tcPr>
                  <w:tcW w:w="12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化粪池</w:t>
                  </w:r>
                </w:p>
              </w:tc>
              <w:tc>
                <w:tcPr>
                  <w:tcW w:w="13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间断</w:t>
                  </w:r>
                </w:p>
              </w:tc>
              <w:tc>
                <w:tcPr>
                  <w:tcW w:w="13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昌吉排水有限责任公司</w:t>
                  </w:r>
                </w:p>
              </w:tc>
              <w:tc>
                <w:tcPr>
                  <w:tcW w:w="13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3.1</w:t>
                  </w:r>
                </w:p>
              </w:tc>
            </w:tr>
          </w:tbl>
          <w:p>
            <w:pPr>
              <w:keepNext w:val="0"/>
              <w:keepLines w:val="0"/>
              <w:pageBreakBefore w:val="0"/>
              <w:widowControl w:val="0"/>
              <w:kinsoku/>
              <w:wordWrap/>
              <w:overflowPunct/>
              <w:topLinePunct w:val="0"/>
              <w:autoSpaceDE/>
              <w:autoSpaceDN/>
              <w:bidi w:val="0"/>
              <w:adjustRightInd w:val="0"/>
              <w:snapToGrid w:val="0"/>
              <w:ind w:left="0" w:leftChars="0" w:firstLine="480" w:firstLineChars="200"/>
              <w:jc w:val="left"/>
              <w:textAlignment w:val="auto"/>
              <w:rPr>
                <w:rFonts w:hint="default"/>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原</w:t>
            </w:r>
            <w:r>
              <w:rPr>
                <w:rFonts w:hint="default"/>
                <w:color w:val="000000" w:themeColor="text1"/>
                <w:lang w:val="en-US" w:eastAsia="zh-CN"/>
                <w14:textFill>
                  <w14:solidFill>
                    <w14:schemeClr w14:val="tx1"/>
                  </w14:solidFill>
                </w14:textFill>
              </w:rPr>
              <w:t>项目生产废水产生环节具体如下：</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default"/>
                <w:color w:val="000000" w:themeColor="text1"/>
                <w:lang w:val="en-US" w:eastAsia="zh-CN"/>
                <w14:textFill>
                  <w14:solidFill>
                    <w14:schemeClr w14:val="tx1"/>
                  </w14:solidFill>
                </w14:textFill>
              </w:rPr>
            </w:pPr>
            <w:r>
              <w:rPr>
                <w:rFonts w:hint="default"/>
                <w:color w:val="000000" w:themeColor="text1"/>
                <w:lang w:eastAsia="zh-CN"/>
                <w14:textFill>
                  <w14:solidFill>
                    <w14:schemeClr w14:val="tx1"/>
                  </w14:solidFill>
                </w14:textFill>
              </w:rPr>
              <w:t>职工生活产生的生活污水，产量为</w:t>
            </w:r>
            <w:r>
              <w:rPr>
                <w:rFonts w:hint="default"/>
                <w:color w:val="000000" w:themeColor="text1"/>
                <w:lang w:val="en-US" w:eastAsia="zh-CN"/>
                <w14:textFill>
                  <w14:solidFill>
                    <w14:schemeClr w14:val="tx1"/>
                  </w14:solidFill>
                </w14:textFill>
              </w:rPr>
              <w:t>3.1m</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/d经排水管网送至三级防渗化粪池预处理后，定期由昌吉市新时代蓝领家政服务有限公司拉运至昌吉排水有限责任公司。</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lang w:val="en-US" w:eastAsia="zh-CN"/>
              </w:rPr>
              <w:t>（3）噪声</w:t>
            </w:r>
          </w:p>
          <w:p>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eastAsia"/>
                <w:color w:val="000000"/>
                <w:lang w:val="en-US" w:eastAsia="zh-CN"/>
              </w:rPr>
            </w:pPr>
            <w:r>
              <w:rPr>
                <w:rFonts w:hint="eastAsia"/>
                <w:color w:val="000000"/>
              </w:rPr>
              <w:t>根据</w:t>
            </w:r>
            <w:r>
              <w:rPr>
                <w:rFonts w:hint="eastAsia"/>
                <w:color w:val="000000"/>
                <w:lang w:val="en-US" w:eastAsia="zh-CN"/>
              </w:rPr>
              <w:t>新疆国泰民康职业环境检测评价有限责任公司</w:t>
            </w:r>
            <w:r>
              <w:rPr>
                <w:color w:val="000000"/>
              </w:rPr>
              <w:t>于201</w:t>
            </w:r>
            <w:r>
              <w:rPr>
                <w:rFonts w:hint="eastAsia"/>
                <w:color w:val="000000"/>
                <w:lang w:val="en-US" w:eastAsia="zh-CN"/>
              </w:rPr>
              <w:t>8</w:t>
            </w:r>
            <w:r>
              <w:rPr>
                <w:color w:val="000000"/>
              </w:rPr>
              <w:t>年</w:t>
            </w:r>
            <w:r>
              <w:rPr>
                <w:rFonts w:hint="eastAsia"/>
                <w:color w:val="000000"/>
                <w:lang w:val="en-US" w:eastAsia="zh-CN"/>
              </w:rPr>
              <w:t>6</w:t>
            </w:r>
            <w:r>
              <w:rPr>
                <w:color w:val="000000"/>
              </w:rPr>
              <w:t>月</w:t>
            </w:r>
            <w:r>
              <w:rPr>
                <w:rFonts w:hint="eastAsia"/>
                <w:color w:val="000000"/>
                <w:lang w:val="en-US" w:eastAsia="zh-CN"/>
              </w:rPr>
              <w:t>22</w:t>
            </w:r>
            <w:r>
              <w:rPr>
                <w:color w:val="000000"/>
              </w:rPr>
              <w:t>日~</w:t>
            </w:r>
            <w:r>
              <w:rPr>
                <w:rFonts w:hint="eastAsia"/>
                <w:color w:val="000000"/>
                <w:lang w:val="en-US" w:eastAsia="zh-CN"/>
              </w:rPr>
              <w:t>23</w:t>
            </w:r>
            <w:r>
              <w:rPr>
                <w:color w:val="000000"/>
              </w:rPr>
              <w:t>日</w:t>
            </w:r>
            <w:r>
              <w:rPr>
                <w:rFonts w:hint="eastAsia"/>
                <w:color w:val="000000"/>
              </w:rPr>
              <w:t>对本项目厂界声环境质量现状</w:t>
            </w:r>
            <w:r>
              <w:rPr>
                <w:color w:val="000000"/>
              </w:rPr>
              <w:t>进行监测</w:t>
            </w:r>
            <w:r>
              <w:rPr>
                <w:rFonts w:hint="eastAsia"/>
                <w:color w:val="000000"/>
              </w:rPr>
              <w:t>结果</w:t>
            </w:r>
            <w:r>
              <w:rPr>
                <w:rFonts w:hint="eastAsia"/>
                <w:color w:val="000000"/>
                <w:lang w:eastAsia="zh-CN"/>
              </w:rPr>
              <w:t>见表</w:t>
            </w:r>
            <w:r>
              <w:rPr>
                <w:rFonts w:hint="eastAsia"/>
                <w:color w:val="000000"/>
                <w:lang w:val="en-US" w:eastAsia="zh-CN"/>
              </w:rPr>
              <w:t>18</w:t>
            </w:r>
            <w:r>
              <w:rPr>
                <w:rFonts w:hint="eastAsia"/>
                <w:color w:val="000000"/>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jc w:val="center"/>
              <w:textAlignment w:val="auto"/>
              <w:rPr>
                <w:rFonts w:hint="default" w:ascii="Times New Roman" w:hAnsi="Times New Roman" w:cs="Times New Roman"/>
                <w:b/>
                <w:bCs/>
                <w:color w:val="000000"/>
                <w:sz w:val="21"/>
                <w:szCs w:val="21"/>
                <w:lang w:val="en-US" w:eastAsia="zh-CN"/>
              </w:rPr>
            </w:pPr>
            <w:r>
              <w:rPr>
                <w:rFonts w:hint="default" w:ascii="Times New Roman" w:hAnsi="Times New Roman" w:cs="Times New Roman"/>
                <w:b/>
                <w:bCs/>
                <w:color w:val="000000"/>
                <w:sz w:val="21"/>
                <w:szCs w:val="21"/>
                <w:lang w:val="en-US" w:eastAsia="zh-CN"/>
              </w:rPr>
              <w:t>表1</w:t>
            </w:r>
            <w:r>
              <w:rPr>
                <w:rFonts w:hint="eastAsia" w:cs="Times New Roman"/>
                <w:b/>
                <w:bCs/>
                <w:color w:val="000000"/>
                <w:sz w:val="21"/>
                <w:szCs w:val="21"/>
                <w:lang w:val="en-US" w:eastAsia="zh-CN"/>
              </w:rPr>
              <w:t>8</w:t>
            </w:r>
            <w:r>
              <w:rPr>
                <w:rFonts w:hint="default" w:ascii="Times New Roman" w:hAnsi="Times New Roman" w:cs="Times New Roman"/>
                <w:b/>
                <w:bCs/>
                <w:color w:val="000000"/>
                <w:sz w:val="21"/>
                <w:szCs w:val="21"/>
                <w:lang w:val="en-US" w:eastAsia="zh-CN"/>
              </w:rPr>
              <w:t xml:space="preserve">  声环境质量现状     单位：dB(A)</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860"/>
              <w:gridCol w:w="749"/>
              <w:gridCol w:w="853"/>
              <w:gridCol w:w="876"/>
              <w:gridCol w:w="812"/>
              <w:gridCol w:w="835"/>
              <w:gridCol w:w="825"/>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2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监测日期</w:t>
                  </w:r>
                </w:p>
              </w:tc>
              <w:tc>
                <w:tcPr>
                  <w:tcW w:w="98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东</w:t>
                  </w:r>
                </w:p>
              </w:tc>
              <w:tc>
                <w:tcPr>
                  <w:tcW w:w="105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西</w:t>
                  </w:r>
                </w:p>
              </w:tc>
              <w:tc>
                <w:tcPr>
                  <w:tcW w:w="100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南</w:t>
                  </w:r>
                </w:p>
              </w:tc>
              <w:tc>
                <w:tcPr>
                  <w:tcW w:w="103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昼 间</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夜间</w:t>
                  </w:r>
                </w:p>
              </w:tc>
              <w:tc>
                <w:tcPr>
                  <w:tcW w:w="5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昼 间</w:t>
                  </w:r>
                </w:p>
              </w:tc>
              <w:tc>
                <w:tcPr>
                  <w:tcW w:w="5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夜 间</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昼 间</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夜 间</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昼 间</w:t>
                  </w: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夜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2018.6.22</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46.7</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46.3</w:t>
                  </w:r>
                </w:p>
              </w:tc>
              <w:tc>
                <w:tcPr>
                  <w:tcW w:w="5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52.3</w:t>
                  </w:r>
                </w:p>
              </w:tc>
              <w:tc>
                <w:tcPr>
                  <w:tcW w:w="5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43.8</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64.1</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43.5</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52.8</w:t>
                  </w: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2018.6.23</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47.5</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46.3</w:t>
                  </w:r>
                </w:p>
              </w:tc>
              <w:tc>
                <w:tcPr>
                  <w:tcW w:w="5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52.9</w:t>
                  </w:r>
                </w:p>
              </w:tc>
              <w:tc>
                <w:tcPr>
                  <w:tcW w:w="5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45.4</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64.3</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43.4</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51.4</w:t>
                  </w: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44.4</w:t>
                  </w:r>
                </w:p>
              </w:tc>
            </w:tr>
          </w:tbl>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color w:val="000000"/>
                <w:lang w:val="en-US" w:eastAsia="zh-CN"/>
              </w:rPr>
            </w:pPr>
            <w:r>
              <w:rPr>
                <w:rFonts w:hint="default"/>
                <w:color w:val="000000"/>
                <w:lang w:val="en-US" w:eastAsia="zh-CN"/>
              </w:rPr>
              <w:t>监测结果表明：项目厂界昼间噪声监测范围为46.7~64.3dB(A)，夜间噪声监测范围43.4~46.3dB(A)，项目厂界四周昼、夜噪声均符合《工业企业厂界环境噪声排放标准》（GB12348-2008）中3类标准，达标排放。</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原项目采取的防治噪声的措施：</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①从声源上控制，采用低噪声设备。剪板机、钻床等设备加装减震垫或消声器等设施；</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②从噪声传播途径上降低噪声。切割机、喷砂器等高噪声设备全部安装于室内并采取了隔声降噪措施；</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③运行过程中对机械设备做日常保养，减小设备的噪声排放。</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（4）固体废物</w:t>
            </w:r>
          </w:p>
          <w:p>
            <w:pPr>
              <w:keepNext w:val="0"/>
              <w:keepLines w:val="0"/>
              <w:pageBreakBefore w:val="0"/>
              <w:widowControl w:val="0"/>
              <w:kinsoku/>
              <w:wordWrap/>
              <w:overflowPunct/>
              <w:topLinePunct w:val="0"/>
              <w:autoSpaceDE/>
              <w:autoSpaceDN/>
              <w:bidi w:val="0"/>
              <w:adjustRightInd w:val="0"/>
              <w:snapToGrid w:val="0"/>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固体废弃物主要包括：职工生活垃圾</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食堂隔油池产生的油泥；</w:t>
            </w:r>
          </w:p>
          <w:p>
            <w:pPr>
              <w:keepNext w:val="0"/>
              <w:keepLines w:val="0"/>
              <w:pageBreakBefore w:val="0"/>
              <w:widowControl w:val="0"/>
              <w:kinsoku/>
              <w:wordWrap/>
              <w:overflowPunct/>
              <w:topLinePunct w:val="0"/>
              <w:autoSpaceDE/>
              <w:autoSpaceDN/>
              <w:bidi w:val="0"/>
              <w:adjustRightInd w:val="0"/>
              <w:snapToGrid w:val="0"/>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生产过程中产生的钢加工边角料</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焊接车间产生的焊渣</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喷砂除尘过程中由布袋除尘器收集下来的粉尘</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喷砂车间产生的废喷砂料；</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生产设备进行维护保养产生的废机油、乳化剂；喷漆房产生的漆渣、废油漆桶、废过滤棉网；活性炭吸附装置替换下来的废活性炭。</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①生活垃圾、油泥处置方式</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生活垃圾由厂区内分类垃圾箱统一收集；食堂隔油池产生的油泥定期处理，作为生活垃圾，定期由环卫部门运往昌吉市生活垃圾填埋场处置；</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②钢加工边角料、焊渣、喷砂除尘的粉尘、喷砂砂料处置方式</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生产固废中钢加工边角料、焊渣、喷砂除尘的粉尘、废喷砂料均集中收集，定期运至皖北废品再生资源回收站回收再利用；</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③废机油、乳化剂、漆渣、废油漆桶、废过滤棉网、废活性炭处置方式</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原</w:t>
            </w:r>
            <w:r>
              <w:rPr>
                <w:rFonts w:hint="default"/>
                <w:color w:val="000000" w:themeColor="text1"/>
                <w:lang w:val="en-US" w:eastAsia="zh-CN"/>
                <w14:textFill>
                  <w14:solidFill>
                    <w14:schemeClr w14:val="tx1"/>
                  </w14:solidFill>
                </w14:textFill>
              </w:rPr>
              <w:t>项目生产过程中产生的废机油、乳化剂；喷漆工序产生的漆渣、废油漆桶、废过滤棉网；活性炭吸附装置替换下来的废活性炭，暂存在厂内</w:t>
            </w:r>
            <w:r>
              <w:rPr>
                <w:rFonts w:hint="eastAsia"/>
                <w:color w:val="000000" w:themeColor="text1"/>
                <w:lang w:val="en-US" w:eastAsia="zh-CN"/>
                <w14:textFill>
                  <w14:solidFill>
                    <w14:schemeClr w14:val="tx1"/>
                  </w14:solidFill>
                </w14:textFill>
              </w:rPr>
              <w:t>20m</w:t>
            </w:r>
            <w:r>
              <w:rPr>
                <w:rFonts w:hint="eastAsia"/>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危废暂存间，委托新疆金派环保科技有限公司定期拉运进行处置。</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上述危废在已建</w:t>
            </w:r>
            <w:r>
              <w:rPr>
                <w:rFonts w:hint="eastAsia"/>
                <w:color w:val="000000" w:themeColor="text1"/>
                <w:lang w:val="en-US" w:eastAsia="zh-CN"/>
                <w14:textFill>
                  <w14:solidFill>
                    <w14:schemeClr w14:val="tx1"/>
                  </w14:solidFill>
                </w14:textFill>
              </w:rPr>
              <w:t>20m</w:t>
            </w:r>
            <w:r>
              <w:rPr>
                <w:rFonts w:hint="eastAsia"/>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危废暂存间需分区堆存。暂存时限不能超过一年，超过一年向当地环保局报备。项目区危废暂存间采取水泥基础防渗，并建设堵截泄漏的裙角，建设内容与危废贮存符合《危险废物贮存污染控制标准》（GB18597-2001）中相关要求。</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④固体废弃物处置方式</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auto"/>
              <w:rPr>
                <w:rFonts w:hint="default"/>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19</w:t>
            </w:r>
            <w:r>
              <w:rPr>
                <w:rFonts w:hint="default" w:ascii="Times New Roman" w:hAnsi="Times New Roman" w:cs="Times New Roman"/>
                <w:b/>
                <w:bCs/>
                <w:color w:val="000000" w:themeColor="text1"/>
                <w:sz w:val="21"/>
                <w:szCs w:val="21"/>
                <w:lang w:val="en-US" w:eastAsia="zh-CN"/>
                <w14:textFill>
                  <w14:solidFill>
                    <w14:schemeClr w14:val="tx1"/>
                  </w14:solidFill>
                </w14:textFill>
              </w:rPr>
              <w:t xml:space="preserve">  固体废弃物处置方式一览表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544"/>
              <w:gridCol w:w="1554"/>
              <w:gridCol w:w="1912"/>
              <w:gridCol w:w="1382"/>
              <w:gridCol w:w="1600"/>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类</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型</w:t>
                  </w:r>
                </w:p>
              </w:tc>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编号</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污染源</w:t>
                  </w:r>
                </w:p>
              </w:tc>
              <w:tc>
                <w:tcPr>
                  <w:tcW w:w="116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污染物</w:t>
                  </w:r>
                </w:p>
              </w:tc>
              <w:tc>
                <w:tcPr>
                  <w:tcW w:w="8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实际产生量（t/a）</w:t>
                  </w:r>
                </w:p>
              </w:tc>
              <w:tc>
                <w:tcPr>
                  <w:tcW w:w="9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排放去向</w:t>
                  </w:r>
                </w:p>
              </w:tc>
              <w:tc>
                <w:tcPr>
                  <w:tcW w:w="435"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般</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固</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w:t>
                  </w:r>
                </w:p>
              </w:tc>
              <w:tc>
                <w:tcPr>
                  <w:tcW w:w="33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948"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办公生活</w:t>
                  </w:r>
                </w:p>
              </w:tc>
              <w:tc>
                <w:tcPr>
                  <w:tcW w:w="116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生活垃圾</w:t>
                  </w:r>
                </w:p>
              </w:tc>
              <w:tc>
                <w:tcPr>
                  <w:tcW w:w="8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8.00</w:t>
                  </w:r>
                </w:p>
              </w:tc>
              <w:tc>
                <w:tcPr>
                  <w:tcW w:w="9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昌吉市城市生活垃圾填埋场</w:t>
                  </w:r>
                </w:p>
              </w:tc>
              <w:tc>
                <w:tcPr>
                  <w:tcW w:w="435"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3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94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16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油泥</w:t>
                  </w:r>
                </w:p>
              </w:tc>
              <w:tc>
                <w:tcPr>
                  <w:tcW w:w="8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0.30</w:t>
                  </w:r>
                </w:p>
              </w:tc>
              <w:tc>
                <w:tcPr>
                  <w:tcW w:w="9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皖北废品再生资源回收站</w:t>
                  </w:r>
                </w:p>
              </w:tc>
              <w:tc>
                <w:tcPr>
                  <w:tcW w:w="435"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机加工</w:t>
                  </w:r>
                </w:p>
              </w:tc>
              <w:tc>
                <w:tcPr>
                  <w:tcW w:w="116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钢加工边角料</w:t>
                  </w:r>
                </w:p>
              </w:tc>
              <w:tc>
                <w:tcPr>
                  <w:tcW w:w="8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60.0</w:t>
                  </w:r>
                </w:p>
              </w:tc>
              <w:tc>
                <w:tcPr>
                  <w:tcW w:w="976"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皖北废品再生资源回收站</w:t>
                  </w:r>
                </w:p>
              </w:tc>
              <w:tc>
                <w:tcPr>
                  <w:tcW w:w="435"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焊接工序</w:t>
                  </w:r>
                </w:p>
              </w:tc>
              <w:tc>
                <w:tcPr>
                  <w:tcW w:w="116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焊渣</w:t>
                  </w:r>
                </w:p>
              </w:tc>
              <w:tc>
                <w:tcPr>
                  <w:tcW w:w="8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1.50</w:t>
                  </w:r>
                </w:p>
              </w:tc>
              <w:tc>
                <w:tcPr>
                  <w:tcW w:w="97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35"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p>
              </w:tc>
              <w:tc>
                <w:tcPr>
                  <w:tcW w:w="948"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喷砂除锈工序</w:t>
                  </w:r>
                </w:p>
              </w:tc>
              <w:tc>
                <w:tcPr>
                  <w:tcW w:w="116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喷砂除尘的粉尘</w:t>
                  </w:r>
                </w:p>
              </w:tc>
              <w:tc>
                <w:tcPr>
                  <w:tcW w:w="8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3.50</w:t>
                  </w:r>
                </w:p>
              </w:tc>
              <w:tc>
                <w:tcPr>
                  <w:tcW w:w="97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35"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w:t>
                  </w:r>
                </w:p>
              </w:tc>
              <w:tc>
                <w:tcPr>
                  <w:tcW w:w="94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16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废喷砂料</w:t>
                  </w:r>
                </w:p>
              </w:tc>
              <w:tc>
                <w:tcPr>
                  <w:tcW w:w="8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1.00</w:t>
                  </w:r>
                </w:p>
              </w:tc>
              <w:tc>
                <w:tcPr>
                  <w:tcW w:w="97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35"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危</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险</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固</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w:t>
                  </w:r>
                </w:p>
              </w:tc>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w:t>
                  </w:r>
                </w:p>
              </w:tc>
              <w:tc>
                <w:tcPr>
                  <w:tcW w:w="948"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机加工</w:t>
                  </w:r>
                </w:p>
              </w:tc>
              <w:tc>
                <w:tcPr>
                  <w:tcW w:w="116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废机油乳化剂</w:t>
                  </w:r>
                </w:p>
              </w:tc>
              <w:tc>
                <w:tcPr>
                  <w:tcW w:w="8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0.18</w:t>
                  </w:r>
                </w:p>
              </w:tc>
              <w:tc>
                <w:tcPr>
                  <w:tcW w:w="976"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危废暂存间</w:t>
                  </w:r>
                  <w:r>
                    <w:rPr>
                      <w:rFonts w:hint="eastAsia" w:cs="Times New Roman"/>
                      <w:color w:val="000000" w:themeColor="text1"/>
                      <w:sz w:val="21"/>
                      <w:szCs w:val="21"/>
                      <w:lang w:val="en-US" w:eastAsia="zh-CN"/>
                      <w14:textFill>
                        <w14:solidFill>
                          <w14:schemeClr w14:val="tx1"/>
                        </w14:solidFill>
                      </w14:textFill>
                    </w:rPr>
                    <w:t>收集后，交</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新疆金派环保科技有限公司拉运进行处置</w:t>
                  </w:r>
                </w:p>
              </w:tc>
              <w:tc>
                <w:tcPr>
                  <w:tcW w:w="435"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w:t>
                  </w:r>
                </w:p>
              </w:tc>
              <w:tc>
                <w:tcPr>
                  <w:tcW w:w="94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16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乳化剂</w:t>
                  </w:r>
                </w:p>
              </w:tc>
              <w:tc>
                <w:tcPr>
                  <w:tcW w:w="8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0.02</w:t>
                  </w:r>
                </w:p>
              </w:tc>
              <w:tc>
                <w:tcPr>
                  <w:tcW w:w="97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35"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w:t>
                  </w:r>
                </w:p>
              </w:tc>
              <w:tc>
                <w:tcPr>
                  <w:tcW w:w="948"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喷漆工序</w:t>
                  </w:r>
                </w:p>
              </w:tc>
              <w:tc>
                <w:tcPr>
                  <w:tcW w:w="116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漆渣</w:t>
                  </w:r>
                </w:p>
              </w:tc>
              <w:tc>
                <w:tcPr>
                  <w:tcW w:w="8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0.19</w:t>
                  </w:r>
                </w:p>
              </w:tc>
              <w:tc>
                <w:tcPr>
                  <w:tcW w:w="97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35"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p>
              </w:tc>
              <w:tc>
                <w:tcPr>
                  <w:tcW w:w="94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16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废油漆桶</w:t>
                  </w:r>
                </w:p>
              </w:tc>
              <w:tc>
                <w:tcPr>
                  <w:tcW w:w="8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0.34</w:t>
                  </w:r>
                </w:p>
              </w:tc>
              <w:tc>
                <w:tcPr>
                  <w:tcW w:w="97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35"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w:t>
                  </w:r>
                </w:p>
              </w:tc>
              <w:tc>
                <w:tcPr>
                  <w:tcW w:w="94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16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废棉过滤网</w:t>
                  </w:r>
                </w:p>
              </w:tc>
              <w:tc>
                <w:tcPr>
                  <w:tcW w:w="8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0.30</w:t>
                  </w:r>
                </w:p>
              </w:tc>
              <w:tc>
                <w:tcPr>
                  <w:tcW w:w="97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35"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w:t>
                  </w:r>
                </w:p>
              </w:tc>
              <w:tc>
                <w:tcPr>
                  <w:tcW w:w="94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16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废活性炭</w:t>
                  </w:r>
                </w:p>
              </w:tc>
              <w:tc>
                <w:tcPr>
                  <w:tcW w:w="8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1.50</w:t>
                  </w:r>
                </w:p>
              </w:tc>
              <w:tc>
                <w:tcPr>
                  <w:tcW w:w="97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35"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bl>
          <w:p>
            <w:pPr>
              <w:keepNext w:val="0"/>
              <w:keepLines w:val="0"/>
              <w:pageBreakBefore w:val="0"/>
              <w:widowControl/>
              <w:suppressLineNumbers w:val="0"/>
              <w:kinsoku/>
              <w:wordWrap/>
              <w:overflowPunct/>
              <w:topLinePunct w:val="0"/>
              <w:autoSpaceDE/>
              <w:autoSpaceDN/>
              <w:bidi w:val="0"/>
              <w:adjustRightInd/>
              <w:snapToGrid w:val="0"/>
              <w:ind w:firstLine="480" w:firstLineChars="200"/>
              <w:jc w:val="lef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（5）“三废”排放汇总对比表</w:t>
            </w:r>
          </w:p>
          <w:p>
            <w:pPr>
              <w:keepNext w:val="0"/>
              <w:keepLines w:val="0"/>
              <w:pageBreakBefore w:val="0"/>
              <w:widowControl/>
              <w:suppressLineNumbers w:val="0"/>
              <w:kinsoku/>
              <w:wordWrap/>
              <w:overflowPunct/>
              <w:topLinePunct w:val="0"/>
              <w:autoSpaceDE/>
              <w:autoSpaceDN/>
              <w:bidi w:val="0"/>
              <w:adjustRightInd/>
              <w:snapToGrid w:val="0"/>
              <w:ind w:left="0" w:leftChars="0" w:firstLine="480" w:firstLineChars="200"/>
              <w:jc w:val="lef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原项目实际建成后的“三废”排放情况与环评报告三废排放情况对比可见表20。</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auto"/>
              <w:rPr>
                <w:rFonts w:hint="default"/>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20</w:t>
            </w:r>
            <w:r>
              <w:rPr>
                <w:rFonts w:hint="default" w:ascii="Times New Roman" w:hAnsi="Times New Roman" w:cs="Times New Roman"/>
                <w:b/>
                <w:bCs/>
                <w:color w:val="000000" w:themeColor="text1"/>
                <w:sz w:val="21"/>
                <w:szCs w:val="21"/>
                <w:lang w:val="en-US" w:eastAsia="zh-CN"/>
                <w14:textFill>
                  <w14:solidFill>
                    <w14:schemeClr w14:val="tx1"/>
                  </w14:solidFill>
                </w14:textFill>
              </w:rPr>
              <w:t xml:space="preserve"> “三废”排放汇总对比表</w:t>
            </w:r>
          </w:p>
          <w:tbl>
            <w:tblPr>
              <w:tblStyle w:val="1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887"/>
              <w:gridCol w:w="1709"/>
              <w:gridCol w:w="1192"/>
              <w:gridCol w:w="1271"/>
              <w:gridCol w:w="1271"/>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内容</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类型</w:t>
                  </w:r>
                </w:p>
              </w:tc>
              <w:tc>
                <w:tcPr>
                  <w:tcW w:w="54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排放源</w:t>
                  </w: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污染物名称</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环评排放量（t/a）</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验收排放量（t/a）</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建设排放量（t/a）</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增减量（t/a）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气</w:t>
                  </w:r>
                </w:p>
              </w:tc>
              <w:tc>
                <w:tcPr>
                  <w:tcW w:w="54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喷砂</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车间</w:t>
                  </w: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喷砂粉尘</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0.29</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0.39</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0.43</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水</w:t>
                  </w:r>
                </w:p>
              </w:tc>
              <w:tc>
                <w:tcPr>
                  <w:tcW w:w="54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生活</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污水</w:t>
                  </w: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COD</w:t>
                  </w:r>
                  <w:r>
                    <w:rPr>
                      <w:rFonts w:hint="default" w:ascii="Times New Roman" w:hAnsi="Times New Roman" w:cs="Times New Roman"/>
                      <w:color w:val="000000" w:themeColor="text1"/>
                      <w:sz w:val="21"/>
                      <w:szCs w:val="21"/>
                      <w:vertAlign w:val="subscript"/>
                      <w:lang w:val="en-US" w:eastAsia="zh-CN"/>
                      <w14:textFill>
                        <w14:solidFill>
                          <w14:schemeClr w14:val="tx1"/>
                        </w14:solidFill>
                      </w14:textFill>
                    </w:rPr>
                    <w:t>cr</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0.42</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4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BOD</w:t>
                  </w:r>
                  <w:r>
                    <w:rPr>
                      <w:rFonts w:hint="default" w:ascii="Times New Roman" w:hAnsi="Times New Roman" w:cs="Times New Roman"/>
                      <w:color w:val="000000" w:themeColor="text1"/>
                      <w:sz w:val="21"/>
                      <w:szCs w:val="21"/>
                      <w:vertAlign w:val="subscript"/>
                      <w:lang w:val="en-US" w:eastAsia="zh-CN"/>
                      <w14:textFill>
                        <w14:solidFill>
                          <w14:schemeClr w14:val="tx1"/>
                        </w14:solidFill>
                      </w14:textFill>
                    </w:rPr>
                    <w:t>5</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4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SS</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0.21</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4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NH3-N</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0.03</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一</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般</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固</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w:t>
                  </w:r>
                </w:p>
              </w:tc>
              <w:tc>
                <w:tcPr>
                  <w:tcW w:w="54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办公</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生活区</w:t>
                  </w: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生活垃圾</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16.50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8.00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8.00</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4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油泥</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0.30</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4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产</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车</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间</w:t>
                  </w: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废喷砂料</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1.11</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4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钢材加工边角料</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75.0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60.0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66.67</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4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喷砂粉尘</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14.01</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3.50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3.89</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4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焊渣</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1.67</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危</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险</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固</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w:t>
                  </w:r>
                </w:p>
              </w:tc>
              <w:tc>
                <w:tcPr>
                  <w:tcW w:w="54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废机油乳化剂</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0.40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0.22</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4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废油漆桶</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0.54</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0.34</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0.38</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4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漆渣</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0.27</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0.19</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0.21</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4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废棉过滤网</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0.33</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4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废活性炭</w:t>
                  </w:r>
                </w:p>
              </w:tc>
              <w:tc>
                <w:tcPr>
                  <w:tcW w:w="728"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7.35</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1.50</w:t>
                  </w:r>
                </w:p>
              </w:tc>
              <w:tc>
                <w:tcPr>
                  <w:tcW w:w="776"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1.67</w:t>
                  </w:r>
                </w:p>
              </w:tc>
              <w:tc>
                <w:tcPr>
                  <w:tcW w:w="74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备注</w:t>
                  </w:r>
                </w:p>
              </w:tc>
              <w:tc>
                <w:tcPr>
                  <w:tcW w:w="3021" w:type="pct"/>
                  <w:gridSpan w:val="4"/>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bl>
          <w:p>
            <w:pPr>
              <w:keepNext w:val="0"/>
              <w:keepLines w:val="0"/>
              <w:widowControl/>
              <w:suppressLineNumbers w:val="0"/>
              <w:ind w:left="0" w:leftChars="0" w:firstLine="0" w:firstLineChars="0"/>
              <w:jc w:val="left"/>
              <w:rPr>
                <w:rFonts w:hint="default"/>
                <w:b/>
                <w:bCs/>
                <w:color w:val="000000"/>
                <w:lang w:val="en-US" w:eastAsia="zh-CN"/>
              </w:rPr>
            </w:pPr>
            <w:r>
              <w:rPr>
                <w:rFonts w:hint="default"/>
                <w:b/>
                <w:bCs/>
                <w:color w:val="000000"/>
                <w:lang w:val="en-US" w:eastAsia="zh-CN"/>
              </w:rPr>
              <w:t>2.</w:t>
            </w:r>
            <w:r>
              <w:rPr>
                <w:rFonts w:hint="eastAsia"/>
                <w:b/>
                <w:bCs/>
                <w:color w:val="000000"/>
                <w:lang w:val="en-US" w:eastAsia="zh-CN"/>
              </w:rPr>
              <w:t>3</w:t>
            </w:r>
            <w:r>
              <w:rPr>
                <w:rFonts w:hint="default"/>
                <w:b/>
                <w:bCs/>
                <w:color w:val="000000"/>
                <w:lang w:val="en-US" w:eastAsia="zh-CN"/>
              </w:rPr>
              <w:t>.</w:t>
            </w:r>
            <w:r>
              <w:rPr>
                <w:rFonts w:hint="eastAsia"/>
                <w:b/>
                <w:bCs/>
                <w:color w:val="000000"/>
                <w:lang w:val="en-US" w:eastAsia="zh-CN"/>
              </w:rPr>
              <w:t>4</w:t>
            </w:r>
            <w:r>
              <w:rPr>
                <w:rFonts w:hint="default"/>
                <w:b/>
                <w:bCs/>
                <w:color w:val="000000"/>
                <w:lang w:val="en-US" w:eastAsia="zh-CN"/>
              </w:rPr>
              <w:t>原项目环评及批复落实情况</w:t>
            </w:r>
          </w:p>
          <w:p>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default"/>
                <w:color w:val="000000"/>
                <w:lang w:val="en-US"/>
              </w:rPr>
            </w:pPr>
            <w:r>
              <w:rPr>
                <w:rFonts w:hint="default"/>
                <w:color w:val="000000"/>
                <w:lang w:val="en-US" w:eastAsia="zh-CN"/>
              </w:rPr>
              <w:t>本次验收监测期间，根据《新疆众力建材有限公司20000</w:t>
            </w:r>
            <w:r>
              <w:rPr>
                <w:rFonts w:hint="eastAsia"/>
                <w:color w:val="000000"/>
                <w:lang w:val="en-US" w:eastAsia="zh-CN"/>
              </w:rPr>
              <w:t>t</w:t>
            </w:r>
            <w:r>
              <w:rPr>
                <w:rFonts w:hint="default"/>
                <w:color w:val="000000"/>
                <w:lang w:val="en-US" w:eastAsia="zh-CN"/>
              </w:rPr>
              <w:t>钢结构加工生产项目及5000</w:t>
            </w:r>
            <w:r>
              <w:rPr>
                <w:rFonts w:hint="eastAsia"/>
                <w:color w:val="000000"/>
                <w:lang w:val="en-US" w:eastAsia="zh-CN"/>
              </w:rPr>
              <w:t>m</w:t>
            </w:r>
            <w:r>
              <w:rPr>
                <w:rFonts w:hint="eastAsia"/>
                <w:color w:val="000000"/>
                <w:vertAlign w:val="superscript"/>
                <w:lang w:val="en-US" w:eastAsia="zh-CN"/>
              </w:rPr>
              <w:t>2</w:t>
            </w:r>
            <w:r>
              <w:rPr>
                <w:rFonts w:hint="default"/>
                <w:color w:val="000000"/>
                <w:lang w:val="en-US" w:eastAsia="zh-CN"/>
              </w:rPr>
              <w:t>工业、民用车库门生产项目环境影响报告表》及昌吉高新技术产业开发区环境保护局对其审批要求的环保措施进行了现场核实</w:t>
            </w:r>
            <w:r>
              <w:rPr>
                <w:rFonts w:hint="eastAsia"/>
                <w:color w:val="000000"/>
                <w:lang w:val="en-US" w:eastAsia="zh-CN"/>
              </w:rPr>
              <w:t>见表21。</w:t>
            </w:r>
          </w:p>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color w:val="000000"/>
                <w:lang w:val="en-US" w:eastAsia="zh-CN"/>
              </w:rPr>
            </w:pPr>
            <w:r>
              <w:rPr>
                <w:rFonts w:hint="default" w:ascii="Times New Roman" w:hAnsi="Times New Roman" w:cs="Times New Roman"/>
                <w:b/>
                <w:bCs/>
                <w:color w:val="000000"/>
                <w:sz w:val="21"/>
                <w:szCs w:val="21"/>
                <w:lang w:val="en-US" w:eastAsia="zh-CN"/>
              </w:rPr>
              <w:t>表2</w:t>
            </w:r>
            <w:r>
              <w:rPr>
                <w:rFonts w:hint="eastAsia" w:cs="Times New Roman"/>
                <w:b/>
                <w:bCs/>
                <w:color w:val="000000"/>
                <w:sz w:val="21"/>
                <w:szCs w:val="21"/>
                <w:lang w:val="en-US" w:eastAsia="zh-CN"/>
              </w:rPr>
              <w:t>1</w:t>
            </w:r>
            <w:r>
              <w:rPr>
                <w:rFonts w:hint="default" w:ascii="Times New Roman" w:hAnsi="Times New Roman" w:cs="Times New Roman"/>
                <w:b/>
                <w:bCs/>
                <w:color w:val="000000"/>
                <w:sz w:val="21"/>
                <w:szCs w:val="21"/>
                <w:lang w:val="en-US" w:eastAsia="zh-CN"/>
              </w:rPr>
              <w:t xml:space="preserve">  环评及批复落实情况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648"/>
              <w:gridCol w:w="2476"/>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类别</w:t>
                  </w:r>
                </w:p>
              </w:tc>
              <w:tc>
                <w:tcPr>
                  <w:tcW w:w="264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环评要求</w:t>
                  </w:r>
                </w:p>
              </w:tc>
              <w:tc>
                <w:tcPr>
                  <w:tcW w:w="2476"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批复要求</w:t>
                  </w:r>
                </w:p>
              </w:tc>
              <w:tc>
                <w:tcPr>
                  <w:tcW w:w="2352"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气</w:t>
                  </w:r>
                </w:p>
              </w:tc>
              <w:tc>
                <w:tcPr>
                  <w:tcW w:w="264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本项目喷砂粉尘排放满足《大气污染物综合排放标准》（GB16297-1996）中的要求；车间内焊接烟尘满足《工作场所有害因素职业接触限值》（GBZ2-2007）中工作场所焊接烟尘8小时时间加权平均浓度值≤4mg/m</w:t>
                  </w:r>
                  <w:r>
                    <w:rPr>
                      <w:rFonts w:hint="default" w:ascii="Times New Roman" w:hAnsi="Times New Roman" w:eastAsia="宋体" w:cs="Times New Roman"/>
                      <w:color w:val="000000"/>
                      <w:kern w:val="0"/>
                      <w:sz w:val="21"/>
                      <w:szCs w:val="21"/>
                      <w:vertAlign w:val="superscript"/>
                      <w:lang w:val="en-US" w:eastAsia="zh-CN" w:bidi="ar"/>
                    </w:rPr>
                    <w:t>3</w:t>
                  </w:r>
                </w:p>
              </w:tc>
              <w:tc>
                <w:tcPr>
                  <w:tcW w:w="2476"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运营期冬季采暖使用电暖气，待园区供热管网接通后采用集中供热。运营期废气污染物主要为焊接烟气、喷砂粉尘和食堂油烟废气。车间安装强制通风装置并配备移动式静电焊接烟气净化设备，确保焊接烟气达到《工作场所有害因素职业接触限值》（GBZ2-2007）中浓度限值要求；喷砂除锈在封闭喷砂室进行，并安装布袋除尘器对喷砂粉尘进行处理，处理后废气经15m高排气筒排放，确保厂界废气到达《大气污染物综合排放标准》（GB16297-1996）表2中新污染源大气污染物排放限值</w:t>
                  </w:r>
                </w:p>
              </w:tc>
              <w:tc>
                <w:tcPr>
                  <w:tcW w:w="2352"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运营期冬季不生产；车间安装排风扇并配备移动式静电焊接烟气净化设备；除锈车间做全封闭处理并安装布袋除尘器对喷砂粉尘进行处理，处理后废气经15m高排气筒排放，厂界废气满足《大气污染物综合排放标准》（GB16297-1996）表2中新污染源大气污染物排放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eastAsiaTheme="minorEastAsia"/>
                      <w:color w:val="000000"/>
                      <w:kern w:val="0"/>
                      <w:sz w:val="21"/>
                      <w:szCs w:val="21"/>
                      <w:vertAlign w:val="baseline"/>
                      <w:lang w:val="en-US" w:eastAsia="zh-CN" w:bidi="ar"/>
                    </w:rPr>
                  </w:pPr>
                </w:p>
              </w:tc>
              <w:tc>
                <w:tcPr>
                  <w:tcW w:w="264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安装封闭烘干喷漆室1套，采用折流板+过滤棉网去除漆雾颗粒物，然后通过活性炭吸附处理废气中的有机成分，排气筒高度15m。漆雾颗粒物排放浓度＜120mg/m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，排放速率＜3.5kg/h；非甲烷总烃排放浓120mg/m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，排放速率＜10kg/h</w:t>
                  </w:r>
                </w:p>
              </w:tc>
              <w:tc>
                <w:tcPr>
                  <w:tcW w:w="2476"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运营期喷漆使用干式喷漆烘干室，采用折流板+过滤棉网去除漆雾颗粒物，并采用活性炭吸附装置处理，处理后废气经15m高排气筒排放，排放有组织废气达到《大气污染物综合排放标准》（GB16297-1996）表2中新污染源二级排放限值要求。厂界大气污染物浓度须符合《大气污染物综合排放标准》（GB16297-1996）中无组织排放监控浓度限值二级标准限值要求</w:t>
                  </w:r>
                </w:p>
              </w:tc>
              <w:tc>
                <w:tcPr>
                  <w:tcW w:w="2352"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落实；喷漆房做全封闭处理，采用活性炭吸附装置处理，处理后废气经15m高排气筒排放。排放有组织废气满足《大气污染物综合排放标准》（GB16297-1996）表2中新污染源二级排放限值要求。厂界大气污染物浓度满足《大气污染物综合排放标准》（GB16297-1996）中无组织排放监控浓度限值二级标准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Merge w:val="continue"/>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eastAsiaTheme="minorEastAsia"/>
                      <w:color w:val="000000"/>
                      <w:kern w:val="0"/>
                      <w:sz w:val="21"/>
                      <w:szCs w:val="21"/>
                      <w:vertAlign w:val="baseline"/>
                      <w:lang w:val="en-US" w:eastAsia="zh-CN" w:bidi="ar"/>
                    </w:rPr>
                  </w:pPr>
                </w:p>
              </w:tc>
              <w:tc>
                <w:tcPr>
                  <w:tcW w:w="264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食堂油烟满足《饮食业油烟排放标准（试行）》（GB18483-2001）中油烟最高允许排放浓度≤2mg/m</w:t>
                  </w:r>
                  <w:r>
                    <w:rPr>
                      <w:rFonts w:hint="default" w:ascii="Times New Roman" w:hAnsi="Times New Roman" w:eastAsia="宋体" w:cs="Times New Roman"/>
                      <w:color w:val="000000"/>
                      <w:kern w:val="0"/>
                      <w:sz w:val="21"/>
                      <w:szCs w:val="21"/>
                      <w:vertAlign w:val="superscript"/>
                      <w:lang w:val="en-US" w:eastAsia="zh-CN" w:bidi="ar"/>
                    </w:rPr>
                    <w:t>3</w:t>
                  </w:r>
                </w:p>
              </w:tc>
              <w:tc>
                <w:tcPr>
                  <w:tcW w:w="2476"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食堂餐饮油烟采用油烟净化装置处理，保证油烟排放满足《饮食业油烟排放标准》（GB18483-2001）限值要求</w:t>
                  </w:r>
                </w:p>
              </w:tc>
              <w:tc>
                <w:tcPr>
                  <w:tcW w:w="2352"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落实；安装有油烟净化装置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废水</w:t>
                  </w:r>
                </w:p>
              </w:tc>
              <w:tc>
                <w:tcPr>
                  <w:tcW w:w="264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本项目运营期外排废水主要是生活废水，其中食堂经设隔油池处理后，然后与生活废水合并，经期项目污水经厂区预处理设施处理达标后用于厂区绿化，远期待园区管网接通后满足《污水综合排放标准》三级标准排入高新区排水管网，最终进入昌吉高新区科创污水处理有限公司污水处理厂理。对项目区水环境影响较小</w:t>
                  </w:r>
                </w:p>
              </w:tc>
              <w:tc>
                <w:tcPr>
                  <w:tcW w:w="2476"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运营期产生的废水为生活污水，近期经厂区预处理设施处理后冬储夏灌不外排，远期达到《污水综合排放标准》</w:t>
                  </w:r>
                  <w:r>
                    <w:rPr>
                      <w:rFonts w:hint="default" w:ascii="Times New Roman" w:hAnsi="Times New Roman" w:eastAsia="宋体" w:cs="Times New Roman"/>
                      <w:color w:val="000000"/>
                      <w:kern w:val="0"/>
                      <w:sz w:val="21"/>
                      <w:szCs w:val="21"/>
                      <w:lang w:val="en-US" w:eastAsia="zh-CN" w:bidi="ar"/>
                    </w:rPr>
                    <w:t>（GB8978-1996）三级标准纳管网排入园区污水处理厂集中处理</w:t>
                  </w:r>
                </w:p>
              </w:tc>
              <w:tc>
                <w:tcPr>
                  <w:tcW w:w="2352"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落实：运营期无生产废水，产生的废水为生活污水，经厂区防渗化粪池预处理后，定期由昌吉市新时代蓝领家政服务有限公司拉运至昌吉排水有限责任公司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噪声</w:t>
                  </w:r>
                </w:p>
              </w:tc>
              <w:tc>
                <w:tcPr>
                  <w:tcW w:w="264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本项目工程投产运行后，根据噪声预测结果，厂界噪声预测值能够满足《工业企业厂界环境噪声排放标准》（GB 12348-2003）中3类排放限值，采用本评价提出的综合降噪措施后，可确保厂界噪声达标排放，因此拟建项目运营期产生的噪声对周围环境影响不大</w:t>
                  </w:r>
                </w:p>
              </w:tc>
              <w:tc>
                <w:tcPr>
                  <w:tcW w:w="2476"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运营期产生的噪声主要为设备噪声，生产设备应配套减震隔声等辅助装置，同时加强厂区绿化，保证厂界噪声达到《工业企业厂界环境噪声排放标准》（GB 12348-2003）中3类排放限值要求</w:t>
                  </w:r>
                </w:p>
              </w:tc>
              <w:tc>
                <w:tcPr>
                  <w:tcW w:w="2352"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基本落实；通过减震基座、门窗隔声等处理措施，降低项目区厂界噪声分贝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固废</w:t>
                  </w:r>
                </w:p>
              </w:tc>
              <w:tc>
                <w:tcPr>
                  <w:tcW w:w="264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喷砂粉尘、喷砂砂料（主要成分是废铁渣）、焊渣、钢材加工边角料全部综合利用；生产过程中产生的废机油、乳化剂量约为0.4t/a，送具有危废处置资质的单位处理。废抹布、手套产生量约为1t/a，送具有危废处置资质的单位处理；生活垃圾集中收集到项目区垃圾收集站，由环卫部门运送到垃圾场处理</w:t>
                  </w:r>
                </w:p>
              </w:tc>
              <w:tc>
                <w:tcPr>
                  <w:tcW w:w="2476"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运营期产生的固废为生产固废、生活垃圾和隔油池油泥。生产固废中废喷砂料、边角料、喷砂粉尘和焊渣均综合利用；废机油、废乳化液、含油废手套和抹布等危险废物，委托有资质单位处置；隔油池油泥定期清理与生活垃圾一并交由环卫部门清运至垃圾处理场处置</w:t>
                  </w:r>
                </w:p>
              </w:tc>
              <w:tc>
                <w:tcPr>
                  <w:tcW w:w="2352"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落实；生产固废中废喷砂料、边角料、喷砂粉尘和焊渣均集中收集，定期运至皖北废品再生资源回收站回收再利用；废机油、废乳化液等为危险废物，交由新疆金派环保科技有限公司拉运进行处置；隔油池油泥定期清理与生活垃圾交由环卫部门清运至垃圾处理场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p>
              </w:tc>
              <w:tc>
                <w:tcPr>
                  <w:tcW w:w="264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w:t>
                  </w:r>
                </w:p>
              </w:tc>
              <w:tc>
                <w:tcPr>
                  <w:tcW w:w="2476"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运营期产生的喷漆固废为危险废物，需按照《危险废物贮存污染控制标准》（GB18597-2001）中相关要求设置规范的固体废物暂存场所，设立标识牌，妥善处置漆渣、废油漆桶、废稀释剂桶、废过滤网和废活性炭等危险废物，定期交由相应资质单位处置并严格按照《危险废物转移联单管理办法》（原国家环境保护总局令第5号）进行管理</w:t>
                  </w:r>
                </w:p>
              </w:tc>
              <w:tc>
                <w:tcPr>
                  <w:tcW w:w="2352"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落实；项目区已设置危废暂存间并设立标识牌，漆渣、废油漆桶、废稀释剂桶、废过滤网和废活性炭等危险废物，交由新疆金派环保科技有限公司拉运进行处置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其他</w:t>
                  </w:r>
                </w:p>
              </w:tc>
              <w:tc>
                <w:tcPr>
                  <w:tcW w:w="264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w:t>
                  </w:r>
                </w:p>
              </w:tc>
              <w:tc>
                <w:tcPr>
                  <w:tcW w:w="2476"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强化项目环境风险防范和应急措施，按照排污口规范化设置管理的相关规定设置各类排污口，并按要求标识</w:t>
                  </w:r>
                </w:p>
              </w:tc>
              <w:tc>
                <w:tcPr>
                  <w:tcW w:w="2352"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落实；按照排污口规范化设置管理的相关规定设置各类排污口，并按要求标识</w:t>
                  </w:r>
                </w:p>
              </w:tc>
            </w:tr>
          </w:tbl>
          <w:p>
            <w:pPr>
              <w:pStyle w:val="17"/>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default" w:ascii="Times New Roman" w:hAnsi="Times New Roman" w:cs="Times New Roman"/>
                <w:b/>
                <w:bCs/>
                <w:color w:val="000000"/>
                <w:sz w:val="28"/>
                <w:szCs w:val="28"/>
                <w:highlight w:val="none"/>
                <w:lang w:val="en-US" w:eastAsia="zh-CN"/>
              </w:rPr>
              <w:t>2.</w:t>
            </w:r>
            <w:r>
              <w:rPr>
                <w:rFonts w:hint="eastAsia" w:cs="Times New Roman"/>
                <w:b/>
                <w:bCs/>
                <w:color w:val="000000"/>
                <w:sz w:val="28"/>
                <w:szCs w:val="28"/>
                <w:highlight w:val="none"/>
                <w:lang w:val="en-US" w:eastAsia="zh-CN"/>
              </w:rPr>
              <w:t>4</w:t>
            </w:r>
            <w:r>
              <w:rPr>
                <w:rFonts w:hint="default" w:ascii="Times New Roman" w:hAnsi="Times New Roman" w:cs="Times New Roman"/>
                <w:b/>
                <w:bCs/>
                <w:color w:val="000000"/>
                <w:sz w:val="28"/>
                <w:szCs w:val="28"/>
                <w:highlight w:val="none"/>
                <w:lang w:val="en-US" w:eastAsia="zh-CN"/>
              </w:rPr>
              <w:t>污染物排</w:t>
            </w:r>
            <w:r>
              <w:rPr>
                <w:rFonts w:hint="eastAsia" w:cs="Times New Roman"/>
                <w:b/>
                <w:bCs/>
                <w:color w:val="000000"/>
                <w:sz w:val="28"/>
                <w:szCs w:val="28"/>
                <w:highlight w:val="none"/>
                <w:lang w:val="en-US" w:eastAsia="zh-CN"/>
              </w:rPr>
              <w:t>放量“三本账”分析</w:t>
            </w:r>
          </w:p>
          <w:p>
            <w:pPr>
              <w:pStyle w:val="17"/>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center"/>
              <w:textAlignment w:val="auto"/>
              <w:rPr>
                <w:rFonts w:hint="default" w:asciiTheme="minorEastAsia" w:hAnsiTheme="minorEastAsia" w:eastAsiaTheme="minorEastAsia" w:cstheme="minorEastAsia"/>
                <w:color w:val="FF0000"/>
                <w:kern w:val="0"/>
                <w:sz w:val="24"/>
                <w:szCs w:val="24"/>
                <w:highlight w:val="none"/>
                <w:lang w:val="en-US" w:eastAsia="zh-CN" w:bidi="ar"/>
              </w:rPr>
            </w:pPr>
            <w:r>
              <w:rPr>
                <w:rFonts w:hint="default" w:ascii="Times New Roman" w:hAnsi="Times New Roman" w:cs="Times New Roman" w:eastAsiaTheme="minorEastAsia"/>
                <w:b/>
                <w:bCs/>
                <w:color w:val="FF0000"/>
                <w:kern w:val="0"/>
                <w:sz w:val="21"/>
                <w:szCs w:val="21"/>
                <w:highlight w:val="none"/>
                <w:lang w:val="en-US" w:eastAsia="zh-CN" w:bidi="ar"/>
              </w:rPr>
              <w:t>表2</w:t>
            </w:r>
            <w:r>
              <w:rPr>
                <w:rFonts w:hint="eastAsia" w:cs="Times New Roman" w:eastAsiaTheme="minorEastAsia"/>
                <w:b/>
                <w:bCs/>
                <w:color w:val="FF0000"/>
                <w:kern w:val="0"/>
                <w:sz w:val="21"/>
                <w:szCs w:val="21"/>
                <w:highlight w:val="none"/>
                <w:lang w:val="en-US" w:eastAsia="zh-CN" w:bidi="ar"/>
              </w:rPr>
              <w:t>2</w:t>
            </w:r>
            <w:r>
              <w:rPr>
                <w:rFonts w:hint="default" w:ascii="Times New Roman" w:hAnsi="Times New Roman" w:cs="Times New Roman" w:eastAsiaTheme="minorEastAsia"/>
                <w:b/>
                <w:bCs/>
                <w:color w:val="FF0000"/>
                <w:kern w:val="0"/>
                <w:sz w:val="21"/>
                <w:szCs w:val="21"/>
                <w:highlight w:val="none"/>
                <w:lang w:val="en-US" w:eastAsia="zh-CN" w:bidi="ar"/>
              </w:rPr>
              <w:t xml:space="preserve">  污染物</w:t>
            </w:r>
            <w:r>
              <w:rPr>
                <w:rFonts w:hint="eastAsia" w:cs="Times New Roman" w:eastAsiaTheme="minorEastAsia"/>
                <w:b/>
                <w:bCs/>
                <w:color w:val="FF0000"/>
                <w:kern w:val="0"/>
                <w:sz w:val="21"/>
                <w:szCs w:val="21"/>
                <w:highlight w:val="none"/>
                <w:lang w:val="en-US" w:eastAsia="zh-CN" w:bidi="ar"/>
              </w:rPr>
              <w:t>排放</w:t>
            </w:r>
            <w:r>
              <w:rPr>
                <w:rFonts w:hint="default" w:ascii="Times New Roman" w:hAnsi="Times New Roman" w:cs="Times New Roman" w:eastAsiaTheme="minorEastAsia"/>
                <w:b/>
                <w:bCs/>
                <w:color w:val="FF0000"/>
                <w:kern w:val="0"/>
                <w:sz w:val="21"/>
                <w:szCs w:val="21"/>
                <w:highlight w:val="none"/>
                <w:lang w:val="en-US" w:eastAsia="zh-CN" w:bidi="ar"/>
              </w:rPr>
              <w:t>情况一览表</w:t>
            </w:r>
          </w:p>
          <w:tbl>
            <w:tblPr>
              <w:tblStyle w:val="19"/>
              <w:tblW w:w="8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79"/>
              <w:gridCol w:w="1080"/>
              <w:gridCol w:w="1114"/>
              <w:gridCol w:w="1207"/>
              <w:gridCol w:w="1568"/>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类别</w:t>
                  </w: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污染物名称</w:t>
                  </w:r>
                </w:p>
              </w:tc>
              <w:tc>
                <w:tcPr>
                  <w:tcW w:w="1080"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原有项目排放量</w:t>
                  </w:r>
                </w:p>
              </w:tc>
              <w:tc>
                <w:tcPr>
                  <w:tcW w:w="111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本项目排放量</w:t>
                  </w:r>
                </w:p>
              </w:tc>
              <w:tc>
                <w:tcPr>
                  <w:tcW w:w="120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以新带老消减量</w:t>
                  </w:r>
                </w:p>
              </w:tc>
              <w:tc>
                <w:tcPr>
                  <w:tcW w:w="1568"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扩建工程完成后的总排放量</w:t>
                  </w: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增减量变化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废气</w:t>
                  </w: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VOCs</w:t>
                  </w:r>
                </w:p>
              </w:tc>
              <w:tc>
                <w:tcPr>
                  <w:tcW w:w="1080"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w:t>
                  </w:r>
                </w:p>
              </w:tc>
              <w:tc>
                <w:tcPr>
                  <w:tcW w:w="111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0.0</w:t>
                  </w:r>
                  <w:r>
                    <w:rPr>
                      <w:rFonts w:hint="eastAsia" w:cs="Times New Roman"/>
                      <w:b w:val="0"/>
                      <w:bCs w:val="0"/>
                      <w:color w:val="FF0000"/>
                      <w:kern w:val="0"/>
                      <w:sz w:val="21"/>
                      <w:szCs w:val="21"/>
                      <w:highlight w:val="none"/>
                      <w:vertAlign w:val="baseline"/>
                      <w:lang w:val="en-US" w:eastAsia="zh-CN" w:bidi="ar"/>
                    </w:rPr>
                    <w:t>086</w:t>
                  </w:r>
                  <w:r>
                    <w:rPr>
                      <w:rFonts w:hint="eastAsia" w:eastAsia="宋体" w:cs="Times New Roman"/>
                      <w:b w:val="0"/>
                      <w:bCs w:val="0"/>
                      <w:color w:val="FF0000"/>
                      <w:kern w:val="0"/>
                      <w:sz w:val="21"/>
                      <w:szCs w:val="21"/>
                      <w:highlight w:val="none"/>
                      <w:vertAlign w:val="baseline"/>
                      <w:lang w:val="en-US" w:eastAsia="zh-CN" w:bidi="ar"/>
                    </w:rPr>
                    <w:t>t/a</w:t>
                  </w:r>
                </w:p>
              </w:tc>
              <w:tc>
                <w:tcPr>
                  <w:tcW w:w="120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w:t>
                  </w:r>
                </w:p>
              </w:tc>
              <w:tc>
                <w:tcPr>
                  <w:tcW w:w="1568"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0.0</w:t>
                  </w:r>
                  <w:r>
                    <w:rPr>
                      <w:rFonts w:hint="eastAsia" w:cs="Times New Roman"/>
                      <w:b w:val="0"/>
                      <w:bCs w:val="0"/>
                      <w:color w:val="FF0000"/>
                      <w:kern w:val="0"/>
                      <w:sz w:val="21"/>
                      <w:szCs w:val="21"/>
                      <w:highlight w:val="none"/>
                      <w:vertAlign w:val="baseline"/>
                      <w:lang w:val="en-US" w:eastAsia="zh-CN" w:bidi="ar"/>
                    </w:rPr>
                    <w:t>086</w:t>
                  </w:r>
                  <w:r>
                    <w:rPr>
                      <w:rFonts w:hint="eastAsia" w:eastAsia="宋体" w:cs="Times New Roman"/>
                      <w:b w:val="0"/>
                      <w:bCs w:val="0"/>
                      <w:color w:val="FF0000"/>
                      <w:kern w:val="0"/>
                      <w:sz w:val="21"/>
                      <w:szCs w:val="21"/>
                      <w:highlight w:val="none"/>
                      <w:vertAlign w:val="baseline"/>
                      <w:lang w:val="en-US" w:eastAsia="zh-CN" w:bidi="ar"/>
                    </w:rPr>
                    <w:t>t/a</w:t>
                  </w: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cs="Times New Roman"/>
                      <w:b w:val="0"/>
                      <w:bCs w:val="0"/>
                      <w:color w:val="FF0000"/>
                      <w:kern w:val="0"/>
                      <w:sz w:val="21"/>
                      <w:szCs w:val="21"/>
                      <w:highlight w:val="none"/>
                      <w:vertAlign w:val="baseline"/>
                      <w:lang w:val="en-US" w:eastAsia="zh-CN" w:bidi="ar"/>
                    </w:rPr>
                    <w:t>+</w:t>
                  </w:r>
                  <w:r>
                    <w:rPr>
                      <w:rFonts w:hint="eastAsia" w:eastAsia="宋体" w:cs="Times New Roman"/>
                      <w:b w:val="0"/>
                      <w:bCs w:val="0"/>
                      <w:color w:val="FF0000"/>
                      <w:kern w:val="0"/>
                      <w:sz w:val="21"/>
                      <w:szCs w:val="21"/>
                      <w:highlight w:val="none"/>
                      <w:vertAlign w:val="baseline"/>
                      <w:lang w:val="en-US" w:eastAsia="zh-CN" w:bidi="ar"/>
                    </w:rPr>
                    <w:t>0.0</w:t>
                  </w:r>
                  <w:r>
                    <w:rPr>
                      <w:rFonts w:hint="eastAsia" w:cs="Times New Roman"/>
                      <w:b w:val="0"/>
                      <w:bCs w:val="0"/>
                      <w:color w:val="FF0000"/>
                      <w:kern w:val="0"/>
                      <w:sz w:val="21"/>
                      <w:szCs w:val="21"/>
                      <w:highlight w:val="none"/>
                      <w:vertAlign w:val="baseline"/>
                      <w:lang w:val="en-US" w:eastAsia="zh-CN" w:bidi="ar"/>
                    </w:rPr>
                    <w:t>086</w:t>
                  </w:r>
                  <w:r>
                    <w:rPr>
                      <w:rFonts w:hint="eastAsia" w:eastAsia="宋体" w:cs="Times New Roman"/>
                      <w:b w:val="0"/>
                      <w:bCs w:val="0"/>
                      <w:color w:val="FF0000"/>
                      <w:kern w:val="0"/>
                      <w:sz w:val="21"/>
                      <w:szCs w:val="21"/>
                      <w:highlight w:val="none"/>
                      <w:vertAlign w:val="baseline"/>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颗粒物</w:t>
                  </w:r>
                </w:p>
              </w:tc>
              <w:tc>
                <w:tcPr>
                  <w:tcW w:w="1080"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0.29t/a</w:t>
                  </w:r>
                </w:p>
              </w:tc>
              <w:tc>
                <w:tcPr>
                  <w:tcW w:w="111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0.0</w:t>
                  </w:r>
                  <w:r>
                    <w:rPr>
                      <w:rFonts w:hint="eastAsia" w:cs="Times New Roman"/>
                      <w:b w:val="0"/>
                      <w:bCs w:val="0"/>
                      <w:color w:val="FF0000"/>
                      <w:kern w:val="0"/>
                      <w:sz w:val="21"/>
                      <w:szCs w:val="21"/>
                      <w:highlight w:val="none"/>
                      <w:vertAlign w:val="baseline"/>
                      <w:lang w:val="en-US" w:eastAsia="zh-CN" w:bidi="ar"/>
                    </w:rPr>
                    <w:t>126</w:t>
                  </w:r>
                  <w:r>
                    <w:rPr>
                      <w:rFonts w:hint="eastAsia" w:eastAsia="宋体" w:cs="Times New Roman"/>
                      <w:b w:val="0"/>
                      <w:bCs w:val="0"/>
                      <w:color w:val="FF0000"/>
                      <w:kern w:val="0"/>
                      <w:sz w:val="21"/>
                      <w:szCs w:val="21"/>
                      <w:highlight w:val="none"/>
                      <w:vertAlign w:val="baseline"/>
                      <w:lang w:val="en-US" w:eastAsia="zh-CN" w:bidi="ar"/>
                    </w:rPr>
                    <w:t>t/a</w:t>
                  </w:r>
                </w:p>
              </w:tc>
              <w:tc>
                <w:tcPr>
                  <w:tcW w:w="120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w:t>
                  </w:r>
                </w:p>
              </w:tc>
              <w:tc>
                <w:tcPr>
                  <w:tcW w:w="1568"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w:t>
                  </w:r>
                  <w:r>
                    <w:rPr>
                      <w:rFonts w:hint="eastAsia" w:cs="Times New Roman"/>
                      <w:b w:val="0"/>
                      <w:bCs w:val="0"/>
                      <w:color w:val="FF0000"/>
                      <w:kern w:val="0"/>
                      <w:sz w:val="21"/>
                      <w:szCs w:val="21"/>
                      <w:highlight w:val="none"/>
                      <w:vertAlign w:val="baseline"/>
                      <w:lang w:val="en-US" w:eastAsia="zh-CN" w:bidi="ar"/>
                    </w:rPr>
                    <w:t>3026</w:t>
                  </w:r>
                  <w:r>
                    <w:rPr>
                      <w:rFonts w:hint="eastAsia" w:eastAsia="宋体" w:cs="Times New Roman"/>
                      <w:b w:val="0"/>
                      <w:bCs w:val="0"/>
                      <w:color w:val="FF0000"/>
                      <w:kern w:val="0"/>
                      <w:sz w:val="21"/>
                      <w:szCs w:val="21"/>
                      <w:highlight w:val="none"/>
                      <w:vertAlign w:val="baseline"/>
                      <w:lang w:val="en-US" w:eastAsia="zh-CN" w:bidi="ar"/>
                    </w:rPr>
                    <w:t>t/a</w:t>
                  </w: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cs="Times New Roman"/>
                      <w:b w:val="0"/>
                      <w:bCs w:val="0"/>
                      <w:color w:val="FF0000"/>
                      <w:kern w:val="0"/>
                      <w:sz w:val="21"/>
                      <w:szCs w:val="21"/>
                      <w:highlight w:val="none"/>
                      <w:vertAlign w:val="baseline"/>
                      <w:lang w:val="en-US" w:eastAsia="zh-CN" w:bidi="ar"/>
                    </w:rPr>
                    <w:t>+</w:t>
                  </w:r>
                  <w:r>
                    <w:rPr>
                      <w:rFonts w:hint="eastAsia" w:eastAsia="宋体" w:cs="Times New Roman"/>
                      <w:b w:val="0"/>
                      <w:bCs w:val="0"/>
                      <w:color w:val="FF0000"/>
                      <w:kern w:val="0"/>
                      <w:sz w:val="21"/>
                      <w:szCs w:val="21"/>
                      <w:highlight w:val="none"/>
                      <w:vertAlign w:val="baseline"/>
                      <w:lang w:val="en-US" w:eastAsia="zh-CN" w:bidi="ar"/>
                    </w:rPr>
                    <w:t>0.0</w:t>
                  </w:r>
                  <w:r>
                    <w:rPr>
                      <w:rFonts w:hint="eastAsia" w:cs="Times New Roman"/>
                      <w:b w:val="0"/>
                      <w:bCs w:val="0"/>
                      <w:color w:val="FF0000"/>
                      <w:kern w:val="0"/>
                      <w:sz w:val="21"/>
                      <w:szCs w:val="21"/>
                      <w:highlight w:val="none"/>
                      <w:vertAlign w:val="baseline"/>
                      <w:lang w:val="en-US" w:eastAsia="zh-CN" w:bidi="ar"/>
                    </w:rPr>
                    <w:t>126</w:t>
                  </w:r>
                  <w:r>
                    <w:rPr>
                      <w:rFonts w:hint="eastAsia" w:eastAsia="宋体" w:cs="Times New Roman"/>
                      <w:b w:val="0"/>
                      <w:bCs w:val="0"/>
                      <w:color w:val="FF0000"/>
                      <w:kern w:val="0"/>
                      <w:sz w:val="21"/>
                      <w:szCs w:val="21"/>
                      <w:highlight w:val="none"/>
                      <w:vertAlign w:val="baseline"/>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废水</w:t>
                  </w: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COD</w:t>
                  </w:r>
                  <w:r>
                    <w:rPr>
                      <w:rFonts w:hint="eastAsia" w:eastAsia="宋体" w:cs="Times New Roman"/>
                      <w:b w:val="0"/>
                      <w:bCs w:val="0"/>
                      <w:color w:val="FF0000"/>
                      <w:kern w:val="0"/>
                      <w:sz w:val="21"/>
                      <w:szCs w:val="21"/>
                      <w:highlight w:val="none"/>
                      <w:vertAlign w:val="subscript"/>
                      <w:lang w:val="en-US" w:eastAsia="zh-CN" w:bidi="ar"/>
                    </w:rPr>
                    <w:t>cr</w:t>
                  </w:r>
                </w:p>
              </w:tc>
              <w:tc>
                <w:tcPr>
                  <w:tcW w:w="1080"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0.42t/a</w:t>
                  </w:r>
                </w:p>
              </w:tc>
              <w:tc>
                <w:tcPr>
                  <w:tcW w:w="111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0.0314t/a</w:t>
                  </w:r>
                </w:p>
              </w:tc>
              <w:tc>
                <w:tcPr>
                  <w:tcW w:w="120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w:t>
                  </w:r>
                </w:p>
              </w:tc>
              <w:tc>
                <w:tcPr>
                  <w:tcW w:w="1568"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w:t>
                  </w:r>
                  <w:r>
                    <w:rPr>
                      <w:rFonts w:hint="eastAsia" w:cs="Times New Roman"/>
                      <w:b w:val="0"/>
                      <w:bCs w:val="0"/>
                      <w:color w:val="FF0000"/>
                      <w:kern w:val="0"/>
                      <w:sz w:val="21"/>
                      <w:szCs w:val="21"/>
                      <w:highlight w:val="none"/>
                      <w:vertAlign w:val="baseline"/>
                      <w:lang w:val="en-US" w:eastAsia="zh-CN" w:bidi="ar"/>
                    </w:rPr>
                    <w:t>45</w:t>
                  </w:r>
                  <w:r>
                    <w:rPr>
                      <w:rFonts w:hint="eastAsia" w:eastAsia="宋体" w:cs="Times New Roman"/>
                      <w:b w:val="0"/>
                      <w:bCs w:val="0"/>
                      <w:color w:val="FF0000"/>
                      <w:kern w:val="0"/>
                      <w:sz w:val="21"/>
                      <w:szCs w:val="21"/>
                      <w:highlight w:val="none"/>
                      <w:vertAlign w:val="baseline"/>
                      <w:lang w:val="en-US" w:eastAsia="zh-CN" w:bidi="ar"/>
                    </w:rPr>
                    <w:t>14t/a</w:t>
                  </w: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cs="Times New Roman"/>
                      <w:b w:val="0"/>
                      <w:bCs w:val="0"/>
                      <w:color w:val="FF0000"/>
                      <w:kern w:val="0"/>
                      <w:sz w:val="21"/>
                      <w:szCs w:val="21"/>
                      <w:highlight w:val="none"/>
                      <w:vertAlign w:val="baseline"/>
                      <w:lang w:val="en-US" w:eastAsia="zh-CN" w:bidi="ar"/>
                    </w:rPr>
                    <w:t>+</w:t>
                  </w:r>
                  <w:r>
                    <w:rPr>
                      <w:rFonts w:hint="eastAsia" w:eastAsia="宋体" w:cs="Times New Roman"/>
                      <w:b w:val="0"/>
                      <w:bCs w:val="0"/>
                      <w:color w:val="FF0000"/>
                      <w:kern w:val="0"/>
                      <w:sz w:val="21"/>
                      <w:szCs w:val="21"/>
                      <w:highlight w:val="none"/>
                      <w:vertAlign w:val="baseline"/>
                      <w:lang w:val="en-US" w:eastAsia="zh-CN" w:bidi="ar"/>
                    </w:rPr>
                    <w:t>0.0314t/a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s="Times New Roman"/>
                      <w:b w:val="0"/>
                      <w:bCs w:val="0"/>
                      <w:color w:val="FF0000"/>
                      <w:kern w:val="0"/>
                      <w:sz w:val="21"/>
                      <w:szCs w:val="21"/>
                      <w:highlight w:val="none"/>
                      <w:vertAlign w:val="baseline"/>
                      <w:lang w:val="en-US" w:eastAsia="zh-CN" w:bidi="ar"/>
                    </w:rPr>
                  </w:pP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BOD</w:t>
                  </w:r>
                  <w:r>
                    <w:rPr>
                      <w:rFonts w:hint="eastAsia" w:eastAsia="宋体" w:cs="Times New Roman"/>
                      <w:b w:val="0"/>
                      <w:bCs w:val="0"/>
                      <w:color w:val="FF0000"/>
                      <w:kern w:val="0"/>
                      <w:sz w:val="21"/>
                      <w:szCs w:val="21"/>
                      <w:highlight w:val="none"/>
                      <w:vertAlign w:val="subscript"/>
                      <w:lang w:val="en-US" w:eastAsia="zh-CN" w:bidi="ar"/>
                    </w:rPr>
                    <w:t>5</w:t>
                  </w:r>
                </w:p>
              </w:tc>
              <w:tc>
                <w:tcPr>
                  <w:tcW w:w="1080"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0.2t/a</w:t>
                  </w:r>
                </w:p>
              </w:tc>
              <w:tc>
                <w:tcPr>
                  <w:tcW w:w="111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0.018t/a</w:t>
                  </w:r>
                </w:p>
              </w:tc>
              <w:tc>
                <w:tcPr>
                  <w:tcW w:w="120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w:t>
                  </w:r>
                </w:p>
              </w:tc>
              <w:tc>
                <w:tcPr>
                  <w:tcW w:w="1568"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w:t>
                  </w:r>
                  <w:r>
                    <w:rPr>
                      <w:rFonts w:hint="eastAsia" w:cs="Times New Roman"/>
                      <w:b w:val="0"/>
                      <w:bCs w:val="0"/>
                      <w:color w:val="FF0000"/>
                      <w:kern w:val="0"/>
                      <w:sz w:val="21"/>
                      <w:szCs w:val="21"/>
                      <w:highlight w:val="none"/>
                      <w:vertAlign w:val="baseline"/>
                      <w:lang w:val="en-US" w:eastAsia="zh-CN" w:bidi="ar"/>
                    </w:rPr>
                    <w:t>2</w:t>
                  </w:r>
                  <w:r>
                    <w:rPr>
                      <w:rFonts w:hint="eastAsia" w:eastAsia="宋体" w:cs="Times New Roman"/>
                      <w:b w:val="0"/>
                      <w:bCs w:val="0"/>
                      <w:color w:val="FF0000"/>
                      <w:kern w:val="0"/>
                      <w:sz w:val="21"/>
                      <w:szCs w:val="21"/>
                      <w:highlight w:val="none"/>
                      <w:vertAlign w:val="baseline"/>
                      <w:lang w:val="en-US" w:eastAsia="zh-CN" w:bidi="ar"/>
                    </w:rPr>
                    <w:t>18t/a</w:t>
                  </w: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cs="Times New Roman"/>
                      <w:b w:val="0"/>
                      <w:bCs w:val="0"/>
                      <w:color w:val="FF0000"/>
                      <w:kern w:val="0"/>
                      <w:sz w:val="21"/>
                      <w:szCs w:val="21"/>
                      <w:highlight w:val="none"/>
                      <w:vertAlign w:val="baseline"/>
                      <w:lang w:val="en-US" w:eastAsia="zh-CN" w:bidi="ar"/>
                    </w:rPr>
                    <w:t>+</w:t>
                  </w:r>
                  <w:r>
                    <w:rPr>
                      <w:rFonts w:hint="eastAsia" w:eastAsia="宋体" w:cs="Times New Roman"/>
                      <w:b w:val="0"/>
                      <w:bCs w:val="0"/>
                      <w:color w:val="FF0000"/>
                      <w:kern w:val="0"/>
                      <w:sz w:val="21"/>
                      <w:szCs w:val="21"/>
                      <w:highlight w:val="none"/>
                      <w:vertAlign w:val="baseline"/>
                      <w:lang w:val="en-US" w:eastAsia="zh-CN" w:bidi="ar"/>
                    </w:rPr>
                    <w:t>0.018t/a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s="Times New Roman"/>
                      <w:b w:val="0"/>
                      <w:bCs w:val="0"/>
                      <w:color w:val="FF0000"/>
                      <w:kern w:val="0"/>
                      <w:sz w:val="21"/>
                      <w:szCs w:val="21"/>
                      <w:highlight w:val="none"/>
                      <w:vertAlign w:val="baseline"/>
                      <w:lang w:val="en-US" w:eastAsia="zh-CN" w:bidi="ar"/>
                    </w:rPr>
                  </w:pP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SS</w:t>
                  </w:r>
                </w:p>
              </w:tc>
              <w:tc>
                <w:tcPr>
                  <w:tcW w:w="1080"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0.21t/a</w:t>
                  </w:r>
                </w:p>
              </w:tc>
              <w:tc>
                <w:tcPr>
                  <w:tcW w:w="111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0.0224t/a</w:t>
                  </w:r>
                </w:p>
              </w:tc>
              <w:tc>
                <w:tcPr>
                  <w:tcW w:w="120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w:t>
                  </w:r>
                </w:p>
              </w:tc>
              <w:tc>
                <w:tcPr>
                  <w:tcW w:w="1568"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w:t>
                  </w:r>
                  <w:r>
                    <w:rPr>
                      <w:rFonts w:hint="eastAsia" w:cs="Times New Roman"/>
                      <w:b w:val="0"/>
                      <w:bCs w:val="0"/>
                      <w:color w:val="FF0000"/>
                      <w:kern w:val="0"/>
                      <w:sz w:val="21"/>
                      <w:szCs w:val="21"/>
                      <w:highlight w:val="none"/>
                      <w:vertAlign w:val="baseline"/>
                      <w:lang w:val="en-US" w:eastAsia="zh-CN" w:bidi="ar"/>
                    </w:rPr>
                    <w:t>23</w:t>
                  </w:r>
                  <w:r>
                    <w:rPr>
                      <w:rFonts w:hint="eastAsia" w:eastAsia="宋体" w:cs="Times New Roman"/>
                      <w:b w:val="0"/>
                      <w:bCs w:val="0"/>
                      <w:color w:val="FF0000"/>
                      <w:kern w:val="0"/>
                      <w:sz w:val="21"/>
                      <w:szCs w:val="21"/>
                      <w:highlight w:val="none"/>
                      <w:vertAlign w:val="baseline"/>
                      <w:lang w:val="en-US" w:eastAsia="zh-CN" w:bidi="ar"/>
                    </w:rPr>
                    <w:t>24t/a</w:t>
                  </w: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cs="Times New Roman"/>
                      <w:b w:val="0"/>
                      <w:bCs w:val="0"/>
                      <w:color w:val="FF0000"/>
                      <w:kern w:val="0"/>
                      <w:sz w:val="21"/>
                      <w:szCs w:val="21"/>
                      <w:highlight w:val="none"/>
                      <w:vertAlign w:val="baseline"/>
                      <w:lang w:val="en-US" w:eastAsia="zh-CN" w:bidi="ar"/>
                    </w:rPr>
                    <w:t>+</w:t>
                  </w:r>
                  <w:r>
                    <w:rPr>
                      <w:rFonts w:hint="eastAsia" w:eastAsia="宋体" w:cs="Times New Roman"/>
                      <w:b w:val="0"/>
                      <w:bCs w:val="0"/>
                      <w:color w:val="FF0000"/>
                      <w:kern w:val="0"/>
                      <w:sz w:val="21"/>
                      <w:szCs w:val="21"/>
                      <w:highlight w:val="none"/>
                      <w:vertAlign w:val="baseline"/>
                      <w:lang w:val="en-US" w:eastAsia="zh-CN" w:bidi="ar"/>
                    </w:rPr>
                    <w:t>0.0224t/a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s="Times New Roman"/>
                      <w:b w:val="0"/>
                      <w:bCs w:val="0"/>
                      <w:color w:val="FF0000"/>
                      <w:kern w:val="0"/>
                      <w:sz w:val="21"/>
                      <w:szCs w:val="21"/>
                      <w:highlight w:val="none"/>
                      <w:vertAlign w:val="baseline"/>
                      <w:lang w:val="en-US" w:eastAsia="zh-CN" w:bidi="ar"/>
                    </w:rPr>
                  </w:pP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NH</w:t>
                  </w:r>
                  <w:r>
                    <w:rPr>
                      <w:rFonts w:hint="eastAsia" w:eastAsia="宋体" w:cs="Times New Roman"/>
                      <w:b w:val="0"/>
                      <w:bCs w:val="0"/>
                      <w:color w:val="FF0000"/>
                      <w:kern w:val="0"/>
                      <w:sz w:val="21"/>
                      <w:szCs w:val="21"/>
                      <w:highlight w:val="none"/>
                      <w:vertAlign w:val="subscript"/>
                      <w:lang w:val="en-US" w:eastAsia="zh-CN" w:bidi="ar"/>
                    </w:rPr>
                    <w:t>3</w:t>
                  </w:r>
                  <w:r>
                    <w:rPr>
                      <w:rFonts w:hint="eastAsia" w:eastAsia="宋体" w:cs="Times New Roman"/>
                      <w:b w:val="0"/>
                      <w:bCs w:val="0"/>
                      <w:color w:val="FF0000"/>
                      <w:kern w:val="0"/>
                      <w:sz w:val="21"/>
                      <w:szCs w:val="21"/>
                      <w:highlight w:val="none"/>
                      <w:vertAlign w:val="baseline"/>
                      <w:lang w:val="en-US" w:eastAsia="zh-CN" w:bidi="ar"/>
                    </w:rPr>
                    <w:t>-N</w:t>
                  </w:r>
                </w:p>
              </w:tc>
              <w:tc>
                <w:tcPr>
                  <w:tcW w:w="1080"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0.03t/a</w:t>
                  </w:r>
                </w:p>
              </w:tc>
              <w:tc>
                <w:tcPr>
                  <w:tcW w:w="111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0.0031t/a</w:t>
                  </w:r>
                </w:p>
              </w:tc>
              <w:tc>
                <w:tcPr>
                  <w:tcW w:w="120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w:t>
                  </w:r>
                </w:p>
              </w:tc>
              <w:tc>
                <w:tcPr>
                  <w:tcW w:w="1568"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0.0</w:t>
                  </w:r>
                  <w:r>
                    <w:rPr>
                      <w:rFonts w:hint="eastAsia" w:cs="Times New Roman"/>
                      <w:b w:val="0"/>
                      <w:bCs w:val="0"/>
                      <w:color w:val="FF0000"/>
                      <w:kern w:val="0"/>
                      <w:sz w:val="21"/>
                      <w:szCs w:val="21"/>
                      <w:highlight w:val="none"/>
                      <w:vertAlign w:val="baseline"/>
                      <w:lang w:val="en-US" w:eastAsia="zh-CN" w:bidi="ar"/>
                    </w:rPr>
                    <w:t>3</w:t>
                  </w:r>
                  <w:r>
                    <w:rPr>
                      <w:rFonts w:hint="eastAsia" w:eastAsia="宋体" w:cs="Times New Roman"/>
                      <w:b w:val="0"/>
                      <w:bCs w:val="0"/>
                      <w:color w:val="FF0000"/>
                      <w:kern w:val="0"/>
                      <w:sz w:val="21"/>
                      <w:szCs w:val="21"/>
                      <w:highlight w:val="none"/>
                      <w:vertAlign w:val="baseline"/>
                      <w:lang w:val="en-US" w:eastAsia="zh-CN" w:bidi="ar"/>
                    </w:rPr>
                    <w:t>31t/a</w:t>
                  </w: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cs="Times New Roman"/>
                      <w:b w:val="0"/>
                      <w:bCs w:val="0"/>
                      <w:color w:val="FF0000"/>
                      <w:kern w:val="0"/>
                      <w:sz w:val="21"/>
                      <w:szCs w:val="21"/>
                      <w:highlight w:val="none"/>
                      <w:vertAlign w:val="baseline"/>
                      <w:lang w:val="en-US" w:eastAsia="zh-CN" w:bidi="ar"/>
                    </w:rPr>
                    <w:t>+</w:t>
                  </w:r>
                  <w:r>
                    <w:rPr>
                      <w:rFonts w:hint="eastAsia" w:eastAsia="宋体" w:cs="Times New Roman"/>
                      <w:b w:val="0"/>
                      <w:bCs w:val="0"/>
                      <w:color w:val="FF0000"/>
                      <w:kern w:val="0"/>
                      <w:sz w:val="21"/>
                      <w:szCs w:val="21"/>
                      <w:highlight w:val="none"/>
                      <w:vertAlign w:val="baseline"/>
                      <w:lang w:val="en-US" w:eastAsia="zh-CN" w:bidi="ar"/>
                    </w:rPr>
                    <w:t>0.0031t/a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固废</w:t>
                  </w: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一般固废</w:t>
                  </w:r>
                </w:p>
              </w:tc>
              <w:tc>
                <w:tcPr>
                  <w:tcW w:w="1080"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74.3t/a</w:t>
                  </w:r>
                </w:p>
              </w:tc>
              <w:tc>
                <w:tcPr>
                  <w:tcW w:w="111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cs="Times New Roman"/>
                      <w:b w:val="0"/>
                      <w:bCs w:val="0"/>
                      <w:color w:val="FF0000"/>
                      <w:kern w:val="0"/>
                      <w:sz w:val="21"/>
                      <w:szCs w:val="21"/>
                      <w:highlight w:val="none"/>
                      <w:vertAlign w:val="baseline"/>
                      <w:lang w:val="en-US" w:eastAsia="zh-CN" w:bidi="ar"/>
                    </w:rPr>
                    <w:t>7</w:t>
                  </w:r>
                  <w:r>
                    <w:rPr>
                      <w:rFonts w:hint="eastAsia" w:eastAsia="宋体" w:cs="Times New Roman"/>
                      <w:b w:val="0"/>
                      <w:bCs w:val="0"/>
                      <w:color w:val="FF0000"/>
                      <w:kern w:val="0"/>
                      <w:sz w:val="21"/>
                      <w:szCs w:val="21"/>
                      <w:highlight w:val="none"/>
                      <w:vertAlign w:val="baseline"/>
                      <w:lang w:val="en-US" w:eastAsia="zh-CN" w:bidi="ar"/>
                    </w:rPr>
                    <w:t>.</w:t>
                  </w:r>
                  <w:r>
                    <w:rPr>
                      <w:rFonts w:hint="eastAsia" w:cs="Times New Roman"/>
                      <w:b w:val="0"/>
                      <w:bCs w:val="0"/>
                      <w:color w:val="FF0000"/>
                      <w:kern w:val="0"/>
                      <w:sz w:val="21"/>
                      <w:szCs w:val="21"/>
                      <w:highlight w:val="none"/>
                      <w:vertAlign w:val="baseline"/>
                      <w:lang w:val="en-US" w:eastAsia="zh-CN" w:bidi="ar"/>
                    </w:rPr>
                    <w:t>4</w:t>
                  </w:r>
                  <w:r>
                    <w:rPr>
                      <w:rFonts w:hint="eastAsia" w:eastAsia="宋体" w:cs="Times New Roman"/>
                      <w:b w:val="0"/>
                      <w:bCs w:val="0"/>
                      <w:color w:val="FF0000"/>
                      <w:kern w:val="0"/>
                      <w:sz w:val="21"/>
                      <w:szCs w:val="21"/>
                      <w:highlight w:val="none"/>
                      <w:vertAlign w:val="baseline"/>
                      <w:lang w:val="en-US" w:eastAsia="zh-CN" w:bidi="ar"/>
                    </w:rPr>
                    <w:t>2t/a</w:t>
                  </w:r>
                </w:p>
              </w:tc>
              <w:tc>
                <w:tcPr>
                  <w:tcW w:w="120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w:t>
                  </w:r>
                </w:p>
              </w:tc>
              <w:tc>
                <w:tcPr>
                  <w:tcW w:w="1568"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cs="Times New Roman"/>
                      <w:b w:val="0"/>
                      <w:bCs w:val="0"/>
                      <w:color w:val="FF0000"/>
                      <w:kern w:val="0"/>
                      <w:sz w:val="21"/>
                      <w:szCs w:val="21"/>
                      <w:highlight w:val="none"/>
                      <w:vertAlign w:val="baseline"/>
                      <w:lang w:val="en-US" w:eastAsia="zh-CN" w:bidi="ar"/>
                    </w:rPr>
                    <w:t>81.72</w:t>
                  </w:r>
                  <w:r>
                    <w:rPr>
                      <w:rFonts w:hint="eastAsia" w:eastAsia="宋体" w:cs="Times New Roman"/>
                      <w:b w:val="0"/>
                      <w:bCs w:val="0"/>
                      <w:color w:val="FF0000"/>
                      <w:kern w:val="0"/>
                      <w:sz w:val="21"/>
                      <w:szCs w:val="21"/>
                      <w:highlight w:val="none"/>
                      <w:vertAlign w:val="baseline"/>
                      <w:lang w:val="en-US" w:eastAsia="zh-CN" w:bidi="ar"/>
                    </w:rPr>
                    <w:t>t/a</w:t>
                  </w: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cs="Times New Roman"/>
                      <w:b w:val="0"/>
                      <w:bCs w:val="0"/>
                      <w:color w:val="FF0000"/>
                      <w:kern w:val="0"/>
                      <w:sz w:val="21"/>
                      <w:szCs w:val="21"/>
                      <w:highlight w:val="none"/>
                      <w:vertAlign w:val="baseline"/>
                      <w:lang w:val="en-US" w:eastAsia="zh-CN" w:bidi="ar"/>
                    </w:rPr>
                    <w:t>+</w:t>
                  </w:r>
                  <w:r>
                    <w:rPr>
                      <w:rFonts w:hint="eastAsia" w:eastAsia="宋体" w:cs="Times New Roman"/>
                      <w:b w:val="0"/>
                      <w:bCs w:val="0"/>
                      <w:color w:val="FF0000"/>
                      <w:kern w:val="0"/>
                      <w:sz w:val="21"/>
                      <w:szCs w:val="21"/>
                      <w:highlight w:val="none"/>
                      <w:vertAlign w:val="baseline"/>
                      <w:lang w:val="en-US" w:eastAsia="zh-CN" w:bidi="ar"/>
                    </w:rPr>
                    <w:t>7.42t/a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s="Times New Roman"/>
                      <w:b w:val="0"/>
                      <w:bCs w:val="0"/>
                      <w:color w:val="FF0000"/>
                      <w:kern w:val="0"/>
                      <w:sz w:val="21"/>
                      <w:szCs w:val="21"/>
                      <w:highlight w:val="none"/>
                      <w:vertAlign w:val="baseline"/>
                      <w:lang w:val="en-US" w:eastAsia="zh-CN" w:bidi="ar"/>
                    </w:rPr>
                  </w:pP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废活性炭</w:t>
                  </w:r>
                </w:p>
              </w:tc>
              <w:tc>
                <w:tcPr>
                  <w:tcW w:w="1080"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1.5t/a</w:t>
                  </w:r>
                </w:p>
              </w:tc>
              <w:tc>
                <w:tcPr>
                  <w:tcW w:w="111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0.</w:t>
                  </w:r>
                  <w:r>
                    <w:rPr>
                      <w:rFonts w:hint="eastAsia" w:cs="Times New Roman"/>
                      <w:b w:val="0"/>
                      <w:bCs w:val="0"/>
                      <w:color w:val="FF0000"/>
                      <w:kern w:val="0"/>
                      <w:sz w:val="21"/>
                      <w:szCs w:val="21"/>
                      <w:highlight w:val="none"/>
                      <w:vertAlign w:val="baseline"/>
                      <w:lang w:val="en-US" w:eastAsia="zh-CN" w:bidi="ar"/>
                    </w:rPr>
                    <w:t>1502</w:t>
                  </w:r>
                  <w:r>
                    <w:rPr>
                      <w:rFonts w:hint="eastAsia" w:eastAsia="宋体" w:cs="Times New Roman"/>
                      <w:b w:val="0"/>
                      <w:bCs w:val="0"/>
                      <w:color w:val="FF0000"/>
                      <w:kern w:val="0"/>
                      <w:sz w:val="21"/>
                      <w:szCs w:val="21"/>
                      <w:highlight w:val="none"/>
                      <w:vertAlign w:val="baseline"/>
                      <w:lang w:val="en-US" w:eastAsia="zh-CN" w:bidi="ar"/>
                    </w:rPr>
                    <w:t>t/a</w:t>
                  </w:r>
                </w:p>
              </w:tc>
              <w:tc>
                <w:tcPr>
                  <w:tcW w:w="120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eastAsia="宋体" w:cs="Times New Roman"/>
                      <w:b w:val="0"/>
                      <w:bCs w:val="0"/>
                      <w:color w:val="FF0000"/>
                      <w:kern w:val="0"/>
                      <w:sz w:val="21"/>
                      <w:szCs w:val="21"/>
                      <w:highlight w:val="none"/>
                      <w:vertAlign w:val="baseline"/>
                      <w:lang w:val="en-US" w:eastAsia="zh-CN" w:bidi="ar"/>
                    </w:rPr>
                    <w:t>/</w:t>
                  </w:r>
                </w:p>
              </w:tc>
              <w:tc>
                <w:tcPr>
                  <w:tcW w:w="1568"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cs="Times New Roman"/>
                      <w:b w:val="0"/>
                      <w:bCs w:val="0"/>
                      <w:color w:val="FF0000"/>
                      <w:kern w:val="0"/>
                      <w:sz w:val="21"/>
                      <w:szCs w:val="21"/>
                      <w:highlight w:val="none"/>
                      <w:vertAlign w:val="baseline"/>
                      <w:lang w:val="en-US" w:eastAsia="zh-CN" w:bidi="ar"/>
                    </w:rPr>
                    <w:t>1.6502</w:t>
                  </w:r>
                  <w:r>
                    <w:rPr>
                      <w:rFonts w:hint="eastAsia" w:eastAsia="宋体" w:cs="Times New Roman"/>
                      <w:b w:val="0"/>
                      <w:bCs w:val="0"/>
                      <w:color w:val="FF0000"/>
                      <w:kern w:val="0"/>
                      <w:sz w:val="21"/>
                      <w:szCs w:val="21"/>
                      <w:highlight w:val="none"/>
                      <w:vertAlign w:val="baseline"/>
                      <w:lang w:val="en-US" w:eastAsia="zh-CN" w:bidi="ar"/>
                    </w:rPr>
                    <w:t>t/a</w:t>
                  </w: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b w:val="0"/>
                      <w:bCs w:val="0"/>
                      <w:color w:val="FF0000"/>
                      <w:kern w:val="0"/>
                      <w:sz w:val="21"/>
                      <w:szCs w:val="21"/>
                      <w:highlight w:val="none"/>
                      <w:vertAlign w:val="baseline"/>
                      <w:lang w:val="en-US" w:eastAsia="zh-CN" w:bidi="ar"/>
                    </w:rPr>
                  </w:pPr>
                  <w:r>
                    <w:rPr>
                      <w:rFonts w:hint="eastAsia" w:cs="Times New Roman"/>
                      <w:b w:val="0"/>
                      <w:bCs w:val="0"/>
                      <w:color w:val="FF0000"/>
                      <w:kern w:val="0"/>
                      <w:sz w:val="21"/>
                      <w:szCs w:val="21"/>
                      <w:highlight w:val="none"/>
                      <w:vertAlign w:val="baseline"/>
                      <w:lang w:val="en-US" w:eastAsia="zh-CN" w:bidi="ar"/>
                    </w:rPr>
                    <w:t>+</w:t>
                  </w:r>
                  <w:r>
                    <w:rPr>
                      <w:rFonts w:hint="eastAsia" w:eastAsia="宋体" w:cs="Times New Roman"/>
                      <w:b w:val="0"/>
                      <w:bCs w:val="0"/>
                      <w:color w:val="FF0000"/>
                      <w:kern w:val="0"/>
                      <w:sz w:val="21"/>
                      <w:szCs w:val="21"/>
                      <w:highlight w:val="none"/>
                      <w:vertAlign w:val="baseline"/>
                      <w:lang w:val="en-US" w:eastAsia="zh-CN" w:bidi="ar"/>
                    </w:rPr>
                    <w:t>0.</w:t>
                  </w:r>
                  <w:r>
                    <w:rPr>
                      <w:rFonts w:hint="eastAsia" w:cs="Times New Roman"/>
                      <w:b w:val="0"/>
                      <w:bCs w:val="0"/>
                      <w:color w:val="FF0000"/>
                      <w:kern w:val="0"/>
                      <w:sz w:val="21"/>
                      <w:szCs w:val="21"/>
                      <w:highlight w:val="none"/>
                      <w:vertAlign w:val="baseline"/>
                      <w:lang w:val="en-US" w:eastAsia="zh-CN" w:bidi="ar"/>
                    </w:rPr>
                    <w:t>1502</w:t>
                  </w:r>
                  <w:r>
                    <w:rPr>
                      <w:rFonts w:hint="eastAsia" w:eastAsia="宋体" w:cs="Times New Roman"/>
                      <w:b w:val="0"/>
                      <w:bCs w:val="0"/>
                      <w:color w:val="FF0000"/>
                      <w:kern w:val="0"/>
                      <w:sz w:val="21"/>
                      <w:szCs w:val="21"/>
                      <w:highlight w:val="none"/>
                      <w:vertAlign w:val="baseline"/>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s="Times New Roman"/>
                      <w:b w:val="0"/>
                      <w:bCs w:val="0"/>
                      <w:color w:val="FF0000"/>
                      <w:kern w:val="0"/>
                      <w:sz w:val="21"/>
                      <w:szCs w:val="21"/>
                      <w:highlight w:val="none"/>
                      <w:vertAlign w:val="baseline"/>
                      <w:lang w:val="en-US" w:eastAsia="zh-CN" w:bidi="ar"/>
                    </w:rPr>
                  </w:pP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s="Times New Roman"/>
                      <w:b w:val="0"/>
                      <w:bCs w:val="0"/>
                      <w:color w:val="0000FF"/>
                      <w:kern w:val="0"/>
                      <w:sz w:val="21"/>
                      <w:szCs w:val="21"/>
                      <w:highlight w:val="none"/>
                      <w:vertAlign w:val="baseline"/>
                      <w:lang w:val="en-US" w:eastAsia="zh-CN" w:bidi="ar"/>
                    </w:rPr>
                  </w:pPr>
                  <w:r>
                    <w:rPr>
                      <w:rFonts w:hint="eastAsia" w:ascii="Times New Roman" w:cs="宋体"/>
                      <w:snapToGrid w:val="0"/>
                      <w:color w:val="0000FF"/>
                      <w:kern w:val="21"/>
                      <w:sz w:val="21"/>
                      <w:szCs w:val="21"/>
                      <w:lang w:eastAsia="zh-CN"/>
                    </w:rPr>
                    <w:t>废气灯管</w:t>
                  </w:r>
                </w:p>
              </w:tc>
              <w:tc>
                <w:tcPr>
                  <w:tcW w:w="1080"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eastAsia="宋体" w:cs="Times New Roman"/>
                      <w:b w:val="0"/>
                      <w:bCs w:val="0"/>
                      <w:color w:val="0000FF"/>
                      <w:kern w:val="0"/>
                      <w:sz w:val="21"/>
                      <w:szCs w:val="21"/>
                      <w:highlight w:val="none"/>
                      <w:vertAlign w:val="baseline"/>
                      <w:lang w:val="en-US" w:eastAsia="zh-CN" w:bidi="ar"/>
                    </w:rPr>
                  </w:pPr>
                  <w:r>
                    <w:rPr>
                      <w:rFonts w:hint="eastAsia" w:cs="Times New Roman"/>
                      <w:b w:val="0"/>
                      <w:bCs w:val="0"/>
                      <w:color w:val="0000FF"/>
                      <w:kern w:val="0"/>
                      <w:sz w:val="21"/>
                      <w:szCs w:val="21"/>
                      <w:highlight w:val="none"/>
                      <w:vertAlign w:val="baseline"/>
                      <w:lang w:val="en-US" w:eastAsia="zh-CN" w:bidi="ar"/>
                    </w:rPr>
                    <w:t>/</w:t>
                  </w:r>
                </w:p>
              </w:tc>
              <w:tc>
                <w:tcPr>
                  <w:tcW w:w="111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eastAsia="宋体" w:cs="Times New Roman"/>
                      <w:b w:val="0"/>
                      <w:bCs w:val="0"/>
                      <w:color w:val="0000FF"/>
                      <w:kern w:val="0"/>
                      <w:sz w:val="21"/>
                      <w:szCs w:val="21"/>
                      <w:highlight w:val="none"/>
                      <w:vertAlign w:val="baseline"/>
                      <w:lang w:val="en-US" w:eastAsia="zh-CN" w:bidi="ar"/>
                    </w:rPr>
                  </w:pPr>
                  <w:r>
                    <w:rPr>
                      <w:rFonts w:hint="eastAsia" w:cs="Times New Roman"/>
                      <w:b w:val="0"/>
                      <w:bCs w:val="0"/>
                      <w:color w:val="0000FF"/>
                      <w:kern w:val="0"/>
                      <w:sz w:val="21"/>
                      <w:szCs w:val="21"/>
                      <w:highlight w:val="none"/>
                      <w:vertAlign w:val="baseline"/>
                      <w:lang w:val="en-US" w:eastAsia="zh-CN" w:bidi="ar"/>
                    </w:rPr>
                    <w:t>1个/a</w:t>
                  </w:r>
                </w:p>
              </w:tc>
              <w:tc>
                <w:tcPr>
                  <w:tcW w:w="120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s="Times New Roman"/>
                      <w:b w:val="0"/>
                      <w:bCs w:val="0"/>
                      <w:color w:val="0000FF"/>
                      <w:kern w:val="0"/>
                      <w:sz w:val="21"/>
                      <w:szCs w:val="21"/>
                      <w:highlight w:val="none"/>
                      <w:vertAlign w:val="baseline"/>
                      <w:lang w:val="en-US" w:eastAsia="zh-CN" w:bidi="ar"/>
                    </w:rPr>
                  </w:pPr>
                </w:p>
              </w:tc>
              <w:tc>
                <w:tcPr>
                  <w:tcW w:w="1568"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cs="Times New Roman"/>
                      <w:b w:val="0"/>
                      <w:bCs w:val="0"/>
                      <w:color w:val="0000FF"/>
                      <w:kern w:val="0"/>
                      <w:sz w:val="21"/>
                      <w:szCs w:val="21"/>
                      <w:highlight w:val="none"/>
                      <w:vertAlign w:val="baseline"/>
                      <w:lang w:val="en-US" w:eastAsia="zh-CN" w:bidi="ar"/>
                    </w:rPr>
                  </w:pPr>
                  <w:r>
                    <w:rPr>
                      <w:rFonts w:hint="eastAsia" w:cs="Times New Roman"/>
                      <w:b w:val="0"/>
                      <w:bCs w:val="0"/>
                      <w:color w:val="0000FF"/>
                      <w:kern w:val="0"/>
                      <w:sz w:val="21"/>
                      <w:szCs w:val="21"/>
                      <w:highlight w:val="none"/>
                      <w:vertAlign w:val="baseline"/>
                      <w:lang w:val="en-US" w:eastAsia="zh-CN" w:bidi="ar"/>
                    </w:rPr>
                    <w:t>1个/a</w:t>
                  </w:r>
                </w:p>
              </w:tc>
              <w:tc>
                <w:tcPr>
                  <w:tcW w:w="1279"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cs="Times New Roman"/>
                      <w:b w:val="0"/>
                      <w:bCs w:val="0"/>
                      <w:color w:val="0000FF"/>
                      <w:kern w:val="0"/>
                      <w:sz w:val="21"/>
                      <w:szCs w:val="21"/>
                      <w:highlight w:val="none"/>
                      <w:vertAlign w:val="baseline"/>
                      <w:lang w:val="en-US" w:eastAsia="zh-CN" w:bidi="ar"/>
                    </w:rPr>
                  </w:pPr>
                  <w:r>
                    <w:rPr>
                      <w:rFonts w:hint="eastAsia" w:cs="Times New Roman"/>
                      <w:b w:val="0"/>
                      <w:bCs w:val="0"/>
                      <w:color w:val="0000FF"/>
                      <w:kern w:val="0"/>
                      <w:sz w:val="21"/>
                      <w:szCs w:val="21"/>
                      <w:highlight w:val="none"/>
                      <w:vertAlign w:val="baseline"/>
                      <w:lang w:val="en-US" w:eastAsia="zh-CN" w:bidi="ar"/>
                    </w:rPr>
                    <w:t>+1个/a</w:t>
                  </w:r>
                </w:p>
              </w:tc>
            </w:tr>
          </w:tbl>
          <w:p>
            <w:pPr>
              <w:pStyle w:val="17"/>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default" w:asciiTheme="minorEastAsia" w:hAnsiTheme="minorEastAsia" w:eastAsiaTheme="minorEastAsia" w:cstheme="minorEastAsia"/>
                <w:color w:val="auto"/>
                <w:kern w:val="0"/>
                <w:sz w:val="24"/>
                <w:szCs w:val="24"/>
                <w:highlight w:val="none"/>
                <w:lang w:val="en-US" w:eastAsia="zh-CN" w:bidi="ar"/>
              </w:rPr>
            </w:pPr>
            <w:r>
              <w:rPr>
                <w:rFonts w:hint="default" w:ascii="Times New Roman" w:hAnsi="Times New Roman" w:cs="Times New Roman" w:eastAsiaTheme="minorEastAsia"/>
                <w:b/>
                <w:bCs/>
                <w:color w:val="auto"/>
                <w:kern w:val="0"/>
                <w:sz w:val="28"/>
                <w:szCs w:val="28"/>
                <w:highlight w:val="none"/>
                <w:lang w:val="en-US" w:eastAsia="zh-CN" w:bidi="ar"/>
              </w:rPr>
              <w:t>2.</w:t>
            </w:r>
            <w:r>
              <w:rPr>
                <w:rFonts w:hint="eastAsia" w:ascii="Times New Roman" w:hAnsi="Times New Roman" w:cs="Times New Roman" w:eastAsiaTheme="minorEastAsia"/>
                <w:b/>
                <w:bCs/>
                <w:color w:val="auto"/>
                <w:kern w:val="0"/>
                <w:sz w:val="28"/>
                <w:szCs w:val="28"/>
                <w:highlight w:val="none"/>
                <w:lang w:val="en-US" w:eastAsia="zh-CN" w:bidi="ar"/>
              </w:rPr>
              <w:t>5</w:t>
            </w:r>
            <w:r>
              <w:rPr>
                <w:rFonts w:hint="eastAsia" w:asciiTheme="minorEastAsia" w:hAnsiTheme="minorEastAsia" w:eastAsiaTheme="minorEastAsia" w:cstheme="minorEastAsia"/>
                <w:b/>
                <w:bCs/>
                <w:color w:val="auto"/>
                <w:kern w:val="0"/>
                <w:sz w:val="28"/>
                <w:szCs w:val="28"/>
                <w:highlight w:val="none"/>
                <w:lang w:val="en-US" w:eastAsia="zh-CN" w:bidi="ar"/>
              </w:rPr>
              <w:t>项目目前存在的环境问题及拟采取的整改措施</w:t>
            </w:r>
          </w:p>
          <w:p>
            <w:pPr>
              <w:pStyle w:val="17"/>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left"/>
              <w:textAlignment w:val="auto"/>
              <w:rPr>
                <w:rFonts w:hint="default"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（1）项目物料露天摆放，没有设置专门的物料仓。</w:t>
            </w:r>
          </w:p>
          <w:p>
            <w:pPr>
              <w:pStyle w:val="17"/>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left"/>
              <w:textAlignment w:val="auto"/>
              <w:rPr>
                <w:rFonts w:hint="default"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整改措施：</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针对项目物料露天摆放，要求建设单位设置专门的储料仓，用于储存半成品，杜绝物料露天摆放，同时设置专人管理。</w:t>
            </w:r>
          </w:p>
          <w:p>
            <w:pPr>
              <w:pStyle w:val="17"/>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left"/>
              <w:textAlignment w:val="auto"/>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（2）项目员工下班后，有少量金属粉尘附在鞋上，被带落到厂内外。</w:t>
            </w:r>
          </w:p>
          <w:p>
            <w:pPr>
              <w:pStyle w:val="17"/>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left"/>
              <w:textAlignment w:val="auto"/>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整改措施：</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针对原料被带落到厂内外，企业拟加强管理，同时在每个车间设置换鞋点，做到不把工作鞋穿到厂房外。</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200"/>
              <w:jc w:val="left"/>
              <w:textAlignment w:val="auto"/>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（3）原有项目排污许可未申领，自行监测方案未执行。</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firstLine="482" w:firstLineChars="200"/>
              <w:jc w:val="left"/>
              <w:textAlignment w:val="auto"/>
              <w:rPr>
                <w:rFonts w:hint="eastAsia" w:asciiTheme="minorEastAsia" w:hAnsiTheme="minorEastAsia" w:eastAsiaTheme="minorEastAsia" w:cstheme="minorEastAsia"/>
                <w:color w:val="FF0000"/>
                <w:kern w:val="0"/>
                <w:sz w:val="24"/>
                <w:szCs w:val="24"/>
                <w:lang w:val="en-US" w:eastAsia="zh-CN" w:bidi="ar"/>
              </w:rPr>
            </w:pPr>
            <w:r>
              <w:rPr>
                <w:rFonts w:hint="eastAsia" w:asciiTheme="minorEastAsia" w:hAnsiTheme="minorEastAsia" w:eastAsiaTheme="minorEastAsia" w:cstheme="minorEastAsia"/>
                <w:b/>
                <w:bCs/>
                <w:color w:val="FF0000"/>
                <w:kern w:val="0"/>
                <w:sz w:val="24"/>
                <w:szCs w:val="24"/>
                <w:lang w:val="en-US" w:eastAsia="zh-CN" w:bidi="ar"/>
              </w:rPr>
              <w:t>整改措施：</w:t>
            </w:r>
            <w:r>
              <w:rPr>
                <w:rFonts w:hint="default" w:ascii="Times New Roman" w:hAnsi="Times New Roman" w:cs="Times New Roman"/>
                <w:b w:val="0"/>
                <w:bCs w:val="0"/>
                <w:color w:val="FF0000"/>
                <w:sz w:val="24"/>
                <w:szCs w:val="24"/>
                <w:highlight w:val="none"/>
                <w:lang w:val="en-US" w:eastAsia="zh-CN"/>
              </w:rPr>
              <w:t>根据《固定污染源排污许可分类管理名录》（2019年版），本项目属于“二十五、非金属矿物制品业-64砖瓦、石材等建筑材料制造</w:t>
            </w:r>
            <w:r>
              <w:rPr>
                <w:rFonts w:hint="eastAsia" w:cs="Times New Roman"/>
                <w:b w:val="0"/>
                <w:bCs w:val="0"/>
                <w:color w:val="FF0000"/>
                <w:sz w:val="24"/>
                <w:szCs w:val="24"/>
                <w:highlight w:val="none"/>
                <w:lang w:val="en-US" w:eastAsia="zh-CN"/>
              </w:rPr>
              <w:t>303</w:t>
            </w:r>
            <w:bookmarkStart w:id="3" w:name="_GoBack"/>
            <w:bookmarkEnd w:id="3"/>
            <w:r>
              <w:rPr>
                <w:rFonts w:hint="default" w:ascii="Times New Roman" w:hAnsi="Times New Roman" w:cs="Times New Roman"/>
                <w:b w:val="0"/>
                <w:bCs w:val="0"/>
                <w:color w:val="FF0000"/>
                <w:sz w:val="24"/>
                <w:szCs w:val="24"/>
                <w:highlight w:val="none"/>
                <w:lang w:val="en-US" w:eastAsia="zh-CN"/>
              </w:rPr>
              <w:t>”中的简化管理范畴。项目建成后需完善排污许可申领工作。</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200"/>
              <w:jc w:val="left"/>
              <w:textAlignment w:val="auto"/>
              <w:rPr>
                <w:rFonts w:hint="default"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（4）目前企业未设置事故应急池。</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firstLine="482" w:firstLineChars="200"/>
              <w:jc w:val="left"/>
              <w:textAlignment w:val="auto"/>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整改措施：</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本次环评根据需要设置</w:t>
            </w:r>
            <w:r>
              <w:rPr>
                <w:rFonts w:hint="default" w:ascii="Times New Roman" w:hAnsi="Times New Roman" w:cs="Times New Roman" w:eastAsiaTheme="minorEastAsia"/>
                <w:b w:val="0"/>
                <w:bCs w:val="0"/>
                <w:color w:val="000000" w:themeColor="text1"/>
                <w:kern w:val="0"/>
                <w:sz w:val="24"/>
                <w:szCs w:val="24"/>
                <w:highlight w:val="none"/>
                <w:lang w:val="en-US" w:eastAsia="zh-CN" w:bidi="ar"/>
                <w14:textFill>
                  <w14:solidFill>
                    <w14:schemeClr w14:val="tx1"/>
                  </w14:solidFill>
                </w14:textFill>
              </w:rPr>
              <w:t>105m</w:t>
            </w:r>
            <w:r>
              <w:rPr>
                <w:rFonts w:hint="default" w:ascii="Times New Roman" w:hAnsi="Times New Roman" w:cs="Times New Roman" w:eastAsiaTheme="minorEastAsia"/>
                <w:b w:val="0"/>
                <w:bCs w:val="0"/>
                <w:color w:val="000000" w:themeColor="text1"/>
                <w:kern w:val="0"/>
                <w:sz w:val="24"/>
                <w:szCs w:val="24"/>
                <w:highlight w:val="none"/>
                <w:vertAlign w:val="superscript"/>
                <w:lang w:val="en-US" w:eastAsia="zh-CN" w:bidi="ar"/>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的事故应急池，并采取防渗防漏措施。</w:t>
            </w:r>
          </w:p>
        </w:tc>
      </w:tr>
    </w:tbl>
    <w:p>
      <w:pPr>
        <w:pStyle w:val="15"/>
        <w:ind w:firstLine="720"/>
        <w:jc w:val="center"/>
        <w:rPr>
          <w:rFonts w:hint="eastAsia" w:ascii="Times New Roman" w:hAnsi="Times New Roman" w:eastAsia="黑体"/>
          <w:snapToGrid w:val="0"/>
          <w:sz w:val="36"/>
          <w:szCs w:val="36"/>
          <w:lang w:val="en-US" w:eastAsia="zh-CN"/>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5"/>
        <w:adjustRightInd w:val="0"/>
        <w:snapToGrid w:val="0"/>
        <w:spacing w:before="0" w:beforeAutospacing="0" w:after="0" w:afterAutospacing="0" w:line="14" w:lineRule="auto"/>
        <w:ind w:firstLine="600"/>
        <w:jc w:val="center"/>
        <w:outlineLvl w:val="0"/>
        <w:rPr>
          <w:rFonts w:ascii="Times New Roman" w:hAnsi="Times New Roman" w:eastAsia="黑体"/>
          <w:snapToGrid w:val="0"/>
          <w:sz w:val="30"/>
          <w:szCs w:val="30"/>
        </w:rPr>
      </w:pPr>
    </w:p>
    <w:p>
      <w:pPr>
        <w:pStyle w:val="15"/>
        <w:spacing w:line="240" w:lineRule="auto"/>
        <w:ind w:firstLine="0" w:firstLineChars="0"/>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t>三、区域环境质量现状、环境保护目标及评价标准</w:t>
      </w:r>
    </w:p>
    <w:tbl>
      <w:tblPr>
        <w:tblStyle w:val="18"/>
        <w:tblW w:w="496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81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444" w:type="pct"/>
            <w:vAlign w:val="center"/>
          </w:tcPr>
          <w:p>
            <w:pPr>
              <w:adjustRightInd w:val="0"/>
              <w:snapToGrid w:val="0"/>
              <w:ind w:firstLine="0" w:firstLineChars="0"/>
              <w:jc w:val="center"/>
              <w:rPr>
                <w:rFonts w:cs="宋体"/>
                <w:kern w:val="0"/>
                <w:szCs w:val="21"/>
              </w:rPr>
            </w:pPr>
            <w:r>
              <w:rPr>
                <w:rFonts w:hint="eastAsia" w:cs="宋体"/>
                <w:kern w:val="0"/>
                <w:szCs w:val="21"/>
              </w:rPr>
              <w:t>区域</w:t>
            </w:r>
          </w:p>
          <w:p>
            <w:pPr>
              <w:adjustRightInd w:val="0"/>
              <w:snapToGrid w:val="0"/>
              <w:ind w:firstLine="0" w:firstLineChars="0"/>
              <w:jc w:val="center"/>
              <w:rPr>
                <w:rFonts w:cs="宋体"/>
                <w:kern w:val="0"/>
                <w:szCs w:val="21"/>
              </w:rPr>
            </w:pPr>
            <w:r>
              <w:rPr>
                <w:rFonts w:hint="eastAsia" w:cs="宋体"/>
                <w:kern w:val="0"/>
                <w:szCs w:val="21"/>
              </w:rPr>
              <w:t>环境</w:t>
            </w:r>
          </w:p>
          <w:p>
            <w:pPr>
              <w:adjustRightInd w:val="0"/>
              <w:snapToGrid w:val="0"/>
              <w:ind w:firstLine="0" w:firstLineChars="0"/>
              <w:jc w:val="center"/>
              <w:rPr>
                <w:rFonts w:cs="宋体"/>
                <w:kern w:val="0"/>
                <w:szCs w:val="21"/>
              </w:rPr>
            </w:pPr>
            <w:r>
              <w:rPr>
                <w:rFonts w:hint="eastAsia" w:cs="宋体"/>
                <w:kern w:val="0"/>
                <w:szCs w:val="21"/>
              </w:rPr>
              <w:t>质量</w:t>
            </w:r>
          </w:p>
          <w:p>
            <w:pPr>
              <w:adjustRightInd w:val="0"/>
              <w:snapToGrid w:val="0"/>
              <w:ind w:firstLine="0" w:firstLineChars="0"/>
              <w:jc w:val="center"/>
              <w:rPr>
                <w:rFonts w:cs="宋体"/>
                <w:kern w:val="0"/>
                <w:szCs w:val="21"/>
              </w:rPr>
            </w:pPr>
            <w:r>
              <w:rPr>
                <w:rFonts w:hint="eastAsia" w:cs="宋体"/>
                <w:kern w:val="0"/>
                <w:szCs w:val="21"/>
              </w:rPr>
              <w:t>现状</w:t>
            </w:r>
          </w:p>
        </w:tc>
        <w:tc>
          <w:tcPr>
            <w:tcW w:w="4556" w:type="pct"/>
            <w:vAlign w:val="center"/>
          </w:tcPr>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w:t>
            </w:r>
            <w:r>
              <w:rPr>
                <w:color w:val="auto"/>
              </w:rPr>
              <w:t>.1</w:t>
            </w:r>
            <w:r>
              <w:rPr>
                <w:rFonts w:hint="eastAsia"/>
                <w:color w:val="auto"/>
              </w:rPr>
              <w:t>区域环境质量现状</w:t>
            </w:r>
          </w:p>
          <w:p>
            <w:pPr>
              <w:pStyle w:val="4"/>
              <w:pageBreakBefore w:val="0"/>
              <w:widowControl w:val="0"/>
              <w:kinsoku/>
              <w:wordWrap/>
              <w:topLinePunct w:val="0"/>
              <w:autoSpaceDE/>
              <w:autoSpaceDN/>
              <w:bidi w:val="0"/>
              <w:adjustRightInd/>
              <w:snapToGrid w:val="0"/>
              <w:spacing w:before="0" w:after="0"/>
              <w:textAlignment w:val="auto"/>
            </w:pPr>
            <w:r>
              <w:t>3.1.</w:t>
            </w:r>
            <w:r>
              <w:rPr>
                <w:rFonts w:hint="eastAsia"/>
              </w:rPr>
              <w:t>1环境空气质量现状</w:t>
            </w:r>
          </w:p>
          <w:p>
            <w:pPr>
              <w:pStyle w:val="5"/>
              <w:pageBreakBefore w:val="0"/>
              <w:widowControl w:val="0"/>
              <w:kinsoku/>
              <w:wordWrap/>
              <w:topLinePunct w:val="0"/>
              <w:autoSpaceDE/>
              <w:autoSpaceDN/>
              <w:bidi w:val="0"/>
              <w:adjustRightInd/>
              <w:snapToGrid w:val="0"/>
              <w:ind w:firstLine="480"/>
              <w:jc w:val="left"/>
              <w:textAlignment w:val="auto"/>
            </w:pPr>
            <w:r>
              <w:rPr>
                <w:rFonts w:hint="eastAsia"/>
              </w:rPr>
              <w:t>（一）环境空气污染物基本项目</w:t>
            </w:r>
          </w:p>
          <w:p>
            <w:pPr>
              <w:pageBreakBefore w:val="0"/>
              <w:widowControl w:val="0"/>
              <w:kinsoku/>
              <w:wordWrap/>
              <w:topLinePunct w:val="0"/>
              <w:autoSpaceDE/>
              <w:autoSpaceDN/>
              <w:bidi w:val="0"/>
              <w:adjustRightInd/>
              <w:snapToGrid w:val="0"/>
              <w:ind w:firstLine="480"/>
              <w:jc w:val="left"/>
              <w:textAlignment w:val="auto"/>
            </w:pPr>
            <w:r>
              <w:rPr>
                <w:rFonts w:hint="eastAsia"/>
              </w:rPr>
              <w:t>（1）数据来源</w:t>
            </w:r>
          </w:p>
          <w:p>
            <w:pPr>
              <w:pageBreakBefore w:val="0"/>
              <w:widowControl w:val="0"/>
              <w:kinsoku/>
              <w:wordWrap/>
              <w:topLinePunct w:val="0"/>
              <w:autoSpaceDE/>
              <w:autoSpaceDN/>
              <w:bidi w:val="0"/>
              <w:adjustRightInd/>
              <w:snapToGrid w:val="0"/>
              <w:ind w:firstLine="480"/>
              <w:jc w:val="left"/>
              <w:textAlignment w:val="auto"/>
              <w:rPr>
                <w:rFonts w:cs="宋体"/>
                <w:kern w:val="0"/>
                <w:szCs w:val="21"/>
              </w:rPr>
            </w:pPr>
            <w:r>
              <w:rPr>
                <w:rFonts w:hint="eastAsia"/>
              </w:rPr>
              <w:t>根据《建设项目环境影响报告表编制技术指南（污染影响类）》(试行)的要求，本项目基本污染物环境质量现状评价采用环境专业知识服务系统（https://www.zq12369.com/environment.php?city=%E6%98%8C%E5%90%89%E5%B7%9E&amp;tab=city）发布的20</w:t>
            </w:r>
            <w:r>
              <w:rPr>
                <w:rFonts w:hint="eastAsia"/>
                <w:lang w:val="en-US" w:eastAsia="zh-CN"/>
              </w:rPr>
              <w:t>21</w:t>
            </w:r>
            <w:r>
              <w:rPr>
                <w:rFonts w:hint="eastAsia"/>
              </w:rPr>
              <w:t>年1月1日至20</w:t>
            </w:r>
            <w:r>
              <w:rPr>
                <w:rFonts w:hint="eastAsia"/>
                <w:lang w:val="en-US" w:eastAsia="zh-CN"/>
              </w:rPr>
              <w:t>21</w:t>
            </w:r>
            <w:r>
              <w:rPr>
                <w:rFonts w:hint="eastAsia"/>
              </w:rPr>
              <w:t>年12月</w:t>
            </w:r>
            <w:r>
              <w:rPr>
                <w:rFonts w:hint="eastAsia"/>
                <w:lang w:val="en-US" w:eastAsia="zh-CN"/>
              </w:rPr>
              <w:t>31</w:t>
            </w:r>
            <w:r>
              <w:rPr>
                <w:rFonts w:hint="eastAsia"/>
              </w:rPr>
              <w:t>日昌吉州城市空气质量数据，其数据来源于生态环境部环境监测总站空气质量实时发布网站发布的昌吉州三个国控监测点监测数据（州监测站、新区政务中心、天山天池国控点监测点位），本次环评选取距离项目区最近的国控监测点（新区政务中心）的监测数据作为本次评价依据。</w:t>
            </w:r>
          </w:p>
          <w:p>
            <w:pPr>
              <w:pageBreakBefore w:val="0"/>
              <w:widowControl w:val="0"/>
              <w:kinsoku/>
              <w:wordWrap/>
              <w:topLinePunct w:val="0"/>
              <w:autoSpaceDE/>
              <w:autoSpaceDN/>
              <w:bidi w:val="0"/>
              <w:adjustRightInd/>
              <w:snapToGrid w:val="0"/>
              <w:ind w:firstLine="480"/>
              <w:textAlignment w:val="auto"/>
            </w:pPr>
            <w:r>
              <w:rPr>
                <w:rFonts w:hint="eastAsia"/>
              </w:rPr>
              <w:t>（2）评价标准</w:t>
            </w:r>
          </w:p>
          <w:p>
            <w:pPr>
              <w:pageBreakBefore w:val="0"/>
              <w:widowControl w:val="0"/>
              <w:kinsoku/>
              <w:wordWrap/>
              <w:topLinePunct w:val="0"/>
              <w:autoSpaceDE/>
              <w:autoSpaceDN/>
              <w:bidi w:val="0"/>
              <w:adjustRightInd/>
              <w:snapToGrid w:val="0"/>
              <w:ind w:firstLine="480"/>
              <w:jc w:val="left"/>
              <w:textAlignment w:val="auto"/>
            </w:pPr>
            <w:r>
              <w:rPr>
                <w:rFonts w:hint="eastAsia"/>
              </w:rPr>
              <w:t>项目所在区域环境空气质量执行《环境空气质量标准》（GB3095-2012）二级标准。环境空气质量标准限值见表</w:t>
            </w:r>
            <w:r>
              <w:rPr>
                <w:rFonts w:hint="eastAsia"/>
                <w:lang w:val="en-US" w:eastAsia="zh-CN"/>
              </w:rPr>
              <w:t>23</w:t>
            </w:r>
            <w:r>
              <w:rPr>
                <w:rFonts w:hint="eastAsia"/>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 xml:space="preserve">23  </w:t>
            </w:r>
            <w:r>
              <w:rPr>
                <w:rFonts w:hint="eastAsia" w:asciiTheme="minorEastAsia" w:hAnsiTheme="minorEastAsia" w:eastAsiaTheme="minorEastAsia" w:cstheme="minorEastAsia"/>
                <w:sz w:val="21"/>
                <w:szCs w:val="21"/>
              </w:rPr>
              <w:t>环境空气质量标准</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794"/>
              <w:gridCol w:w="2207"/>
              <w:gridCol w:w="220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序号</w:t>
                  </w:r>
                </w:p>
              </w:tc>
              <w:tc>
                <w:tcPr>
                  <w:tcW w:w="1126" w:type="pct"/>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污染物项目</w:t>
                  </w:r>
                </w:p>
              </w:tc>
              <w:tc>
                <w:tcPr>
                  <w:tcW w:w="1385" w:type="pct"/>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平均时间</w:t>
                  </w:r>
                </w:p>
              </w:tc>
              <w:tc>
                <w:tcPr>
                  <w:tcW w:w="1385" w:type="pct"/>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sz w:val="21"/>
                      <w:szCs w:val="21"/>
                    </w:rPr>
                    <w:t>浓度限值</w:t>
                  </w:r>
                </w:p>
              </w:tc>
              <w:tc>
                <w:tcPr>
                  <w:tcW w:w="678" w:type="pct"/>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rPr>
                  </w:pPr>
                  <w:r>
                    <w:rPr>
                      <w:rFonts w:hint="eastAsia"/>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restar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1</w:t>
                  </w:r>
                </w:p>
              </w:tc>
              <w:tc>
                <w:tcPr>
                  <w:tcW w:w="1126" w:type="pct"/>
                  <w:vMerge w:val="restar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SO</w:t>
                  </w:r>
                  <w:r>
                    <w:rPr>
                      <w:bCs/>
                      <w:sz w:val="21"/>
                      <w:szCs w:val="21"/>
                      <w:vertAlign w:val="subscript"/>
                    </w:rPr>
                    <w:t>2</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年平均</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60</w:t>
                  </w:r>
                </w:p>
              </w:tc>
              <w:tc>
                <w:tcPr>
                  <w:tcW w:w="678" w:type="pct"/>
                  <w:vMerge w:val="restart"/>
                  <w:tcBorders>
                    <w:tl2br w:val="nil"/>
                    <w:tr2bl w:val="nil"/>
                  </w:tcBorders>
                  <w:vAlign w:val="center"/>
                </w:tcPr>
                <w:p>
                  <w:pPr>
                    <w:pStyle w:val="12"/>
                    <w:adjustRightInd w:val="0"/>
                    <w:snapToGrid w:val="0"/>
                    <w:spacing w:line="240" w:lineRule="auto"/>
                    <w:ind w:firstLine="0" w:firstLineChars="0"/>
                    <w:jc w:val="center"/>
                    <w:rPr>
                      <w:sz w:val="21"/>
                      <w:szCs w:val="21"/>
                    </w:rPr>
                  </w:pPr>
                  <w:r>
                    <w:rPr>
                      <w:sz w:val="21"/>
                      <w:szCs w:val="21"/>
                    </w:rPr>
                    <w:t>μg/m</w:t>
                  </w:r>
                  <w:r>
                    <w:rPr>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1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24小时</w:t>
                  </w:r>
                  <w:r>
                    <w:rPr>
                      <w:rFonts w:hint="eastAsia"/>
                      <w:bCs/>
                      <w:sz w:val="21"/>
                      <w:szCs w:val="21"/>
                    </w:rPr>
                    <w:t>平均</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150</w:t>
                  </w:r>
                </w:p>
              </w:tc>
              <w:tc>
                <w:tcPr>
                  <w:tcW w:w="678" w:type="pct"/>
                  <w:vMerge w:val="continue"/>
                  <w:tcBorders>
                    <w:tl2br w:val="nil"/>
                    <w:tr2bl w:val="nil"/>
                  </w:tcBorders>
                  <w:vAlign w:val="center"/>
                </w:tcPr>
                <w:p>
                  <w:pPr>
                    <w:pStyle w:val="12"/>
                    <w:adjustRightInd w:val="0"/>
                    <w:snapToGrid w:val="0"/>
                    <w:spacing w:line="240" w:lineRule="auto"/>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1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1小时平均</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500</w:t>
                  </w:r>
                </w:p>
              </w:tc>
              <w:tc>
                <w:tcPr>
                  <w:tcW w:w="678" w:type="pct"/>
                  <w:vMerge w:val="continue"/>
                  <w:tcBorders>
                    <w:tl2br w:val="nil"/>
                    <w:tr2bl w:val="nil"/>
                  </w:tcBorders>
                  <w:vAlign w:val="center"/>
                </w:tcPr>
                <w:p>
                  <w:pPr>
                    <w:pStyle w:val="12"/>
                    <w:adjustRightInd w:val="0"/>
                    <w:snapToGrid w:val="0"/>
                    <w:spacing w:line="240" w:lineRule="auto"/>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restar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2</w:t>
                  </w:r>
                </w:p>
              </w:tc>
              <w:tc>
                <w:tcPr>
                  <w:tcW w:w="1126" w:type="pct"/>
                  <w:vMerge w:val="restar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NO</w:t>
                  </w:r>
                  <w:r>
                    <w:rPr>
                      <w:bCs/>
                      <w:sz w:val="21"/>
                      <w:szCs w:val="21"/>
                      <w:vertAlign w:val="subscript"/>
                    </w:rPr>
                    <w:t>2</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年平均</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40</w:t>
                  </w:r>
                </w:p>
              </w:tc>
              <w:tc>
                <w:tcPr>
                  <w:tcW w:w="678" w:type="pct"/>
                  <w:vMerge w:val="continue"/>
                  <w:tcBorders>
                    <w:tl2br w:val="nil"/>
                    <w:tr2bl w:val="nil"/>
                  </w:tcBorders>
                  <w:vAlign w:val="center"/>
                </w:tcPr>
                <w:p>
                  <w:pPr>
                    <w:pStyle w:val="12"/>
                    <w:adjustRightInd w:val="0"/>
                    <w:snapToGrid w:val="0"/>
                    <w:spacing w:line="240" w:lineRule="auto"/>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1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24小时平均</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80</w:t>
                  </w:r>
                </w:p>
              </w:tc>
              <w:tc>
                <w:tcPr>
                  <w:tcW w:w="678" w:type="pct"/>
                  <w:vMerge w:val="continue"/>
                  <w:tcBorders>
                    <w:tl2br w:val="nil"/>
                    <w:tr2bl w:val="nil"/>
                  </w:tcBorders>
                  <w:vAlign w:val="center"/>
                </w:tcPr>
                <w:p>
                  <w:pPr>
                    <w:pStyle w:val="12"/>
                    <w:adjustRightInd w:val="0"/>
                    <w:snapToGrid w:val="0"/>
                    <w:spacing w:line="240" w:lineRule="auto"/>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1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1小时平均</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200</w:t>
                  </w:r>
                </w:p>
              </w:tc>
              <w:tc>
                <w:tcPr>
                  <w:tcW w:w="678" w:type="pct"/>
                  <w:vMerge w:val="continue"/>
                  <w:tcBorders>
                    <w:tl2br w:val="nil"/>
                    <w:tr2bl w:val="nil"/>
                  </w:tcBorders>
                  <w:vAlign w:val="center"/>
                </w:tcPr>
                <w:p>
                  <w:pPr>
                    <w:pStyle w:val="12"/>
                    <w:adjustRightInd w:val="0"/>
                    <w:snapToGrid w:val="0"/>
                    <w:spacing w:line="240" w:lineRule="auto"/>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restar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3</w:t>
                  </w:r>
                </w:p>
              </w:tc>
              <w:tc>
                <w:tcPr>
                  <w:tcW w:w="1126" w:type="pct"/>
                  <w:vMerge w:val="restar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CO</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24小时平均</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4</w:t>
                  </w:r>
                </w:p>
              </w:tc>
              <w:tc>
                <w:tcPr>
                  <w:tcW w:w="678" w:type="pct"/>
                  <w:vMerge w:val="restart"/>
                  <w:tcBorders>
                    <w:tl2br w:val="nil"/>
                    <w:tr2bl w:val="nil"/>
                  </w:tcBorders>
                  <w:vAlign w:val="center"/>
                </w:tcPr>
                <w:p>
                  <w:pPr>
                    <w:pStyle w:val="12"/>
                    <w:adjustRightInd w:val="0"/>
                    <w:snapToGrid w:val="0"/>
                    <w:spacing w:line="240" w:lineRule="auto"/>
                    <w:ind w:firstLine="0" w:firstLineChars="0"/>
                    <w:jc w:val="center"/>
                    <w:rPr>
                      <w:b/>
                      <w:sz w:val="21"/>
                      <w:szCs w:val="21"/>
                    </w:rPr>
                  </w:pPr>
                  <w:r>
                    <w:rPr>
                      <w:rFonts w:hint="eastAsia"/>
                      <w:sz w:val="21"/>
                      <w:szCs w:val="21"/>
                    </w:rPr>
                    <w:t>mg</w:t>
                  </w:r>
                  <w:r>
                    <w:rPr>
                      <w:sz w:val="21"/>
                      <w:szCs w:val="21"/>
                    </w:rPr>
                    <w:t>/m</w:t>
                  </w:r>
                  <w:r>
                    <w:rPr>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1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1小时平均</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10</w:t>
                  </w:r>
                </w:p>
              </w:tc>
              <w:tc>
                <w:tcPr>
                  <w:tcW w:w="678" w:type="pct"/>
                  <w:vMerge w:val="continue"/>
                  <w:tcBorders>
                    <w:tl2br w:val="nil"/>
                    <w:tr2bl w:val="nil"/>
                  </w:tcBorders>
                  <w:vAlign w:val="center"/>
                </w:tcPr>
                <w:p>
                  <w:pPr>
                    <w:pStyle w:val="12"/>
                    <w:adjustRightInd w:val="0"/>
                    <w:snapToGrid w:val="0"/>
                    <w:spacing w:line="240" w:lineRule="auto"/>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restar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4</w:t>
                  </w:r>
                </w:p>
              </w:tc>
              <w:tc>
                <w:tcPr>
                  <w:tcW w:w="1126" w:type="pct"/>
                  <w:vMerge w:val="restar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O</w:t>
                  </w:r>
                  <w:r>
                    <w:rPr>
                      <w:bCs/>
                      <w:sz w:val="21"/>
                      <w:szCs w:val="21"/>
                      <w:vertAlign w:val="subscript"/>
                    </w:rPr>
                    <w:t>3</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日</w:t>
                  </w:r>
                  <w:r>
                    <w:rPr>
                      <w:rFonts w:hint="eastAsia"/>
                      <w:bCs/>
                      <w:sz w:val="21"/>
                      <w:szCs w:val="21"/>
                    </w:rPr>
                    <w:t>最</w:t>
                  </w:r>
                  <w:r>
                    <w:rPr>
                      <w:bCs/>
                      <w:sz w:val="21"/>
                      <w:szCs w:val="21"/>
                    </w:rPr>
                    <w:t>大8小时平均</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160</w:t>
                  </w:r>
                </w:p>
              </w:tc>
              <w:tc>
                <w:tcPr>
                  <w:tcW w:w="678" w:type="pct"/>
                  <w:vMerge w:val="restart"/>
                  <w:tcBorders>
                    <w:tl2br w:val="nil"/>
                    <w:tr2bl w:val="nil"/>
                  </w:tcBorders>
                  <w:vAlign w:val="center"/>
                </w:tcPr>
                <w:p>
                  <w:pPr>
                    <w:pStyle w:val="12"/>
                    <w:adjustRightInd w:val="0"/>
                    <w:snapToGrid w:val="0"/>
                    <w:spacing w:line="240" w:lineRule="auto"/>
                    <w:ind w:firstLine="0" w:firstLineChars="0"/>
                    <w:jc w:val="center"/>
                    <w:rPr>
                      <w:b/>
                      <w:sz w:val="21"/>
                      <w:szCs w:val="21"/>
                    </w:rPr>
                  </w:pPr>
                  <w:r>
                    <w:rPr>
                      <w:sz w:val="21"/>
                      <w:szCs w:val="21"/>
                    </w:rPr>
                    <w:t>μg/m</w:t>
                  </w:r>
                  <w:r>
                    <w:rPr>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1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1小时平均</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200</w:t>
                  </w:r>
                </w:p>
              </w:tc>
              <w:tc>
                <w:tcPr>
                  <w:tcW w:w="678" w:type="pct"/>
                  <w:vMerge w:val="continue"/>
                  <w:tcBorders>
                    <w:tl2br w:val="nil"/>
                    <w:tr2bl w:val="nil"/>
                  </w:tcBorders>
                  <w:vAlign w:val="center"/>
                </w:tcPr>
                <w:p>
                  <w:pPr>
                    <w:pStyle w:val="12"/>
                    <w:adjustRightInd w:val="0"/>
                    <w:snapToGrid w:val="0"/>
                    <w:spacing w:line="240" w:lineRule="auto"/>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restar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5</w:t>
                  </w:r>
                </w:p>
              </w:tc>
              <w:tc>
                <w:tcPr>
                  <w:tcW w:w="1126" w:type="pct"/>
                  <w:vMerge w:val="restar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PM</w:t>
                  </w:r>
                  <w:r>
                    <w:rPr>
                      <w:bCs/>
                      <w:sz w:val="21"/>
                      <w:szCs w:val="21"/>
                      <w:vertAlign w:val="subscript"/>
                    </w:rPr>
                    <w:t>10</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年平均</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70</w:t>
                  </w:r>
                </w:p>
              </w:tc>
              <w:tc>
                <w:tcPr>
                  <w:tcW w:w="678" w:type="pct"/>
                  <w:vMerge w:val="continue"/>
                  <w:tcBorders>
                    <w:tl2br w:val="nil"/>
                    <w:tr2bl w:val="nil"/>
                  </w:tcBorders>
                  <w:vAlign w:val="center"/>
                </w:tcPr>
                <w:p>
                  <w:pPr>
                    <w:pStyle w:val="12"/>
                    <w:adjustRightInd w:val="0"/>
                    <w:snapToGrid w:val="0"/>
                    <w:spacing w:line="240" w:lineRule="auto"/>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1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24小时平均</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150</w:t>
                  </w:r>
                </w:p>
              </w:tc>
              <w:tc>
                <w:tcPr>
                  <w:tcW w:w="678" w:type="pct"/>
                  <w:vMerge w:val="continue"/>
                  <w:tcBorders>
                    <w:tl2br w:val="nil"/>
                    <w:tr2bl w:val="nil"/>
                  </w:tcBorders>
                  <w:vAlign w:val="center"/>
                </w:tcPr>
                <w:p>
                  <w:pPr>
                    <w:pStyle w:val="12"/>
                    <w:adjustRightInd w:val="0"/>
                    <w:snapToGrid w:val="0"/>
                    <w:spacing w:line="240" w:lineRule="auto"/>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restar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6</w:t>
                  </w:r>
                </w:p>
              </w:tc>
              <w:tc>
                <w:tcPr>
                  <w:tcW w:w="1126" w:type="pct"/>
                  <w:vMerge w:val="restar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PM</w:t>
                  </w:r>
                  <w:r>
                    <w:rPr>
                      <w:bCs/>
                      <w:sz w:val="21"/>
                      <w:szCs w:val="21"/>
                      <w:vertAlign w:val="subscript"/>
                    </w:rPr>
                    <w:t>2.5</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年平均</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35</w:t>
                  </w:r>
                </w:p>
              </w:tc>
              <w:tc>
                <w:tcPr>
                  <w:tcW w:w="678" w:type="pct"/>
                  <w:vMerge w:val="continue"/>
                  <w:tcBorders>
                    <w:tl2br w:val="nil"/>
                    <w:tr2bl w:val="nil"/>
                  </w:tcBorders>
                  <w:vAlign w:val="center"/>
                </w:tcPr>
                <w:p>
                  <w:pPr>
                    <w:pStyle w:val="12"/>
                    <w:adjustRightInd w:val="0"/>
                    <w:snapToGrid w:val="0"/>
                    <w:spacing w:line="240" w:lineRule="auto"/>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126" w:type="pct"/>
                  <w:vMerge w:val="continue"/>
                  <w:tcBorders>
                    <w:tl2br w:val="nil"/>
                    <w:tr2bl w:val="nil"/>
                  </w:tcBorders>
                  <w:vAlign w:val="center"/>
                </w:tcPr>
                <w:p>
                  <w:pPr>
                    <w:pStyle w:val="12"/>
                    <w:adjustRightInd w:val="0"/>
                    <w:snapToGrid w:val="0"/>
                    <w:spacing w:line="240" w:lineRule="auto"/>
                    <w:ind w:firstLine="0" w:firstLineChars="0"/>
                    <w:jc w:val="center"/>
                    <w:rPr>
                      <w:bCs/>
                      <w:sz w:val="21"/>
                      <w:szCs w:val="21"/>
                    </w:rPr>
                  </w:pP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bCs/>
                      <w:sz w:val="21"/>
                      <w:szCs w:val="21"/>
                    </w:rPr>
                    <w:t>24小时平均</w:t>
                  </w:r>
                </w:p>
              </w:tc>
              <w:tc>
                <w:tcPr>
                  <w:tcW w:w="1385" w:type="pct"/>
                  <w:tcBorders>
                    <w:tl2br w:val="nil"/>
                    <w:tr2bl w:val="nil"/>
                  </w:tcBorders>
                  <w:vAlign w:val="center"/>
                </w:tcPr>
                <w:p>
                  <w:pPr>
                    <w:pStyle w:val="12"/>
                    <w:adjustRightInd w:val="0"/>
                    <w:snapToGrid w:val="0"/>
                    <w:spacing w:line="240" w:lineRule="auto"/>
                    <w:ind w:firstLine="0" w:firstLineChars="0"/>
                    <w:jc w:val="center"/>
                    <w:rPr>
                      <w:bCs/>
                      <w:sz w:val="21"/>
                      <w:szCs w:val="21"/>
                    </w:rPr>
                  </w:pPr>
                  <w:r>
                    <w:rPr>
                      <w:rFonts w:hint="eastAsia"/>
                      <w:bCs/>
                      <w:sz w:val="21"/>
                      <w:szCs w:val="21"/>
                    </w:rPr>
                    <w:t>75</w:t>
                  </w:r>
                </w:p>
              </w:tc>
              <w:tc>
                <w:tcPr>
                  <w:tcW w:w="678" w:type="pct"/>
                  <w:vMerge w:val="continue"/>
                  <w:tcBorders>
                    <w:tl2br w:val="nil"/>
                    <w:tr2bl w:val="nil"/>
                  </w:tcBorders>
                  <w:vAlign w:val="center"/>
                </w:tcPr>
                <w:p>
                  <w:pPr>
                    <w:pStyle w:val="12"/>
                    <w:adjustRightInd w:val="0"/>
                    <w:snapToGrid w:val="0"/>
                    <w:spacing w:line="240" w:lineRule="auto"/>
                    <w:ind w:firstLine="0" w:firstLineChars="0"/>
                    <w:jc w:val="center"/>
                    <w:rPr>
                      <w:b/>
                      <w:sz w:val="21"/>
                      <w:szCs w:val="21"/>
                    </w:rPr>
                  </w:pPr>
                </w:p>
              </w:tc>
            </w:tr>
          </w:tbl>
          <w:p>
            <w:pPr>
              <w:ind w:firstLine="480"/>
            </w:pPr>
            <w:r>
              <w:rPr>
                <w:rFonts w:hint="eastAsia"/>
              </w:rPr>
              <w:t>（3）评价方法</w:t>
            </w:r>
          </w:p>
          <w:p>
            <w:pPr>
              <w:ind w:firstLine="480"/>
              <w:jc w:val="left"/>
            </w:pPr>
            <w:r>
              <w:rPr>
                <w:rFonts w:hint="eastAsia"/>
              </w:rPr>
              <w:t>采用标准指数法评价大气污染物在评价区域内的环境质量现状，计算公式如下：</w:t>
            </w:r>
          </w:p>
          <w:p>
            <w:pPr>
              <w:adjustRightInd w:val="0"/>
              <w:snapToGrid w:val="0"/>
              <w:ind w:firstLine="480"/>
              <w:jc w:val="center"/>
              <w:rPr>
                <w:rFonts w:cs="宋体"/>
                <w:kern w:val="0"/>
                <w:szCs w:val="21"/>
              </w:rPr>
            </w:pPr>
            <w:r>
              <w:rPr>
                <w:rFonts w:cs="宋体"/>
                <w:kern w:val="0"/>
                <w:szCs w:val="21"/>
              </w:rPr>
              <w:object>
                <v:shape id="_x0000_i1025" o:spt="75" type="#_x0000_t75" style="height:33.4pt;width:89.3pt;" o:ole="t" filled="f" o:preferrelative="t" stroked="f" coordsize="21600,21600">
                  <v:path/>
                  <v:fill on="f" focussize="0,0"/>
                  <v:stroke on="f" joinstyle="miter"/>
                  <v:imagedata r:id="rId22" o:title=""/>
                  <o:lock v:ext="edit" aspectratio="t"/>
                  <w10:wrap type="none"/>
                  <w10:anchorlock/>
                </v:shape>
                <o:OLEObject Type="Embed" ProgID="Equation.AxMath" ShapeID="_x0000_i1025" DrawAspect="Content" ObjectID="_1468075725" r:id="rId21">
                  <o:LockedField>false</o:LockedField>
                </o:OLEObject>
              </w:object>
            </w:r>
          </w:p>
          <w:p>
            <w:pPr>
              <w:ind w:firstLine="480"/>
              <w:jc w:val="left"/>
            </w:pPr>
            <w:r>
              <w:rPr>
                <w:rFonts w:hint="eastAsia"/>
              </w:rPr>
              <w:t>式中：P</w:t>
            </w:r>
            <w:r>
              <w:rPr>
                <w:rFonts w:hint="eastAsia"/>
                <w:vertAlign w:val="subscript"/>
              </w:rPr>
              <w:t>i</w:t>
            </w:r>
            <w:r>
              <w:rPr>
                <w:rFonts w:hint="eastAsia"/>
              </w:rPr>
              <w:t>——污染物i的单项污染指数，%；</w:t>
            </w:r>
          </w:p>
          <w:p>
            <w:pPr>
              <w:ind w:firstLine="1200" w:firstLineChars="500"/>
              <w:jc w:val="left"/>
            </w:pPr>
            <w:r>
              <w:rPr>
                <w:rFonts w:hint="eastAsia"/>
              </w:rPr>
              <w:t>C</w:t>
            </w:r>
            <w:r>
              <w:rPr>
                <w:rFonts w:hint="eastAsia"/>
                <w:vertAlign w:val="subscript"/>
              </w:rPr>
              <w:t>i</w:t>
            </w:r>
            <w:r>
              <w:rPr>
                <w:rFonts w:hint="eastAsia"/>
              </w:rPr>
              <w:t>——污染物i的平均浓度值，</w:t>
            </w:r>
            <w:r>
              <w:t>μg/m</w:t>
            </w:r>
            <w:r>
              <w:rPr>
                <w:vertAlign w:val="superscript"/>
              </w:rPr>
              <w:t>3</w:t>
            </w:r>
            <w:r>
              <w:rPr>
                <w:rFonts w:hint="eastAsia"/>
              </w:rPr>
              <w:t>；</w:t>
            </w:r>
          </w:p>
          <w:p>
            <w:pPr>
              <w:ind w:firstLine="1200" w:firstLineChars="500"/>
              <w:jc w:val="left"/>
            </w:pPr>
            <w:r>
              <w:rPr>
                <w:rFonts w:hint="eastAsia"/>
              </w:rPr>
              <w:t>C</w:t>
            </w:r>
            <w:r>
              <w:rPr>
                <w:rFonts w:hint="eastAsia"/>
                <w:vertAlign w:val="subscript"/>
              </w:rPr>
              <w:t>0i</w:t>
            </w:r>
            <w:r>
              <w:rPr>
                <w:rFonts w:hint="eastAsia"/>
              </w:rPr>
              <w:t>——污染物i的环境空气质量浓度标准，</w:t>
            </w:r>
            <w:r>
              <w:t>ug/m</w:t>
            </w:r>
            <w:r>
              <w:rPr>
                <w:vertAlign w:val="superscript"/>
              </w:rPr>
              <w:t>3</w:t>
            </w:r>
            <w:r>
              <w:rPr>
                <w:rFonts w:hint="eastAsia"/>
              </w:rPr>
              <w:t>。</w:t>
            </w:r>
          </w:p>
          <w:p>
            <w:pPr>
              <w:ind w:firstLine="480"/>
              <w:jc w:val="left"/>
            </w:pPr>
            <w:r>
              <w:rPr>
                <w:rFonts w:hint="eastAsia"/>
              </w:rPr>
              <w:t>当P</w:t>
            </w:r>
            <w:r>
              <w:rPr>
                <w:rFonts w:hint="eastAsia"/>
                <w:vertAlign w:val="subscript"/>
              </w:rPr>
              <w:t>i</w:t>
            </w:r>
            <w:r>
              <w:rPr>
                <w:rFonts w:hint="eastAsia"/>
              </w:rPr>
              <w:t>≥1时，说明环境中i污染物含量超过标准值，当P</w:t>
            </w:r>
            <w:r>
              <w:rPr>
                <w:rFonts w:hint="eastAsia"/>
                <w:vertAlign w:val="subscript"/>
              </w:rPr>
              <w:t>i</w:t>
            </w:r>
            <w:r>
              <w:rPr>
                <w:rFonts w:hint="eastAsia"/>
              </w:rPr>
              <w:t>&lt;1时，则说明i污染物符合标准。某污染物的Pi值越大，则污染相对越严重。</w:t>
            </w:r>
          </w:p>
          <w:p>
            <w:pPr>
              <w:ind w:firstLine="480"/>
              <w:jc w:val="left"/>
            </w:pPr>
            <w:r>
              <w:rPr>
                <w:rFonts w:hint="eastAsia"/>
              </w:rPr>
              <w:t>（4）评价结果统计</w:t>
            </w:r>
          </w:p>
          <w:p>
            <w:pPr>
              <w:ind w:firstLine="480"/>
              <w:jc w:val="both"/>
            </w:pPr>
            <w:r>
              <w:rPr>
                <w:rFonts w:hint="eastAsia"/>
              </w:rPr>
              <w:t>区域环境空气质量现状评价结果见表</w:t>
            </w:r>
            <w:r>
              <w:rPr>
                <w:rFonts w:hint="eastAsia"/>
                <w:lang w:val="en-US" w:eastAsia="zh-CN"/>
              </w:rPr>
              <w:t>24</w:t>
            </w:r>
            <w:r>
              <w:rPr>
                <w:rFonts w:hint="eastAsia"/>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 xml:space="preserve">24  </w:t>
            </w:r>
            <w:r>
              <w:rPr>
                <w:rFonts w:hint="eastAsia" w:asciiTheme="minorEastAsia" w:hAnsiTheme="minorEastAsia" w:eastAsiaTheme="minorEastAsia" w:cstheme="minorEastAsia"/>
                <w:sz w:val="21"/>
                <w:szCs w:val="21"/>
              </w:rPr>
              <w:t>区域环境空气质量现状评价结果表</w:t>
            </w:r>
          </w:p>
          <w:tbl>
            <w:tblPr>
              <w:tblStyle w:val="18"/>
              <w:tblpPr w:leftFromText="180" w:rightFromText="180" w:vertAnchor="text" w:horzAnchor="margin" w:tblpXSpec="center" w:tblpY="63"/>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958"/>
              <w:gridCol w:w="1174"/>
              <w:gridCol w:w="1152"/>
              <w:gridCol w:w="926"/>
              <w:gridCol w:w="926"/>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污染物</w:t>
                  </w:r>
                </w:p>
              </w:tc>
              <w:tc>
                <w:tcPr>
                  <w:tcW w:w="12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评价指标</w:t>
                  </w:r>
                </w:p>
              </w:tc>
              <w:tc>
                <w:tcPr>
                  <w:tcW w:w="73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评价标准</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（µg/m</w:t>
                  </w:r>
                  <w:r>
                    <w:rPr>
                      <w:sz w:val="21"/>
                      <w:szCs w:val="21"/>
                      <w:vertAlign w:val="superscript"/>
                    </w:rPr>
                    <w:t>3</w:t>
                  </w:r>
                  <w:r>
                    <w:rPr>
                      <w:sz w:val="21"/>
                      <w:szCs w:val="21"/>
                    </w:rPr>
                    <w:t>）</w:t>
                  </w:r>
                </w:p>
              </w:tc>
              <w:tc>
                <w:tcPr>
                  <w:tcW w:w="7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现状浓度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（µg/m</w:t>
                  </w:r>
                  <w:r>
                    <w:rPr>
                      <w:sz w:val="21"/>
                      <w:szCs w:val="21"/>
                      <w:vertAlign w:val="superscript"/>
                    </w:rPr>
                    <w:t>3</w:t>
                  </w:r>
                  <w:r>
                    <w:rPr>
                      <w:sz w:val="21"/>
                      <w:szCs w:val="21"/>
                    </w:rPr>
                    <w:t>）</w:t>
                  </w:r>
                </w:p>
              </w:tc>
              <w:tc>
                <w:tcPr>
                  <w:tcW w:w="581" w:type="pct"/>
                  <w:tcBorders>
                    <w:tl2br w:val="nil"/>
                    <w:tr2bl w:val="nil"/>
                  </w:tcBorders>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占标率（%）</w:t>
                  </w:r>
                </w:p>
              </w:tc>
              <w:tc>
                <w:tcPr>
                  <w:tcW w:w="5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超标</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倍数</w:t>
                  </w:r>
                </w:p>
              </w:tc>
              <w:tc>
                <w:tcPr>
                  <w:tcW w:w="6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达标</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SO</w:t>
                  </w:r>
                  <w:r>
                    <w:rPr>
                      <w:sz w:val="21"/>
                      <w:szCs w:val="21"/>
                      <w:vertAlign w:val="subscript"/>
                    </w:rPr>
                    <w:t>2</w:t>
                  </w:r>
                </w:p>
              </w:tc>
              <w:tc>
                <w:tcPr>
                  <w:tcW w:w="12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年平均浓度</w:t>
                  </w:r>
                </w:p>
              </w:tc>
              <w:tc>
                <w:tcPr>
                  <w:tcW w:w="73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60</w:t>
                  </w:r>
                </w:p>
              </w:tc>
              <w:tc>
                <w:tcPr>
                  <w:tcW w:w="7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10</w:t>
                  </w:r>
                </w:p>
              </w:tc>
              <w:tc>
                <w:tcPr>
                  <w:tcW w:w="5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16.7</w:t>
                  </w:r>
                </w:p>
              </w:tc>
              <w:tc>
                <w:tcPr>
                  <w:tcW w:w="5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w:t>
                  </w:r>
                </w:p>
              </w:tc>
              <w:tc>
                <w:tcPr>
                  <w:tcW w:w="6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NO</w:t>
                  </w:r>
                  <w:r>
                    <w:rPr>
                      <w:sz w:val="21"/>
                      <w:szCs w:val="21"/>
                      <w:vertAlign w:val="subscript"/>
                    </w:rPr>
                    <w:t>2</w:t>
                  </w:r>
                </w:p>
              </w:tc>
              <w:tc>
                <w:tcPr>
                  <w:tcW w:w="12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年平均浓度</w:t>
                  </w:r>
                </w:p>
              </w:tc>
              <w:tc>
                <w:tcPr>
                  <w:tcW w:w="73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40</w:t>
                  </w:r>
                </w:p>
              </w:tc>
              <w:tc>
                <w:tcPr>
                  <w:tcW w:w="7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35</w:t>
                  </w:r>
                </w:p>
              </w:tc>
              <w:tc>
                <w:tcPr>
                  <w:tcW w:w="5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87.5</w:t>
                  </w:r>
                </w:p>
              </w:tc>
              <w:tc>
                <w:tcPr>
                  <w:tcW w:w="5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w:t>
                  </w:r>
                </w:p>
              </w:tc>
              <w:tc>
                <w:tcPr>
                  <w:tcW w:w="6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PM</w:t>
                  </w:r>
                  <w:r>
                    <w:rPr>
                      <w:sz w:val="21"/>
                      <w:szCs w:val="21"/>
                      <w:vertAlign w:val="subscript"/>
                    </w:rPr>
                    <w:t>10</w:t>
                  </w:r>
                </w:p>
              </w:tc>
              <w:tc>
                <w:tcPr>
                  <w:tcW w:w="12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年平均</w:t>
                  </w:r>
                  <w:r>
                    <w:rPr>
                      <w:rFonts w:hint="eastAsia"/>
                      <w:sz w:val="21"/>
                      <w:szCs w:val="21"/>
                    </w:rPr>
                    <w:t>浓</w:t>
                  </w:r>
                  <w:r>
                    <w:rPr>
                      <w:sz w:val="21"/>
                      <w:szCs w:val="21"/>
                    </w:rPr>
                    <w:t>度</w:t>
                  </w:r>
                </w:p>
              </w:tc>
              <w:tc>
                <w:tcPr>
                  <w:tcW w:w="73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70</w:t>
                  </w:r>
                </w:p>
              </w:tc>
              <w:tc>
                <w:tcPr>
                  <w:tcW w:w="7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88.8</w:t>
                  </w:r>
                </w:p>
              </w:tc>
              <w:tc>
                <w:tcPr>
                  <w:tcW w:w="5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126.86</w:t>
                  </w:r>
                </w:p>
              </w:tc>
              <w:tc>
                <w:tcPr>
                  <w:tcW w:w="5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0.26</w:t>
                  </w:r>
                </w:p>
              </w:tc>
              <w:tc>
                <w:tcPr>
                  <w:tcW w:w="6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PM</w:t>
                  </w:r>
                  <w:r>
                    <w:rPr>
                      <w:sz w:val="21"/>
                      <w:szCs w:val="21"/>
                      <w:vertAlign w:val="subscript"/>
                    </w:rPr>
                    <w:t>2.5</w:t>
                  </w:r>
                </w:p>
              </w:tc>
              <w:tc>
                <w:tcPr>
                  <w:tcW w:w="12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年平均浓度</w:t>
                  </w:r>
                </w:p>
              </w:tc>
              <w:tc>
                <w:tcPr>
                  <w:tcW w:w="73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35</w:t>
                  </w:r>
                </w:p>
              </w:tc>
              <w:tc>
                <w:tcPr>
                  <w:tcW w:w="7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51.5</w:t>
                  </w:r>
                </w:p>
              </w:tc>
              <w:tc>
                <w:tcPr>
                  <w:tcW w:w="5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147.14</w:t>
                  </w:r>
                </w:p>
              </w:tc>
              <w:tc>
                <w:tcPr>
                  <w:tcW w:w="5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0.47</w:t>
                  </w:r>
                </w:p>
              </w:tc>
              <w:tc>
                <w:tcPr>
                  <w:tcW w:w="6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CO</w:t>
                  </w:r>
                </w:p>
              </w:tc>
              <w:tc>
                <w:tcPr>
                  <w:tcW w:w="12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24小时平均浓度</w:t>
                  </w:r>
                </w:p>
              </w:tc>
              <w:tc>
                <w:tcPr>
                  <w:tcW w:w="73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4mg/m</w:t>
                  </w:r>
                  <w:r>
                    <w:rPr>
                      <w:sz w:val="21"/>
                      <w:szCs w:val="21"/>
                      <w:vertAlign w:val="superscript"/>
                    </w:rPr>
                    <w:t>3</w:t>
                  </w:r>
                </w:p>
              </w:tc>
              <w:tc>
                <w:tcPr>
                  <w:tcW w:w="7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lang w:val="en-US" w:eastAsia="zh-CN"/>
                    </w:rPr>
                    <w:t>2.4</w:t>
                  </w:r>
                  <w:r>
                    <w:rPr>
                      <w:sz w:val="21"/>
                      <w:szCs w:val="21"/>
                    </w:rPr>
                    <w:t>mg/m</w:t>
                  </w:r>
                  <w:r>
                    <w:rPr>
                      <w:sz w:val="21"/>
                      <w:szCs w:val="21"/>
                      <w:vertAlign w:val="superscript"/>
                    </w:rPr>
                    <w:t>3</w:t>
                  </w:r>
                </w:p>
              </w:tc>
              <w:tc>
                <w:tcPr>
                  <w:tcW w:w="5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60</w:t>
                  </w:r>
                </w:p>
              </w:tc>
              <w:tc>
                <w:tcPr>
                  <w:tcW w:w="5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w:t>
                  </w:r>
                </w:p>
              </w:tc>
              <w:tc>
                <w:tcPr>
                  <w:tcW w:w="6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O</w:t>
                  </w:r>
                  <w:r>
                    <w:rPr>
                      <w:sz w:val="21"/>
                      <w:szCs w:val="21"/>
                      <w:vertAlign w:val="subscript"/>
                    </w:rPr>
                    <w:t>3</w:t>
                  </w:r>
                </w:p>
              </w:tc>
              <w:tc>
                <w:tcPr>
                  <w:tcW w:w="12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日最大8h平均浓度</w:t>
                  </w:r>
                </w:p>
              </w:tc>
              <w:tc>
                <w:tcPr>
                  <w:tcW w:w="73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160</w:t>
                  </w:r>
                </w:p>
              </w:tc>
              <w:tc>
                <w:tcPr>
                  <w:tcW w:w="7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25</w:t>
                  </w:r>
                </w:p>
              </w:tc>
              <w:tc>
                <w:tcPr>
                  <w:tcW w:w="5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15.625</w:t>
                  </w:r>
                </w:p>
              </w:tc>
              <w:tc>
                <w:tcPr>
                  <w:tcW w:w="5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w:t>
                  </w:r>
                </w:p>
              </w:tc>
              <w:tc>
                <w:tcPr>
                  <w:tcW w:w="6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达标</w:t>
                  </w:r>
                </w:p>
              </w:tc>
            </w:tr>
          </w:tbl>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rPr>
              <w:t>由</w:t>
            </w:r>
            <w:r>
              <w:rPr>
                <w:rFonts w:hint="eastAsia"/>
                <w:lang w:eastAsia="zh-CN"/>
              </w:rPr>
              <w:t>上表</w:t>
            </w:r>
            <w:r>
              <w:rPr>
                <w:rFonts w:hint="eastAsia"/>
              </w:rPr>
              <w:t>可知，本项目所在区域SO</w:t>
            </w:r>
            <w:r>
              <w:rPr>
                <w:rFonts w:hint="eastAsia"/>
                <w:vertAlign w:val="subscript"/>
              </w:rPr>
              <w:t>2</w:t>
            </w:r>
            <w:r>
              <w:rPr>
                <w:rFonts w:hint="eastAsia"/>
              </w:rPr>
              <w:t>、NO</w:t>
            </w:r>
            <w:r>
              <w:rPr>
                <w:rFonts w:hint="eastAsia"/>
                <w:vertAlign w:val="subscript"/>
              </w:rPr>
              <w:t>2</w:t>
            </w:r>
            <w:r>
              <w:rPr>
                <w:rFonts w:hint="eastAsia"/>
              </w:rPr>
              <w:t>、CO、O</w:t>
            </w:r>
            <w:r>
              <w:rPr>
                <w:rFonts w:hint="eastAsia"/>
                <w:vertAlign w:val="subscript"/>
              </w:rPr>
              <w:t>3</w:t>
            </w:r>
            <w:r>
              <w:rPr>
                <w:rFonts w:hint="eastAsia"/>
              </w:rPr>
              <w:t>的浓度均可满足《环境空气质量标准》（GB3095-2012）二级浓度限值，</w:t>
            </w:r>
            <w:r>
              <w:rPr>
                <w:rFonts w:hint="eastAsia"/>
                <w:highlight w:val="none"/>
              </w:rPr>
              <w:t>PM</w:t>
            </w:r>
            <w:r>
              <w:rPr>
                <w:rFonts w:hint="eastAsia"/>
                <w:highlight w:val="none"/>
                <w:vertAlign w:val="subscript"/>
              </w:rPr>
              <w:t>10</w:t>
            </w:r>
            <w:r>
              <w:rPr>
                <w:rFonts w:hint="eastAsia"/>
                <w:highlight w:val="none"/>
              </w:rPr>
              <w:t>、PM</w:t>
            </w:r>
            <w:r>
              <w:rPr>
                <w:rFonts w:hint="eastAsia"/>
                <w:highlight w:val="none"/>
                <w:vertAlign w:val="subscript"/>
              </w:rPr>
              <w:t>2.5</w:t>
            </w:r>
            <w:r>
              <w:rPr>
                <w:rFonts w:hint="eastAsia"/>
                <w:highlight w:val="none"/>
              </w:rPr>
              <w:t>浓度超过《环境空气质量标准》（GB3095-2012）二级浓度限值，存在PM</w:t>
            </w:r>
            <w:r>
              <w:rPr>
                <w:rFonts w:hint="eastAsia"/>
                <w:highlight w:val="none"/>
                <w:vertAlign w:val="subscript"/>
              </w:rPr>
              <w:t>10</w:t>
            </w:r>
            <w:r>
              <w:rPr>
                <w:rFonts w:hint="eastAsia"/>
                <w:highlight w:val="none"/>
              </w:rPr>
              <w:t>和PM</w:t>
            </w:r>
            <w:r>
              <w:rPr>
                <w:rFonts w:hint="eastAsia"/>
                <w:highlight w:val="none"/>
                <w:vertAlign w:val="subscript"/>
              </w:rPr>
              <w:t>2.5</w:t>
            </w:r>
            <w:r>
              <w:rPr>
                <w:rFonts w:hint="eastAsia"/>
                <w:highlight w:val="none"/>
              </w:rPr>
              <w:t>污染问题，因此项目所在区域为环境空气质量不达标区。</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highlight w:val="none"/>
              </w:rPr>
            </w:pPr>
            <w:r>
              <w:rPr>
                <w:rFonts w:hint="eastAsia"/>
                <w:highlight w:val="none"/>
              </w:rPr>
              <w:t>（二）环境空气特征污染物</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eastAsia="宋体"/>
                <w:lang w:eastAsia="zh-CN"/>
              </w:rPr>
            </w:pPr>
            <w:r>
              <w:rPr>
                <w:rFonts w:hint="eastAsia"/>
                <w:lang w:eastAsia="zh-CN"/>
              </w:rPr>
              <w:t>（</w:t>
            </w:r>
            <w:r>
              <w:rPr>
                <w:rFonts w:hint="eastAsia"/>
                <w:lang w:val="en-US" w:eastAsia="zh-CN"/>
              </w:rPr>
              <w:t>1</w:t>
            </w:r>
            <w:r>
              <w:rPr>
                <w:rFonts w:hint="eastAsia"/>
                <w:lang w:eastAsia="zh-CN"/>
              </w:rPr>
              <w:t>）总悬浮颗粒物</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default" w:eastAsia="宋体"/>
                <w:lang w:val="en-US" w:eastAsia="zh-CN"/>
              </w:rPr>
            </w:pPr>
            <w:r>
              <w:rPr>
                <w:rFonts w:hint="eastAsia"/>
              </w:rPr>
              <w:t>本项目特征污染物环境空气质量现状评价数据引用</w:t>
            </w:r>
            <w:r>
              <w:rPr>
                <w:rFonts w:hint="eastAsia"/>
                <w:highlight w:val="none"/>
              </w:rPr>
              <w:t>新疆</w:t>
            </w:r>
            <w:r>
              <w:rPr>
                <w:rFonts w:hint="eastAsia"/>
                <w:highlight w:val="none"/>
                <w:lang w:eastAsia="zh-CN"/>
              </w:rPr>
              <w:t>环疆绿源环保科技</w:t>
            </w:r>
            <w:r>
              <w:rPr>
                <w:rFonts w:hint="eastAsia"/>
                <w:highlight w:val="none"/>
              </w:rPr>
              <w:t>有限公司于202</w:t>
            </w:r>
            <w:r>
              <w:rPr>
                <w:rFonts w:hint="eastAsia"/>
                <w:highlight w:val="none"/>
                <w:lang w:val="en-US" w:eastAsia="zh-CN"/>
              </w:rPr>
              <w:t>1</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17</w:t>
            </w:r>
            <w:r>
              <w:rPr>
                <w:rFonts w:hint="eastAsia"/>
                <w:highlight w:val="none"/>
              </w:rPr>
              <w:t>日</w:t>
            </w:r>
            <w:r>
              <w:rPr>
                <w:rFonts w:hint="eastAsia"/>
                <w:highlight w:val="none"/>
                <w:lang w:val="en-US" w:eastAsia="zh-CN"/>
              </w:rPr>
              <w:t>-19日</w:t>
            </w:r>
            <w:r>
              <w:rPr>
                <w:rFonts w:hint="eastAsia"/>
                <w:highlight w:val="none"/>
              </w:rPr>
              <w:t>对</w:t>
            </w:r>
            <w:r>
              <w:rPr>
                <w:rFonts w:hint="eastAsia"/>
                <w:highlight w:val="none"/>
                <w:lang w:eastAsia="zh-CN"/>
              </w:rPr>
              <w:t>《</w:t>
            </w:r>
            <w:r>
              <w:rPr>
                <w:rFonts w:hint="eastAsia"/>
                <w:highlight w:val="none"/>
                <w:lang w:val="en-US" w:eastAsia="zh-CN"/>
              </w:rPr>
              <w:t>高聚物改性沥青防水卷材生产线技术改造项目</w:t>
            </w:r>
            <w:r>
              <w:rPr>
                <w:rFonts w:hint="eastAsia"/>
                <w:highlight w:val="none"/>
                <w:lang w:eastAsia="zh-CN"/>
              </w:rPr>
              <w:t>》</w:t>
            </w:r>
            <w:r>
              <w:rPr>
                <w:rFonts w:hint="eastAsia"/>
                <w:highlight w:val="none"/>
              </w:rPr>
              <w:t>下风向环境空气质量进行监测的数据</w:t>
            </w:r>
            <w:r>
              <w:rPr>
                <w:rFonts w:hint="eastAsia"/>
              </w:rPr>
              <w:t>，监测点位位于本项目区</w:t>
            </w:r>
            <w:r>
              <w:rPr>
                <w:rFonts w:hint="eastAsia"/>
                <w:lang w:eastAsia="zh-CN"/>
              </w:rPr>
              <w:t>东南</w:t>
            </w:r>
            <w:r>
              <w:rPr>
                <w:rFonts w:hint="eastAsia"/>
              </w:rPr>
              <w:t>方向约</w:t>
            </w:r>
            <w:r>
              <w:rPr>
                <w:rFonts w:hint="eastAsia"/>
                <w:lang w:val="en-US" w:eastAsia="zh-CN"/>
              </w:rPr>
              <w:t>2.3km</w:t>
            </w:r>
            <w:r>
              <w:rPr>
                <w:rFonts w:hint="eastAsia"/>
              </w:rPr>
              <w:t>处，环境空气特征污染物监测点位图见附图</w:t>
            </w:r>
            <w:r>
              <w:rPr>
                <w:rFonts w:hint="eastAsia"/>
                <w:lang w:val="en-US" w:eastAsia="zh-CN"/>
              </w:rPr>
              <w:t>17</w:t>
            </w:r>
            <w:r>
              <w:rPr>
                <w:rFonts w:hint="eastAsia"/>
              </w:rPr>
              <w:t>，根据《建设项目环境影响报告表编制技术指南（污染影响类）（试行）》中规定，排放国家、地方环境空气质量标准中有标准限值要求的特征污染物时，引用建设项目周边5</w:t>
            </w:r>
            <w:r>
              <w:rPr>
                <w:rFonts w:hint="eastAsia"/>
                <w:lang w:val="en-US" w:eastAsia="zh-CN"/>
              </w:rPr>
              <w:t>km</w:t>
            </w:r>
            <w:r>
              <w:rPr>
                <w:rFonts w:hint="eastAsia"/>
              </w:rPr>
              <w:t>范围内近3年的现有监测数据，本项目数据引用有效。</w:t>
            </w:r>
          </w:p>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lang w:eastAsia="zh-CN"/>
              </w:rPr>
              <w:t>①</w:t>
            </w:r>
            <w:r>
              <w:rPr>
                <w:rFonts w:hint="eastAsia"/>
              </w:rPr>
              <w:t>监测项目及频率</w:t>
            </w:r>
          </w:p>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rPr>
              <w:t>监测点位：项目区下风向</w:t>
            </w:r>
            <w:r>
              <w:rPr>
                <w:highlight w:val="none"/>
              </w:rPr>
              <w:t>（87°</w:t>
            </w:r>
            <w:r>
              <w:rPr>
                <w:rFonts w:hint="eastAsia"/>
                <w:highlight w:val="none"/>
                <w:lang w:val="en-US" w:eastAsia="zh-CN"/>
              </w:rPr>
              <w:t>8</w:t>
            </w:r>
            <w:r>
              <w:rPr>
                <w:highlight w:val="none"/>
              </w:rPr>
              <w:t>′</w:t>
            </w:r>
            <w:r>
              <w:rPr>
                <w:rFonts w:hint="eastAsia"/>
                <w:highlight w:val="none"/>
                <w:lang w:val="en-US" w:eastAsia="zh-CN"/>
              </w:rPr>
              <w:t>38.99</w:t>
            </w:r>
            <w:r>
              <w:rPr>
                <w:highlight w:val="none"/>
              </w:rPr>
              <w:t>″E，44°</w:t>
            </w:r>
            <w:r>
              <w:rPr>
                <w:rFonts w:hint="eastAsia"/>
                <w:highlight w:val="none"/>
                <w:lang w:val="en-US" w:eastAsia="zh-CN"/>
              </w:rPr>
              <w:t>4</w:t>
            </w:r>
            <w:r>
              <w:rPr>
                <w:highlight w:val="none"/>
              </w:rPr>
              <w:t>′</w:t>
            </w:r>
            <w:r>
              <w:rPr>
                <w:rFonts w:hint="eastAsia"/>
                <w:highlight w:val="none"/>
                <w:lang w:val="en-US" w:eastAsia="zh-CN"/>
              </w:rPr>
              <w:t>53</w:t>
            </w:r>
            <w:r>
              <w:rPr>
                <w:highlight w:val="none"/>
              </w:rPr>
              <w:t>.</w:t>
            </w:r>
            <w:r>
              <w:rPr>
                <w:rFonts w:hint="eastAsia"/>
                <w:highlight w:val="none"/>
                <w:lang w:val="en-US" w:eastAsia="zh-CN"/>
              </w:rPr>
              <w:t>74</w:t>
            </w:r>
            <w:r>
              <w:rPr>
                <w:highlight w:val="none"/>
              </w:rPr>
              <w:t>″N）</w:t>
            </w:r>
            <w:r>
              <w:rPr>
                <w:rFonts w:hint="eastAsia"/>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rPr>
              <w:t>监测项目：</w:t>
            </w:r>
            <w:r>
              <w:rPr>
                <w:rFonts w:hint="eastAsia"/>
                <w:lang w:eastAsia="zh-CN"/>
              </w:rPr>
              <w:t>总悬浮颗粒物</w:t>
            </w:r>
            <w:r>
              <w:rPr>
                <w:rFonts w:hint="eastAsia"/>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rPr>
              <w:t>监测频率：连续采样</w:t>
            </w:r>
            <w:r>
              <w:rPr>
                <w:rFonts w:hint="eastAsia"/>
                <w:lang w:val="en-US" w:eastAsia="zh-CN"/>
              </w:rPr>
              <w:t>3</w:t>
            </w:r>
            <w:r>
              <w:rPr>
                <w:rFonts w:hint="eastAsia"/>
              </w:rPr>
              <w:t>个有效天，每天采样</w:t>
            </w:r>
            <w:r>
              <w:rPr>
                <w:rFonts w:hint="eastAsia"/>
                <w:lang w:val="en-US" w:eastAsia="zh-CN"/>
              </w:rPr>
              <w:t>4</w:t>
            </w:r>
            <w:r>
              <w:rPr>
                <w:rFonts w:hint="eastAsia"/>
              </w:rPr>
              <w:t>次。</w:t>
            </w:r>
          </w:p>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lang w:eastAsia="zh-CN"/>
              </w:rPr>
              <w:t>②</w:t>
            </w:r>
            <w:r>
              <w:rPr>
                <w:rFonts w:hint="eastAsia"/>
              </w:rPr>
              <w:t>评价标准</w:t>
            </w:r>
          </w:p>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rPr>
              <w:t>项目区域属于环境空气功能区二类区，环境空气质量执行《环境空气质量标准》（GB3095-2012）中二级标准；</w:t>
            </w:r>
            <w:r>
              <w:rPr>
                <w:rFonts w:hint="eastAsia"/>
                <w:highlight w:val="none"/>
              </w:rPr>
              <w:t>特征污染物</w:t>
            </w:r>
            <w:r>
              <w:rPr>
                <w:rFonts w:hint="eastAsia"/>
                <w:highlight w:val="none"/>
                <w:lang w:eastAsia="zh-CN"/>
              </w:rPr>
              <w:t>总悬浮颗粒物</w:t>
            </w:r>
            <w:r>
              <w:rPr>
                <w:rFonts w:hint="eastAsia"/>
                <w:highlight w:val="none"/>
              </w:rPr>
              <w:t>参照执行《环境空气质量标准》（GB3095-2012）中</w:t>
            </w:r>
            <w:r>
              <w:rPr>
                <w:rFonts w:hint="eastAsia"/>
                <w:highlight w:val="none"/>
                <w:lang w:eastAsia="zh-CN"/>
              </w:rPr>
              <w:t>总悬浮颗粒物</w:t>
            </w:r>
            <w:r>
              <w:rPr>
                <w:rFonts w:hint="eastAsia"/>
                <w:highlight w:val="none"/>
              </w:rPr>
              <w:t>相关标准。</w:t>
            </w:r>
            <w:r>
              <w:rPr>
                <w:rFonts w:hint="eastAsia"/>
              </w:rPr>
              <w:t>标准限值见表</w:t>
            </w:r>
            <w:r>
              <w:rPr>
                <w:rFonts w:hint="eastAsia"/>
                <w:lang w:val="en-US" w:eastAsia="zh-CN"/>
              </w:rPr>
              <w:t>25</w:t>
            </w:r>
            <w:r>
              <w:rPr>
                <w:rFonts w:hint="eastAsia"/>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环境空气污染物其他项目浓度限值</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3"/>
              <w:gridCol w:w="1767"/>
              <w:gridCol w:w="1991"/>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污染物项目</w:t>
                  </w:r>
                </w:p>
              </w:tc>
              <w:tc>
                <w:tcPr>
                  <w:tcW w:w="110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平均时间</w:t>
                  </w:r>
                </w:p>
              </w:tc>
              <w:tc>
                <w:tcPr>
                  <w:tcW w:w="238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浓度限值(</w:t>
                  </w:r>
                  <w:r>
                    <w:rPr>
                      <w:rFonts w:hint="eastAsia"/>
                      <w:sz w:val="21"/>
                      <w:szCs w:val="21"/>
                    </w:rPr>
                    <w:t>ug/m</w:t>
                  </w:r>
                  <w:r>
                    <w:rPr>
                      <w:rFonts w:hint="eastAsia"/>
                      <w:sz w:val="21"/>
                      <w:szCs w:val="21"/>
                      <w:vertAlign w:val="superscript"/>
                    </w:rPr>
                    <w:t>3</w:t>
                  </w:r>
                  <w:r>
                    <w:rPr>
                      <w:rFonts w:hint="eastAsia" w:asciiTheme="minorEastAsia" w:hAnsiTheme="minorEastAsia" w:eastAsiaTheme="minorEastAsia" w:cstheme="minorEastAsia"/>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0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一级</w:t>
                  </w:r>
                </w:p>
              </w:tc>
              <w:tc>
                <w:tcPr>
                  <w:tcW w:w="113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eastAsia="zh-CN"/>
                    </w:rPr>
                    <w:t>总悬浮颗粒物</w:t>
                  </w:r>
                </w:p>
              </w:tc>
              <w:tc>
                <w:tcPr>
                  <w:tcW w:w="110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年平均</w:t>
                  </w: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80</w:t>
                  </w:r>
                </w:p>
              </w:tc>
              <w:tc>
                <w:tcPr>
                  <w:tcW w:w="113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0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heme="minorEastAsia" w:hAnsiTheme="minorEastAsia" w:eastAsiaTheme="minorEastAsia" w:cs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24</w:t>
                  </w:r>
                  <w:r>
                    <w:rPr>
                      <w:rFonts w:hint="eastAsia" w:asciiTheme="minorEastAsia" w:hAnsiTheme="minorEastAsia" w:eastAsiaTheme="minorEastAsia" w:cstheme="minorEastAsia"/>
                      <w:sz w:val="21"/>
                      <w:szCs w:val="21"/>
                      <w:vertAlign w:val="baseline"/>
                      <w:lang w:val="en-US" w:eastAsia="zh-CN"/>
                    </w:rPr>
                    <w:t>小时平均</w:t>
                  </w: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120</w:t>
                  </w:r>
                </w:p>
              </w:tc>
              <w:tc>
                <w:tcPr>
                  <w:tcW w:w="113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300</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pPr>
            <w:r>
              <w:rPr>
                <w:rFonts w:hint="eastAsia"/>
                <w:lang w:eastAsia="zh-CN"/>
              </w:rPr>
              <w:t>③</w:t>
            </w:r>
            <w:r>
              <w:rPr>
                <w:rFonts w:hint="eastAsia"/>
              </w:rPr>
              <w:t>评价方法</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pPr>
            <w:r>
              <w:rPr>
                <w:rFonts w:hint="eastAsia"/>
              </w:rPr>
              <w:t>采用标准指数法评价大气污染物在评价区域内的环境质量现状，计算公式如下：</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pPr>
            <w:r>
              <w:rPr>
                <w:position w:val="-35"/>
              </w:rPr>
              <w:object>
                <v:shape id="_x0000_i1026" o:spt="75" type="#_x0000_t75" style="height:35.7pt;width:72pt;" o:ole="t" filled="f" o:preferrelative="t" stroked="f" coordsize="21600,21600">
                  <v:path/>
                  <v:fill on="f" focussize="0,0"/>
                  <v:stroke on="f" joinstyle="miter"/>
                  <v:imagedata r:id="rId24" o:title=""/>
                  <o:lock v:ext="edit" aspectratio="t"/>
                  <w10:wrap type="none"/>
                  <w10:anchorlock/>
                </v:shape>
                <o:OLEObject Type="Embed" ProgID="Equation.AxMath" ShapeID="_x0000_i1026" DrawAspect="Content" ObjectID="_1468075726" r:id="rId23">
                  <o:LockedField>false</o:LockedField>
                </o:OLEObject>
              </w:objec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pPr>
            <w:r>
              <w:rPr>
                <w:rFonts w:hint="eastAsia"/>
              </w:rPr>
              <w:t>式中：P</w:t>
            </w:r>
            <w:r>
              <w:rPr>
                <w:rFonts w:hint="eastAsia"/>
                <w:vertAlign w:val="subscript"/>
              </w:rPr>
              <w:t>i</w:t>
            </w:r>
            <w:r>
              <w:rPr>
                <w:rFonts w:hint="eastAsia"/>
              </w:rPr>
              <w:t>——污染物i的单项污染指数，%；</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pPr>
            <w:r>
              <w:rPr>
                <w:rFonts w:hint="eastAsia"/>
              </w:rPr>
              <w:t>C</w:t>
            </w:r>
            <w:r>
              <w:rPr>
                <w:rFonts w:hint="eastAsia"/>
                <w:vertAlign w:val="subscript"/>
              </w:rPr>
              <w:t>i</w:t>
            </w:r>
            <w:r>
              <w:rPr>
                <w:rFonts w:hint="eastAsia"/>
              </w:rPr>
              <w:t>——污染物i的监测浓度值，</w:t>
            </w:r>
            <w:r>
              <w:t>μg/m</w:t>
            </w:r>
            <w:r>
              <w:rPr>
                <w:vertAlign w:val="superscript"/>
              </w:rPr>
              <w:t>3</w:t>
            </w:r>
            <w:r>
              <w:rPr>
                <w:rFonts w:hint="eastAsia"/>
              </w:rPr>
              <w:t>；</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pPr>
            <w:r>
              <w:rPr>
                <w:rFonts w:hint="eastAsia"/>
              </w:rPr>
              <w:t>C</w:t>
            </w:r>
            <w:r>
              <w:rPr>
                <w:rFonts w:hint="eastAsia"/>
                <w:vertAlign w:val="subscript"/>
              </w:rPr>
              <w:t>0i</w:t>
            </w:r>
            <w:r>
              <w:rPr>
                <w:rFonts w:hint="eastAsia"/>
              </w:rPr>
              <w:t>——污染物i的环境空气质量浓度标准，ug/m</w:t>
            </w:r>
            <w:r>
              <w:rPr>
                <w:rFonts w:hint="eastAsia"/>
                <w:vertAlign w:val="superscript"/>
              </w:rPr>
              <w:t>3</w:t>
            </w:r>
            <w:r>
              <w:rPr>
                <w:rFonts w:hint="eastAsia"/>
              </w:rPr>
              <w:t>。</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pPr>
            <w:r>
              <w:rPr>
                <w:rFonts w:hint="eastAsia"/>
              </w:rPr>
              <w:t>当P</w:t>
            </w:r>
            <w:r>
              <w:rPr>
                <w:rFonts w:hint="eastAsia"/>
                <w:vertAlign w:val="subscript"/>
              </w:rPr>
              <w:t>i</w:t>
            </w:r>
            <w:r>
              <w:rPr>
                <w:rFonts w:hint="eastAsia"/>
              </w:rPr>
              <w:t>≥1时，说明环境中i污染物含量超过标准值，当P</w:t>
            </w:r>
            <w:r>
              <w:rPr>
                <w:rFonts w:hint="eastAsia"/>
                <w:vertAlign w:val="subscript"/>
              </w:rPr>
              <w:t>i</w:t>
            </w:r>
            <w:r>
              <w:rPr>
                <w:rFonts w:hint="eastAsia"/>
              </w:rPr>
              <w:t>&lt;1时，则说明i污染物符合标准。某污染物的P</w:t>
            </w:r>
            <w:r>
              <w:rPr>
                <w:rFonts w:hint="eastAsia"/>
                <w:vertAlign w:val="subscript"/>
              </w:rPr>
              <w:t>i</w:t>
            </w:r>
            <w:r>
              <w:rPr>
                <w:rFonts w:hint="eastAsia"/>
              </w:rPr>
              <w:t>值越大，则污染相对越严重。</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pPr>
            <w:r>
              <w:rPr>
                <w:rFonts w:hint="eastAsia"/>
                <w:lang w:eastAsia="zh-CN"/>
              </w:rPr>
              <w:t>④</w:t>
            </w:r>
            <w:r>
              <w:rPr>
                <w:rFonts w:hint="eastAsia"/>
              </w:rPr>
              <w:t>监测结果分析及评价</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default"/>
                <w:lang w:val="en-US"/>
              </w:rPr>
            </w:pPr>
            <w:r>
              <w:rPr>
                <w:rFonts w:hint="eastAsia"/>
                <w:lang w:eastAsia="zh-CN"/>
              </w:rPr>
              <w:t>总悬浮颗粒物</w:t>
            </w:r>
            <w:r>
              <w:rPr>
                <w:rFonts w:hint="eastAsia"/>
              </w:rPr>
              <w:t>监测结果见表</w:t>
            </w:r>
            <w:r>
              <w:rPr>
                <w:rFonts w:hint="eastAsia"/>
                <w:lang w:val="en-US" w:eastAsia="zh-CN"/>
              </w:rPr>
              <w:t>26</w:t>
            </w:r>
            <w:r>
              <w:rPr>
                <w:rFonts w:hint="eastAsia"/>
              </w:rPr>
              <w:t>，</w:t>
            </w:r>
            <w:r>
              <w:rPr>
                <w:rFonts w:hint="eastAsia"/>
                <w:lang w:eastAsia="zh-CN"/>
              </w:rPr>
              <w:t>总悬浮颗粒物</w:t>
            </w:r>
            <w:r>
              <w:rPr>
                <w:rFonts w:hint="eastAsia"/>
              </w:rPr>
              <w:t>评价结果见表</w:t>
            </w:r>
            <w:r>
              <w:rPr>
                <w:rFonts w:hint="eastAsia"/>
                <w:lang w:val="en-US" w:eastAsia="zh-CN"/>
              </w:rPr>
              <w:t>27。</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26</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总悬浮颗粒物</w:t>
            </w:r>
            <w:r>
              <w:rPr>
                <w:rFonts w:hint="eastAsia" w:asciiTheme="minorEastAsia" w:hAnsiTheme="minorEastAsia" w:eastAsiaTheme="minorEastAsia" w:cstheme="minorEastAsia"/>
                <w:sz w:val="21"/>
                <w:szCs w:val="21"/>
              </w:rPr>
              <w:t>监测结果表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332"/>
              <w:gridCol w:w="2411"/>
              <w:gridCol w:w="1229"/>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8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采样点位</w:t>
                  </w:r>
                </w:p>
              </w:tc>
              <w:tc>
                <w:tcPr>
                  <w:tcW w:w="83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采样日期</w:t>
                  </w:r>
                </w:p>
              </w:tc>
              <w:tc>
                <w:tcPr>
                  <w:tcW w:w="151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样品编号</w:t>
                  </w:r>
                </w:p>
              </w:tc>
              <w:tc>
                <w:tcPr>
                  <w:tcW w:w="77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采样频次</w:t>
                  </w:r>
                </w:p>
              </w:tc>
              <w:tc>
                <w:tcPr>
                  <w:tcW w:w="11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检测项目</w:t>
                  </w:r>
                  <w:r>
                    <w:rPr>
                      <w:rFonts w:hint="default" w:ascii="Times New Roman" w:hAnsi="Times New Roman" w:cs="Times New Roman" w:eastAsiaTheme="minorEastAsia"/>
                      <w:sz w:val="21"/>
                      <w:szCs w:val="21"/>
                    </w:rPr>
                    <w:t>（mg/m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p>
              </w:tc>
              <w:tc>
                <w:tcPr>
                  <w:tcW w:w="83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p>
              </w:tc>
              <w:tc>
                <w:tcPr>
                  <w:tcW w:w="151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p>
              </w:tc>
              <w:tc>
                <w:tcPr>
                  <w:tcW w:w="77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p>
              </w:tc>
              <w:tc>
                <w:tcPr>
                  <w:tcW w:w="11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总悬浮颗粒物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W1：</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项目区</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下风向</w:t>
                  </w:r>
                </w:p>
              </w:tc>
              <w:tc>
                <w:tcPr>
                  <w:tcW w:w="83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11月17日</w:t>
                  </w:r>
                </w:p>
              </w:tc>
              <w:tc>
                <w:tcPr>
                  <w:tcW w:w="1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20214705-W1-1-1</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sz w:val="21"/>
                      <w:szCs w:val="21"/>
                      <w:lang w:eastAsia="zh-CN"/>
                    </w:rPr>
                  </w:pPr>
                  <w:r>
                    <w:rPr>
                      <w:rFonts w:hint="eastAsia"/>
                      <w:sz w:val="21"/>
                      <w:szCs w:val="21"/>
                      <w:lang w:eastAsia="zh-CN"/>
                    </w:rPr>
                    <w:t>第</w:t>
                  </w:r>
                  <w:r>
                    <w:rPr>
                      <w:rFonts w:hint="eastAsia"/>
                      <w:sz w:val="21"/>
                      <w:szCs w:val="21"/>
                      <w:lang w:val="en-US" w:eastAsia="zh-CN"/>
                    </w:rPr>
                    <w:t>1</w:t>
                  </w:r>
                  <w:r>
                    <w:rPr>
                      <w:rFonts w:hint="eastAsia"/>
                      <w:sz w:val="21"/>
                      <w:szCs w:val="21"/>
                      <w:lang w:eastAsia="zh-CN"/>
                    </w:rPr>
                    <w:t>次</w:t>
                  </w:r>
                </w:p>
              </w:tc>
              <w:tc>
                <w:tcPr>
                  <w:tcW w:w="11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3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1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20214705-W1-1-2</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eastAsia="zh-CN"/>
                    </w:rPr>
                  </w:pPr>
                  <w:r>
                    <w:rPr>
                      <w:rFonts w:hint="eastAsia"/>
                      <w:sz w:val="21"/>
                      <w:szCs w:val="21"/>
                      <w:lang w:eastAsia="zh-CN"/>
                    </w:rPr>
                    <w:t>第</w:t>
                  </w:r>
                  <w:r>
                    <w:rPr>
                      <w:rFonts w:hint="eastAsia"/>
                      <w:sz w:val="21"/>
                      <w:szCs w:val="21"/>
                      <w:lang w:val="en-US" w:eastAsia="zh-CN"/>
                    </w:rPr>
                    <w:t>2</w:t>
                  </w:r>
                  <w:r>
                    <w:rPr>
                      <w:rFonts w:hint="eastAsia"/>
                      <w:sz w:val="21"/>
                      <w:szCs w:val="21"/>
                      <w:lang w:eastAsia="zh-CN"/>
                    </w:rPr>
                    <w:t>次</w:t>
                  </w:r>
                </w:p>
              </w:tc>
              <w:tc>
                <w:tcPr>
                  <w:tcW w:w="11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3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1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20214705-W1-1-3</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eastAsia="zh-CN"/>
                    </w:rPr>
                  </w:pPr>
                  <w:r>
                    <w:rPr>
                      <w:rFonts w:hint="eastAsia"/>
                      <w:sz w:val="21"/>
                      <w:szCs w:val="21"/>
                      <w:lang w:eastAsia="zh-CN"/>
                    </w:rPr>
                    <w:t>第</w:t>
                  </w:r>
                  <w:r>
                    <w:rPr>
                      <w:rFonts w:hint="eastAsia"/>
                      <w:sz w:val="21"/>
                      <w:szCs w:val="21"/>
                      <w:lang w:val="en-US" w:eastAsia="zh-CN"/>
                    </w:rPr>
                    <w:t>3</w:t>
                  </w:r>
                  <w:r>
                    <w:rPr>
                      <w:rFonts w:hint="eastAsia"/>
                      <w:sz w:val="21"/>
                      <w:szCs w:val="21"/>
                      <w:lang w:eastAsia="zh-CN"/>
                    </w:rPr>
                    <w:t>次</w:t>
                  </w:r>
                </w:p>
              </w:tc>
              <w:tc>
                <w:tcPr>
                  <w:tcW w:w="11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3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1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20214705-W1-1-4</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eastAsia="zh-CN"/>
                    </w:rPr>
                  </w:pPr>
                  <w:r>
                    <w:rPr>
                      <w:rFonts w:hint="eastAsia"/>
                      <w:sz w:val="21"/>
                      <w:szCs w:val="21"/>
                      <w:lang w:eastAsia="zh-CN"/>
                    </w:rPr>
                    <w:t>第</w:t>
                  </w:r>
                  <w:r>
                    <w:rPr>
                      <w:rFonts w:hint="eastAsia"/>
                      <w:sz w:val="21"/>
                      <w:szCs w:val="21"/>
                      <w:lang w:val="en-US" w:eastAsia="zh-CN"/>
                    </w:rPr>
                    <w:t>4</w:t>
                  </w:r>
                  <w:r>
                    <w:rPr>
                      <w:rFonts w:hint="eastAsia"/>
                      <w:sz w:val="21"/>
                      <w:szCs w:val="21"/>
                      <w:lang w:eastAsia="zh-CN"/>
                    </w:rPr>
                    <w:t>次</w:t>
                  </w:r>
                </w:p>
              </w:tc>
              <w:tc>
                <w:tcPr>
                  <w:tcW w:w="11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3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11月18日</w:t>
                  </w:r>
                </w:p>
              </w:tc>
              <w:tc>
                <w:tcPr>
                  <w:tcW w:w="1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20214705-W1-2-1</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eastAsia="zh-CN"/>
                    </w:rPr>
                  </w:pPr>
                  <w:r>
                    <w:rPr>
                      <w:rFonts w:hint="eastAsia"/>
                      <w:sz w:val="21"/>
                      <w:szCs w:val="21"/>
                      <w:lang w:eastAsia="zh-CN"/>
                    </w:rPr>
                    <w:t>第</w:t>
                  </w:r>
                  <w:r>
                    <w:rPr>
                      <w:rFonts w:hint="eastAsia"/>
                      <w:sz w:val="21"/>
                      <w:szCs w:val="21"/>
                      <w:lang w:val="en-US" w:eastAsia="zh-CN"/>
                    </w:rPr>
                    <w:t>1</w:t>
                  </w:r>
                  <w:r>
                    <w:rPr>
                      <w:rFonts w:hint="eastAsia"/>
                      <w:sz w:val="21"/>
                      <w:szCs w:val="21"/>
                      <w:lang w:eastAsia="zh-CN"/>
                    </w:rPr>
                    <w:t>次</w:t>
                  </w:r>
                </w:p>
              </w:tc>
              <w:tc>
                <w:tcPr>
                  <w:tcW w:w="11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3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1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20214705-W1-2-2</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eastAsia="zh-CN"/>
                    </w:rPr>
                  </w:pPr>
                  <w:r>
                    <w:rPr>
                      <w:rFonts w:hint="eastAsia"/>
                      <w:sz w:val="21"/>
                      <w:szCs w:val="21"/>
                      <w:lang w:eastAsia="zh-CN"/>
                    </w:rPr>
                    <w:t>第</w:t>
                  </w:r>
                  <w:r>
                    <w:rPr>
                      <w:rFonts w:hint="eastAsia"/>
                      <w:sz w:val="21"/>
                      <w:szCs w:val="21"/>
                      <w:lang w:val="en-US" w:eastAsia="zh-CN"/>
                    </w:rPr>
                    <w:t>2</w:t>
                  </w:r>
                  <w:r>
                    <w:rPr>
                      <w:rFonts w:hint="eastAsia"/>
                      <w:sz w:val="21"/>
                      <w:szCs w:val="21"/>
                      <w:lang w:eastAsia="zh-CN"/>
                    </w:rPr>
                    <w:t>次</w:t>
                  </w:r>
                </w:p>
              </w:tc>
              <w:tc>
                <w:tcPr>
                  <w:tcW w:w="11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3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1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20214705-W1-2-3</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eastAsia="zh-CN"/>
                    </w:rPr>
                  </w:pPr>
                  <w:r>
                    <w:rPr>
                      <w:rFonts w:hint="eastAsia"/>
                      <w:sz w:val="21"/>
                      <w:szCs w:val="21"/>
                      <w:lang w:eastAsia="zh-CN"/>
                    </w:rPr>
                    <w:t>第</w:t>
                  </w:r>
                  <w:r>
                    <w:rPr>
                      <w:rFonts w:hint="eastAsia"/>
                      <w:sz w:val="21"/>
                      <w:szCs w:val="21"/>
                      <w:lang w:val="en-US" w:eastAsia="zh-CN"/>
                    </w:rPr>
                    <w:t>3</w:t>
                  </w:r>
                  <w:r>
                    <w:rPr>
                      <w:rFonts w:hint="eastAsia"/>
                      <w:sz w:val="21"/>
                      <w:szCs w:val="21"/>
                      <w:lang w:eastAsia="zh-CN"/>
                    </w:rPr>
                    <w:t>次</w:t>
                  </w:r>
                </w:p>
              </w:tc>
              <w:tc>
                <w:tcPr>
                  <w:tcW w:w="11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3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1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20214705-W1-2-4</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eastAsia="zh-CN"/>
                    </w:rPr>
                  </w:pPr>
                  <w:r>
                    <w:rPr>
                      <w:rFonts w:hint="eastAsia"/>
                      <w:sz w:val="21"/>
                      <w:szCs w:val="21"/>
                      <w:lang w:eastAsia="zh-CN"/>
                    </w:rPr>
                    <w:t>第</w:t>
                  </w:r>
                  <w:r>
                    <w:rPr>
                      <w:rFonts w:hint="eastAsia"/>
                      <w:sz w:val="21"/>
                      <w:szCs w:val="21"/>
                      <w:lang w:val="en-US" w:eastAsia="zh-CN"/>
                    </w:rPr>
                    <w:t>4</w:t>
                  </w:r>
                  <w:r>
                    <w:rPr>
                      <w:rFonts w:hint="eastAsia"/>
                      <w:sz w:val="21"/>
                      <w:szCs w:val="21"/>
                      <w:lang w:eastAsia="zh-CN"/>
                    </w:rPr>
                    <w:t>次</w:t>
                  </w:r>
                </w:p>
              </w:tc>
              <w:tc>
                <w:tcPr>
                  <w:tcW w:w="11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3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11月19日</w:t>
                  </w:r>
                </w:p>
              </w:tc>
              <w:tc>
                <w:tcPr>
                  <w:tcW w:w="1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20214705-W1-3-1</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eastAsia="zh-CN"/>
                    </w:rPr>
                  </w:pPr>
                  <w:r>
                    <w:rPr>
                      <w:rFonts w:hint="eastAsia"/>
                      <w:sz w:val="21"/>
                      <w:szCs w:val="21"/>
                      <w:lang w:eastAsia="zh-CN"/>
                    </w:rPr>
                    <w:t>第</w:t>
                  </w:r>
                  <w:r>
                    <w:rPr>
                      <w:rFonts w:hint="eastAsia"/>
                      <w:sz w:val="21"/>
                      <w:szCs w:val="21"/>
                      <w:lang w:val="en-US" w:eastAsia="zh-CN"/>
                    </w:rPr>
                    <w:t>1</w:t>
                  </w:r>
                  <w:r>
                    <w:rPr>
                      <w:rFonts w:hint="eastAsia"/>
                      <w:sz w:val="21"/>
                      <w:szCs w:val="21"/>
                      <w:lang w:eastAsia="zh-CN"/>
                    </w:rPr>
                    <w:t>次</w:t>
                  </w:r>
                </w:p>
              </w:tc>
              <w:tc>
                <w:tcPr>
                  <w:tcW w:w="11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3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1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20214705-W1-3-2</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eastAsia="zh-CN"/>
                    </w:rPr>
                  </w:pPr>
                  <w:r>
                    <w:rPr>
                      <w:rFonts w:hint="eastAsia"/>
                      <w:sz w:val="21"/>
                      <w:szCs w:val="21"/>
                      <w:lang w:eastAsia="zh-CN"/>
                    </w:rPr>
                    <w:t>第</w:t>
                  </w:r>
                  <w:r>
                    <w:rPr>
                      <w:rFonts w:hint="eastAsia"/>
                      <w:sz w:val="21"/>
                      <w:szCs w:val="21"/>
                      <w:lang w:val="en-US" w:eastAsia="zh-CN"/>
                    </w:rPr>
                    <w:t>2</w:t>
                  </w:r>
                  <w:r>
                    <w:rPr>
                      <w:rFonts w:hint="eastAsia"/>
                      <w:sz w:val="21"/>
                      <w:szCs w:val="21"/>
                      <w:lang w:eastAsia="zh-CN"/>
                    </w:rPr>
                    <w:t>次</w:t>
                  </w:r>
                </w:p>
              </w:tc>
              <w:tc>
                <w:tcPr>
                  <w:tcW w:w="11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3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1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20214705-W1-3-3</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eastAsia="zh-CN"/>
                    </w:rPr>
                  </w:pPr>
                  <w:r>
                    <w:rPr>
                      <w:rFonts w:hint="eastAsia"/>
                      <w:sz w:val="21"/>
                      <w:szCs w:val="21"/>
                      <w:lang w:eastAsia="zh-CN"/>
                    </w:rPr>
                    <w:t>第</w:t>
                  </w:r>
                  <w:r>
                    <w:rPr>
                      <w:rFonts w:hint="eastAsia"/>
                      <w:sz w:val="21"/>
                      <w:szCs w:val="21"/>
                      <w:lang w:val="en-US" w:eastAsia="zh-CN"/>
                    </w:rPr>
                    <w:t>3</w:t>
                  </w:r>
                  <w:r>
                    <w:rPr>
                      <w:rFonts w:hint="eastAsia"/>
                      <w:sz w:val="21"/>
                      <w:szCs w:val="21"/>
                      <w:lang w:eastAsia="zh-CN"/>
                    </w:rPr>
                    <w:t>次</w:t>
                  </w:r>
                </w:p>
              </w:tc>
              <w:tc>
                <w:tcPr>
                  <w:tcW w:w="11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3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1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20214705-W1-3-4</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lang w:eastAsia="zh-CN"/>
                    </w:rPr>
                  </w:pPr>
                  <w:r>
                    <w:rPr>
                      <w:rFonts w:hint="eastAsia"/>
                      <w:sz w:val="21"/>
                      <w:szCs w:val="21"/>
                      <w:lang w:eastAsia="zh-CN"/>
                    </w:rPr>
                    <w:t>第</w:t>
                  </w:r>
                  <w:r>
                    <w:rPr>
                      <w:rFonts w:hint="eastAsia"/>
                      <w:sz w:val="21"/>
                      <w:szCs w:val="21"/>
                      <w:lang w:val="en-US" w:eastAsia="zh-CN"/>
                    </w:rPr>
                    <w:t>4</w:t>
                  </w:r>
                  <w:r>
                    <w:rPr>
                      <w:rFonts w:hint="eastAsia"/>
                      <w:sz w:val="21"/>
                      <w:szCs w:val="21"/>
                      <w:lang w:eastAsia="zh-CN"/>
                    </w:rPr>
                    <w:t>次</w:t>
                  </w:r>
                </w:p>
              </w:tc>
              <w:tc>
                <w:tcPr>
                  <w:tcW w:w="11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0.250</w:t>
                  </w:r>
                </w:p>
              </w:tc>
            </w:tr>
          </w:tbl>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eastAsia="zh-CN"/>
              </w:rPr>
              <w:t>总悬浮颗粒物</w:t>
            </w:r>
            <w:r>
              <w:rPr>
                <w:rFonts w:hint="eastAsia" w:asciiTheme="minorEastAsia" w:hAnsiTheme="minorEastAsia" w:eastAsiaTheme="minorEastAsia" w:cstheme="minorEastAsia"/>
                <w:sz w:val="21"/>
                <w:szCs w:val="21"/>
              </w:rPr>
              <w:t>评价结果</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2"/>
              <w:gridCol w:w="3192"/>
              <w:gridCol w:w="2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监测点</w:t>
                  </w:r>
                </w:p>
              </w:tc>
              <w:tc>
                <w:tcPr>
                  <w:tcW w:w="2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项目</w:t>
                  </w:r>
                </w:p>
              </w:tc>
              <w:tc>
                <w:tcPr>
                  <w:tcW w:w="1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lang w:eastAsia="zh-CN"/>
                    </w:rPr>
                    <w:t>总悬浮颗粒物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W1：项目区</w:t>
                  </w:r>
                </w:p>
              </w:tc>
              <w:tc>
                <w:tcPr>
                  <w:tcW w:w="2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有效日数</w:t>
                  </w:r>
                </w:p>
              </w:tc>
              <w:tc>
                <w:tcPr>
                  <w:tcW w:w="1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sz w:val="21"/>
                      <w:szCs w:val="21"/>
                      <w:lang w:eastAsia="zh-CN"/>
                    </w:rPr>
                  </w:pPr>
                  <w:r>
                    <w:rPr>
                      <w:rFonts w:hint="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2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浓度范围</w:t>
                  </w:r>
                  <w:r>
                    <w:rPr>
                      <w:rFonts w:hint="default" w:ascii="Times New Roman" w:hAnsi="Times New Roman" w:cs="Times New Roman" w:eastAsiaTheme="minorEastAsia"/>
                      <w:sz w:val="21"/>
                      <w:szCs w:val="21"/>
                    </w:rPr>
                    <w:t>（mg/m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rPr>
                    <w:t>）</w:t>
                  </w:r>
                </w:p>
              </w:tc>
              <w:tc>
                <w:tcPr>
                  <w:tcW w:w="1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0.200~0.250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2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超标率</w:t>
                  </w:r>
                  <w:r>
                    <w:rPr>
                      <w:rFonts w:hint="default" w:ascii="Times New Roman" w:hAnsi="Times New Roman" w:cs="Times New Roman" w:eastAsiaTheme="minorEastAsia"/>
                      <w:sz w:val="21"/>
                      <w:szCs w:val="21"/>
                    </w:rPr>
                    <w:t>（%）</w:t>
                  </w:r>
                </w:p>
              </w:tc>
              <w:tc>
                <w:tcPr>
                  <w:tcW w:w="1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2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最大超标倍数</w:t>
                  </w:r>
                </w:p>
              </w:tc>
              <w:tc>
                <w:tcPr>
                  <w:tcW w:w="1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2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default" w:ascii="Times New Roman" w:hAnsi="Times New Roman" w:cs="Times New Roman" w:eastAsiaTheme="minorEastAsia"/>
                      <w:sz w:val="21"/>
                      <w:szCs w:val="21"/>
                    </w:rPr>
                    <w:t>P</w:t>
                  </w:r>
                  <w:r>
                    <w:rPr>
                      <w:rFonts w:hint="default" w:ascii="Times New Roman" w:hAnsi="Times New Roman" w:cs="Times New Roman" w:eastAsiaTheme="minorEastAsia"/>
                      <w:sz w:val="21"/>
                      <w:szCs w:val="21"/>
                      <w:vertAlign w:val="subscript"/>
                    </w:rPr>
                    <w:t>i</w:t>
                  </w:r>
                </w:p>
              </w:tc>
              <w:tc>
                <w:tcPr>
                  <w:tcW w:w="1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0.667~0.833</w:t>
                  </w:r>
                </w:p>
              </w:tc>
            </w:tr>
          </w:tbl>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rPr>
            </w:pPr>
            <w:r>
              <w:rPr>
                <w:rFonts w:hint="eastAsia"/>
              </w:rPr>
              <w:t>根据监测结果，特征污染物</w:t>
            </w:r>
            <w:r>
              <w:rPr>
                <w:rFonts w:hint="eastAsia"/>
                <w:lang w:eastAsia="zh-CN"/>
              </w:rPr>
              <w:t>总悬浮颗粒物</w:t>
            </w:r>
            <w:r>
              <w:rPr>
                <w:rFonts w:hint="eastAsia"/>
              </w:rPr>
              <w:t>在监测时段内浓度值满足《环境空气质量标准》（GB3095-2012）中的</w:t>
            </w:r>
            <w:r>
              <w:rPr>
                <w:rFonts w:hint="eastAsia"/>
                <w:lang w:eastAsia="zh-CN"/>
              </w:rPr>
              <w:t>总悬浮颗粒物</w:t>
            </w:r>
            <w:r>
              <w:rPr>
                <w:rFonts w:hint="eastAsia"/>
              </w:rPr>
              <w:t>限值，</w:t>
            </w:r>
            <w:r>
              <w:rPr>
                <w:rFonts w:hint="eastAsia"/>
                <w:lang w:eastAsia="zh-CN"/>
              </w:rPr>
              <w:t>总悬浮颗粒物</w:t>
            </w:r>
            <w:r>
              <w:rPr>
                <w:rFonts w:hint="eastAsia"/>
              </w:rPr>
              <w:t>在监测时段内达标，区域内</w:t>
            </w:r>
            <w:r>
              <w:rPr>
                <w:rFonts w:hint="eastAsia"/>
                <w:lang w:eastAsia="zh-CN"/>
              </w:rPr>
              <w:t>总悬浮颗粒物</w:t>
            </w:r>
            <w:r>
              <w:rPr>
                <w:rFonts w:hint="eastAsia"/>
              </w:rPr>
              <w:t>环境空气质量现状良好。</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eastAsia="宋体"/>
                <w:lang w:eastAsia="zh-CN"/>
              </w:rPr>
            </w:pPr>
            <w:r>
              <w:rPr>
                <w:rFonts w:hint="eastAsia"/>
                <w:lang w:eastAsia="zh-CN"/>
              </w:rPr>
              <w:t>（</w:t>
            </w:r>
            <w:r>
              <w:rPr>
                <w:rFonts w:hint="eastAsia"/>
                <w:lang w:val="en-US" w:eastAsia="zh-CN"/>
              </w:rPr>
              <w:t>2</w:t>
            </w:r>
            <w:r>
              <w:rPr>
                <w:rFonts w:hint="eastAsia"/>
                <w:lang w:eastAsia="zh-CN"/>
              </w:rPr>
              <w:t>）非甲烷总烃</w:t>
            </w:r>
          </w:p>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rPr>
              <w:t>本项目特征污染物环境空气质量现状评价数据引用新疆锡水金山环境科技有限公司于2020年6月1</w:t>
            </w:r>
            <w:r>
              <w:rPr>
                <w:rFonts w:hint="eastAsia"/>
                <w:lang w:val="en-US" w:eastAsia="zh-CN"/>
              </w:rPr>
              <w:t>2</w:t>
            </w:r>
            <w:r>
              <w:rPr>
                <w:rFonts w:hint="eastAsia"/>
              </w:rPr>
              <w:t>日~1</w:t>
            </w:r>
            <w:r>
              <w:rPr>
                <w:rFonts w:hint="eastAsia"/>
                <w:lang w:val="en-US" w:eastAsia="zh-CN"/>
              </w:rPr>
              <w:t>8</w:t>
            </w:r>
            <w:r>
              <w:rPr>
                <w:rFonts w:hint="eastAsia"/>
              </w:rPr>
              <w:t>日对</w:t>
            </w:r>
            <w:r>
              <w:rPr>
                <w:rFonts w:hint="eastAsia"/>
                <w:lang w:eastAsia="zh-CN"/>
              </w:rPr>
              <w:t>《醇基燃料储存销售、年产</w:t>
            </w:r>
            <w:r>
              <w:rPr>
                <w:rFonts w:hint="eastAsia"/>
                <w:lang w:val="en-US" w:eastAsia="zh-CN"/>
              </w:rPr>
              <w:t>900吨汽车防冻液及年产1000吨玻璃水生产线项目</w:t>
            </w:r>
            <w:r>
              <w:rPr>
                <w:rFonts w:hint="eastAsia"/>
                <w:lang w:eastAsia="zh-CN"/>
              </w:rPr>
              <w:t>》</w:t>
            </w:r>
            <w:r>
              <w:rPr>
                <w:rFonts w:hint="eastAsia"/>
              </w:rPr>
              <w:t>下风向环境空气质量进行监测的数据，作为评价本项目区环境空气质量现状的分析资料数据。监测点位位于本项目区西</w:t>
            </w:r>
            <w:r>
              <w:rPr>
                <w:rFonts w:hint="eastAsia"/>
                <w:lang w:eastAsia="zh-CN"/>
              </w:rPr>
              <w:t>南</w:t>
            </w:r>
            <w:r>
              <w:rPr>
                <w:rFonts w:hint="eastAsia"/>
              </w:rPr>
              <w:t>方向约</w:t>
            </w:r>
            <w:r>
              <w:rPr>
                <w:rFonts w:hint="eastAsia"/>
                <w:lang w:val="en-US" w:eastAsia="zh-CN"/>
              </w:rPr>
              <w:t>3</w:t>
            </w:r>
            <w:r>
              <w:rPr>
                <w:rFonts w:hint="eastAsia"/>
              </w:rPr>
              <w:t>km处，环境空气特征污染物监测点位图见附图</w:t>
            </w:r>
            <w:r>
              <w:rPr>
                <w:rFonts w:hint="eastAsia"/>
                <w:lang w:val="en-US" w:eastAsia="zh-CN"/>
              </w:rPr>
              <w:t>18</w:t>
            </w:r>
            <w:r>
              <w:rPr>
                <w:rFonts w:hint="eastAsia"/>
              </w:rPr>
              <w:t>，根据《建设项目环境影响报告表编制技术指南（污染影响类）（试行）》中规定，排放国家、地方环境空气质量标准中有标准限值要求的特征污染物时，引用建设项目周边5千米范围内近3年的现有监测数据，本项目数据引用有效。</w:t>
            </w:r>
          </w:p>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rPr>
              <w:t>（1）监测项目及频率</w:t>
            </w:r>
          </w:p>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rPr>
              <w:t>监测点位：项目区下风向</w:t>
            </w:r>
            <w:r>
              <w:t>（87°6′7.91″E，44°5′3.21″N）</w:t>
            </w:r>
            <w:r>
              <w:rPr>
                <w:rFonts w:hint="eastAsia"/>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rPr>
              <w:t>监测项目：非甲烷总烃；</w:t>
            </w:r>
          </w:p>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rPr>
              <w:t>监测频率：连续采样7个有效天，每天采样4次。</w:t>
            </w:r>
          </w:p>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rPr>
              <w:t>（2）评价标准</w:t>
            </w:r>
          </w:p>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rPr>
              <w:t>项目区域属于环境空气功能区二类区，环境空气质量执行《环境空气质量标准》（GB3095-2012）中二级标准；特征污染物非甲烷总烃参照执行《大气污染物综合排放标准详解》中非甲烷总烃相关标准。标准限值见表</w:t>
            </w:r>
            <w:r>
              <w:rPr>
                <w:rFonts w:hint="eastAsia"/>
                <w:lang w:val="en-US" w:eastAsia="zh-CN"/>
              </w:rPr>
              <w:t>28</w:t>
            </w:r>
            <w:r>
              <w:rPr>
                <w:rFonts w:hint="eastAsia"/>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sz w:val="21"/>
                <w:szCs w:val="21"/>
              </w:rPr>
              <w:t>表</w:t>
            </w:r>
            <w:r>
              <w:rPr>
                <w:rFonts w:hint="eastAsia"/>
                <w:sz w:val="21"/>
                <w:szCs w:val="21"/>
                <w:lang w:val="en-US" w:eastAsia="zh-CN"/>
              </w:rPr>
              <w:t>28</w:t>
            </w:r>
            <w:r>
              <w:rPr>
                <w:rFonts w:hint="eastAsia"/>
              </w:rPr>
              <w:t xml:space="preserve">  </w:t>
            </w:r>
            <w:r>
              <w:rPr>
                <w:rFonts w:hint="eastAsia"/>
                <w:sz w:val="21"/>
                <w:szCs w:val="21"/>
              </w:rPr>
              <w:t>大气环境质量标准</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3"/>
              <w:gridCol w:w="2654"/>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污染物名称</w:t>
                  </w:r>
                </w:p>
              </w:tc>
              <w:tc>
                <w:tcPr>
                  <w:tcW w:w="333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浓度限值（mg/m</w:t>
                  </w:r>
                  <w:r>
                    <w:rPr>
                      <w:rFonts w:hint="eastAsia"/>
                      <w:sz w:val="21"/>
                      <w:szCs w:val="21"/>
                      <w:vertAlign w:val="superscript"/>
                    </w:rPr>
                    <w:t>3</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非甲烷总烃</w:t>
                  </w:r>
                </w:p>
              </w:tc>
              <w:tc>
                <w:tcPr>
                  <w:tcW w:w="16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2.0</w:t>
                  </w:r>
                </w:p>
              </w:tc>
              <w:tc>
                <w:tcPr>
                  <w:tcW w:w="16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一次浓度</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pPr>
            <w:r>
              <w:rPr>
                <w:rFonts w:hint="eastAsia"/>
              </w:rPr>
              <w:t>（3）评价方法</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pPr>
            <w:r>
              <w:rPr>
                <w:rFonts w:hint="eastAsia"/>
              </w:rPr>
              <w:t>采用标准指数法评价大气污染物在评价区域内的环境质量现状，计算公式如下：</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pPr>
            <w:r>
              <w:rPr>
                <w:position w:val="-35"/>
              </w:rPr>
              <w:object>
                <v:shape id="_x0000_i1027" o:spt="75" type="#_x0000_t75" style="height:35.7pt;width:72pt;" o:ole="t" filled="f" o:preferrelative="t" stroked="f" coordsize="21600,21600">
                  <v:path/>
                  <v:fill on="f" focussize="0,0"/>
                  <v:stroke on="f" joinstyle="miter"/>
                  <v:imagedata r:id="rId24" o:title=""/>
                  <o:lock v:ext="edit" aspectratio="t"/>
                  <w10:wrap type="none"/>
                  <w10:anchorlock/>
                </v:shape>
                <o:OLEObject Type="Embed" ProgID="Equation.AxMath" ShapeID="_x0000_i1027" DrawAspect="Content" ObjectID="_1468075727" r:id="rId25">
                  <o:LockedField>false</o:LockedField>
                </o:OLEObject>
              </w:objec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pPr>
            <w:r>
              <w:rPr>
                <w:rFonts w:hint="eastAsia"/>
              </w:rPr>
              <w:t>式中：P</w:t>
            </w:r>
            <w:r>
              <w:rPr>
                <w:rFonts w:hint="eastAsia"/>
                <w:vertAlign w:val="subscript"/>
              </w:rPr>
              <w:t>i</w:t>
            </w:r>
            <w:r>
              <w:rPr>
                <w:rFonts w:hint="eastAsia"/>
              </w:rPr>
              <w:t>——污染物i的单项污染指数，%；</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pPr>
            <w:r>
              <w:rPr>
                <w:rFonts w:hint="eastAsia"/>
              </w:rPr>
              <w:t>C</w:t>
            </w:r>
            <w:r>
              <w:rPr>
                <w:rFonts w:hint="eastAsia"/>
                <w:vertAlign w:val="subscript"/>
              </w:rPr>
              <w:t>i</w:t>
            </w:r>
            <w:r>
              <w:rPr>
                <w:rFonts w:hint="eastAsia"/>
              </w:rPr>
              <w:t>——污染物i的监测浓度值，</w:t>
            </w:r>
            <w:r>
              <w:t>μg/m</w:t>
            </w:r>
            <w:r>
              <w:rPr>
                <w:vertAlign w:val="superscript"/>
              </w:rPr>
              <w:t>3</w:t>
            </w:r>
            <w:r>
              <w:rPr>
                <w:rFonts w:hint="eastAsia"/>
              </w:rPr>
              <w:t>；</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pPr>
            <w:r>
              <w:rPr>
                <w:rFonts w:hint="eastAsia"/>
              </w:rPr>
              <w:t>C</w:t>
            </w:r>
            <w:r>
              <w:rPr>
                <w:rFonts w:hint="eastAsia"/>
                <w:vertAlign w:val="subscript"/>
              </w:rPr>
              <w:t>0i</w:t>
            </w:r>
            <w:r>
              <w:rPr>
                <w:rFonts w:hint="eastAsia"/>
              </w:rPr>
              <w:t>——污染物i的环境空气质量浓度标准，ug/m</w:t>
            </w:r>
            <w:r>
              <w:rPr>
                <w:rFonts w:hint="eastAsia"/>
                <w:vertAlign w:val="superscript"/>
              </w:rPr>
              <w:t>3</w:t>
            </w:r>
            <w:r>
              <w:rPr>
                <w:rFonts w:hint="eastAsia"/>
              </w:rPr>
              <w:t>。</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pPr>
            <w:r>
              <w:rPr>
                <w:rFonts w:hint="eastAsia"/>
              </w:rPr>
              <w:t>当P</w:t>
            </w:r>
            <w:r>
              <w:rPr>
                <w:rFonts w:hint="eastAsia"/>
                <w:vertAlign w:val="subscript"/>
              </w:rPr>
              <w:t>i</w:t>
            </w:r>
            <w:r>
              <w:rPr>
                <w:rFonts w:hint="eastAsia"/>
              </w:rPr>
              <w:t>≥1时，说明环境中i污染物含量超过标准值，当P</w:t>
            </w:r>
            <w:r>
              <w:rPr>
                <w:rFonts w:hint="eastAsia"/>
                <w:vertAlign w:val="subscript"/>
              </w:rPr>
              <w:t>i</w:t>
            </w:r>
            <w:r>
              <w:rPr>
                <w:rFonts w:hint="eastAsia"/>
              </w:rPr>
              <w:t>&lt;1时，则说明i污染物符合标准。某污染物的P</w:t>
            </w:r>
            <w:r>
              <w:rPr>
                <w:rFonts w:hint="eastAsia"/>
                <w:vertAlign w:val="subscript"/>
              </w:rPr>
              <w:t>i</w:t>
            </w:r>
            <w:r>
              <w:rPr>
                <w:rFonts w:hint="eastAsia"/>
              </w:rPr>
              <w:t>值越大，则污染相对越严重。</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pPr>
            <w:r>
              <w:rPr>
                <w:rFonts w:hint="eastAsia"/>
              </w:rPr>
              <w:t>（4）监测结果分析及评价</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pPr>
            <w:r>
              <w:rPr>
                <w:rFonts w:hint="eastAsia"/>
              </w:rPr>
              <w:t>非甲烷总烃监测结果见表</w:t>
            </w:r>
            <w:r>
              <w:rPr>
                <w:rFonts w:hint="eastAsia"/>
                <w:lang w:val="en-US" w:eastAsia="zh-CN"/>
              </w:rPr>
              <w:t>29</w:t>
            </w:r>
            <w:r>
              <w:rPr>
                <w:rFonts w:hint="eastAsia"/>
              </w:rPr>
              <w:t>，非甲烷总烃评价结果见表</w:t>
            </w:r>
            <w:r>
              <w:rPr>
                <w:rFonts w:hint="eastAsia"/>
                <w:lang w:val="en-US" w:eastAsia="zh-CN"/>
              </w:rPr>
              <w:t>30</w:t>
            </w:r>
            <w:r>
              <w:rPr>
                <w:rFonts w:hint="eastAsia"/>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sz w:val="21"/>
                <w:szCs w:val="21"/>
              </w:rPr>
            </w:pPr>
            <w:r>
              <w:rPr>
                <w:rFonts w:hint="eastAsia"/>
                <w:sz w:val="21"/>
                <w:szCs w:val="21"/>
              </w:rPr>
              <w:t>表</w:t>
            </w:r>
            <w:r>
              <w:rPr>
                <w:rFonts w:hint="eastAsia"/>
                <w:sz w:val="21"/>
                <w:szCs w:val="21"/>
                <w:lang w:val="en-US" w:eastAsia="zh-CN"/>
              </w:rPr>
              <w:t>29</w:t>
            </w:r>
            <w:r>
              <w:rPr>
                <w:rFonts w:hint="eastAsia"/>
                <w:sz w:val="21"/>
                <w:szCs w:val="21"/>
              </w:rPr>
              <w:t xml:space="preserve">  非甲烷总烃监测结果表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1352"/>
              <w:gridCol w:w="1417"/>
              <w:gridCol w:w="1112"/>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1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采样时间</w:t>
                  </w:r>
                </w:p>
              </w:tc>
              <w:tc>
                <w:tcPr>
                  <w:tcW w:w="84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采样点位</w:t>
                  </w:r>
                </w:p>
              </w:tc>
              <w:tc>
                <w:tcPr>
                  <w:tcW w:w="88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样品</w:t>
                  </w:r>
                  <w:r>
                    <w:rPr>
                      <w:sz w:val="21"/>
                      <w:szCs w:val="21"/>
                    </w:rPr>
                    <w:t>编号</w:t>
                  </w:r>
                </w:p>
              </w:tc>
              <w:tc>
                <w:tcPr>
                  <w:tcW w:w="69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采样时间</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检测项目（mg/m</w:t>
                  </w:r>
                  <w:r>
                    <w:rPr>
                      <w:sz w:val="21"/>
                      <w:szCs w:val="21"/>
                      <w:vertAlign w:val="superscript"/>
                    </w:rPr>
                    <w:t>3</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69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sz w:val="21"/>
                      <w:szCs w:val="21"/>
                      <w:lang w:eastAsia="zh-CN"/>
                    </w:rPr>
                  </w:pPr>
                  <w:r>
                    <w:rPr>
                      <w:sz w:val="21"/>
                      <w:szCs w:val="21"/>
                    </w:rPr>
                    <w:t>2020年6月12</w:t>
                  </w:r>
                  <w:r>
                    <w:rPr>
                      <w:rFonts w:hint="eastAsia"/>
                      <w:sz w:val="21"/>
                      <w:szCs w:val="21"/>
                      <w:lang w:eastAsia="zh-CN"/>
                    </w:rPr>
                    <w:t>日</w:t>
                  </w:r>
                </w:p>
              </w:tc>
              <w:tc>
                <w:tcPr>
                  <w:tcW w:w="84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项目区内1</w:t>
                  </w:r>
                  <w:r>
                    <w:rPr>
                      <w:sz w:val="21"/>
                      <w:szCs w:val="21"/>
                      <w:vertAlign w:val="superscript"/>
                    </w:rPr>
                    <w:t>#</w:t>
                  </w: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-1-1-m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10:03</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-1-2-m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12:01</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-1-3-m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14:05</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w:t>
                  </w:r>
                  <w:r>
                    <w:rPr>
                      <w:rFonts w:hint="eastAsia"/>
                      <w:sz w:val="21"/>
                      <w:szCs w:val="21"/>
                    </w:rPr>
                    <w:t>.</w:t>
                  </w:r>
                  <w:r>
                    <w:rPr>
                      <w:sz w:val="21"/>
                      <w:szCs w:val="21"/>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-1-4-m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16:07</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sz w:val="21"/>
                      <w:szCs w:val="21"/>
                      <w:lang w:eastAsia="zh-CN"/>
                    </w:rPr>
                  </w:pPr>
                  <w:r>
                    <w:rPr>
                      <w:sz w:val="21"/>
                      <w:szCs w:val="21"/>
                    </w:rPr>
                    <w:t>2020年6月13</w:t>
                  </w:r>
                  <w:r>
                    <w:rPr>
                      <w:rFonts w:hint="eastAsia"/>
                      <w:sz w:val="21"/>
                      <w:szCs w:val="21"/>
                      <w:lang w:eastAsia="zh-CN"/>
                    </w:rPr>
                    <w:t>日</w:t>
                  </w: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-2-1-m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10:06</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-2-2-m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12:10</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-2-3-m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14:07</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-2-4-m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16:06</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sz w:val="21"/>
                      <w:szCs w:val="21"/>
                      <w:lang w:eastAsia="zh-CN"/>
                    </w:rPr>
                  </w:pPr>
                  <w:r>
                    <w:rPr>
                      <w:sz w:val="21"/>
                      <w:szCs w:val="21"/>
                    </w:rPr>
                    <w:t>2020年6月14</w:t>
                  </w:r>
                  <w:r>
                    <w:rPr>
                      <w:rFonts w:hint="eastAsia"/>
                      <w:sz w:val="21"/>
                      <w:szCs w:val="21"/>
                      <w:lang w:eastAsia="zh-CN"/>
                    </w:rPr>
                    <w:t>日</w:t>
                  </w: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-3-1-m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10:01</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-3-2-m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12:00</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-3-3-m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14:01</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-3-4-m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16:04</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0.7</w:t>
                  </w:r>
                  <w:r>
                    <w:rPr>
                      <w:rFonts w:hint="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sz w:val="21"/>
                      <w:szCs w:val="21"/>
                      <w:lang w:eastAsia="zh-CN"/>
                    </w:rPr>
                  </w:pPr>
                  <w:r>
                    <w:rPr>
                      <w:sz w:val="21"/>
                      <w:szCs w:val="21"/>
                    </w:rPr>
                    <w:t>2020年6月15</w:t>
                  </w:r>
                  <w:r>
                    <w:rPr>
                      <w:rFonts w:hint="eastAsia"/>
                      <w:sz w:val="21"/>
                      <w:szCs w:val="21"/>
                      <w:lang w:eastAsia="zh-CN"/>
                    </w:rPr>
                    <w:t>日</w:t>
                  </w: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-4-1-m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10:03</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-4-2-m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12:05</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-4-3-m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14:02</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-4-4-m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16:01</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sz w:val="21"/>
                      <w:szCs w:val="21"/>
                      <w:lang w:eastAsia="zh-CN"/>
                    </w:rPr>
                  </w:pPr>
                  <w:r>
                    <w:rPr>
                      <w:sz w:val="21"/>
                      <w:szCs w:val="21"/>
                    </w:rPr>
                    <w:t>2020年6月16</w:t>
                  </w:r>
                  <w:r>
                    <w:rPr>
                      <w:rFonts w:hint="eastAsia"/>
                      <w:sz w:val="21"/>
                      <w:szCs w:val="21"/>
                      <w:lang w:eastAsia="zh-CN"/>
                    </w:rPr>
                    <w:t>日</w:t>
                  </w: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-5-1-m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10:06</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-5-2-m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12:05</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-5-3-m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14:03</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-5-4-m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16:01</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sz w:val="21"/>
                      <w:szCs w:val="21"/>
                      <w:lang w:eastAsia="zh-CN"/>
                    </w:rPr>
                  </w:pPr>
                  <w:r>
                    <w:rPr>
                      <w:sz w:val="21"/>
                      <w:szCs w:val="21"/>
                    </w:rPr>
                    <w:t>2020年6月17</w:t>
                  </w:r>
                  <w:r>
                    <w:rPr>
                      <w:rFonts w:hint="eastAsia"/>
                      <w:sz w:val="21"/>
                      <w:szCs w:val="21"/>
                      <w:lang w:eastAsia="zh-CN"/>
                    </w:rPr>
                    <w:t>日</w:t>
                  </w: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-6-1-m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10:09</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-6-2-m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12:01</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-6-3-m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14:05</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-6-4-m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16:03</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sz w:val="21"/>
                      <w:szCs w:val="21"/>
                      <w:lang w:eastAsia="zh-CN"/>
                    </w:rPr>
                  </w:pPr>
                  <w:r>
                    <w:rPr>
                      <w:sz w:val="21"/>
                      <w:szCs w:val="21"/>
                    </w:rPr>
                    <w:t>2020年6月18</w:t>
                  </w:r>
                  <w:r>
                    <w:rPr>
                      <w:rFonts w:hint="eastAsia"/>
                      <w:sz w:val="21"/>
                      <w:szCs w:val="21"/>
                      <w:lang w:eastAsia="zh-CN"/>
                    </w:rPr>
                    <w:t>日</w:t>
                  </w: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rFonts w:hint="eastAsia"/>
                      <w:sz w:val="21"/>
                      <w:szCs w:val="21"/>
                    </w:rPr>
                    <w:t>-</w:t>
                  </w:r>
                  <w:r>
                    <w:rPr>
                      <w:sz w:val="21"/>
                      <w:szCs w:val="21"/>
                    </w:rPr>
                    <w:t>7-1-m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10:02</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w:t>
                  </w:r>
                  <w:r>
                    <w:rPr>
                      <w:rFonts w:hint="eastAsia"/>
                      <w:sz w:val="21"/>
                      <w:szCs w:val="21"/>
                    </w:rPr>
                    <w:t>7</w:t>
                  </w:r>
                  <w:r>
                    <w:rPr>
                      <w:sz w:val="21"/>
                      <w:szCs w:val="21"/>
                    </w:rPr>
                    <w:t>-2-m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12:03</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-7-3-m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14:01</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HQ-1</w:t>
                  </w:r>
                  <w:r>
                    <w:rPr>
                      <w:sz w:val="21"/>
                      <w:szCs w:val="21"/>
                      <w:vertAlign w:val="superscript"/>
                    </w:rPr>
                    <w:t>#</w:t>
                  </w:r>
                  <w:r>
                    <w:rPr>
                      <w:sz w:val="21"/>
                      <w:szCs w:val="21"/>
                    </w:rPr>
                    <w:t>-7-4-m</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kern w:val="0"/>
                      <w:sz w:val="21"/>
                      <w:szCs w:val="21"/>
                    </w:rPr>
                    <w:t>16:05</w:t>
                  </w:r>
                </w:p>
              </w:tc>
              <w:tc>
                <w:tcPr>
                  <w:tcW w:w="13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sz w:val="21"/>
                      <w:szCs w:val="21"/>
                    </w:rPr>
                    <w:t>0.85</w:t>
                  </w:r>
                </w:p>
              </w:tc>
            </w:tr>
          </w:tbl>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sz w:val="21"/>
                <w:szCs w:val="21"/>
              </w:rPr>
            </w:pPr>
            <w:r>
              <w:rPr>
                <w:rFonts w:hint="eastAsia"/>
                <w:sz w:val="21"/>
                <w:szCs w:val="21"/>
              </w:rPr>
              <w:t>表</w:t>
            </w:r>
            <w:r>
              <w:rPr>
                <w:rFonts w:hint="eastAsia"/>
                <w:sz w:val="21"/>
                <w:szCs w:val="21"/>
                <w:lang w:val="en-US" w:eastAsia="zh-CN"/>
              </w:rPr>
              <w:t>30</w:t>
            </w:r>
            <w:r>
              <w:rPr>
                <w:rFonts w:hint="eastAsia"/>
                <w:sz w:val="21"/>
                <w:szCs w:val="21"/>
              </w:rPr>
              <w:t xml:space="preserve">  非甲烷总烃评价结果</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2"/>
              <w:gridCol w:w="3192"/>
              <w:gridCol w:w="2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监测点</w:t>
                  </w:r>
                </w:p>
              </w:tc>
              <w:tc>
                <w:tcPr>
                  <w:tcW w:w="2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项目</w:t>
                  </w:r>
                </w:p>
              </w:tc>
              <w:tc>
                <w:tcPr>
                  <w:tcW w:w="1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W1：项目区</w:t>
                  </w:r>
                </w:p>
              </w:tc>
              <w:tc>
                <w:tcPr>
                  <w:tcW w:w="2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有效日数</w:t>
                  </w:r>
                </w:p>
              </w:tc>
              <w:tc>
                <w:tcPr>
                  <w:tcW w:w="1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2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浓度范围（mg/m</w:t>
                  </w:r>
                  <w:r>
                    <w:rPr>
                      <w:rFonts w:hint="eastAsia"/>
                      <w:sz w:val="21"/>
                      <w:szCs w:val="21"/>
                      <w:vertAlign w:val="superscript"/>
                    </w:rPr>
                    <w:t>3</w:t>
                  </w:r>
                  <w:r>
                    <w:rPr>
                      <w:rFonts w:hint="eastAsia"/>
                      <w:sz w:val="21"/>
                      <w:szCs w:val="21"/>
                    </w:rPr>
                    <w:t>）</w:t>
                  </w:r>
                </w:p>
              </w:tc>
              <w:tc>
                <w:tcPr>
                  <w:tcW w:w="1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0.61~0.89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2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超标率（%）</w:t>
                  </w:r>
                </w:p>
              </w:tc>
              <w:tc>
                <w:tcPr>
                  <w:tcW w:w="1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2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最大超标倍数</w:t>
                  </w:r>
                </w:p>
              </w:tc>
              <w:tc>
                <w:tcPr>
                  <w:tcW w:w="1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8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200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P</w:t>
                  </w:r>
                  <w:r>
                    <w:rPr>
                      <w:rFonts w:hint="eastAsia"/>
                      <w:sz w:val="21"/>
                      <w:szCs w:val="21"/>
                      <w:vertAlign w:val="subscript"/>
                    </w:rPr>
                    <w:t>i</w:t>
                  </w:r>
                </w:p>
              </w:tc>
              <w:tc>
                <w:tcPr>
                  <w:tcW w:w="1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0.305~0.445</w:t>
                  </w:r>
                </w:p>
              </w:tc>
            </w:tr>
          </w:tbl>
          <w:p>
            <w:pPr>
              <w:pageBreakBefore w:val="0"/>
              <w:widowControl w:val="0"/>
              <w:kinsoku/>
              <w:wordWrap/>
              <w:topLinePunct w:val="0"/>
              <w:autoSpaceDE/>
              <w:autoSpaceDN/>
              <w:bidi w:val="0"/>
              <w:adjustRightInd/>
              <w:snapToGrid w:val="0"/>
              <w:ind w:firstLine="480"/>
              <w:jc w:val="left"/>
              <w:textAlignment w:val="auto"/>
              <w:rPr>
                <w:rFonts w:hint="eastAsia"/>
              </w:rPr>
            </w:pPr>
            <w:r>
              <w:rPr>
                <w:rFonts w:hint="eastAsia"/>
              </w:rPr>
              <w:t>根据监测结果，特征污染物非甲烷总烃在监测时段内浓度值满足《大气污染物综合排放标准详解》中的非甲烷总烃限值，非甲烷总烃在监测时段内达标，区域内非甲烷总烃环境空气质量现状良好。</w:t>
            </w:r>
          </w:p>
          <w:p>
            <w:pPr>
              <w:pageBreakBefore w:val="0"/>
              <w:widowControl w:val="0"/>
              <w:kinsoku/>
              <w:wordWrap/>
              <w:topLinePunct w:val="0"/>
              <w:autoSpaceDE/>
              <w:autoSpaceDN/>
              <w:bidi w:val="0"/>
              <w:adjustRightInd/>
              <w:snapToGrid w:val="0"/>
              <w:ind w:firstLine="480"/>
              <w:jc w:val="left"/>
              <w:textAlignment w:val="auto"/>
            </w:pPr>
            <w:r>
              <w:rPr>
                <w:rFonts w:hint="eastAsia"/>
              </w:rPr>
              <w:t>综上所述，项目区域SO</w:t>
            </w:r>
            <w:r>
              <w:rPr>
                <w:rFonts w:hint="eastAsia"/>
                <w:vertAlign w:val="subscript"/>
              </w:rPr>
              <w:t>2</w:t>
            </w:r>
            <w:r>
              <w:rPr>
                <w:rFonts w:hint="eastAsia"/>
              </w:rPr>
              <w:t>、NO</w:t>
            </w:r>
            <w:r>
              <w:rPr>
                <w:rFonts w:hint="eastAsia"/>
                <w:vertAlign w:val="subscript"/>
              </w:rPr>
              <w:t>2</w:t>
            </w:r>
            <w:r>
              <w:rPr>
                <w:rFonts w:hint="eastAsia"/>
              </w:rPr>
              <w:t>、CO和O</w:t>
            </w:r>
            <w:r>
              <w:rPr>
                <w:rFonts w:hint="eastAsia"/>
                <w:vertAlign w:val="subscript"/>
              </w:rPr>
              <w:t>3</w:t>
            </w:r>
            <w:r>
              <w:rPr>
                <w:rFonts w:hint="eastAsia"/>
              </w:rPr>
              <w:t>等四项污染物浓度满足《环境空气质量标准》（GB3095-2012）二级浓度限值</w:t>
            </w:r>
            <w:r>
              <w:rPr>
                <w:rFonts w:hint="eastAsia"/>
                <w:highlight w:val="none"/>
              </w:rPr>
              <w:t>，PM</w:t>
            </w:r>
            <w:r>
              <w:rPr>
                <w:rFonts w:hint="eastAsia"/>
                <w:highlight w:val="none"/>
                <w:vertAlign w:val="subscript"/>
              </w:rPr>
              <w:t>10</w:t>
            </w:r>
            <w:r>
              <w:rPr>
                <w:rFonts w:hint="eastAsia"/>
                <w:highlight w:val="none"/>
              </w:rPr>
              <w:t>、PM</w:t>
            </w:r>
            <w:r>
              <w:rPr>
                <w:rFonts w:hint="eastAsia"/>
                <w:highlight w:val="none"/>
                <w:vertAlign w:val="subscript"/>
              </w:rPr>
              <w:t>2.5</w:t>
            </w:r>
            <w:r>
              <w:rPr>
                <w:rFonts w:hint="eastAsia"/>
                <w:highlight w:val="none"/>
              </w:rPr>
              <w:t>浓度超过《环境空气质量标准》（GB3095-2012）二级浓度限值；</w:t>
            </w:r>
            <w:r>
              <w:rPr>
                <w:rFonts w:hint="eastAsia"/>
              </w:rPr>
              <w:t>环境空气特征污染物</w:t>
            </w:r>
            <w:r>
              <w:rPr>
                <w:rFonts w:hint="eastAsia"/>
                <w:lang w:eastAsia="zh-CN"/>
              </w:rPr>
              <w:t>总悬浮颗粒物</w:t>
            </w:r>
            <w:r>
              <w:rPr>
                <w:rFonts w:hint="eastAsia"/>
              </w:rPr>
              <w:t>在监测时段内浓度值满足《环境空气质量标准》（GB3095-2012）中的</w:t>
            </w:r>
            <w:r>
              <w:rPr>
                <w:rFonts w:hint="eastAsia"/>
                <w:lang w:eastAsia="zh-CN"/>
              </w:rPr>
              <w:t>总悬浮颗粒物</w:t>
            </w:r>
            <w:r>
              <w:rPr>
                <w:rFonts w:hint="eastAsia"/>
              </w:rPr>
              <w:t>限值</w:t>
            </w:r>
            <w:r>
              <w:rPr>
                <w:rFonts w:hint="eastAsia"/>
                <w:lang w:eastAsia="zh-CN"/>
              </w:rPr>
              <w:t>；</w:t>
            </w:r>
            <w:r>
              <w:rPr>
                <w:rFonts w:hint="eastAsia"/>
              </w:rPr>
              <w:t>环境空气特征污染物</w:t>
            </w:r>
            <w:r>
              <w:rPr>
                <w:rFonts w:hint="eastAsia"/>
                <w:lang w:eastAsia="zh-CN"/>
              </w:rPr>
              <w:t>非甲烷总烃</w:t>
            </w:r>
            <w:r>
              <w:rPr>
                <w:rFonts w:hint="eastAsia"/>
              </w:rPr>
              <w:t>在监测时段内浓度值满足《大气污染物综合排放标准详解》中的</w:t>
            </w:r>
            <w:r>
              <w:rPr>
                <w:rFonts w:hint="eastAsia"/>
                <w:lang w:eastAsia="zh-CN"/>
              </w:rPr>
              <w:t>非甲烷总烃</w:t>
            </w:r>
            <w:r>
              <w:rPr>
                <w:rFonts w:hint="eastAsia"/>
              </w:rPr>
              <w:t>限值</w:t>
            </w:r>
            <w:r>
              <w:rPr>
                <w:rFonts w:hint="eastAsia"/>
                <w:lang w:eastAsia="zh-CN"/>
              </w:rPr>
              <w:t>，</w:t>
            </w:r>
            <w:r>
              <w:rPr>
                <w:rFonts w:hint="eastAsia"/>
              </w:rPr>
              <w:t>项目所在评价区为不达标区。</w:t>
            </w:r>
          </w:p>
          <w:p>
            <w:pPr>
              <w:pStyle w:val="3"/>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3.2水环境质量现状</w:t>
            </w:r>
          </w:p>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3.2.1地表水环境质量现状</w:t>
            </w:r>
          </w:p>
          <w:p>
            <w:pPr>
              <w:pageBreakBefore w:val="0"/>
              <w:widowControl w:val="0"/>
              <w:kinsoku/>
              <w:wordWrap/>
              <w:topLinePunct w:val="0"/>
              <w:autoSpaceDE/>
              <w:autoSpaceDN/>
              <w:bidi w:val="0"/>
              <w:adjustRightInd/>
              <w:snapToGrid w:val="0"/>
              <w:ind w:firstLine="480"/>
              <w:jc w:val="left"/>
              <w:textAlignment w:val="auto"/>
              <w:rPr>
                <w:rFonts w:ascii="宋体" w:hAnsi="宋体" w:eastAsia="宋体" w:cs="宋体"/>
                <w:sz w:val="24"/>
                <w:szCs w:val="24"/>
              </w:rPr>
            </w:pPr>
            <w:r>
              <w:rPr>
                <w:rFonts w:ascii="宋体" w:hAnsi="宋体" w:eastAsia="宋体" w:cs="宋体"/>
                <w:sz w:val="24"/>
                <w:szCs w:val="24"/>
              </w:rPr>
              <w:t>根据《建设项目环境影响报告表编制技术指南（污染影响类）》(试行)的要求，“地表水环境质量现状引用与建设项目距离近的有效数据，包括近3年的规划环境影响评价的监测数据，所在流域控制单元内国家、地方控制断面监测数据，生态环境主管部门发布的水环境质量数据或地表水达标情况的结论”。</w:t>
            </w:r>
          </w:p>
          <w:p>
            <w:pPr>
              <w:pageBreakBefore w:val="0"/>
              <w:widowControl w:val="0"/>
              <w:kinsoku/>
              <w:wordWrap/>
              <w:topLinePunct w:val="0"/>
              <w:autoSpaceDE/>
              <w:autoSpaceDN/>
              <w:bidi w:val="0"/>
              <w:adjustRightInd/>
              <w:snapToGrid w:val="0"/>
              <w:ind w:firstLine="480"/>
              <w:jc w:val="left"/>
              <w:textAlignment w:val="auto"/>
              <w:rPr>
                <w:rFonts w:ascii="宋体" w:hAnsi="宋体" w:eastAsia="宋体" w:cs="宋体"/>
                <w:sz w:val="24"/>
                <w:szCs w:val="24"/>
              </w:rPr>
            </w:pPr>
            <w:r>
              <w:rPr>
                <w:rFonts w:ascii="宋体" w:hAnsi="宋体" w:eastAsia="宋体" w:cs="宋体"/>
                <w:sz w:val="24"/>
                <w:szCs w:val="24"/>
              </w:rPr>
              <w:t>本次地表水现状评价引用昌吉回族自治州人民政府官网（</w:t>
            </w:r>
            <w:r>
              <w:rPr>
                <w:rFonts w:hint="default" w:ascii="Times New Roman" w:hAnsi="Times New Roman" w:eastAsia="宋体" w:cs="Times New Roman"/>
                <w:sz w:val="24"/>
                <w:szCs w:val="24"/>
              </w:rPr>
              <w:t>http://www.cj.gov.cn/gk/rdjy/904225.htm</w:t>
            </w:r>
            <w:r>
              <w:rPr>
                <w:rFonts w:ascii="宋体" w:hAnsi="宋体" w:eastAsia="宋体" w:cs="宋体"/>
                <w:sz w:val="24"/>
                <w:szCs w:val="24"/>
              </w:rPr>
              <w:t>）发布的《昌吉回族自治州2020年环境质量状况公报》中的水环境质量结论：“（1）主要河流水质状况。全州监测的8条主要河流水质总体属于优级，监测的15个断面水质：水质达标率100%；Ⅰ类水质占11.8%、Ⅱ类占88.2%。与2019年相比，昌吉市三屯河首断面水质有所上升，昌吉市电线厂断面和木垒县县城西断面水质有所下降，其余断面水质状况无明显变化。昌吉市电线厂断面和木垒县县城西断面水质状况的改变是由于水体中总磷或氨氮浓度变化造成的。（2）工业园区水源地状况。全州3个工业园区（昌吉高新技术产业开发区、阜康市自治区工业园区、玛纳斯县塔西河工业园）3个监测点水质符合Ⅲ类。与2019年相比，昌吉高新技术产业开发区水源地水质由Ⅱ类变为Ⅲ类。”</w:t>
            </w:r>
          </w:p>
          <w:p>
            <w:pPr>
              <w:pageBreakBefore w:val="0"/>
              <w:widowControl w:val="0"/>
              <w:kinsoku/>
              <w:wordWrap/>
              <w:topLinePunct w:val="0"/>
              <w:autoSpaceDE/>
              <w:autoSpaceDN/>
              <w:bidi w:val="0"/>
              <w:adjustRightInd/>
              <w:snapToGrid w:val="0"/>
              <w:ind w:firstLine="480"/>
              <w:jc w:val="left"/>
              <w:textAlignment w:val="auto"/>
            </w:pPr>
            <w:r>
              <w:rPr>
                <w:rFonts w:ascii="宋体" w:hAnsi="宋体" w:eastAsia="宋体" w:cs="宋体"/>
                <w:sz w:val="24"/>
                <w:szCs w:val="24"/>
              </w:rPr>
              <w:t>本项目位于昌吉国家高新技术产业开发区，地表水环境质量达《地表水环境质量标准》（</w:t>
            </w:r>
            <w:r>
              <w:rPr>
                <w:rFonts w:hint="default" w:ascii="Times New Roman" w:hAnsi="Times New Roman" w:eastAsia="宋体" w:cs="Times New Roman"/>
                <w:sz w:val="24"/>
                <w:szCs w:val="24"/>
              </w:rPr>
              <w:t>GB3838-2002</w:t>
            </w:r>
            <w:r>
              <w:rPr>
                <w:rFonts w:ascii="宋体" w:hAnsi="宋体" w:eastAsia="宋体" w:cs="宋体"/>
                <w:sz w:val="24"/>
                <w:szCs w:val="24"/>
              </w:rPr>
              <w:t>）中Ⅲ类标准。</w:t>
            </w:r>
          </w:p>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3.2.2地下水环境质量现状</w:t>
            </w:r>
          </w:p>
          <w:p>
            <w:pPr>
              <w:pageBreakBefore w:val="0"/>
              <w:widowControl w:val="0"/>
              <w:kinsoku/>
              <w:wordWrap/>
              <w:topLinePunct w:val="0"/>
              <w:autoSpaceDE/>
              <w:autoSpaceDN/>
              <w:bidi w:val="0"/>
              <w:adjustRightInd/>
              <w:snapToGrid w:val="0"/>
              <w:ind w:firstLine="480"/>
              <w:jc w:val="left"/>
              <w:textAlignment w:val="auto"/>
            </w:pPr>
            <w:r>
              <w:rPr>
                <w:rFonts w:hint="eastAsia"/>
              </w:rPr>
              <w:t>根据《建设项目环境影响报告表编制技术指南（污染影响类）》(试行)的要求，“地下水、土壤环境。原则上不开展环境质量现状调查。建设项目存在土壤、地下水环境污染途径的，应结合污染源、保护目标分布情况开展现状调查以留作背景值”。本项目不存在地下水环境污染途径，故本项目可不进行地下水环境现状调查。</w:t>
            </w:r>
          </w:p>
          <w:p>
            <w:pPr>
              <w:pStyle w:val="3"/>
              <w:pageBreakBefore w:val="0"/>
              <w:widowControl w:val="0"/>
              <w:kinsoku/>
              <w:wordWrap/>
              <w:topLinePunct w:val="0"/>
              <w:autoSpaceDE/>
              <w:autoSpaceDN/>
              <w:bidi w:val="0"/>
              <w:adjustRightInd/>
              <w:snapToGrid w:val="0"/>
              <w:spacing w:before="0" w:after="0"/>
              <w:jc w:val="left"/>
              <w:textAlignment w:val="auto"/>
              <w:rPr>
                <w:rFonts w:hint="eastAsia"/>
                <w:highlight w:val="none"/>
                <w:lang w:eastAsia="zh-CN"/>
              </w:rPr>
            </w:pPr>
            <w:r>
              <w:rPr>
                <w:rFonts w:hint="eastAsia"/>
                <w:color w:val="auto"/>
                <w:highlight w:val="none"/>
              </w:rPr>
              <w:t>3.3声环境质量现状</w:t>
            </w:r>
          </w:p>
          <w:p>
            <w:pPr>
              <w:pageBreakBefore w:val="0"/>
              <w:widowControl w:val="0"/>
              <w:kinsoku/>
              <w:wordWrap/>
              <w:topLinePunct w:val="0"/>
              <w:autoSpaceDE/>
              <w:autoSpaceDN/>
              <w:bidi w:val="0"/>
              <w:adjustRightInd/>
              <w:snapToGrid w:val="0"/>
              <w:ind w:firstLine="480"/>
              <w:jc w:val="left"/>
              <w:textAlignment w:val="auto"/>
              <w:rPr>
                <w:rFonts w:hint="default" w:eastAsia="宋体"/>
                <w:color w:val="0000FF"/>
                <w:lang w:val="en-US" w:eastAsia="zh-CN"/>
              </w:rPr>
            </w:pPr>
            <w:r>
              <w:rPr>
                <w:rFonts w:hint="eastAsia"/>
              </w:rPr>
              <w:t>本次声环境现状评价委托新疆环疆绿源环保科技有限公司对项目所在地声环境质量现状进行了监测，监测时间为202</w:t>
            </w:r>
            <w:r>
              <w:rPr>
                <w:rFonts w:hint="eastAsia"/>
                <w:lang w:val="en-US" w:eastAsia="zh-CN"/>
              </w:rPr>
              <w:t>1</w:t>
            </w:r>
            <w:r>
              <w:rPr>
                <w:rFonts w:hint="eastAsia"/>
              </w:rPr>
              <w:t>年1</w:t>
            </w:r>
            <w:r>
              <w:rPr>
                <w:rFonts w:hint="eastAsia"/>
                <w:lang w:val="en-US" w:eastAsia="zh-CN"/>
              </w:rPr>
              <w:t>2</w:t>
            </w:r>
            <w:r>
              <w:rPr>
                <w:rFonts w:hint="eastAsia"/>
              </w:rPr>
              <w:t>月</w:t>
            </w:r>
            <w:r>
              <w:rPr>
                <w:rFonts w:hint="eastAsia"/>
                <w:lang w:val="en-US" w:eastAsia="zh-CN"/>
              </w:rPr>
              <w:t>21日~22日</w:t>
            </w:r>
            <w:r>
              <w:rPr>
                <w:rFonts w:hint="eastAsia"/>
              </w:rPr>
              <w:t>。</w:t>
            </w:r>
          </w:p>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3.3.1监测点位</w:t>
            </w:r>
          </w:p>
          <w:p>
            <w:pPr>
              <w:pageBreakBefore w:val="0"/>
              <w:widowControl w:val="0"/>
              <w:kinsoku/>
              <w:wordWrap/>
              <w:topLinePunct w:val="0"/>
              <w:autoSpaceDE/>
              <w:autoSpaceDN/>
              <w:bidi w:val="0"/>
              <w:adjustRightInd/>
              <w:snapToGrid w:val="0"/>
              <w:ind w:firstLine="480"/>
              <w:jc w:val="left"/>
              <w:textAlignment w:val="auto"/>
            </w:pPr>
            <w:r>
              <w:rPr>
                <w:rFonts w:hint="eastAsia"/>
              </w:rPr>
              <w:t>本项目在厂址四周设置四个监测点位，噪声监测点位图见附图</w:t>
            </w:r>
            <w:r>
              <w:rPr>
                <w:rFonts w:hint="eastAsia"/>
                <w:lang w:val="en-US" w:eastAsia="zh-CN"/>
              </w:rPr>
              <w:t>19</w:t>
            </w:r>
            <w:r>
              <w:rPr>
                <w:rFonts w:hint="eastAsia"/>
              </w:rPr>
              <w:t>。</w:t>
            </w:r>
          </w:p>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3.3.2评价标准</w:t>
            </w:r>
          </w:p>
          <w:p>
            <w:pPr>
              <w:pageBreakBefore w:val="0"/>
              <w:widowControl w:val="0"/>
              <w:kinsoku/>
              <w:wordWrap/>
              <w:topLinePunct w:val="0"/>
              <w:autoSpaceDE/>
              <w:autoSpaceDN/>
              <w:bidi w:val="0"/>
              <w:adjustRightInd/>
              <w:snapToGrid w:val="0"/>
              <w:ind w:firstLine="480"/>
              <w:jc w:val="left"/>
              <w:textAlignment w:val="auto"/>
            </w:pPr>
            <w:r>
              <w:rPr>
                <w:rFonts w:hint="eastAsia"/>
              </w:rPr>
              <w:t>根据《声环境质量标准》（GB3096-2008）适用区域划分规定，项目所在地区域属于3类标准适用区，执行《声环境质量标准》（GB3096-2008）中3类标准限值，即昼间65dB(A)，夜间55dB(A)。</w:t>
            </w:r>
          </w:p>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3.3.3监测数据及评价结果</w:t>
            </w:r>
          </w:p>
          <w:p>
            <w:pPr>
              <w:pageBreakBefore w:val="0"/>
              <w:widowControl w:val="0"/>
              <w:kinsoku/>
              <w:wordWrap/>
              <w:topLinePunct w:val="0"/>
              <w:autoSpaceDE/>
              <w:autoSpaceDN/>
              <w:bidi w:val="0"/>
              <w:adjustRightInd/>
              <w:snapToGrid w:val="0"/>
              <w:ind w:firstLine="48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w:t>
            </w:r>
            <w:r>
              <w:rPr>
                <w:rFonts w:hint="eastAsia" w:hAnsi="宋体"/>
                <w:color w:val="000000" w:themeColor="text1"/>
                <w:sz w:val="24"/>
                <w:szCs w:val="28"/>
                <w:highlight w:val="none"/>
                <w:lang w:val="en-US" w:eastAsia="zh-CN"/>
                <w14:textFill>
                  <w14:solidFill>
                    <w14:schemeClr w14:val="tx1"/>
                  </w14:solidFill>
                </w14:textFill>
              </w:rPr>
              <w:t>新疆国泰民康职业环境检测评价有限责任公司</w:t>
            </w:r>
            <w:r>
              <w:rPr>
                <w:color w:val="000000" w:themeColor="text1"/>
                <w:sz w:val="24"/>
                <w:highlight w:val="none"/>
                <w14:textFill>
                  <w14:solidFill>
                    <w14:schemeClr w14:val="tx1"/>
                  </w14:solidFill>
                </w14:textFill>
              </w:rPr>
              <w:t>于20</w:t>
            </w:r>
            <w:r>
              <w:rPr>
                <w:rFonts w:hint="eastAsia"/>
                <w:color w:val="000000" w:themeColor="text1"/>
                <w:sz w:val="24"/>
                <w:highlight w:val="none"/>
                <w:lang w:val="en-US" w:eastAsia="zh-CN"/>
                <w14:textFill>
                  <w14:solidFill>
                    <w14:schemeClr w14:val="tx1"/>
                  </w14:solidFill>
                </w14:textFill>
              </w:rPr>
              <w:t>21</w:t>
            </w:r>
            <w:r>
              <w:rPr>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12</w:t>
            </w:r>
            <w:r>
              <w:rPr>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21</w:t>
            </w:r>
            <w:r>
              <w:rPr>
                <w:color w:val="000000" w:themeColor="text1"/>
                <w:sz w:val="24"/>
                <w:highlight w:val="none"/>
                <w14:textFill>
                  <w14:solidFill>
                    <w14:schemeClr w14:val="tx1"/>
                  </w14:solidFill>
                </w14:textFill>
              </w:rPr>
              <w:t>日~</w:t>
            </w:r>
            <w:r>
              <w:rPr>
                <w:rFonts w:hint="eastAsia"/>
                <w:color w:val="000000" w:themeColor="text1"/>
                <w:sz w:val="24"/>
                <w:highlight w:val="none"/>
                <w:lang w:val="en-US" w:eastAsia="zh-CN"/>
                <w14:textFill>
                  <w14:solidFill>
                    <w14:schemeClr w14:val="tx1"/>
                  </w14:solidFill>
                </w14:textFill>
              </w:rPr>
              <w:t>22</w:t>
            </w:r>
            <w:r>
              <w:rPr>
                <w:color w:val="000000" w:themeColor="text1"/>
                <w:sz w:val="24"/>
                <w:highlight w:val="none"/>
                <w14:textFill>
                  <w14:solidFill>
                    <w14:schemeClr w14:val="tx1"/>
                  </w14:solidFill>
                </w14:textFill>
              </w:rPr>
              <w:t>日</w:t>
            </w:r>
            <w:r>
              <w:rPr>
                <w:rFonts w:hint="eastAsia"/>
                <w:color w:val="000000" w:themeColor="text1"/>
                <w:sz w:val="24"/>
                <w:highlight w:val="none"/>
                <w14:textFill>
                  <w14:solidFill>
                    <w14:schemeClr w14:val="tx1"/>
                  </w14:solidFill>
                </w14:textFill>
              </w:rPr>
              <w:t>对本项目</w:t>
            </w:r>
            <w:r>
              <w:rPr>
                <w:rFonts w:hint="eastAsia"/>
                <w:color w:val="000000" w:themeColor="text1"/>
                <w:sz w:val="24"/>
                <w:highlight w:val="none"/>
                <w:lang w:eastAsia="zh-CN"/>
                <w14:textFill>
                  <w14:solidFill>
                    <w14:schemeClr w14:val="tx1"/>
                  </w14:solidFill>
                </w14:textFill>
              </w:rPr>
              <w:t>区噪声</w:t>
            </w:r>
            <w:r>
              <w:rPr>
                <w:color w:val="000000" w:themeColor="text1"/>
                <w:sz w:val="24"/>
                <w:highlight w:val="none"/>
                <w14:textFill>
                  <w14:solidFill>
                    <w14:schemeClr w14:val="tx1"/>
                  </w14:solidFill>
                </w14:textFill>
              </w:rPr>
              <w:t>监测</w:t>
            </w:r>
            <w:r>
              <w:rPr>
                <w:rFonts w:hint="eastAsia"/>
                <w:color w:val="000000" w:themeColor="text1"/>
                <w:sz w:val="24"/>
                <w:highlight w:val="none"/>
                <w14:textFill>
                  <w14:solidFill>
                    <w14:schemeClr w14:val="tx1"/>
                  </w14:solidFill>
                </w14:textFill>
              </w:rPr>
              <w:t>结果</w:t>
            </w:r>
            <w:r>
              <w:rPr>
                <w:rFonts w:hint="eastAsia"/>
                <w:color w:val="000000" w:themeColor="text1"/>
                <w:sz w:val="24"/>
                <w:highlight w:val="none"/>
                <w:lang w:eastAsia="zh-CN"/>
                <w14:textFill>
                  <w14:solidFill>
                    <w14:schemeClr w14:val="tx1"/>
                  </w14:solidFill>
                </w14:textFill>
              </w:rPr>
              <w:t>见表</w:t>
            </w:r>
            <w:r>
              <w:rPr>
                <w:rFonts w:hint="eastAsia"/>
                <w:color w:val="000000" w:themeColor="text1"/>
                <w:sz w:val="24"/>
                <w:highlight w:val="none"/>
                <w:lang w:val="en-US" w:eastAsia="zh-CN"/>
                <w14:textFill>
                  <w14:solidFill>
                    <w14:schemeClr w14:val="tx1"/>
                  </w14:solidFill>
                </w14:textFill>
              </w:rPr>
              <w:t>31</w:t>
            </w:r>
            <w:r>
              <w:rPr>
                <w:rFonts w:hint="eastAsia"/>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highlight w:val="none"/>
              </w:rPr>
              <w:t>表</w:t>
            </w:r>
            <w:r>
              <w:rPr>
                <w:rFonts w:hint="eastAsia" w:asciiTheme="minorEastAsia" w:hAnsiTheme="minorEastAsia" w:eastAsiaTheme="minorEastAsia" w:cstheme="minorEastAsia"/>
                <w:b/>
                <w:bCs/>
                <w:sz w:val="21"/>
                <w:szCs w:val="21"/>
                <w:highlight w:val="none"/>
                <w:lang w:val="en-US" w:eastAsia="zh-CN"/>
              </w:rPr>
              <w:t>31</w:t>
            </w:r>
            <w:r>
              <w:rPr>
                <w:rFonts w:hint="eastAsia" w:asciiTheme="minorEastAsia" w:hAnsiTheme="minorEastAsia" w:eastAsiaTheme="minorEastAsia" w:cstheme="minorEastAsia"/>
                <w:b/>
                <w:bCs/>
                <w:sz w:val="21"/>
                <w:szCs w:val="21"/>
                <w:highlight w:val="none"/>
              </w:rPr>
              <w:t xml:space="preserve">  噪声监测结果  单位：dB(A)</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33"/>
              <w:gridCol w:w="871"/>
              <w:gridCol w:w="899"/>
              <w:gridCol w:w="835"/>
              <w:gridCol w:w="711"/>
              <w:gridCol w:w="989"/>
              <w:gridCol w:w="671"/>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监测点位</w:t>
                  </w:r>
                </w:p>
              </w:tc>
              <w:tc>
                <w:tcPr>
                  <w:tcW w:w="460" w:type="pct"/>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监测</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时间</w:t>
                  </w:r>
                </w:p>
              </w:tc>
              <w:tc>
                <w:tcPr>
                  <w:tcW w:w="546" w:type="pct"/>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测量值</w:t>
                  </w:r>
                </w:p>
              </w:tc>
              <w:tc>
                <w:tcPr>
                  <w:tcW w:w="564" w:type="pct"/>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标准</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限值</w:t>
                  </w:r>
                </w:p>
              </w:tc>
              <w:tc>
                <w:tcPr>
                  <w:tcW w:w="524" w:type="pct"/>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评价</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结果</w:t>
                  </w:r>
                </w:p>
              </w:tc>
              <w:tc>
                <w:tcPr>
                  <w:tcW w:w="446" w:type="pct"/>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监测</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时间</w:t>
                  </w:r>
                </w:p>
              </w:tc>
              <w:tc>
                <w:tcPr>
                  <w:tcW w:w="620" w:type="pct"/>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测量值</w:t>
                  </w:r>
                </w:p>
              </w:tc>
              <w:tc>
                <w:tcPr>
                  <w:tcW w:w="421" w:type="pct"/>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标准</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限值</w:t>
                  </w:r>
                </w:p>
              </w:tc>
              <w:tc>
                <w:tcPr>
                  <w:tcW w:w="478" w:type="pct"/>
                  <w:vAlign w:val="center"/>
                </w:tcPr>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评价</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1#项目区东侧</w:t>
                  </w:r>
                </w:p>
              </w:tc>
              <w:tc>
                <w:tcPr>
                  <w:tcW w:w="460" w:type="pct"/>
                  <w:vMerge w:val="restar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昼间</w:t>
                  </w:r>
                </w:p>
              </w:tc>
              <w:tc>
                <w:tcPr>
                  <w:tcW w:w="546"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50</w:t>
                  </w:r>
                </w:p>
              </w:tc>
              <w:tc>
                <w:tcPr>
                  <w:tcW w:w="564"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65</w:t>
                  </w:r>
                </w:p>
              </w:tc>
              <w:tc>
                <w:tcPr>
                  <w:tcW w:w="524"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达标</w:t>
                  </w:r>
                </w:p>
              </w:tc>
              <w:tc>
                <w:tcPr>
                  <w:tcW w:w="446" w:type="pct"/>
                  <w:vMerge w:val="restar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夜间</w:t>
                  </w:r>
                </w:p>
              </w:tc>
              <w:tc>
                <w:tcPr>
                  <w:tcW w:w="620"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42</w:t>
                  </w:r>
                </w:p>
              </w:tc>
              <w:tc>
                <w:tcPr>
                  <w:tcW w:w="421"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55</w:t>
                  </w:r>
                </w:p>
              </w:tc>
              <w:tc>
                <w:tcPr>
                  <w:tcW w:w="478"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2#项目区南侧</w:t>
                  </w:r>
                </w:p>
              </w:tc>
              <w:tc>
                <w:tcPr>
                  <w:tcW w:w="460" w:type="pct"/>
                  <w:vMerge w:val="continue"/>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p>
              </w:tc>
              <w:tc>
                <w:tcPr>
                  <w:tcW w:w="546"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44</w:t>
                  </w:r>
                </w:p>
              </w:tc>
              <w:tc>
                <w:tcPr>
                  <w:tcW w:w="564"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65</w:t>
                  </w:r>
                </w:p>
              </w:tc>
              <w:tc>
                <w:tcPr>
                  <w:tcW w:w="524"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达标</w:t>
                  </w:r>
                </w:p>
              </w:tc>
              <w:tc>
                <w:tcPr>
                  <w:tcW w:w="446" w:type="pct"/>
                  <w:vMerge w:val="continue"/>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p>
              </w:tc>
              <w:tc>
                <w:tcPr>
                  <w:tcW w:w="620"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39</w:t>
                  </w:r>
                </w:p>
              </w:tc>
              <w:tc>
                <w:tcPr>
                  <w:tcW w:w="421"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55</w:t>
                  </w:r>
                </w:p>
              </w:tc>
              <w:tc>
                <w:tcPr>
                  <w:tcW w:w="478"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3#项目区西侧</w:t>
                  </w:r>
                </w:p>
              </w:tc>
              <w:tc>
                <w:tcPr>
                  <w:tcW w:w="460" w:type="pct"/>
                  <w:vMerge w:val="continue"/>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p>
              </w:tc>
              <w:tc>
                <w:tcPr>
                  <w:tcW w:w="546"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47</w:t>
                  </w:r>
                </w:p>
              </w:tc>
              <w:tc>
                <w:tcPr>
                  <w:tcW w:w="564"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65</w:t>
                  </w:r>
                </w:p>
              </w:tc>
              <w:tc>
                <w:tcPr>
                  <w:tcW w:w="524"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达标</w:t>
                  </w:r>
                </w:p>
              </w:tc>
              <w:tc>
                <w:tcPr>
                  <w:tcW w:w="446" w:type="pct"/>
                  <w:vMerge w:val="continue"/>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p>
              </w:tc>
              <w:tc>
                <w:tcPr>
                  <w:tcW w:w="620"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41</w:t>
                  </w:r>
                </w:p>
              </w:tc>
              <w:tc>
                <w:tcPr>
                  <w:tcW w:w="421"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55</w:t>
                  </w:r>
                </w:p>
              </w:tc>
              <w:tc>
                <w:tcPr>
                  <w:tcW w:w="478"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4#项目区北侧</w:t>
                  </w:r>
                </w:p>
              </w:tc>
              <w:tc>
                <w:tcPr>
                  <w:tcW w:w="460" w:type="pct"/>
                  <w:vMerge w:val="continue"/>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p>
              </w:tc>
              <w:tc>
                <w:tcPr>
                  <w:tcW w:w="546"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46</w:t>
                  </w:r>
                </w:p>
              </w:tc>
              <w:tc>
                <w:tcPr>
                  <w:tcW w:w="564"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65</w:t>
                  </w:r>
                </w:p>
              </w:tc>
              <w:tc>
                <w:tcPr>
                  <w:tcW w:w="524"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达标</w:t>
                  </w:r>
                </w:p>
              </w:tc>
              <w:tc>
                <w:tcPr>
                  <w:tcW w:w="446" w:type="pct"/>
                  <w:vMerge w:val="continue"/>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p>
              </w:tc>
              <w:tc>
                <w:tcPr>
                  <w:tcW w:w="620"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40</w:t>
                  </w:r>
                </w:p>
              </w:tc>
              <w:tc>
                <w:tcPr>
                  <w:tcW w:w="421"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55</w:t>
                  </w:r>
                </w:p>
              </w:tc>
              <w:tc>
                <w:tcPr>
                  <w:tcW w:w="478" w:type="pct"/>
                  <w:vAlign w:val="center"/>
                </w:tcPr>
                <w:p>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达标</w:t>
                  </w:r>
                </w:p>
              </w:tc>
            </w:tr>
          </w:tbl>
          <w:p>
            <w:pPr>
              <w:keepLines w:val="0"/>
              <w:pageBreakBefore w:val="0"/>
              <w:widowControl w:val="0"/>
              <w:kinsoku/>
              <w:wordWrap/>
              <w:topLinePunct w:val="0"/>
              <w:autoSpaceDE/>
              <w:autoSpaceDN/>
              <w:bidi w:val="0"/>
              <w:adjustRightInd/>
              <w:snapToGrid w:val="0"/>
              <w:ind w:firstLine="480"/>
              <w:jc w:val="left"/>
              <w:textAlignment w:val="auto"/>
              <w:rPr>
                <w:rFonts w:hint="eastAsia"/>
                <w:highlight w:val="red"/>
                <w:lang w:val="en-US" w:eastAsia="zh-CN"/>
              </w:rPr>
            </w:pPr>
            <w:r>
              <w:rPr>
                <w:rFonts w:hint="eastAsia"/>
                <w:highlight w:val="none"/>
                <w:lang w:val="en-US" w:eastAsia="zh-CN"/>
              </w:rPr>
              <w:t>监测结果表明：项目厂界昼间噪声监测范围为46~50dB(A)，夜间噪声监测范围39~42dB(A)，项目厂界四周昼、夜噪声均符合《工业企业厂界环境噪声排放标准》（GB12348-2008）中3类标准，达标排放。</w:t>
            </w:r>
          </w:p>
          <w:p>
            <w:pPr>
              <w:pStyle w:val="3"/>
              <w:keepLines w:val="0"/>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3.4土壤环境质量现状</w:t>
            </w:r>
          </w:p>
          <w:p>
            <w:pPr>
              <w:keepLines w:val="0"/>
              <w:pageBreakBefore w:val="0"/>
              <w:widowControl w:val="0"/>
              <w:kinsoku/>
              <w:wordWrap/>
              <w:topLinePunct w:val="0"/>
              <w:autoSpaceDE/>
              <w:autoSpaceDN/>
              <w:bidi w:val="0"/>
              <w:adjustRightInd/>
              <w:snapToGrid w:val="0"/>
              <w:ind w:firstLine="480"/>
              <w:jc w:val="left"/>
              <w:textAlignment w:val="auto"/>
            </w:pPr>
            <w:r>
              <w:rPr>
                <w:rFonts w:hint="eastAsia"/>
              </w:rPr>
              <w:t>根据《环境影响评价技术导则 土壤环境（试行）》（HJ964-2018）附录A，本项目属于“其他行业”，因此，土壤环境环境影响评价项目类别为Ⅳ类。根据《环境影响评价技术导则 土壤环境（试行）》（HJ964-2018）污染影响型评价工作等级划分表，本项目可不开展土壤环境影响评价工作。</w:t>
            </w:r>
          </w:p>
          <w:p>
            <w:pPr>
              <w:pStyle w:val="3"/>
              <w:keepLines w:val="0"/>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3.5</w:t>
            </w:r>
            <w:r>
              <w:rPr>
                <w:rFonts w:hint="eastAsia"/>
                <w:color w:val="auto"/>
                <w:highlight w:val="none"/>
              </w:rPr>
              <w:t>生态环境</w:t>
            </w:r>
          </w:p>
          <w:p>
            <w:pPr>
              <w:keepLines w:val="0"/>
              <w:pageBreakBefore w:val="0"/>
              <w:widowControl w:val="0"/>
              <w:kinsoku/>
              <w:wordWrap/>
              <w:topLinePunct w:val="0"/>
              <w:autoSpaceDE/>
              <w:autoSpaceDN/>
              <w:bidi w:val="0"/>
              <w:adjustRightInd/>
              <w:snapToGrid w:val="0"/>
              <w:ind w:firstLine="480"/>
              <w:jc w:val="left"/>
              <w:textAlignment w:val="auto"/>
              <w:rPr>
                <w:rFonts w:hint="eastAsia" w:eastAsia="宋体"/>
                <w:lang w:eastAsia="zh-CN"/>
              </w:rPr>
            </w:pPr>
            <w:r>
              <w:rPr>
                <w:rFonts w:hint="eastAsia"/>
              </w:rPr>
              <w:t>本项目位于昌吉高新技术产业开发区</w:t>
            </w:r>
            <w:r>
              <w:rPr>
                <w:rFonts w:hint="eastAsia"/>
                <w:lang w:eastAsia="zh-CN"/>
              </w:rPr>
              <w:t>建材区建设路</w:t>
            </w:r>
            <w:r>
              <w:rPr>
                <w:rFonts w:hint="eastAsia"/>
                <w:lang w:val="en-US" w:eastAsia="zh-CN"/>
              </w:rPr>
              <w:t>5号新疆众力建材有限公司原厂区内</w:t>
            </w:r>
            <w:r>
              <w:rPr>
                <w:rFonts w:hint="eastAsia"/>
              </w:rPr>
              <w:t>，项目区内不新增</w:t>
            </w:r>
            <w:r>
              <w:rPr>
                <w:rFonts w:hint="eastAsia"/>
                <w:lang w:eastAsia="zh-CN"/>
              </w:rPr>
              <w:t>建设</w:t>
            </w:r>
            <w:r>
              <w:rPr>
                <w:rFonts w:hint="eastAsia"/>
              </w:rPr>
              <w:t>用地，</w:t>
            </w:r>
            <w:r>
              <w:rPr>
                <w:rFonts w:hint="eastAsia"/>
                <w:lang w:eastAsia="zh-CN"/>
              </w:rPr>
              <w:t>项目区不涉及生态环境保护目标。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44" w:type="pct"/>
            <w:vAlign w:val="center"/>
          </w:tcPr>
          <w:p>
            <w:pPr>
              <w:adjustRightInd w:val="0"/>
              <w:snapToGrid w:val="0"/>
              <w:ind w:firstLine="0" w:firstLineChars="0"/>
              <w:jc w:val="center"/>
              <w:rPr>
                <w:rFonts w:cs="宋体"/>
                <w:kern w:val="0"/>
                <w:szCs w:val="21"/>
              </w:rPr>
            </w:pPr>
            <w:r>
              <w:rPr>
                <w:rFonts w:hint="eastAsia" w:cs="宋体"/>
                <w:kern w:val="0"/>
                <w:szCs w:val="21"/>
              </w:rPr>
              <w:t>环境</w:t>
            </w:r>
          </w:p>
          <w:p>
            <w:pPr>
              <w:adjustRightInd w:val="0"/>
              <w:snapToGrid w:val="0"/>
              <w:ind w:firstLine="0" w:firstLineChars="0"/>
              <w:jc w:val="center"/>
              <w:rPr>
                <w:rFonts w:cs="宋体"/>
                <w:kern w:val="0"/>
                <w:szCs w:val="21"/>
              </w:rPr>
            </w:pPr>
            <w:r>
              <w:rPr>
                <w:rFonts w:hint="eastAsia" w:cs="宋体"/>
                <w:kern w:val="0"/>
                <w:szCs w:val="21"/>
              </w:rPr>
              <w:t>保护</w:t>
            </w:r>
          </w:p>
          <w:p>
            <w:pPr>
              <w:adjustRightInd w:val="0"/>
              <w:snapToGrid w:val="0"/>
              <w:ind w:firstLine="0" w:firstLineChars="0"/>
              <w:jc w:val="center"/>
              <w:rPr>
                <w:rFonts w:cs="宋体"/>
                <w:kern w:val="0"/>
                <w:szCs w:val="21"/>
              </w:rPr>
            </w:pPr>
            <w:r>
              <w:rPr>
                <w:rFonts w:hint="eastAsia" w:cs="宋体"/>
                <w:kern w:val="0"/>
                <w:szCs w:val="21"/>
              </w:rPr>
              <w:t>目标</w:t>
            </w:r>
          </w:p>
        </w:tc>
        <w:tc>
          <w:tcPr>
            <w:tcW w:w="4556" w:type="pct"/>
            <w:vAlign w:val="center"/>
          </w:tcPr>
          <w:p>
            <w:pPr>
              <w:pStyle w:val="3"/>
              <w:pageBreakBefore w:val="0"/>
              <w:widowControl w:val="0"/>
              <w:kinsoku/>
              <w:wordWrap/>
              <w:topLinePunct w:val="0"/>
              <w:autoSpaceDE/>
              <w:autoSpaceDN/>
              <w:bidi w:val="0"/>
              <w:snapToGrid w:val="0"/>
              <w:spacing w:before="0" w:after="0"/>
              <w:jc w:val="left"/>
              <w:textAlignment w:val="auto"/>
              <w:rPr>
                <w:color w:val="auto"/>
              </w:rPr>
            </w:pPr>
            <w:r>
              <w:rPr>
                <w:rFonts w:hint="eastAsia"/>
                <w:color w:val="auto"/>
              </w:rPr>
              <w:t>3.6环境保护目标</w:t>
            </w:r>
          </w:p>
          <w:p>
            <w:pPr>
              <w:pStyle w:val="4"/>
              <w:pageBreakBefore w:val="0"/>
              <w:widowControl w:val="0"/>
              <w:kinsoku/>
              <w:wordWrap/>
              <w:topLinePunct w:val="0"/>
              <w:autoSpaceDE/>
              <w:autoSpaceDN/>
              <w:bidi w:val="0"/>
              <w:snapToGrid w:val="0"/>
              <w:spacing w:before="0" w:after="0"/>
              <w:jc w:val="left"/>
              <w:textAlignment w:val="auto"/>
            </w:pPr>
            <w:r>
              <w:rPr>
                <w:rFonts w:hint="eastAsia"/>
              </w:rPr>
              <w:t>3.6.1大气环境</w:t>
            </w:r>
          </w:p>
          <w:p>
            <w:pPr>
              <w:pageBreakBefore w:val="0"/>
              <w:widowControl w:val="0"/>
              <w:kinsoku/>
              <w:wordWrap/>
              <w:topLinePunct w:val="0"/>
              <w:autoSpaceDE/>
              <w:autoSpaceDN/>
              <w:bidi w:val="0"/>
              <w:adjustRightInd w:val="0"/>
              <w:snapToGrid w:val="0"/>
              <w:ind w:firstLine="480"/>
              <w:jc w:val="left"/>
              <w:textAlignment w:val="auto"/>
              <w:rPr>
                <w:rFonts w:cs="宋体"/>
                <w:kern w:val="0"/>
                <w:szCs w:val="21"/>
              </w:rPr>
            </w:pPr>
            <w:r>
              <w:rPr>
                <w:rFonts w:hint="eastAsia" w:cs="宋体"/>
                <w:kern w:val="0"/>
                <w:szCs w:val="21"/>
              </w:rPr>
              <w:t>明确厂界外500</w:t>
            </w:r>
            <w:r>
              <w:rPr>
                <w:rFonts w:hint="eastAsia" w:cs="宋体"/>
                <w:kern w:val="0"/>
                <w:szCs w:val="21"/>
                <w:lang w:val="en-US" w:eastAsia="zh-CN"/>
              </w:rPr>
              <w:t>m</w:t>
            </w:r>
            <w:r>
              <w:rPr>
                <w:rFonts w:hint="eastAsia" w:cs="宋体"/>
                <w:kern w:val="0"/>
                <w:szCs w:val="21"/>
              </w:rPr>
              <w:t>范围内的自然保护区、风景名胜区、居住区、文化区和农村地区中人群较集中的区域等保护目标的名称及与建设项目厂界位置关系。</w:t>
            </w:r>
          </w:p>
          <w:p>
            <w:pPr>
              <w:pStyle w:val="4"/>
              <w:pageBreakBefore w:val="0"/>
              <w:widowControl w:val="0"/>
              <w:kinsoku/>
              <w:wordWrap/>
              <w:topLinePunct w:val="0"/>
              <w:autoSpaceDE/>
              <w:autoSpaceDN/>
              <w:bidi w:val="0"/>
              <w:snapToGrid w:val="0"/>
              <w:spacing w:before="0" w:after="0"/>
              <w:jc w:val="left"/>
              <w:textAlignment w:val="auto"/>
            </w:pPr>
            <w:r>
              <w:rPr>
                <w:rFonts w:hint="eastAsia"/>
              </w:rPr>
              <w:t>3.6.2声环境</w:t>
            </w:r>
          </w:p>
          <w:p>
            <w:pPr>
              <w:pageBreakBefore w:val="0"/>
              <w:widowControl w:val="0"/>
              <w:kinsoku/>
              <w:wordWrap/>
              <w:topLinePunct w:val="0"/>
              <w:autoSpaceDE/>
              <w:autoSpaceDN/>
              <w:bidi w:val="0"/>
              <w:adjustRightInd w:val="0"/>
              <w:snapToGrid w:val="0"/>
              <w:ind w:firstLine="480"/>
              <w:jc w:val="left"/>
              <w:textAlignment w:val="auto"/>
              <w:rPr>
                <w:rFonts w:cs="宋体"/>
                <w:kern w:val="0"/>
                <w:szCs w:val="21"/>
              </w:rPr>
            </w:pPr>
            <w:r>
              <w:rPr>
                <w:rFonts w:hint="eastAsia" w:cs="宋体"/>
                <w:kern w:val="0"/>
                <w:szCs w:val="21"/>
              </w:rPr>
              <w:t>明确厂界外50</w:t>
            </w:r>
            <w:r>
              <w:rPr>
                <w:rFonts w:hint="eastAsia" w:cs="宋体"/>
                <w:kern w:val="0"/>
                <w:szCs w:val="21"/>
                <w:lang w:val="en-US" w:eastAsia="zh-CN"/>
              </w:rPr>
              <w:t>m</w:t>
            </w:r>
            <w:r>
              <w:rPr>
                <w:rFonts w:hint="eastAsia" w:cs="宋体"/>
                <w:kern w:val="0"/>
                <w:szCs w:val="21"/>
              </w:rPr>
              <w:t>范围内声环境保护目标。</w:t>
            </w:r>
          </w:p>
          <w:p>
            <w:pPr>
              <w:pageBreakBefore w:val="0"/>
              <w:widowControl w:val="0"/>
              <w:kinsoku/>
              <w:wordWrap/>
              <w:topLinePunct w:val="0"/>
              <w:autoSpaceDE/>
              <w:autoSpaceDN/>
              <w:bidi w:val="0"/>
              <w:adjustRightInd w:val="0"/>
              <w:snapToGrid w:val="0"/>
              <w:ind w:firstLine="480"/>
              <w:jc w:val="left"/>
              <w:textAlignment w:val="auto"/>
              <w:rPr>
                <w:rFonts w:hint="eastAsia" w:eastAsia="宋体" w:cs="宋体"/>
                <w:kern w:val="0"/>
                <w:szCs w:val="21"/>
                <w:lang w:val="en-US" w:eastAsia="zh-CN"/>
              </w:rPr>
            </w:pPr>
            <w:r>
              <w:rPr>
                <w:rFonts w:hint="eastAsia" w:cs="宋体"/>
                <w:kern w:val="0"/>
                <w:szCs w:val="21"/>
              </w:rPr>
              <w:t>本项目厂界外50</w:t>
            </w:r>
            <w:r>
              <w:rPr>
                <w:rFonts w:hint="eastAsia" w:cs="宋体"/>
                <w:kern w:val="0"/>
                <w:szCs w:val="21"/>
                <w:lang w:val="en-US" w:eastAsia="zh-CN"/>
              </w:rPr>
              <w:t>m</w:t>
            </w:r>
            <w:r>
              <w:rPr>
                <w:rFonts w:hint="eastAsia" w:cs="宋体"/>
                <w:kern w:val="0"/>
                <w:szCs w:val="21"/>
              </w:rPr>
              <w:t>范围无声环境保护目标</w:t>
            </w:r>
            <w:r>
              <w:rPr>
                <w:rFonts w:hint="eastAsia" w:cs="宋体"/>
                <w:kern w:val="0"/>
                <w:szCs w:val="21"/>
                <w:lang w:eastAsia="zh-CN"/>
              </w:rPr>
              <w:t>。</w:t>
            </w:r>
          </w:p>
          <w:p>
            <w:pPr>
              <w:pStyle w:val="4"/>
              <w:pageBreakBefore w:val="0"/>
              <w:widowControl w:val="0"/>
              <w:kinsoku/>
              <w:wordWrap/>
              <w:topLinePunct w:val="0"/>
              <w:autoSpaceDE/>
              <w:autoSpaceDN/>
              <w:bidi w:val="0"/>
              <w:snapToGrid w:val="0"/>
              <w:spacing w:before="0" w:after="0"/>
              <w:jc w:val="left"/>
              <w:textAlignment w:val="auto"/>
            </w:pPr>
            <w:r>
              <w:rPr>
                <w:rFonts w:hint="eastAsia"/>
              </w:rPr>
              <w:t>3.6.3地下水环境</w:t>
            </w:r>
          </w:p>
          <w:p>
            <w:pPr>
              <w:pageBreakBefore w:val="0"/>
              <w:widowControl w:val="0"/>
              <w:kinsoku/>
              <w:wordWrap/>
              <w:topLinePunct w:val="0"/>
              <w:autoSpaceDE/>
              <w:autoSpaceDN/>
              <w:bidi w:val="0"/>
              <w:adjustRightInd w:val="0"/>
              <w:snapToGrid w:val="0"/>
              <w:ind w:firstLine="480"/>
              <w:jc w:val="left"/>
              <w:textAlignment w:val="auto"/>
              <w:rPr>
                <w:rFonts w:cs="宋体"/>
                <w:kern w:val="0"/>
                <w:szCs w:val="21"/>
              </w:rPr>
            </w:pPr>
            <w:r>
              <w:rPr>
                <w:rFonts w:hint="eastAsia" w:cs="宋体"/>
                <w:kern w:val="0"/>
                <w:szCs w:val="21"/>
              </w:rPr>
              <w:t>明确厂界外500</w:t>
            </w:r>
            <w:r>
              <w:rPr>
                <w:rFonts w:hint="eastAsia" w:cs="宋体"/>
                <w:kern w:val="0"/>
                <w:szCs w:val="21"/>
                <w:lang w:val="en-US" w:eastAsia="zh-CN"/>
              </w:rPr>
              <w:t>m</w:t>
            </w:r>
            <w:r>
              <w:rPr>
                <w:rFonts w:hint="eastAsia" w:cs="宋体"/>
                <w:kern w:val="0"/>
                <w:szCs w:val="21"/>
              </w:rPr>
              <w:t>范围内的地下水集中式饮用水水源和热水、矿泉水、温泉等特殊地下水资源。</w:t>
            </w:r>
          </w:p>
          <w:p>
            <w:pPr>
              <w:pageBreakBefore w:val="0"/>
              <w:widowControl w:val="0"/>
              <w:kinsoku/>
              <w:wordWrap/>
              <w:topLinePunct w:val="0"/>
              <w:autoSpaceDE/>
              <w:autoSpaceDN/>
              <w:bidi w:val="0"/>
              <w:adjustRightInd w:val="0"/>
              <w:snapToGrid w:val="0"/>
              <w:ind w:firstLine="480"/>
              <w:jc w:val="left"/>
              <w:textAlignment w:val="auto"/>
              <w:rPr>
                <w:rFonts w:cs="宋体"/>
                <w:kern w:val="0"/>
                <w:szCs w:val="21"/>
              </w:rPr>
            </w:pPr>
            <w:r>
              <w:rPr>
                <w:rFonts w:hint="eastAsia" w:cs="宋体"/>
                <w:kern w:val="0"/>
                <w:szCs w:val="21"/>
              </w:rPr>
              <w:t>本项目厂界外500</w:t>
            </w:r>
            <w:r>
              <w:rPr>
                <w:rFonts w:hint="eastAsia" w:cs="宋体"/>
                <w:kern w:val="0"/>
                <w:szCs w:val="21"/>
                <w:lang w:val="en-US" w:eastAsia="zh-CN"/>
              </w:rPr>
              <w:t>m</w:t>
            </w:r>
            <w:r>
              <w:rPr>
                <w:rFonts w:hint="eastAsia" w:cs="宋体"/>
                <w:kern w:val="0"/>
                <w:szCs w:val="21"/>
              </w:rPr>
              <w:t>范围内无地下水集中式饮用水水源和热水、矿泉水、温泉等特殊地下水资源。</w:t>
            </w:r>
          </w:p>
          <w:p>
            <w:pPr>
              <w:pStyle w:val="4"/>
              <w:pageBreakBefore w:val="0"/>
              <w:widowControl w:val="0"/>
              <w:kinsoku/>
              <w:wordWrap/>
              <w:topLinePunct w:val="0"/>
              <w:autoSpaceDE/>
              <w:autoSpaceDN/>
              <w:bidi w:val="0"/>
              <w:snapToGrid w:val="0"/>
              <w:spacing w:before="0" w:after="0"/>
              <w:jc w:val="left"/>
              <w:textAlignment w:val="auto"/>
              <w:rPr>
                <w:rFonts w:cs="宋体"/>
                <w:kern w:val="0"/>
                <w:szCs w:val="21"/>
              </w:rPr>
            </w:pPr>
            <w:r>
              <w:rPr>
                <w:rFonts w:hint="eastAsia"/>
              </w:rPr>
              <w:t>3.6.4生态环境</w:t>
            </w:r>
          </w:p>
          <w:p>
            <w:pPr>
              <w:pageBreakBefore w:val="0"/>
              <w:widowControl w:val="0"/>
              <w:kinsoku/>
              <w:wordWrap/>
              <w:topLinePunct w:val="0"/>
              <w:autoSpaceDE/>
              <w:autoSpaceDN/>
              <w:bidi w:val="0"/>
              <w:adjustRightInd w:val="0"/>
              <w:snapToGrid w:val="0"/>
              <w:ind w:firstLine="480"/>
              <w:jc w:val="left"/>
              <w:textAlignment w:val="auto"/>
              <w:rPr>
                <w:rFonts w:cs="宋体"/>
                <w:kern w:val="0"/>
                <w:szCs w:val="21"/>
              </w:rPr>
            </w:pPr>
            <w:r>
              <w:rPr>
                <w:rFonts w:hint="eastAsia" w:cs="宋体"/>
                <w:kern w:val="0"/>
                <w:szCs w:val="21"/>
              </w:rPr>
              <w:t>本项目位于</w:t>
            </w:r>
            <w:r>
              <w:rPr>
                <w:rFonts w:hint="eastAsia" w:cs="宋体"/>
                <w:kern w:val="0"/>
                <w:szCs w:val="21"/>
                <w:highlight w:val="none"/>
              </w:rPr>
              <w:t>昌吉高新技术产业开发区</w:t>
            </w:r>
            <w:r>
              <w:rPr>
                <w:rFonts w:hint="eastAsia" w:cs="宋体"/>
                <w:kern w:val="0"/>
                <w:szCs w:val="21"/>
                <w:highlight w:val="none"/>
                <w:lang w:eastAsia="zh-CN"/>
              </w:rPr>
              <w:t>建材区建设路</w:t>
            </w:r>
            <w:r>
              <w:rPr>
                <w:rFonts w:hint="eastAsia" w:cs="宋体"/>
                <w:kern w:val="0"/>
                <w:szCs w:val="21"/>
                <w:highlight w:val="none"/>
                <w:lang w:val="en-US" w:eastAsia="zh-CN"/>
              </w:rPr>
              <w:t>5</w:t>
            </w:r>
            <w:r>
              <w:rPr>
                <w:rFonts w:hint="eastAsia" w:cs="宋体"/>
                <w:kern w:val="0"/>
                <w:szCs w:val="21"/>
                <w:highlight w:val="none"/>
              </w:rPr>
              <w:t>号</w:t>
            </w:r>
            <w:r>
              <w:rPr>
                <w:rFonts w:hint="eastAsia" w:cs="宋体"/>
                <w:kern w:val="0"/>
                <w:szCs w:val="21"/>
              </w:rPr>
              <w:t>，且本项目不新增用地，厂区内无生态环境保护目标。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pct"/>
            <w:tcMar>
              <w:left w:w="28" w:type="dxa"/>
              <w:right w:w="28" w:type="dxa"/>
            </w:tcMar>
            <w:vAlign w:val="center"/>
          </w:tcPr>
          <w:p>
            <w:pPr>
              <w:adjustRightInd w:val="0"/>
              <w:snapToGrid w:val="0"/>
              <w:ind w:firstLine="0" w:firstLineChars="0"/>
              <w:jc w:val="center"/>
              <w:rPr>
                <w:rFonts w:cs="宋体"/>
                <w:kern w:val="0"/>
                <w:szCs w:val="21"/>
              </w:rPr>
            </w:pPr>
            <w:r>
              <w:rPr>
                <w:rFonts w:hint="eastAsia" w:cs="宋体"/>
                <w:kern w:val="0"/>
                <w:szCs w:val="21"/>
              </w:rPr>
              <w:t>污染</w:t>
            </w:r>
          </w:p>
          <w:p>
            <w:pPr>
              <w:adjustRightInd w:val="0"/>
              <w:snapToGrid w:val="0"/>
              <w:ind w:firstLine="0" w:firstLineChars="0"/>
              <w:jc w:val="center"/>
              <w:rPr>
                <w:rFonts w:cs="宋体"/>
                <w:kern w:val="0"/>
                <w:szCs w:val="21"/>
              </w:rPr>
            </w:pPr>
            <w:r>
              <w:rPr>
                <w:rFonts w:hint="eastAsia" w:cs="宋体"/>
                <w:kern w:val="0"/>
                <w:szCs w:val="21"/>
              </w:rPr>
              <w:t>物排</w:t>
            </w:r>
          </w:p>
          <w:p>
            <w:pPr>
              <w:adjustRightInd w:val="0"/>
              <w:snapToGrid w:val="0"/>
              <w:ind w:firstLine="0" w:firstLineChars="0"/>
              <w:jc w:val="center"/>
              <w:rPr>
                <w:rFonts w:cs="宋体"/>
                <w:kern w:val="0"/>
                <w:szCs w:val="21"/>
              </w:rPr>
            </w:pPr>
            <w:r>
              <w:rPr>
                <w:rFonts w:hint="eastAsia" w:cs="宋体"/>
                <w:kern w:val="0"/>
                <w:szCs w:val="21"/>
              </w:rPr>
              <w:t>放控</w:t>
            </w:r>
          </w:p>
          <w:p>
            <w:pPr>
              <w:adjustRightInd w:val="0"/>
              <w:snapToGrid w:val="0"/>
              <w:ind w:firstLine="0" w:firstLineChars="0"/>
              <w:jc w:val="center"/>
              <w:rPr>
                <w:rFonts w:cs="宋体"/>
                <w:kern w:val="0"/>
                <w:szCs w:val="21"/>
              </w:rPr>
            </w:pPr>
            <w:r>
              <w:rPr>
                <w:rFonts w:hint="eastAsia" w:cs="宋体"/>
                <w:kern w:val="0"/>
                <w:szCs w:val="21"/>
              </w:rPr>
              <w:t>制标</w:t>
            </w:r>
          </w:p>
          <w:p>
            <w:pPr>
              <w:adjustRightInd w:val="0"/>
              <w:snapToGrid w:val="0"/>
              <w:ind w:firstLine="0" w:firstLineChars="0"/>
              <w:jc w:val="center"/>
              <w:rPr>
                <w:rFonts w:cs="宋体"/>
                <w:kern w:val="0"/>
                <w:szCs w:val="21"/>
              </w:rPr>
            </w:pPr>
            <w:r>
              <w:rPr>
                <w:rFonts w:hint="eastAsia" w:cs="宋体"/>
                <w:kern w:val="0"/>
                <w:szCs w:val="21"/>
              </w:rPr>
              <w:t>准</w:t>
            </w:r>
          </w:p>
        </w:tc>
        <w:tc>
          <w:tcPr>
            <w:tcW w:w="4556" w:type="pct"/>
            <w:vAlign w:val="center"/>
          </w:tcPr>
          <w:p>
            <w:pPr>
              <w:pStyle w:val="3"/>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3.7污染物排放控制标准</w:t>
            </w:r>
          </w:p>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3.7.1废气</w:t>
            </w:r>
          </w:p>
          <w:p>
            <w:pPr>
              <w:pageBreakBefore w:val="0"/>
              <w:widowControl w:val="0"/>
              <w:kinsoku/>
              <w:wordWrap/>
              <w:topLinePunct w:val="0"/>
              <w:autoSpaceDE/>
              <w:autoSpaceDN/>
              <w:bidi w:val="0"/>
              <w:adjustRightInd/>
              <w:snapToGrid w:val="0"/>
              <w:ind w:firstLine="480"/>
              <w:jc w:val="left"/>
              <w:textAlignment w:val="auto"/>
            </w:pPr>
            <w:r>
              <w:rPr>
                <w:rFonts w:hint="eastAsia"/>
              </w:rPr>
              <w:t>执行《合成树脂工业污染物排放标准》（GB31572-2015）表5中</w:t>
            </w:r>
            <w:r>
              <w:rPr>
                <w:rFonts w:hint="eastAsia"/>
                <w:lang w:eastAsia="zh-CN"/>
              </w:rPr>
              <w:t>有组织</w:t>
            </w:r>
            <w:r>
              <w:rPr>
                <w:rFonts w:hint="eastAsia"/>
              </w:rPr>
              <w:t>大气污染物特别排放限值、表9中企业边界大气污染物浓度限值和《挥发性有机物无组织排放控制标准》（GB37822-2019）中表A.1中厂区内VOCs无组织特别排放限值。大气污染物排放限值见表</w:t>
            </w:r>
            <w:r>
              <w:rPr>
                <w:rFonts w:hint="eastAsia"/>
                <w:lang w:val="en-US" w:eastAsia="zh-CN"/>
              </w:rPr>
              <w:t>32</w:t>
            </w:r>
            <w:r>
              <w:rPr>
                <w:rFonts w:hint="eastAsia"/>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 w:val="21"/>
                <w:szCs w:val="21"/>
                <w:vertAlign w:val="superscript"/>
              </w:rPr>
            </w:pPr>
            <w:r>
              <w:rPr>
                <w:rFonts w:hint="default" w:ascii="Times New Roman" w:hAnsi="Times New Roman" w:cs="Times New Roman" w:eastAsiaTheme="minorEastAsia"/>
                <w:sz w:val="21"/>
                <w:szCs w:val="21"/>
              </w:rPr>
              <w:t>表</w:t>
            </w:r>
            <w:r>
              <w:rPr>
                <w:rFonts w:hint="default" w:ascii="Times New Roman" w:hAnsi="Times New Roman" w:cs="Times New Roman" w:eastAsiaTheme="minorEastAsia"/>
                <w:sz w:val="21"/>
                <w:szCs w:val="21"/>
                <w:lang w:val="en-US" w:eastAsia="zh-CN"/>
              </w:rPr>
              <w:t>3</w:t>
            </w:r>
            <w:r>
              <w:rPr>
                <w:rFonts w:hint="eastAsia" w:cs="Times New Roman" w:eastAsiaTheme="minorEastAsia"/>
                <w:sz w:val="21"/>
                <w:szCs w:val="21"/>
                <w:lang w:val="en-US" w:eastAsia="zh-CN"/>
              </w:rPr>
              <w:t>2</w:t>
            </w:r>
            <w:r>
              <w:rPr>
                <w:rFonts w:hint="default" w:ascii="Times New Roman" w:hAnsi="Times New Roman" w:cs="Times New Roman" w:eastAsiaTheme="minorEastAsia"/>
                <w:sz w:val="21"/>
                <w:szCs w:val="21"/>
              </w:rPr>
              <w:t xml:space="preserve"> </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大气污染物排放限值  单位：mg/m</w:t>
            </w:r>
            <w:r>
              <w:rPr>
                <w:rFonts w:hint="default" w:ascii="Times New Roman" w:hAnsi="Times New Roman" w:cs="Times New Roman" w:eastAsiaTheme="minorEastAsia"/>
                <w:sz w:val="21"/>
                <w:szCs w:val="21"/>
                <w:vertAlign w:val="superscript"/>
              </w:rPr>
              <w:t>3</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312"/>
              <w:gridCol w:w="1138"/>
              <w:gridCol w:w="3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污染物</w:t>
                  </w:r>
                </w:p>
              </w:tc>
              <w:tc>
                <w:tcPr>
                  <w:tcW w:w="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排放限值</w:t>
                  </w:r>
                </w:p>
              </w:tc>
              <w:tc>
                <w:tcPr>
                  <w:tcW w:w="23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生产车间排气筒</w:t>
                  </w:r>
                </w:p>
              </w:tc>
              <w:tc>
                <w:tcPr>
                  <w:tcW w:w="8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非甲烷总烃</w:t>
                  </w:r>
                </w:p>
              </w:tc>
              <w:tc>
                <w:tcPr>
                  <w:tcW w:w="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60</w:t>
                  </w:r>
                </w:p>
              </w:tc>
              <w:tc>
                <w:tcPr>
                  <w:tcW w:w="235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sz w:val="21"/>
                      <w:szCs w:val="21"/>
                    </w:rPr>
                  </w:pPr>
                  <w:r>
                    <w:rPr>
                      <w:rFonts w:hint="eastAsia"/>
                      <w:sz w:val="21"/>
                      <w:szCs w:val="21"/>
                    </w:rPr>
                    <w:t>《合成树脂工业污染物排放标准》（GB31572-2015）表5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切割粉尘</w:t>
                  </w:r>
                </w:p>
              </w:tc>
              <w:tc>
                <w:tcPr>
                  <w:tcW w:w="8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粉尘</w:t>
                  </w:r>
                </w:p>
              </w:tc>
              <w:tc>
                <w:tcPr>
                  <w:tcW w:w="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20</w:t>
                  </w:r>
                </w:p>
              </w:tc>
              <w:tc>
                <w:tcPr>
                  <w:tcW w:w="235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企业边界</w:t>
                  </w:r>
                </w:p>
              </w:tc>
              <w:tc>
                <w:tcPr>
                  <w:tcW w:w="8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非甲烷总烃</w:t>
                  </w:r>
                </w:p>
              </w:tc>
              <w:tc>
                <w:tcPr>
                  <w:tcW w:w="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4.0</w:t>
                  </w:r>
                </w:p>
              </w:tc>
              <w:tc>
                <w:tcPr>
                  <w:tcW w:w="235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sz w:val="21"/>
                      <w:szCs w:val="21"/>
                    </w:rPr>
                  </w:pPr>
                  <w:r>
                    <w:rPr>
                      <w:rFonts w:hint="eastAsia"/>
                      <w:sz w:val="21"/>
                      <w:szCs w:val="21"/>
                    </w:rPr>
                    <w:t>《合成树脂工业污染物排放标准》（GB31572-2015）表9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c>
                <w:tcPr>
                  <w:tcW w:w="8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颗粒物</w:t>
                  </w:r>
                </w:p>
              </w:tc>
              <w:tc>
                <w:tcPr>
                  <w:tcW w:w="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1.0</w:t>
                  </w:r>
                </w:p>
              </w:tc>
              <w:tc>
                <w:tcPr>
                  <w:tcW w:w="235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sz w:val="21"/>
                      <w:szCs w:val="21"/>
                    </w:rPr>
                  </w:pPr>
                  <w:r>
                    <w:rPr>
                      <w:rFonts w:hint="eastAsia"/>
                      <w:sz w:val="21"/>
                      <w:szCs w:val="21"/>
                    </w:rPr>
                    <w:t>无组织排放</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sz w:val="21"/>
                      <w:szCs w:val="21"/>
                      <w:lang w:eastAsia="zh-CN"/>
                    </w:rPr>
                  </w:pPr>
                  <w:r>
                    <w:rPr>
                      <w:rFonts w:hint="eastAsia"/>
                      <w:sz w:val="21"/>
                      <w:szCs w:val="21"/>
                      <w:lang w:eastAsia="zh-CN"/>
                    </w:rPr>
                    <w:t>（厂区内）</w:t>
                  </w:r>
                </w:p>
              </w:tc>
              <w:tc>
                <w:tcPr>
                  <w:tcW w:w="8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非甲烷总烃</w:t>
                  </w:r>
                </w:p>
              </w:tc>
              <w:tc>
                <w:tcPr>
                  <w:tcW w:w="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r>
                    <w:rPr>
                      <w:rFonts w:hint="eastAsia"/>
                      <w:sz w:val="21"/>
                      <w:szCs w:val="21"/>
                    </w:rPr>
                    <w:t>6</w:t>
                  </w:r>
                </w:p>
              </w:tc>
              <w:tc>
                <w:tcPr>
                  <w:tcW w:w="23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sz w:val="21"/>
                      <w:szCs w:val="21"/>
                    </w:rPr>
                  </w:pPr>
                  <w:r>
                    <w:rPr>
                      <w:rFonts w:hint="eastAsia"/>
                      <w:sz w:val="21"/>
                      <w:szCs w:val="21"/>
                    </w:rPr>
                    <w:t>《挥发性有机物无组织排放控制标准》（GB37822-2019）附录A中表A.1</w:t>
                  </w:r>
                </w:p>
              </w:tc>
            </w:tr>
          </w:tbl>
          <w:p>
            <w:pPr>
              <w:pStyle w:val="4"/>
              <w:pageBreakBefore w:val="0"/>
              <w:widowControl w:val="0"/>
              <w:kinsoku/>
              <w:wordWrap/>
              <w:overflowPunct/>
              <w:topLinePunct w:val="0"/>
              <w:autoSpaceDE/>
              <w:autoSpaceDN/>
              <w:bidi w:val="0"/>
              <w:adjustRightInd/>
              <w:snapToGrid w:val="0"/>
              <w:spacing w:before="0" w:after="0"/>
              <w:jc w:val="left"/>
              <w:textAlignment w:val="auto"/>
            </w:pPr>
            <w:r>
              <w:rPr>
                <w:rFonts w:hint="eastAsia"/>
              </w:rPr>
              <w:t>3.7.</w:t>
            </w:r>
            <w:r>
              <w:rPr>
                <w:rFonts w:hint="eastAsia"/>
                <w:lang w:val="en-US" w:eastAsia="zh-CN"/>
              </w:rPr>
              <w:t>2</w:t>
            </w:r>
            <w:r>
              <w:rPr>
                <w:rFonts w:hint="eastAsia"/>
              </w:rPr>
              <w:t>噪声</w:t>
            </w:r>
          </w:p>
          <w:p>
            <w:pPr>
              <w:pageBreakBefore w:val="0"/>
              <w:widowControl w:val="0"/>
              <w:kinsoku/>
              <w:wordWrap/>
              <w:overflowPunct/>
              <w:topLinePunct w:val="0"/>
              <w:autoSpaceDE/>
              <w:autoSpaceDN/>
              <w:bidi w:val="0"/>
              <w:adjustRightInd/>
              <w:snapToGrid w:val="0"/>
              <w:ind w:firstLine="480"/>
              <w:jc w:val="left"/>
              <w:textAlignment w:val="auto"/>
              <w:rPr>
                <w:rFonts w:hint="eastAsia" w:eastAsia="宋体"/>
                <w:lang w:eastAsia="zh-CN"/>
              </w:rPr>
            </w:pPr>
            <w:r>
              <w:rPr>
                <w:rFonts w:hint="eastAsia"/>
              </w:rPr>
              <w:t>执行《工业企业厂界环境噪声排放标准》(GB12348-2008)中</w:t>
            </w:r>
            <w:r>
              <w:t>3</w:t>
            </w:r>
            <w:r>
              <w:rPr>
                <w:rFonts w:hint="eastAsia"/>
              </w:rPr>
              <w:t>类标准</w:t>
            </w:r>
            <w:r>
              <w:rPr>
                <w:rFonts w:hint="eastAsia"/>
                <w:lang w:eastAsia="zh-CN"/>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33</w:t>
            </w:r>
            <w:r>
              <w:rPr>
                <w:rFonts w:hint="eastAsia" w:asciiTheme="minorEastAsia" w:hAnsiTheme="minorEastAsia" w:eastAsiaTheme="minorEastAsia" w:cstheme="minorEastAsia"/>
                <w:sz w:val="21"/>
                <w:szCs w:val="21"/>
              </w:rPr>
              <w:t xml:space="preserve">  噪声排放限值  单位：dB（A）</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3"/>
              <w:gridCol w:w="2653"/>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kern w:val="0"/>
                      <w:sz w:val="21"/>
                      <w:szCs w:val="21"/>
                    </w:rPr>
                  </w:pPr>
                  <w:r>
                    <w:rPr>
                      <w:rFonts w:hint="eastAsia" w:cs="宋体"/>
                      <w:kern w:val="0"/>
                      <w:sz w:val="21"/>
                      <w:szCs w:val="21"/>
                    </w:rPr>
                    <w:t>厂界外声环境功能区类别</w:t>
                  </w:r>
                </w:p>
              </w:tc>
              <w:tc>
                <w:tcPr>
                  <w:tcW w:w="333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kern w:val="0"/>
                      <w:sz w:val="21"/>
                      <w:szCs w:val="21"/>
                    </w:rPr>
                  </w:pPr>
                  <w:r>
                    <w:rPr>
                      <w:rFonts w:hint="eastAsia" w:cs="宋体"/>
                      <w:kern w:val="0"/>
                      <w:sz w:val="21"/>
                      <w:szCs w:val="21"/>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kern w:val="0"/>
                      <w:sz w:val="21"/>
                      <w:szCs w:val="21"/>
                    </w:rPr>
                  </w:pPr>
                </w:p>
              </w:tc>
              <w:tc>
                <w:tcPr>
                  <w:tcW w:w="166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kern w:val="0"/>
                      <w:sz w:val="21"/>
                      <w:szCs w:val="21"/>
                    </w:rPr>
                  </w:pPr>
                  <w:r>
                    <w:rPr>
                      <w:rFonts w:hint="eastAsia" w:cs="宋体"/>
                      <w:kern w:val="0"/>
                      <w:sz w:val="21"/>
                      <w:szCs w:val="21"/>
                    </w:rPr>
                    <w:t>昼间</w:t>
                  </w:r>
                </w:p>
              </w:tc>
              <w:tc>
                <w:tcPr>
                  <w:tcW w:w="16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kern w:val="0"/>
                      <w:sz w:val="21"/>
                      <w:szCs w:val="21"/>
                    </w:rPr>
                  </w:pPr>
                  <w:r>
                    <w:rPr>
                      <w:rFonts w:hint="eastAsia" w:cs="宋体"/>
                      <w:kern w:val="0"/>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kern w:val="0"/>
                      <w:sz w:val="21"/>
                      <w:szCs w:val="21"/>
                    </w:rPr>
                  </w:pPr>
                  <w:r>
                    <w:rPr>
                      <w:rFonts w:cs="宋体"/>
                      <w:kern w:val="0"/>
                      <w:sz w:val="21"/>
                      <w:szCs w:val="21"/>
                    </w:rPr>
                    <w:t>3</w:t>
                  </w:r>
                </w:p>
              </w:tc>
              <w:tc>
                <w:tcPr>
                  <w:tcW w:w="166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kern w:val="0"/>
                      <w:sz w:val="21"/>
                      <w:szCs w:val="21"/>
                    </w:rPr>
                  </w:pPr>
                  <w:r>
                    <w:rPr>
                      <w:rFonts w:cs="宋体"/>
                      <w:kern w:val="0"/>
                      <w:sz w:val="21"/>
                      <w:szCs w:val="21"/>
                    </w:rPr>
                    <w:t>6</w:t>
                  </w:r>
                  <w:r>
                    <w:rPr>
                      <w:rFonts w:hint="eastAsia" w:cs="宋体"/>
                      <w:kern w:val="0"/>
                      <w:sz w:val="21"/>
                      <w:szCs w:val="21"/>
                    </w:rPr>
                    <w:t>5</w:t>
                  </w:r>
                </w:p>
              </w:tc>
              <w:tc>
                <w:tcPr>
                  <w:tcW w:w="16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kern w:val="0"/>
                      <w:sz w:val="21"/>
                      <w:szCs w:val="21"/>
                    </w:rPr>
                  </w:pPr>
                  <w:r>
                    <w:rPr>
                      <w:rFonts w:cs="宋体"/>
                      <w:kern w:val="0"/>
                      <w:sz w:val="21"/>
                      <w:szCs w:val="21"/>
                    </w:rPr>
                    <w:t>5</w:t>
                  </w:r>
                  <w:r>
                    <w:rPr>
                      <w:rFonts w:hint="eastAsia" w:cs="宋体"/>
                      <w:kern w:val="0"/>
                      <w:sz w:val="21"/>
                      <w:szCs w:val="21"/>
                    </w:rPr>
                    <w:t>5</w:t>
                  </w:r>
                </w:p>
              </w:tc>
            </w:tr>
          </w:tbl>
          <w:p>
            <w:pPr>
              <w:pStyle w:val="4"/>
              <w:pageBreakBefore w:val="0"/>
              <w:widowControl w:val="0"/>
              <w:kinsoku/>
              <w:wordWrap/>
              <w:overflowPunct/>
              <w:topLinePunct w:val="0"/>
              <w:autoSpaceDE/>
              <w:autoSpaceDN/>
              <w:bidi w:val="0"/>
              <w:adjustRightInd/>
              <w:snapToGrid w:val="0"/>
              <w:spacing w:before="0" w:after="0"/>
              <w:jc w:val="left"/>
              <w:textAlignment w:val="auto"/>
            </w:pPr>
            <w:r>
              <w:rPr>
                <w:rFonts w:hint="eastAsia"/>
              </w:rPr>
              <w:t>3.7.</w:t>
            </w:r>
            <w:r>
              <w:rPr>
                <w:rFonts w:hint="eastAsia"/>
                <w:lang w:val="en-US" w:eastAsia="zh-CN"/>
              </w:rPr>
              <w:t>3</w:t>
            </w:r>
            <w:r>
              <w:rPr>
                <w:rFonts w:hint="eastAsia"/>
              </w:rPr>
              <w:t>一般固体废物</w:t>
            </w:r>
          </w:p>
          <w:p>
            <w:pPr>
              <w:pageBreakBefore w:val="0"/>
              <w:widowControl w:val="0"/>
              <w:kinsoku/>
              <w:wordWrap/>
              <w:overflowPunct/>
              <w:topLinePunct w:val="0"/>
              <w:autoSpaceDE/>
              <w:autoSpaceDN/>
              <w:bidi w:val="0"/>
              <w:adjustRightInd/>
              <w:snapToGrid w:val="0"/>
              <w:ind w:firstLine="480"/>
              <w:jc w:val="left"/>
              <w:textAlignment w:val="auto"/>
              <w:rPr>
                <w:rFonts w:hint="eastAsia" w:eastAsia="宋体"/>
                <w:highlight w:val="none"/>
                <w:lang w:eastAsia="zh-CN"/>
              </w:rPr>
            </w:pPr>
            <w:r>
              <w:rPr>
                <w:rFonts w:hint="eastAsia"/>
                <w:highlight w:val="none"/>
              </w:rPr>
              <w:t>执行《一般工业固体废物贮存</w:t>
            </w:r>
            <w:r>
              <w:rPr>
                <w:rFonts w:hint="eastAsia"/>
                <w:highlight w:val="none"/>
                <w:lang w:eastAsia="zh-CN"/>
              </w:rPr>
              <w:t>和填埋</w:t>
            </w:r>
            <w:r>
              <w:rPr>
                <w:rFonts w:hint="eastAsia"/>
                <w:highlight w:val="none"/>
              </w:rPr>
              <w:t>污染控制标准》（GB18599-20</w:t>
            </w:r>
            <w:r>
              <w:rPr>
                <w:rFonts w:hint="eastAsia"/>
                <w:highlight w:val="none"/>
                <w:lang w:val="en-US" w:eastAsia="zh-CN"/>
              </w:rPr>
              <w:t>20</w:t>
            </w:r>
            <w:r>
              <w:rPr>
                <w:rFonts w:hint="eastAsia"/>
                <w:highlight w:val="none"/>
              </w:rPr>
              <w:t>）</w:t>
            </w:r>
            <w:r>
              <w:rPr>
                <w:rFonts w:hint="eastAsia"/>
                <w:highlight w:val="none"/>
                <w:lang w:eastAsia="zh-CN"/>
              </w:rPr>
              <w:t>。</w:t>
            </w:r>
          </w:p>
          <w:p>
            <w:pPr>
              <w:pStyle w:val="4"/>
              <w:pageBreakBefore w:val="0"/>
              <w:widowControl w:val="0"/>
              <w:kinsoku/>
              <w:wordWrap/>
              <w:overflowPunct/>
              <w:topLinePunct w:val="0"/>
              <w:autoSpaceDE/>
              <w:autoSpaceDN/>
              <w:bidi w:val="0"/>
              <w:adjustRightInd/>
              <w:snapToGrid w:val="0"/>
              <w:spacing w:before="0" w:after="0"/>
              <w:jc w:val="left"/>
              <w:textAlignment w:val="auto"/>
            </w:pPr>
            <w:r>
              <w:rPr>
                <w:rFonts w:hint="eastAsia"/>
              </w:rPr>
              <w:t>3.7.</w:t>
            </w:r>
            <w:r>
              <w:rPr>
                <w:rFonts w:hint="eastAsia"/>
                <w:lang w:val="en-US" w:eastAsia="zh-CN"/>
              </w:rPr>
              <w:t>4</w:t>
            </w:r>
            <w:r>
              <w:rPr>
                <w:rFonts w:hint="eastAsia"/>
              </w:rPr>
              <w:t>危险固体废物</w:t>
            </w:r>
          </w:p>
          <w:p>
            <w:pPr>
              <w:pageBreakBefore w:val="0"/>
              <w:widowControl w:val="0"/>
              <w:kinsoku/>
              <w:wordWrap/>
              <w:overflowPunct/>
              <w:topLinePunct w:val="0"/>
              <w:autoSpaceDE/>
              <w:autoSpaceDN/>
              <w:bidi w:val="0"/>
              <w:adjustRightInd/>
              <w:snapToGrid w:val="0"/>
              <w:ind w:firstLine="480"/>
              <w:jc w:val="left"/>
              <w:textAlignment w:val="auto"/>
              <w:rPr>
                <w:rFonts w:hint="eastAsia" w:eastAsia="宋体"/>
                <w:lang w:eastAsia="zh-CN"/>
              </w:rPr>
            </w:pPr>
            <w:r>
              <w:rPr>
                <w:rFonts w:hint="eastAsia"/>
              </w:rPr>
              <w:t>执行《危险废物贮存污染控制标准》（GB18597-2001）</w:t>
            </w:r>
            <w:r>
              <w:rPr>
                <w:rFonts w:hint="eastAsia"/>
                <w:lang w:eastAsia="zh-CN"/>
              </w:rPr>
              <w:t>。</w:t>
            </w:r>
          </w:p>
          <w:p>
            <w:pPr>
              <w:pStyle w:val="4"/>
              <w:pageBreakBefore w:val="0"/>
              <w:widowControl w:val="0"/>
              <w:kinsoku/>
              <w:wordWrap/>
              <w:overflowPunct/>
              <w:topLinePunct w:val="0"/>
              <w:autoSpaceDE/>
              <w:autoSpaceDN/>
              <w:bidi w:val="0"/>
              <w:adjustRightInd/>
              <w:snapToGrid w:val="0"/>
              <w:spacing w:before="0" w:after="0"/>
              <w:jc w:val="left"/>
              <w:textAlignment w:val="auto"/>
              <w:rPr>
                <w:highlight w:val="none"/>
              </w:rPr>
            </w:pPr>
            <w:r>
              <w:rPr>
                <w:rFonts w:hint="eastAsia"/>
              </w:rPr>
              <w:t>3</w:t>
            </w:r>
            <w:r>
              <w:rPr>
                <w:rFonts w:hint="eastAsia"/>
                <w:highlight w:val="none"/>
              </w:rPr>
              <w:t>.7.</w:t>
            </w:r>
            <w:r>
              <w:rPr>
                <w:rFonts w:hint="eastAsia"/>
                <w:highlight w:val="none"/>
                <w:lang w:val="en-US" w:eastAsia="zh-CN"/>
              </w:rPr>
              <w:t>5</w:t>
            </w:r>
            <w:r>
              <w:rPr>
                <w:rFonts w:hint="eastAsia"/>
                <w:highlight w:val="none"/>
              </w:rPr>
              <w:t>生活垃圾</w:t>
            </w:r>
          </w:p>
          <w:p>
            <w:pPr>
              <w:pageBreakBefore w:val="0"/>
              <w:widowControl w:val="0"/>
              <w:kinsoku/>
              <w:wordWrap/>
              <w:overflowPunct/>
              <w:topLinePunct w:val="0"/>
              <w:autoSpaceDE/>
              <w:autoSpaceDN/>
              <w:bidi w:val="0"/>
              <w:adjustRightInd/>
              <w:snapToGrid w:val="0"/>
              <w:ind w:firstLine="480"/>
              <w:jc w:val="left"/>
              <w:textAlignment w:val="auto"/>
              <w:rPr>
                <w:rFonts w:hint="eastAsia" w:eastAsia="宋体"/>
                <w:lang w:eastAsia="zh-CN"/>
              </w:rPr>
            </w:pPr>
            <w:r>
              <w:rPr>
                <w:rFonts w:hint="eastAsia"/>
                <w:sz w:val="24"/>
                <w:szCs w:val="24"/>
                <w:lang w:eastAsia="zh-CN"/>
              </w:rPr>
              <w:t>执行</w:t>
            </w:r>
            <w:r>
              <w:rPr>
                <w:rFonts w:hint="eastAsia"/>
                <w:sz w:val="24"/>
                <w:szCs w:val="24"/>
              </w:rPr>
              <w:t>《城市生活垃圾管理办法》</w:t>
            </w:r>
            <w:r>
              <w:rPr>
                <w:rFonts w:hint="eastAsia"/>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44" w:type="pct"/>
            <w:vAlign w:val="center"/>
          </w:tcPr>
          <w:p>
            <w:pPr>
              <w:adjustRightInd w:val="0"/>
              <w:snapToGrid w:val="0"/>
              <w:ind w:firstLine="0" w:firstLineChars="0"/>
              <w:jc w:val="center"/>
              <w:rPr>
                <w:rFonts w:cs="宋体"/>
                <w:kern w:val="0"/>
                <w:szCs w:val="21"/>
              </w:rPr>
            </w:pPr>
            <w:r>
              <w:rPr>
                <w:rFonts w:hint="eastAsia" w:cs="宋体"/>
                <w:kern w:val="0"/>
                <w:szCs w:val="21"/>
              </w:rPr>
              <w:t>总量</w:t>
            </w:r>
          </w:p>
          <w:p>
            <w:pPr>
              <w:adjustRightInd w:val="0"/>
              <w:snapToGrid w:val="0"/>
              <w:ind w:firstLine="0" w:firstLineChars="0"/>
              <w:jc w:val="center"/>
              <w:rPr>
                <w:rFonts w:cs="宋体"/>
                <w:kern w:val="0"/>
                <w:szCs w:val="21"/>
              </w:rPr>
            </w:pPr>
            <w:r>
              <w:rPr>
                <w:rFonts w:hint="eastAsia" w:cs="宋体"/>
                <w:kern w:val="0"/>
                <w:szCs w:val="21"/>
              </w:rPr>
              <w:t>控制</w:t>
            </w:r>
          </w:p>
          <w:p>
            <w:pPr>
              <w:adjustRightInd w:val="0"/>
              <w:snapToGrid w:val="0"/>
              <w:ind w:firstLine="0" w:firstLineChars="0"/>
              <w:jc w:val="center"/>
              <w:rPr>
                <w:rFonts w:cs="宋体"/>
                <w:kern w:val="0"/>
                <w:szCs w:val="21"/>
              </w:rPr>
            </w:pPr>
            <w:r>
              <w:rPr>
                <w:rFonts w:hint="eastAsia" w:cs="宋体"/>
                <w:kern w:val="0"/>
                <w:szCs w:val="21"/>
              </w:rPr>
              <w:t>指标</w:t>
            </w:r>
          </w:p>
        </w:tc>
        <w:tc>
          <w:tcPr>
            <w:tcW w:w="4556" w:type="pct"/>
            <w:vAlign w:val="center"/>
          </w:tcPr>
          <w:p>
            <w:pPr>
              <w:pStyle w:val="3"/>
              <w:keepLines w:val="0"/>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3.8总量控制指标</w:t>
            </w:r>
          </w:p>
          <w:p>
            <w:pPr>
              <w:keepLines w:val="0"/>
              <w:pageBreakBefore w:val="0"/>
              <w:widowControl w:val="0"/>
              <w:kinsoku/>
              <w:wordWrap/>
              <w:topLinePunct w:val="0"/>
              <w:autoSpaceDE/>
              <w:autoSpaceDN/>
              <w:bidi w:val="0"/>
              <w:adjustRightInd/>
              <w:snapToGrid w:val="0"/>
              <w:ind w:firstLine="480"/>
              <w:jc w:val="left"/>
              <w:textAlignment w:val="auto"/>
              <w:rPr>
                <w:rFonts w:hint="eastAsia"/>
              </w:rPr>
            </w:pPr>
            <w:r>
              <w:rPr>
                <w:rFonts w:ascii="宋体" w:hAnsi="宋体" w:eastAsia="宋体" w:cs="宋体"/>
                <w:sz w:val="24"/>
                <w:szCs w:val="24"/>
              </w:rPr>
              <w:t>根据《自治区打印蓝天保卫战三年行动计划（2018-2020）》（新政发</w:t>
            </w:r>
            <w:r>
              <w:rPr>
                <w:rFonts w:hint="eastAsia" w:ascii="宋体" w:hAnsi="宋体" w:cs="宋体"/>
                <w:sz w:val="24"/>
                <w:szCs w:val="24"/>
                <w:lang w:val="en-US" w:eastAsia="zh-CN"/>
              </w:rPr>
              <w:t>[</w:t>
            </w:r>
            <w:r>
              <w:rPr>
                <w:rFonts w:ascii="宋体" w:hAnsi="宋体" w:eastAsia="宋体" w:cs="宋体"/>
                <w:sz w:val="24"/>
                <w:szCs w:val="24"/>
              </w:rPr>
              <w:t>2018</w:t>
            </w:r>
            <w:r>
              <w:rPr>
                <w:rFonts w:hint="eastAsia" w:ascii="宋体" w:hAnsi="宋体" w:cs="宋体"/>
                <w:sz w:val="24"/>
                <w:szCs w:val="24"/>
                <w:lang w:val="en-US" w:eastAsia="zh-CN"/>
              </w:rPr>
              <w:t>]</w:t>
            </w:r>
            <w:r>
              <w:rPr>
                <w:rFonts w:ascii="宋体" w:hAnsi="宋体" w:eastAsia="宋体" w:cs="宋体"/>
                <w:sz w:val="24"/>
                <w:szCs w:val="24"/>
              </w:rPr>
              <w:t>66号），“乌-昌-石”区域内所有新（改、扩）建项目应落实二氧化硫、氮氧化物、烟粉尘、挥发性有机物(VOCS)等四项的大气污染物总量指标替代</w:t>
            </w:r>
            <w:r>
              <w:rPr>
                <w:rFonts w:hint="eastAsia" w:ascii="宋体" w:hAnsi="宋体" w:eastAsia="宋体" w:cs="宋体"/>
                <w:sz w:val="24"/>
                <w:szCs w:val="24"/>
                <w:lang w:eastAsia="zh-CN"/>
              </w:rPr>
              <w:t>。</w:t>
            </w:r>
            <w:r>
              <w:rPr>
                <w:rFonts w:ascii="宋体" w:hAnsi="宋体" w:eastAsia="宋体" w:cs="宋体"/>
                <w:sz w:val="24"/>
                <w:szCs w:val="24"/>
              </w:rPr>
              <w:t>因此，</w:t>
            </w:r>
            <w:r>
              <w:rPr>
                <w:rFonts w:hint="eastAsia"/>
              </w:rPr>
              <w:t>本项目产生的生活污水最终被清运至昌吉高新技术产业开发区污水处理厂，COD和氨氮的总量已经纳入到园区污水处理厂中，故本项目不再对COD和氨氮设置总量。</w:t>
            </w:r>
          </w:p>
          <w:p>
            <w:pPr>
              <w:keepLines w:val="0"/>
              <w:pageBreakBefore w:val="0"/>
              <w:widowControl w:val="0"/>
              <w:kinsoku/>
              <w:wordWrap/>
              <w:topLinePunct w:val="0"/>
              <w:autoSpaceDE/>
              <w:autoSpaceDN/>
              <w:bidi w:val="0"/>
              <w:adjustRightInd/>
              <w:snapToGrid w:val="0"/>
              <w:ind w:firstLine="480"/>
              <w:jc w:val="left"/>
              <w:textAlignment w:val="auto"/>
              <w:rPr>
                <w:rFonts w:ascii="宋体" w:hAnsi="宋体" w:eastAsia="宋体" w:cs="宋体"/>
                <w:sz w:val="24"/>
                <w:szCs w:val="24"/>
              </w:rPr>
            </w:pPr>
            <w:r>
              <w:rPr>
                <w:rFonts w:ascii="宋体" w:hAnsi="宋体" w:eastAsia="宋体" w:cs="宋体"/>
                <w:sz w:val="24"/>
                <w:szCs w:val="24"/>
              </w:rPr>
              <w:t>根据本项目总量因子排放特点，建议总量控制因子确定为：</w:t>
            </w:r>
          </w:p>
          <w:p>
            <w:pPr>
              <w:keepLines w:val="0"/>
              <w:pageBreakBefore w:val="0"/>
              <w:widowControl w:val="0"/>
              <w:kinsoku/>
              <w:wordWrap/>
              <w:topLinePunct w:val="0"/>
              <w:autoSpaceDE/>
              <w:autoSpaceDN/>
              <w:bidi w:val="0"/>
              <w:adjustRightInd/>
              <w:snapToGrid w:val="0"/>
              <w:ind w:firstLine="480"/>
              <w:jc w:val="left"/>
              <w:textAlignment w:val="auto"/>
              <w:rPr>
                <w:rFonts w:hint="eastAsia" w:eastAsia="宋体"/>
                <w:lang w:eastAsia="zh-CN"/>
              </w:rPr>
            </w:pPr>
            <w:r>
              <w:rPr>
                <w:rFonts w:ascii="宋体" w:hAnsi="宋体" w:eastAsia="宋体" w:cs="宋体"/>
                <w:sz w:val="24"/>
                <w:szCs w:val="24"/>
              </w:rPr>
              <w:t>废气污染物指标（</w:t>
            </w:r>
            <w:r>
              <w:rPr>
                <w:rFonts w:hint="eastAsia" w:ascii="宋体" w:hAnsi="宋体" w:cs="宋体"/>
                <w:sz w:val="24"/>
                <w:szCs w:val="24"/>
                <w:lang w:val="en-US" w:eastAsia="zh-CN"/>
              </w:rPr>
              <w:t>2</w:t>
            </w:r>
            <w:r>
              <w:rPr>
                <w:rFonts w:ascii="宋体" w:hAnsi="宋体" w:eastAsia="宋体" w:cs="宋体"/>
                <w:sz w:val="24"/>
                <w:szCs w:val="24"/>
              </w:rPr>
              <w:t>项）：</w:t>
            </w:r>
            <w:r>
              <w:rPr>
                <w:rFonts w:hint="eastAsia"/>
                <w:highlight w:val="none"/>
              </w:rPr>
              <w:t xml:space="preserve">VOCs </w:t>
            </w:r>
            <w:r>
              <w:rPr>
                <w:rFonts w:hint="eastAsia"/>
                <w:highlight w:val="none"/>
                <w:lang w:val="en-US" w:eastAsia="zh-CN"/>
              </w:rPr>
              <w:t>0.0086t</w:t>
            </w:r>
            <w:r>
              <w:rPr>
                <w:rFonts w:hint="eastAsia"/>
                <w:highlight w:val="none"/>
              </w:rPr>
              <w:t>/a</w:t>
            </w:r>
            <w:r>
              <w:rPr>
                <w:rFonts w:hint="eastAsia"/>
                <w:highlight w:val="none"/>
                <w:lang w:eastAsia="zh-CN"/>
              </w:rPr>
              <w:t>，</w:t>
            </w:r>
            <w:r>
              <w:rPr>
                <w:rFonts w:hint="eastAsia"/>
                <w:highlight w:val="none"/>
                <w:lang w:val="en-US" w:eastAsia="zh-CN"/>
              </w:rPr>
              <w:t>颗粒物 0.0126t/a。</w:t>
            </w:r>
            <w:r>
              <w:rPr>
                <w:rFonts w:ascii="宋体" w:hAnsi="宋体" w:eastAsia="宋体" w:cs="宋体"/>
                <w:sz w:val="24"/>
                <w:szCs w:val="24"/>
              </w:rPr>
              <w:t>项目处于非达标区域，应执行废气主要污染物排放量倍量替代要求，所需倍量替代总量指标为：</w:t>
            </w:r>
            <w:r>
              <w:rPr>
                <w:rFonts w:hint="eastAsia"/>
                <w:highlight w:val="none"/>
              </w:rPr>
              <w:t xml:space="preserve">VOCs </w:t>
            </w:r>
            <w:r>
              <w:rPr>
                <w:rFonts w:hint="eastAsia"/>
                <w:highlight w:val="none"/>
                <w:lang w:val="en-US" w:eastAsia="zh-CN"/>
              </w:rPr>
              <w:t>0.0172t</w:t>
            </w:r>
            <w:r>
              <w:rPr>
                <w:rFonts w:hint="eastAsia"/>
                <w:highlight w:val="none"/>
              </w:rPr>
              <w:t>/a</w:t>
            </w:r>
            <w:r>
              <w:rPr>
                <w:rFonts w:hint="eastAsia"/>
                <w:highlight w:val="none"/>
                <w:lang w:eastAsia="zh-CN"/>
              </w:rPr>
              <w:t>，</w:t>
            </w:r>
            <w:r>
              <w:rPr>
                <w:rFonts w:hint="eastAsia"/>
                <w:highlight w:val="none"/>
                <w:lang w:val="en-US" w:eastAsia="zh-CN"/>
              </w:rPr>
              <w:t>颗粒物 0.0252t/a</w:t>
            </w:r>
            <w:r>
              <w:rPr>
                <w:rFonts w:hint="eastAsia"/>
                <w:highlight w:val="none"/>
                <w:lang w:eastAsia="zh-CN"/>
              </w:rPr>
              <w:t>。</w:t>
            </w:r>
          </w:p>
        </w:tc>
      </w:tr>
    </w:tbl>
    <w:p>
      <w:pPr>
        <w:pStyle w:val="15"/>
        <w:spacing w:line="240" w:lineRule="auto"/>
        <w:ind w:firstLine="0" w:firstLineChars="0"/>
        <w:jc w:val="center"/>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r>
        <w:rPr>
          <w:rFonts w:hint="eastAsia" w:ascii="Times New Roman" w:hAnsi="Times New Roman" w:eastAsia="黑体"/>
          <w:snapToGrid w:val="0"/>
          <w:sz w:val="30"/>
          <w:szCs w:val="30"/>
        </w:rPr>
        <w:t>四、主要环境影响和保护措施</w:t>
      </w:r>
    </w:p>
    <w:tbl>
      <w:tblPr>
        <w:tblStyle w:val="18"/>
        <w:tblW w:w="89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1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748" w:type="dxa"/>
            <w:tcMar>
              <w:left w:w="28" w:type="dxa"/>
              <w:right w:w="28" w:type="dxa"/>
            </w:tcMar>
            <w:vAlign w:val="center"/>
          </w:tcPr>
          <w:p>
            <w:pPr>
              <w:pStyle w:val="15"/>
              <w:adjustRightInd w:val="0"/>
              <w:snapToGrid w:val="0"/>
              <w:spacing w:before="0" w:beforeAutospacing="0" w:after="0" w:afterAutospacing="0"/>
              <w:ind w:firstLine="0" w:firstLineChars="0"/>
              <w:jc w:val="center"/>
              <w:rPr>
                <w:rFonts w:ascii="Times New Roman" w:hAnsi="Times New Roman" w:cs="宋体"/>
                <w:kern w:val="2"/>
                <w:szCs w:val="21"/>
              </w:rPr>
            </w:pPr>
            <w:r>
              <w:rPr>
                <w:rFonts w:hint="eastAsia" w:ascii="Times New Roman" w:hAnsi="Times New Roman" w:cs="宋体"/>
                <w:kern w:val="2"/>
                <w:szCs w:val="21"/>
              </w:rPr>
              <w:t>施工</w:t>
            </w:r>
          </w:p>
          <w:p>
            <w:pPr>
              <w:pStyle w:val="15"/>
              <w:adjustRightInd w:val="0"/>
              <w:snapToGrid w:val="0"/>
              <w:spacing w:before="0" w:beforeAutospacing="0" w:after="0" w:afterAutospacing="0"/>
              <w:ind w:firstLine="0" w:firstLineChars="0"/>
              <w:jc w:val="center"/>
              <w:rPr>
                <w:rFonts w:ascii="Times New Roman" w:hAnsi="Times New Roman" w:cs="宋体"/>
                <w:kern w:val="2"/>
                <w:szCs w:val="21"/>
              </w:rPr>
            </w:pPr>
            <w:r>
              <w:rPr>
                <w:rFonts w:hint="eastAsia" w:ascii="Times New Roman" w:hAnsi="Times New Roman" w:cs="宋体"/>
                <w:kern w:val="2"/>
                <w:szCs w:val="21"/>
              </w:rPr>
              <w:t>期环</w:t>
            </w:r>
          </w:p>
          <w:p>
            <w:pPr>
              <w:pStyle w:val="15"/>
              <w:adjustRightInd w:val="0"/>
              <w:snapToGrid w:val="0"/>
              <w:spacing w:before="0" w:beforeAutospacing="0" w:after="0" w:afterAutospacing="0"/>
              <w:ind w:firstLine="0" w:firstLineChars="0"/>
              <w:jc w:val="center"/>
              <w:rPr>
                <w:rFonts w:ascii="Times New Roman" w:hAnsi="Times New Roman" w:cs="宋体"/>
                <w:kern w:val="2"/>
                <w:szCs w:val="21"/>
              </w:rPr>
            </w:pPr>
            <w:r>
              <w:rPr>
                <w:rFonts w:hint="eastAsia" w:ascii="Times New Roman" w:hAnsi="Times New Roman" w:cs="宋体"/>
                <w:kern w:val="2"/>
                <w:szCs w:val="21"/>
              </w:rPr>
              <w:t>境保</w:t>
            </w:r>
          </w:p>
          <w:p>
            <w:pPr>
              <w:pStyle w:val="15"/>
              <w:adjustRightInd w:val="0"/>
              <w:snapToGrid w:val="0"/>
              <w:spacing w:before="0" w:beforeAutospacing="0" w:after="0" w:afterAutospacing="0"/>
              <w:ind w:firstLine="0" w:firstLineChars="0"/>
              <w:jc w:val="center"/>
              <w:rPr>
                <w:rFonts w:ascii="Times New Roman" w:hAnsi="Times New Roman" w:cs="宋体"/>
                <w:kern w:val="2"/>
                <w:szCs w:val="21"/>
              </w:rPr>
            </w:pPr>
            <w:r>
              <w:rPr>
                <w:rFonts w:hint="eastAsia" w:ascii="Times New Roman" w:hAnsi="Times New Roman" w:cs="宋体"/>
                <w:kern w:val="2"/>
                <w:szCs w:val="21"/>
              </w:rPr>
              <w:t>护措</w:t>
            </w:r>
          </w:p>
          <w:p>
            <w:pPr>
              <w:adjustRightInd w:val="0"/>
              <w:snapToGrid w:val="0"/>
              <w:ind w:firstLine="0" w:firstLineChars="0"/>
              <w:jc w:val="center"/>
              <w:rPr>
                <w:rFonts w:hint="eastAsia" w:cs="宋体"/>
                <w:bCs/>
                <w:szCs w:val="21"/>
              </w:rPr>
            </w:pPr>
            <w:r>
              <w:rPr>
                <w:rFonts w:hint="eastAsia" w:ascii="Times New Roman" w:hAnsi="Times New Roman" w:cs="宋体"/>
                <w:kern w:val="2"/>
                <w:szCs w:val="21"/>
              </w:rPr>
              <w:t>施</w:t>
            </w:r>
          </w:p>
        </w:tc>
        <w:tc>
          <w:tcPr>
            <w:tcW w:w="8164" w:type="dxa"/>
          </w:tcPr>
          <w:p>
            <w:pPr>
              <w:pStyle w:val="3"/>
              <w:pageBreakBefore w:val="0"/>
              <w:widowControl w:val="0"/>
              <w:kinsoku/>
              <w:wordWrap/>
              <w:topLinePunct w:val="0"/>
              <w:autoSpaceDE/>
              <w:autoSpaceDN/>
              <w:bidi w:val="0"/>
              <w:adjustRightInd/>
              <w:snapToGrid w:val="0"/>
              <w:spacing w:before="0" w:after="0"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t>4.1</w:t>
            </w:r>
            <w:r>
              <w:rPr>
                <w:rFonts w:hint="default" w:ascii="Times New Roman" w:hAnsi="Times New Roman" w:cs="Times New Roman"/>
                <w:sz w:val="28"/>
                <w:szCs w:val="28"/>
              </w:rPr>
              <w:t>施工期环境保护措施</w:t>
            </w:r>
          </w:p>
          <w:p>
            <w:pPr>
              <w:pStyle w:val="4"/>
              <w:pageBreakBefore w:val="0"/>
              <w:widowControl w:val="0"/>
              <w:kinsoku/>
              <w:wordWrap/>
              <w:topLinePunct w:val="0"/>
              <w:autoSpaceDE/>
              <w:autoSpaceDN/>
              <w:bidi w:val="0"/>
              <w:adjustRightInd/>
              <w:snapToGrid w:val="0"/>
              <w:spacing w:before="0" w:after="0" w:line="360" w:lineRule="auto"/>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4.1.1大气环境</w:t>
            </w:r>
          </w:p>
          <w:p>
            <w:pPr>
              <w:keepNext w:val="0"/>
              <w:keepLines w:val="0"/>
              <w:pageBreakBefore w:val="0"/>
              <w:widowControl/>
              <w:suppressLineNumbers w:val="0"/>
              <w:kinsoku/>
              <w:wordWrap/>
              <w:overflowPunct/>
              <w:topLinePunct w:val="0"/>
              <w:autoSpaceDE/>
              <w:autoSpaceDN/>
              <w:bidi w:val="0"/>
              <w:adjustRightInd/>
              <w:snapToGrid w:val="0"/>
              <w:ind w:firstLine="480" w:firstLineChars="200"/>
              <w:jc w:val="left"/>
              <w:textAlignment w:val="auto"/>
              <w:rPr>
                <w:b w:val="0"/>
                <w:bCs w:val="0"/>
              </w:rPr>
            </w:pPr>
            <w:r>
              <w:rPr>
                <w:rFonts w:hint="eastAsia" w:ascii="宋体" w:hAnsi="宋体" w:eastAsia="宋体" w:cs="宋体"/>
                <w:b w:val="0"/>
                <w:bCs w:val="0"/>
                <w:color w:val="000000"/>
                <w:kern w:val="0"/>
                <w:sz w:val="24"/>
                <w:szCs w:val="24"/>
                <w:lang w:val="en-US" w:eastAsia="zh-CN" w:bidi="ar"/>
              </w:rPr>
              <w:t>施工期扬尘产生源主要有：车辆行驶造成的道路扬尘。</w:t>
            </w:r>
          </w:p>
          <w:p>
            <w:pPr>
              <w:pageBreakBefore w:val="0"/>
              <w:widowControl w:val="0"/>
              <w:kinsoku/>
              <w:wordWrap/>
              <w:overflowPunct/>
              <w:topLinePunct w:val="0"/>
              <w:autoSpaceDE/>
              <w:autoSpaceDN/>
              <w:bidi w:val="0"/>
              <w:adjustRightInd/>
              <w:snapToGrid w:val="0"/>
              <w:ind w:firstLine="480"/>
              <w:jc w:val="left"/>
              <w:textAlignment w:val="auto"/>
              <w:rPr>
                <w:rFonts w:hint="eastAsia" w:eastAsia="宋体"/>
              </w:rPr>
            </w:pPr>
            <w:r>
              <w:rPr>
                <w:rFonts w:hint="eastAsia" w:ascii="宋体" w:hAnsi="宋体" w:eastAsia="宋体" w:cs="宋体"/>
                <w:b w:val="0"/>
                <w:bCs w:val="0"/>
                <w:color w:val="000000"/>
                <w:kern w:val="0"/>
                <w:sz w:val="24"/>
                <w:szCs w:val="24"/>
                <w:lang w:val="en-US" w:eastAsia="zh-CN" w:bidi="ar"/>
              </w:rPr>
              <w:t>运输设备车辆进入厂区后需低速行驶，厂区地面每天需进行洒水不低于</w:t>
            </w:r>
            <w:r>
              <w:rPr>
                <w:rFonts w:hint="default" w:ascii="Times New Roman" w:hAnsi="Times New Roman" w:eastAsia="宋体" w:cs="Times New Roman"/>
                <w:b w:val="0"/>
                <w:bCs w:val="0"/>
                <w:color w:val="000000"/>
                <w:kern w:val="0"/>
                <w:sz w:val="24"/>
                <w:szCs w:val="24"/>
                <w:lang w:val="en-US" w:eastAsia="zh-CN" w:bidi="ar"/>
              </w:rPr>
              <w:t>2</w:t>
            </w:r>
            <w:r>
              <w:rPr>
                <w:rFonts w:hint="eastAsia" w:eastAsia="宋体"/>
                <w:lang w:val="en-US" w:eastAsia="zh-CN"/>
              </w:rPr>
              <w:t>次，并对进出厂区车辆进行冲洗。</w:t>
            </w:r>
          </w:p>
          <w:p>
            <w:pPr>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eastAsia="宋体"/>
                <w:b/>
                <w:bCs/>
              </w:rPr>
            </w:pPr>
            <w:r>
              <w:rPr>
                <w:rFonts w:hint="eastAsia" w:eastAsia="宋体"/>
                <w:b/>
                <w:bCs/>
              </w:rPr>
              <w:t>4.1.2水环境</w:t>
            </w:r>
          </w:p>
          <w:p>
            <w:pPr>
              <w:pageBreakBefore w:val="0"/>
              <w:widowControl w:val="0"/>
              <w:kinsoku/>
              <w:wordWrap/>
              <w:overflowPunct/>
              <w:topLinePunct w:val="0"/>
              <w:autoSpaceDE/>
              <w:autoSpaceDN/>
              <w:bidi w:val="0"/>
              <w:adjustRightInd/>
              <w:snapToGrid w:val="0"/>
              <w:ind w:firstLine="480"/>
              <w:jc w:val="left"/>
              <w:textAlignment w:val="auto"/>
              <w:rPr>
                <w:rFonts w:hint="eastAsia" w:eastAsia="宋体"/>
              </w:rPr>
            </w:pPr>
            <w:r>
              <w:rPr>
                <w:rFonts w:hint="eastAsia" w:eastAsia="宋体"/>
                <w:lang w:val="en-US" w:eastAsia="zh-CN"/>
              </w:rPr>
              <w:t>施工期废水主要为施工人员生活污水。</w:t>
            </w:r>
          </w:p>
          <w:p>
            <w:pPr>
              <w:pageBreakBefore w:val="0"/>
              <w:widowControl w:val="0"/>
              <w:kinsoku/>
              <w:wordWrap/>
              <w:overflowPunct/>
              <w:topLinePunct w:val="0"/>
              <w:autoSpaceDE/>
              <w:autoSpaceDN/>
              <w:bidi w:val="0"/>
              <w:adjustRightInd/>
              <w:snapToGrid w:val="0"/>
              <w:ind w:firstLine="480"/>
              <w:jc w:val="left"/>
              <w:textAlignment w:val="auto"/>
            </w:pPr>
            <w:r>
              <w:rPr>
                <w:rFonts w:hint="default" w:ascii="Times New Roman" w:hAnsi="Times New Roman" w:eastAsia="宋体" w:cs="Times New Roman"/>
                <w:color w:val="auto"/>
                <w:sz w:val="24"/>
                <w:szCs w:val="24"/>
              </w:rPr>
              <w:t>建设单位应管理好施工队伍，禁止生活污水随意泼洒。生活污水</w:t>
            </w:r>
            <w:r>
              <w:rPr>
                <w:rFonts w:hint="default" w:ascii="Times New Roman" w:hAnsi="Times New Roman" w:eastAsia="宋体" w:cs="Times New Roman"/>
                <w:color w:val="auto"/>
                <w:sz w:val="24"/>
                <w:szCs w:val="24"/>
                <w:lang w:eastAsia="zh-CN"/>
              </w:rPr>
              <w:t>依托现有卫生设施排放，可直接排入园区排水管网</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不会对周围环境产生影响</w:t>
            </w:r>
            <w:r>
              <w:rPr>
                <w:rFonts w:hint="default" w:ascii="Times New Roman" w:hAnsi="Times New Roman" w:eastAsia="宋体" w:cs="Times New Roman"/>
                <w:color w:val="auto"/>
                <w:sz w:val="24"/>
                <w:szCs w:val="24"/>
              </w:rPr>
              <w:t>。</w:t>
            </w:r>
          </w:p>
          <w:p>
            <w:pPr>
              <w:pStyle w:val="4"/>
              <w:pageBreakBefore w:val="0"/>
              <w:widowControl w:val="0"/>
              <w:kinsoku/>
              <w:wordWrap/>
              <w:overflowPunct/>
              <w:topLinePunct w:val="0"/>
              <w:autoSpaceDE/>
              <w:autoSpaceDN/>
              <w:bidi w:val="0"/>
              <w:adjustRightInd/>
              <w:snapToGrid w:val="0"/>
              <w:spacing w:before="0" w:after="0"/>
              <w:jc w:val="left"/>
              <w:textAlignment w:val="auto"/>
            </w:pPr>
            <w:r>
              <w:rPr>
                <w:rFonts w:hint="eastAsia"/>
              </w:rPr>
              <w:t>4.1.3声环境</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施工期产生的噪声主要来自于</w:t>
            </w:r>
            <w:r>
              <w:rPr>
                <w:rFonts w:hint="eastAsia" w:ascii="宋体" w:hAnsi="宋体" w:cs="宋体"/>
                <w:color w:val="000000"/>
                <w:kern w:val="0"/>
                <w:sz w:val="24"/>
                <w:szCs w:val="24"/>
                <w:lang w:val="en-US" w:eastAsia="zh-CN" w:bidi="ar"/>
              </w:rPr>
              <w:t>设备安装</w:t>
            </w:r>
            <w:r>
              <w:rPr>
                <w:rFonts w:hint="eastAsia" w:ascii="宋体" w:hAnsi="宋体" w:eastAsia="宋体" w:cs="宋体"/>
                <w:color w:val="000000"/>
                <w:kern w:val="0"/>
                <w:sz w:val="24"/>
                <w:szCs w:val="24"/>
                <w:lang w:val="en-US" w:eastAsia="zh-CN" w:bidi="ar"/>
              </w:rPr>
              <w:t>和运输车辆。</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为减少施工噪声对周边环境的影响，结合施工进展，采取如下防治措施：</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）运输设备车辆要选择合适的时间、路线进行运输，运输车辆行驶路线尽量避开居民点和环境敏感点，车辆出入现场时应低速、禁鸣。</w:t>
            </w:r>
          </w:p>
          <w:p>
            <w:pPr>
              <w:pageBreakBefore w:val="0"/>
              <w:kinsoku/>
              <w:wordWrap/>
              <w:overflowPunct/>
              <w:topLinePunct w:val="0"/>
              <w:autoSpaceDE/>
              <w:autoSpaceDN/>
              <w:bidi w:val="0"/>
              <w:adjustRightInd/>
              <w:snapToGrid w:val="0"/>
              <w:ind w:firstLine="480"/>
              <w:jc w:val="left"/>
              <w:textAlignment w:val="auto"/>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）尽量选用低噪声施工机械，安装</w:t>
            </w:r>
            <w:r>
              <w:rPr>
                <w:rFonts w:hint="eastAsia" w:ascii="宋体" w:hAnsi="宋体" w:cs="宋体"/>
                <w:color w:val="000000"/>
                <w:kern w:val="0"/>
                <w:sz w:val="24"/>
                <w:szCs w:val="24"/>
                <w:lang w:val="en-US" w:eastAsia="zh-CN" w:bidi="ar"/>
              </w:rPr>
              <w:t>减震</w:t>
            </w:r>
            <w:r>
              <w:rPr>
                <w:rFonts w:hint="eastAsia" w:ascii="宋体" w:hAnsi="宋体" w:eastAsia="宋体" w:cs="宋体"/>
                <w:color w:val="000000"/>
                <w:kern w:val="0"/>
                <w:sz w:val="24"/>
                <w:szCs w:val="24"/>
                <w:lang w:val="en-US" w:eastAsia="zh-CN" w:bidi="ar"/>
              </w:rPr>
              <w:t>装置，施工机械要合理布局</w:t>
            </w:r>
            <w:r>
              <w:rPr>
                <w:rFonts w:hint="eastAsia" w:ascii="宋体" w:hAnsi="宋体" w:cs="宋体"/>
                <w:color w:val="000000"/>
                <w:kern w:val="0"/>
                <w:sz w:val="24"/>
                <w:szCs w:val="24"/>
                <w:lang w:val="en-US" w:eastAsia="zh-CN" w:bidi="ar"/>
              </w:rPr>
              <w:t>。</w:t>
            </w:r>
          </w:p>
          <w:p>
            <w:pPr>
              <w:pStyle w:val="4"/>
              <w:pageBreakBefore w:val="0"/>
              <w:kinsoku/>
              <w:wordWrap/>
              <w:overflowPunct/>
              <w:topLinePunct w:val="0"/>
              <w:autoSpaceDE/>
              <w:autoSpaceDN/>
              <w:bidi w:val="0"/>
              <w:adjustRightInd/>
              <w:snapToGrid w:val="0"/>
              <w:spacing w:before="0" w:after="0"/>
              <w:jc w:val="left"/>
              <w:textAlignment w:val="auto"/>
            </w:pPr>
            <w:r>
              <w:rPr>
                <w:rFonts w:hint="eastAsia"/>
              </w:rPr>
              <w:t>4.1.4固体废物</w:t>
            </w:r>
          </w:p>
          <w:p>
            <w:pPr>
              <w:keepNext w:val="0"/>
              <w:keepLines w:val="0"/>
              <w:pageBreakBefore w:val="0"/>
              <w:widowControl/>
              <w:suppressLineNumbers w:val="0"/>
              <w:kinsoku/>
              <w:wordWrap/>
              <w:overflowPunct/>
              <w:topLinePunct w:val="0"/>
              <w:autoSpaceDE/>
              <w:autoSpaceDN/>
              <w:bidi w:val="0"/>
              <w:adjustRightInd/>
              <w:jc w:val="left"/>
              <w:textAlignment w:val="auto"/>
            </w:pPr>
            <w:r>
              <w:rPr>
                <w:rFonts w:hint="eastAsia" w:ascii="宋体" w:hAnsi="宋体" w:eastAsia="宋体" w:cs="宋体"/>
                <w:color w:val="000000"/>
                <w:kern w:val="0"/>
                <w:sz w:val="24"/>
                <w:szCs w:val="24"/>
                <w:lang w:val="en-US" w:eastAsia="zh-CN" w:bidi="ar"/>
              </w:rPr>
              <w:t>施工期固体废物主要为施工过程中施工人员产生的生活垃圾。</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施工人员产生的生活垃圾集中收集后，由环卫部门统一清运。</w:t>
            </w:r>
          </w:p>
          <w:p>
            <w:pPr>
              <w:pageBreakBefore w:val="0"/>
              <w:widowControl w:val="0"/>
              <w:kinsoku/>
              <w:wordWrap/>
              <w:overflowPunct/>
              <w:topLinePunct w:val="0"/>
              <w:autoSpaceDE/>
              <w:autoSpaceDN/>
              <w:bidi w:val="0"/>
              <w:adjustRightInd/>
              <w:snapToGrid w:val="0"/>
              <w:ind w:firstLine="480"/>
              <w:jc w:val="left"/>
              <w:textAlignment w:val="auto"/>
            </w:pPr>
            <w:r>
              <w:rPr>
                <w:rFonts w:hint="eastAsia" w:ascii="宋体" w:hAnsi="宋体" w:eastAsia="宋体" w:cs="宋体"/>
                <w:color w:val="000000"/>
                <w:kern w:val="0"/>
                <w:sz w:val="24"/>
                <w:szCs w:val="24"/>
                <w:lang w:val="en-US" w:eastAsia="zh-CN" w:bidi="ar"/>
              </w:rPr>
              <w:t>综上，本项目施工期在采取合理有效的环境保护措施后，不会对周围环境造成影响。</w:t>
            </w:r>
          </w:p>
          <w:p>
            <w:pPr>
              <w:pStyle w:val="4"/>
              <w:pageBreakBefore w:val="0"/>
              <w:widowControl w:val="0"/>
              <w:kinsoku/>
              <w:wordWrap/>
              <w:overflowPunct/>
              <w:topLinePunct w:val="0"/>
              <w:autoSpaceDE/>
              <w:autoSpaceDN/>
              <w:bidi w:val="0"/>
              <w:adjustRightInd/>
              <w:snapToGrid w:val="0"/>
              <w:spacing w:before="0" w:after="0"/>
              <w:jc w:val="left"/>
              <w:textAlignment w:val="auto"/>
            </w:pPr>
            <w:r>
              <w:rPr>
                <w:rFonts w:hint="eastAsia"/>
              </w:rPr>
              <w:t>4.1.5生态环境</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cs="Times New Roman"/>
                <w:sz w:val="24"/>
                <w:szCs w:val="24"/>
                <w:lang w:val="en-US" w:eastAsia="zh-CN"/>
              </w:rPr>
            </w:pPr>
            <w:r>
              <w:rPr>
                <w:rFonts w:hint="eastAsia"/>
              </w:rPr>
              <w:t>根据《建设项目环境影响报告表编制技术指南（污染影响类）》（试行），产业园区外建设项目新增用地的，应明确新增用地范围内生态环境保护目标的保护措施，本项目建设地点位于</w:t>
            </w:r>
            <w:r>
              <w:rPr>
                <w:rFonts w:hint="eastAsia"/>
                <w:color w:val="000000" w:themeColor="text1"/>
                <w:highlight w:val="none"/>
                <w14:textFill>
                  <w14:solidFill>
                    <w14:schemeClr w14:val="tx1"/>
                  </w14:solidFill>
                </w14:textFill>
              </w:rPr>
              <w:t>昌吉高新技术产业开发区</w:t>
            </w:r>
            <w:r>
              <w:rPr>
                <w:rFonts w:hint="eastAsia"/>
                <w:color w:val="000000" w:themeColor="text1"/>
                <w:highlight w:val="none"/>
                <w:lang w:eastAsia="zh-CN"/>
                <w14:textFill>
                  <w14:solidFill>
                    <w14:schemeClr w14:val="tx1"/>
                  </w14:solidFill>
                </w14:textFill>
              </w:rPr>
              <w:t>建材区建设路</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号</w:t>
            </w:r>
            <w:r>
              <w:rPr>
                <w:rFonts w:hint="eastAsia"/>
              </w:rPr>
              <w:t>且项目区内无生态环境保护目标，本项目可不进行生态环境影响分析。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748" w:type="dxa"/>
            <w:tcMar>
              <w:left w:w="28" w:type="dxa"/>
              <w:right w:w="28" w:type="dxa"/>
            </w:tcMar>
            <w:vAlign w:val="center"/>
          </w:tcPr>
          <w:p>
            <w:pPr>
              <w:adjustRightInd w:val="0"/>
              <w:snapToGrid w:val="0"/>
              <w:ind w:firstLine="0" w:firstLineChars="0"/>
              <w:jc w:val="center"/>
              <w:rPr>
                <w:rFonts w:cs="宋体"/>
                <w:bCs/>
                <w:szCs w:val="21"/>
              </w:rPr>
            </w:pPr>
            <w:r>
              <w:rPr>
                <w:rFonts w:hint="eastAsia" w:cs="宋体"/>
                <w:bCs/>
                <w:szCs w:val="21"/>
              </w:rPr>
              <w:t>运营</w:t>
            </w:r>
          </w:p>
          <w:p>
            <w:pPr>
              <w:adjustRightInd w:val="0"/>
              <w:snapToGrid w:val="0"/>
              <w:ind w:firstLine="0" w:firstLineChars="0"/>
              <w:jc w:val="center"/>
              <w:rPr>
                <w:rFonts w:cs="宋体"/>
                <w:bCs/>
                <w:szCs w:val="21"/>
              </w:rPr>
            </w:pPr>
            <w:r>
              <w:rPr>
                <w:rFonts w:hint="eastAsia" w:cs="宋体"/>
                <w:bCs/>
                <w:szCs w:val="21"/>
              </w:rPr>
              <w:t>期环</w:t>
            </w:r>
          </w:p>
          <w:p>
            <w:pPr>
              <w:adjustRightInd w:val="0"/>
              <w:snapToGrid w:val="0"/>
              <w:ind w:firstLine="0" w:firstLineChars="0"/>
              <w:jc w:val="center"/>
              <w:rPr>
                <w:rFonts w:cs="宋体"/>
                <w:bCs/>
                <w:szCs w:val="21"/>
              </w:rPr>
            </w:pPr>
            <w:r>
              <w:rPr>
                <w:rFonts w:hint="eastAsia" w:cs="宋体"/>
                <w:bCs/>
                <w:szCs w:val="21"/>
              </w:rPr>
              <w:t>境影</w:t>
            </w:r>
          </w:p>
          <w:p>
            <w:pPr>
              <w:adjustRightInd w:val="0"/>
              <w:snapToGrid w:val="0"/>
              <w:ind w:firstLine="0" w:firstLineChars="0"/>
              <w:jc w:val="center"/>
              <w:rPr>
                <w:rFonts w:cs="宋体"/>
                <w:bCs/>
                <w:szCs w:val="21"/>
              </w:rPr>
            </w:pPr>
            <w:r>
              <w:rPr>
                <w:rFonts w:hint="eastAsia" w:cs="宋体"/>
                <w:bCs/>
                <w:szCs w:val="21"/>
              </w:rPr>
              <w:t>响和</w:t>
            </w:r>
          </w:p>
          <w:p>
            <w:pPr>
              <w:adjustRightInd w:val="0"/>
              <w:snapToGrid w:val="0"/>
              <w:ind w:firstLine="0" w:firstLineChars="0"/>
              <w:jc w:val="center"/>
              <w:rPr>
                <w:rFonts w:cs="宋体"/>
                <w:bCs/>
                <w:szCs w:val="21"/>
              </w:rPr>
            </w:pPr>
            <w:r>
              <w:rPr>
                <w:rFonts w:hint="eastAsia" w:cs="宋体"/>
                <w:bCs/>
                <w:szCs w:val="21"/>
              </w:rPr>
              <w:t>保护</w:t>
            </w:r>
          </w:p>
          <w:p>
            <w:pPr>
              <w:adjustRightInd w:val="0"/>
              <w:snapToGrid w:val="0"/>
              <w:ind w:firstLine="0" w:firstLineChars="0"/>
              <w:jc w:val="center"/>
              <w:rPr>
                <w:rFonts w:cs="宋体"/>
                <w:bCs/>
                <w:szCs w:val="21"/>
              </w:rPr>
            </w:pPr>
            <w:r>
              <w:rPr>
                <w:rFonts w:hint="eastAsia" w:cs="宋体"/>
                <w:bCs/>
                <w:szCs w:val="21"/>
              </w:rPr>
              <w:t>措施</w:t>
            </w:r>
          </w:p>
        </w:tc>
        <w:tc>
          <w:tcPr>
            <w:tcW w:w="8164" w:type="dxa"/>
          </w:tcPr>
          <w:p>
            <w:pPr>
              <w:pStyle w:val="3"/>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4.</w:t>
            </w:r>
            <w:r>
              <w:rPr>
                <w:rFonts w:hint="eastAsia"/>
                <w:color w:val="auto"/>
                <w:lang w:val="en-US" w:eastAsia="zh-CN"/>
              </w:rPr>
              <w:t>2</w:t>
            </w:r>
            <w:r>
              <w:rPr>
                <w:rFonts w:hint="eastAsia"/>
                <w:color w:val="auto"/>
              </w:rPr>
              <w:t>废气</w:t>
            </w:r>
          </w:p>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4.</w:t>
            </w:r>
            <w:r>
              <w:rPr>
                <w:rFonts w:hint="eastAsia"/>
                <w:lang w:val="en-US" w:eastAsia="zh-CN"/>
              </w:rPr>
              <w:t>2</w:t>
            </w:r>
            <w:r>
              <w:rPr>
                <w:rFonts w:hint="eastAsia"/>
              </w:rPr>
              <w:t>.1废气产生情况</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参照《实用环境工程手册-大气污染控制工程》第27页，过滤式除尘器，对于粒径为0.5</w:t>
            </w:r>
            <w:r>
              <w:rPr>
                <w:color w:val="000000" w:themeColor="text1"/>
                <w:highlight w:val="none"/>
                <w14:textFill>
                  <w14:solidFill>
                    <w14:schemeClr w14:val="tx1"/>
                  </w14:solidFill>
                </w14:textFill>
              </w:rPr>
              <w:t>μ</w:t>
            </w:r>
            <w:r>
              <w:rPr>
                <w:rFonts w:hint="eastAsia"/>
                <w:color w:val="000000" w:themeColor="text1"/>
                <w:highlight w:val="none"/>
                <w:lang w:val="en-US" w:eastAsia="zh-CN"/>
                <w14:textFill>
                  <w14:solidFill>
                    <w14:schemeClr w14:val="tx1"/>
                  </w14:solidFill>
                </w14:textFill>
              </w:rPr>
              <w:t>m的尘粒捕集效率可高达98%~99%。本项目采用的袋式除尘器为过滤式除尘器的一种，且本项目所产生的尘粒的粒径大于0.5</w:t>
            </w:r>
            <w:r>
              <w:rPr>
                <w:color w:val="000000" w:themeColor="text1"/>
                <w:highlight w:val="none"/>
                <w14:textFill>
                  <w14:solidFill>
                    <w14:schemeClr w14:val="tx1"/>
                  </w14:solidFill>
                </w14:textFill>
              </w:rPr>
              <w:t>μ</w:t>
            </w:r>
            <w:r>
              <w:rPr>
                <w:rFonts w:hint="eastAsia"/>
                <w:color w:val="000000" w:themeColor="text1"/>
                <w:highlight w:val="none"/>
                <w:lang w:val="en-US" w:eastAsia="zh-CN"/>
                <w14:textFill>
                  <w14:solidFill>
                    <w14:schemeClr w14:val="tx1"/>
                  </w14:solidFill>
                </w14:textFill>
              </w:rPr>
              <w:t>m。本项目按98%计算袋式除尘器的除尘效率，特此说明。</w:t>
            </w:r>
          </w:p>
          <w:p>
            <w:pPr>
              <w:pStyle w:val="17"/>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left"/>
              <w:textAlignment w:val="auto"/>
              <w:rPr>
                <w:rFonts w:hint="default"/>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为保证收集效率90%，集气罩的设计参考《大气污染控制工程》（高等教育出版社）中的集气罩的设计规范。根据设备厂商提供信息，企业拟在</w:t>
            </w:r>
            <w:r>
              <w:rPr>
                <w:rFonts w:hint="default" w:ascii="Times New Roman" w:hAnsi="Times New Roman" w:cs="Times New Roman"/>
                <w:color w:val="000000" w:themeColor="text1"/>
                <w:highlight w:val="none"/>
                <w14:textFill>
                  <w14:solidFill>
                    <w14:schemeClr w14:val="tx1"/>
                  </w14:solidFill>
                </w14:textFill>
              </w:rPr>
              <w:t>喷胶、注胶发泡、连续固化</w:t>
            </w:r>
            <w:r>
              <w:rPr>
                <w:rFonts w:hint="default" w:ascii="Times New Roman" w:hAnsi="Times New Roman" w:cs="Times New Roman"/>
                <w:color w:val="000000" w:themeColor="text1"/>
                <w:highlight w:val="none"/>
                <w:lang w:eastAsia="zh-CN"/>
                <w14:textFill>
                  <w14:solidFill>
                    <w14:schemeClr w14:val="tx1"/>
                  </w14:solidFill>
                </w14:textFill>
              </w:rPr>
              <w:t>、切割等</w:t>
            </w:r>
            <w:r>
              <w:rPr>
                <w:rFonts w:hint="default" w:ascii="Times New Roman" w:hAnsi="Times New Roman" w:cs="Times New Roman"/>
                <w:color w:val="000000" w:themeColor="text1"/>
                <w:highlight w:val="none"/>
                <w14:textFill>
                  <w14:solidFill>
                    <w14:schemeClr w14:val="tx1"/>
                  </w14:solidFill>
                </w14:textFill>
              </w:rPr>
              <w:t>工序上方采用密闭集气罩</w:t>
            </w:r>
            <w:r>
              <w:rPr>
                <w:rFonts w:hint="default" w:ascii="Times New Roman" w:hAnsi="Times New Roman" w:eastAsia="宋体" w:cs="Times New Roman"/>
                <w:color w:val="000000" w:themeColor="text1"/>
                <w:sz w:val="24"/>
                <w:szCs w:val="24"/>
                <w:highlight w:val="none"/>
                <w14:textFill>
                  <w14:solidFill>
                    <w14:schemeClr w14:val="tx1"/>
                  </w14:solidFill>
                </w14:textFill>
              </w:rPr>
              <w:t>。设备上端规格为长0.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14:textFill>
                  <w14:solidFill>
                    <w14:schemeClr w14:val="tx1"/>
                  </w14:solidFill>
                </w14:textFill>
              </w:rPr>
              <w:t>m，宽0.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m，根据产品生产工艺要求，企业将集气罩安装在</w:t>
            </w:r>
            <w:r>
              <w:rPr>
                <w:rFonts w:hint="default" w:ascii="Times New Roman" w:hAnsi="Times New Roman" w:cs="Times New Roman"/>
                <w:color w:val="000000" w:themeColor="text1"/>
                <w:highlight w:val="none"/>
                <w14:textFill>
                  <w14:solidFill>
                    <w14:schemeClr w14:val="tx1"/>
                  </w14:solidFill>
                </w14:textFill>
              </w:rPr>
              <w:t>喷胶、注胶发泡、连续固化</w:t>
            </w:r>
            <w:r>
              <w:rPr>
                <w:rFonts w:hint="default" w:ascii="Times New Roman" w:hAnsi="Times New Roman" w:cs="Times New Roman"/>
                <w:color w:val="000000" w:themeColor="text1"/>
                <w:highlight w:val="none"/>
                <w:lang w:eastAsia="zh-CN"/>
                <w14:textFill>
                  <w14:solidFill>
                    <w14:schemeClr w14:val="tx1"/>
                  </w14:solidFill>
                </w14:textFill>
              </w:rPr>
              <w:t>、切割等</w:t>
            </w:r>
            <w:r>
              <w:rPr>
                <w:rFonts w:hint="default" w:ascii="Times New Roman" w:hAnsi="Times New Roman" w:cs="Times New Roman"/>
                <w:color w:val="000000" w:themeColor="text1"/>
                <w:highlight w:val="none"/>
                <w14:textFill>
                  <w14:solidFill>
                    <w14:schemeClr w14:val="tx1"/>
                  </w14:solidFill>
                </w14:textFill>
              </w:rPr>
              <w:t>工序</w:t>
            </w:r>
            <w:r>
              <w:rPr>
                <w:rFonts w:hint="default" w:ascii="Times New Roman" w:hAnsi="Times New Roman" w:eastAsia="宋体" w:cs="Times New Roman"/>
                <w:color w:val="000000" w:themeColor="text1"/>
                <w:sz w:val="24"/>
                <w:szCs w:val="24"/>
                <w:highlight w:val="none"/>
                <w14:textFill>
                  <w14:solidFill>
                    <w14:schemeClr w14:val="tx1"/>
                  </w14:solidFill>
                </w14:textFill>
              </w:rPr>
              <w:t>上方30cm处，h取0.3m，风量F=集气罩周长×罩到机械顶距离×风速，计算得所需风量为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cs="Times New Roman"/>
                <w:color w:val="000000" w:themeColor="text1"/>
                <w:sz w:val="24"/>
                <w:szCs w:val="24"/>
                <w:highlight w:val="none"/>
                <w:lang w:val="en-US" w:eastAsia="zh-CN"/>
                <w14:textFill>
                  <w14:solidFill>
                    <w14:schemeClr w14:val="tx1"/>
                  </w14:solidFill>
                </w14:textFill>
              </w:rPr>
              <w:t>161</w:t>
            </w:r>
            <w:r>
              <w:rPr>
                <w:rFonts w:hint="default" w:ascii="Times New Roman" w:hAnsi="Times New Roman" w:eastAsia="宋体" w:cs="Times New Roman"/>
                <w:color w:val="000000" w:themeColor="text1"/>
                <w:sz w:val="24"/>
                <w:szCs w:val="24"/>
                <w:highlight w:val="none"/>
                <w14:textFill>
                  <w14:solidFill>
                    <w14:schemeClr w14:val="tx1"/>
                  </w14:solidFill>
                </w14:textFill>
              </w:rPr>
              <w:t>.2m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/h（风速</w:t>
            </w:r>
            <w:r>
              <w:rPr>
                <w:rFonts w:hint="eastAsia" w:cs="Times New Roman"/>
                <w:color w:val="000000" w:themeColor="text1"/>
                <w:sz w:val="24"/>
                <w:szCs w:val="24"/>
                <w:highlight w:val="none"/>
                <w:lang w:val="en-US" w:eastAsia="zh-CN"/>
                <w14:textFill>
                  <w14:solidFill>
                    <w14:schemeClr w14:val="tx1"/>
                  </w14:solidFill>
                </w14:textFill>
              </w:rPr>
              <w:t>V</w:t>
            </w:r>
            <w:r>
              <w:rPr>
                <w:rFonts w:hint="eastAsia" w:cs="Times New Roman"/>
                <w:color w:val="000000" w:themeColor="text1"/>
                <w:sz w:val="24"/>
                <w:szCs w:val="24"/>
                <w:highlight w:val="none"/>
                <w:vertAlign w:val="subscript"/>
                <w:lang w:val="en-US" w:eastAsia="zh-CN"/>
                <w14:textFill>
                  <w14:solidFill>
                    <w14:schemeClr w14:val="tx1"/>
                  </w14:solidFill>
                </w14:textFill>
              </w:rPr>
              <w:t>X</w:t>
            </w:r>
            <w:r>
              <w:rPr>
                <w:rFonts w:hint="default" w:ascii="Times New Roman" w:hAnsi="Times New Roman" w:eastAsia="宋体" w:cs="Times New Roman"/>
                <w:color w:val="000000" w:themeColor="text1"/>
                <w:sz w:val="24"/>
                <w:szCs w:val="24"/>
                <w:highlight w:val="none"/>
                <w14:textFill>
                  <w14:solidFill>
                    <w14:schemeClr w14:val="tx1"/>
                  </w14:solidFill>
                </w14:textFill>
              </w:rPr>
              <w:t>为在较稳定的状态下，产生较低扩散速度的有害物的控制风速，</w:t>
            </w:r>
            <w:r>
              <w:rPr>
                <w:rFonts w:hint="eastAsia" w:cs="Times New Roman"/>
                <w:color w:val="000000" w:themeColor="text1"/>
                <w:sz w:val="24"/>
                <w:szCs w:val="24"/>
                <w:highlight w:val="none"/>
                <w:lang w:val="en-US" w:eastAsia="zh-CN"/>
                <w14:textFill>
                  <w14:solidFill>
                    <w14:schemeClr w14:val="tx1"/>
                  </w14:solidFill>
                </w14:textFill>
              </w:rPr>
              <w:t>V</w:t>
            </w:r>
            <w:r>
              <w:rPr>
                <w:rFonts w:hint="eastAsia" w:cs="Times New Roman"/>
                <w:color w:val="000000" w:themeColor="text1"/>
                <w:sz w:val="24"/>
                <w:szCs w:val="24"/>
                <w:highlight w:val="none"/>
                <w:vertAlign w:val="subscript"/>
                <w:lang w:val="en-US" w:eastAsia="zh-CN"/>
                <w14:textFill>
                  <w14:solidFill>
                    <w14:schemeClr w14:val="tx1"/>
                  </w14:solidFill>
                </w14:textFill>
              </w:rPr>
              <w:t>X</w:t>
            </w:r>
            <w:r>
              <w:rPr>
                <w:rFonts w:hint="default" w:ascii="Times New Roman" w:hAnsi="Times New Roman" w:eastAsia="宋体" w:cs="Times New Roman"/>
                <w:color w:val="000000" w:themeColor="text1"/>
                <w:sz w:val="24"/>
                <w:szCs w:val="24"/>
                <w:highlight w:val="none"/>
                <w14:textFill>
                  <w14:solidFill>
                    <w14:schemeClr w14:val="tx1"/>
                  </w14:solidFill>
                </w14:textFill>
              </w:rPr>
              <w:t>取0.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/s），本项目设置风机风量是</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000m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/h，满足要求。</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default" w:eastAsia="宋体"/>
                <w:highlight w:val="none"/>
                <w:lang w:val="en-US" w:eastAsia="zh-CN"/>
              </w:rPr>
            </w:pPr>
            <w:r>
              <w:rPr>
                <w:rFonts w:hint="eastAsia"/>
                <w:color w:val="FF0000"/>
                <w:highlight w:val="none"/>
                <w:lang w:val="en-US" w:eastAsia="zh-CN"/>
              </w:rPr>
              <w:t>参照</w:t>
            </w:r>
            <w:r>
              <w:rPr>
                <w:rFonts w:hint="eastAsia"/>
                <w:color w:val="FF0000"/>
              </w:rPr>
              <w:t>《第二次全国污染源普查系数手册》中“</w:t>
            </w:r>
            <w:r>
              <w:rPr>
                <w:rFonts w:hint="eastAsia"/>
                <w:color w:val="FF0000"/>
                <w:lang w:val="en-US" w:eastAsia="zh-CN"/>
              </w:rPr>
              <w:t>303砖瓦、石材等建筑材料制造行业系数手册</w:t>
            </w:r>
            <w:r>
              <w:rPr>
                <w:rFonts w:hint="eastAsia"/>
                <w:color w:val="0000FF"/>
                <w:lang w:val="en-US" w:eastAsia="zh-CN"/>
              </w:rPr>
              <w:t>-3034隔热和隔音材料制造行业（续1）-岩矿棉</w:t>
            </w:r>
            <w:r>
              <w:rPr>
                <w:rFonts w:hint="eastAsia"/>
                <w:color w:val="FF0000"/>
              </w:rPr>
              <w:t>”显示</w:t>
            </w:r>
            <w:r>
              <w:rPr>
                <w:rFonts w:hint="eastAsia"/>
                <w:color w:val="FF0000"/>
                <w:lang w:eastAsia="zh-CN"/>
              </w:rPr>
              <w:t>，挥发性有机废气末端治理技术平均去除效率吸附法为</w:t>
            </w:r>
            <w:r>
              <w:rPr>
                <w:rFonts w:hint="eastAsia"/>
                <w:color w:val="FF0000"/>
                <w:lang w:val="en-US" w:eastAsia="zh-CN"/>
              </w:rPr>
              <w:t>80%，本项目UV光氧+活性炭吸附效率取80%，满足需要。</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（1）有组织排放废气</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本项目有组织废气主要为聚氨酯发泡及连续固化工段产生的有机废气和切割工序产生的粉尘。生产过程中的有机废气经集气装置收集后进入二级活性炭吸附装置处理，尾气通过15m高排气简P1高空排放</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产品成型后的切割工序配套除尘风道和布袋除尘装置收集，经布袋除尘装置净化后的尾气通过15m</w:t>
            </w:r>
            <w:r>
              <w:rPr>
                <w:rFonts w:hint="eastAsia"/>
                <w:color w:val="000000" w:themeColor="text1"/>
                <w:highlight w:val="none"/>
                <w:lang w:eastAsia="zh-CN"/>
                <w14:textFill>
                  <w14:solidFill>
                    <w14:schemeClr w14:val="tx1"/>
                  </w14:solidFill>
                </w14:textFill>
              </w:rPr>
              <w:t>高</w:t>
            </w:r>
            <w:r>
              <w:rPr>
                <w:rFonts w:hint="eastAsia"/>
                <w:color w:val="000000" w:themeColor="text1"/>
                <w:highlight w:val="none"/>
                <w14:textFill>
                  <w14:solidFill>
                    <w14:schemeClr w14:val="tx1"/>
                  </w14:solidFill>
                </w14:textFill>
              </w:rPr>
              <w:t>排气简P</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高空排放。</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color w:val="FF0000"/>
                <w:highlight w:val="none"/>
              </w:rPr>
            </w:pPr>
            <w:r>
              <w:rPr>
                <w:rFonts w:hint="eastAsia"/>
                <w:color w:val="000000" w:themeColor="text1"/>
                <w:highlight w:val="none"/>
                <w14:textFill>
                  <w14:solidFill>
                    <w14:schemeClr w14:val="tx1"/>
                  </w14:solidFill>
                </w14:textFill>
              </w:rPr>
              <w:t>①VOCs</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项目喷胶、注料发泡、连续固化生产过程会有少量有机废气挥发，以非甲烷总经计。</w:t>
            </w:r>
            <w:r>
              <w:rPr>
                <w:rFonts w:hint="eastAsia"/>
                <w:color w:val="FF0000"/>
                <w:lang w:eastAsia="zh-CN"/>
              </w:rPr>
              <w:t>参照</w:t>
            </w:r>
            <w:r>
              <w:rPr>
                <w:rFonts w:hint="eastAsia"/>
                <w:color w:val="FF0000"/>
              </w:rPr>
              <w:t>《第二次全国污染源普查系数手册》中“</w:t>
            </w:r>
            <w:r>
              <w:rPr>
                <w:rFonts w:hint="eastAsia"/>
                <w:color w:val="FF0000"/>
                <w:lang w:val="en-US" w:eastAsia="zh-CN"/>
              </w:rPr>
              <w:t>303砖瓦、石材等建筑材料制造行业系数手册</w:t>
            </w:r>
            <w:r>
              <w:rPr>
                <w:rFonts w:hint="eastAsia"/>
                <w:color w:val="0000FF"/>
                <w:lang w:val="en-US" w:eastAsia="zh-CN"/>
              </w:rPr>
              <w:t>-3034隔热和隔音材料制造行业（续1）-岩矿棉</w:t>
            </w:r>
            <w:r>
              <w:rPr>
                <w:rFonts w:hint="eastAsia"/>
                <w:color w:val="FF0000"/>
              </w:rPr>
              <w:t>”显示，本项目挥发性有机物VOCs的产污系数以</w:t>
            </w:r>
            <w:r>
              <w:rPr>
                <w:rFonts w:hint="eastAsia"/>
                <w:color w:val="FF0000"/>
                <w:lang w:val="en-US" w:eastAsia="zh-CN"/>
              </w:rPr>
              <w:t>0.159</w:t>
            </w:r>
            <w:r>
              <w:rPr>
                <w:rFonts w:hint="eastAsia"/>
                <w:color w:val="FF0000"/>
              </w:rPr>
              <w:t>kg/t产品计，本项目年产</w:t>
            </w:r>
            <w:r>
              <w:rPr>
                <w:rFonts w:hint="eastAsia"/>
                <w:color w:val="FF0000"/>
                <w:lang w:val="en-US" w:eastAsia="zh-CN"/>
              </w:rPr>
              <w:t>2万平米聚氨酯封边岩棉夹芯板</w:t>
            </w:r>
            <w:r>
              <w:rPr>
                <w:rFonts w:hint="eastAsia"/>
                <w:color w:val="FF0000"/>
              </w:rPr>
              <w:t>（折合</w:t>
            </w:r>
            <w:r>
              <w:rPr>
                <w:rFonts w:hint="eastAsia"/>
                <w:color w:val="FF0000"/>
                <w:lang w:val="en-US" w:eastAsia="zh-CN"/>
              </w:rPr>
              <w:t>300</w:t>
            </w:r>
            <w:r>
              <w:rPr>
                <w:rFonts w:hint="eastAsia"/>
                <w:color w:val="FF0000"/>
              </w:rPr>
              <w:t>t/a），经计算得VOCs产生量约为</w:t>
            </w:r>
            <w:r>
              <w:rPr>
                <w:rFonts w:hint="eastAsia"/>
                <w:color w:val="FF0000"/>
                <w:lang w:val="en-US" w:eastAsia="zh-CN"/>
              </w:rPr>
              <w:t>0.0477</w:t>
            </w:r>
            <w:r>
              <w:rPr>
                <w:rFonts w:hint="eastAsia"/>
                <w:color w:val="FF0000"/>
              </w:rPr>
              <w:t>t/a。</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针对本项目产生的有机废气工序，本次环评要求在喷胶、注胶发泡、连续固化工序上方采用密闭集气罩（收集效率按90%计</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收集，有机废气经管道汇集后通过二级活性炭吸附装置进行吸附净化（净化效率可达</w:t>
            </w:r>
            <w:r>
              <w:rPr>
                <w:rFonts w:hint="eastAsia"/>
                <w:color w:val="000000" w:themeColor="text1"/>
                <w:highlight w:val="none"/>
                <w:lang w:val="en-US" w:eastAsia="zh-CN"/>
                <w14:textFill>
                  <w14:solidFill>
                    <w14:schemeClr w14:val="tx1"/>
                  </w14:solidFill>
                </w14:textFill>
              </w:rPr>
              <w:t>80</w:t>
            </w:r>
            <w:r>
              <w:rPr>
                <w:rFonts w:hint="eastAsia"/>
                <w:color w:val="000000" w:themeColor="text1"/>
                <w:highlight w:val="none"/>
                <w14:textFill>
                  <w14:solidFill>
                    <w14:schemeClr w14:val="tx1"/>
                  </w14:solidFill>
                </w14:textFill>
              </w:rPr>
              <w:t>%），净化后的尾气通过15m高排气简P1高空排放，风机风量约</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000m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/h。</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本项目年工作</w:t>
            </w:r>
            <w:r>
              <w:rPr>
                <w:rFonts w:hint="eastAsia"/>
                <w:color w:val="000000" w:themeColor="text1"/>
                <w:highlight w:val="none"/>
                <w:lang w:val="en-US" w:eastAsia="zh-CN"/>
                <w14:textFill>
                  <w14:solidFill>
                    <w14:schemeClr w14:val="tx1"/>
                  </w14:solidFill>
                </w14:textFill>
              </w:rPr>
              <w:t>960</w:t>
            </w:r>
            <w:r>
              <w:rPr>
                <w:rFonts w:hint="eastAsia"/>
                <w:color w:val="000000" w:themeColor="text1"/>
                <w:highlight w:val="none"/>
                <w14:textFill>
                  <w14:solidFill>
                    <w14:schemeClr w14:val="tx1"/>
                  </w14:solidFill>
                </w14:textFill>
              </w:rPr>
              <w:t>小时，有机废气总产生量约</w:t>
            </w:r>
            <w:r>
              <w:rPr>
                <w:rFonts w:hint="eastAsia"/>
                <w:color w:val="FF0000"/>
                <w:highlight w:val="none"/>
                <w:lang w:val="en-US" w:eastAsia="zh-CN"/>
              </w:rPr>
              <w:t>0.0477t</w:t>
            </w:r>
            <w:r>
              <w:rPr>
                <w:rFonts w:hint="eastAsia"/>
                <w:color w:val="FF0000"/>
                <w:highlight w:val="none"/>
              </w:rPr>
              <w:t>/a</w:t>
            </w:r>
            <w:r>
              <w:rPr>
                <w:rFonts w:hint="eastAsia"/>
                <w:color w:val="000000" w:themeColor="text1"/>
                <w:highlight w:val="none"/>
                <w14:textFill>
                  <w14:solidFill>
                    <w14:schemeClr w14:val="tx1"/>
                  </w14:solidFill>
                </w14:textFill>
              </w:rPr>
              <w:t>，经收集后，有组织废气产生量约</w:t>
            </w:r>
            <w:r>
              <w:rPr>
                <w:rFonts w:hint="eastAsia"/>
                <w:color w:val="FF0000"/>
                <w:highlight w:val="none"/>
                <w:lang w:val="en-US" w:eastAsia="zh-CN"/>
              </w:rPr>
              <w:t>0.0429t</w:t>
            </w:r>
            <w:r>
              <w:rPr>
                <w:rFonts w:hint="eastAsia"/>
                <w:color w:val="FF0000"/>
                <w:highlight w:val="none"/>
              </w:rPr>
              <w:t>/a</w:t>
            </w:r>
            <w:r>
              <w:rPr>
                <w:rFonts w:hint="default" w:ascii="Times New Roman" w:hAnsi="Times New Roman" w:cs="Times New Roman"/>
                <w:color w:val="FF0000"/>
                <w:highlight w:val="none"/>
                <w:lang w:eastAsia="zh-CN"/>
              </w:rPr>
              <w:t>（</w:t>
            </w:r>
            <w:r>
              <w:rPr>
                <w:rFonts w:hint="default" w:ascii="Times New Roman" w:hAnsi="Times New Roman" w:cs="Times New Roman"/>
                <w:color w:val="FF0000"/>
                <w:highlight w:val="none"/>
                <w:lang w:val="en-US" w:eastAsia="zh-CN"/>
              </w:rPr>
              <w:t>0.0</w:t>
            </w:r>
            <w:r>
              <w:rPr>
                <w:rFonts w:hint="eastAsia" w:cs="Times New Roman"/>
                <w:color w:val="FF0000"/>
                <w:highlight w:val="none"/>
                <w:lang w:val="en-US" w:eastAsia="zh-CN"/>
              </w:rPr>
              <w:t>447</w:t>
            </w:r>
            <w:r>
              <w:rPr>
                <w:rFonts w:hint="default" w:ascii="Times New Roman" w:hAnsi="Times New Roman" w:cs="Times New Roman"/>
                <w:color w:val="FF0000"/>
                <w:highlight w:val="none"/>
              </w:rPr>
              <w:t>kg/h</w:t>
            </w:r>
            <w:r>
              <w:rPr>
                <w:rFonts w:hint="default" w:ascii="Times New Roman" w:hAnsi="Times New Roman" w:cs="Times New Roman"/>
                <w:color w:val="FF0000"/>
                <w:highlight w:val="none"/>
                <w:lang w:eastAsia="zh-CN"/>
              </w:rPr>
              <w:t>）</w:t>
            </w:r>
            <w:r>
              <w:rPr>
                <w:rFonts w:hint="eastAsia"/>
                <w:color w:val="000000" w:themeColor="text1"/>
                <w:highlight w:val="none"/>
                <w14:textFill>
                  <w14:solidFill>
                    <w14:schemeClr w14:val="tx1"/>
                  </w14:solidFill>
                </w14:textFill>
              </w:rPr>
              <w:t>，经吸附净化处理后，有组织废气有机废气经P</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排气筒排放量约</w:t>
            </w:r>
            <w:r>
              <w:rPr>
                <w:rFonts w:hint="eastAsia"/>
                <w:color w:val="FF0000"/>
                <w:highlight w:val="none"/>
                <w:lang w:val="en-US" w:eastAsia="zh-CN"/>
              </w:rPr>
              <w:t>0.0086</w:t>
            </w:r>
            <w:r>
              <w:rPr>
                <w:rFonts w:hint="eastAsia"/>
                <w:color w:val="FF0000"/>
                <w:highlight w:val="none"/>
              </w:rPr>
              <w:t>t/a</w:t>
            </w:r>
            <w:r>
              <w:rPr>
                <w:rFonts w:hint="default" w:ascii="Times New Roman" w:hAnsi="Times New Roman" w:cs="Times New Roman"/>
                <w:color w:val="FF0000"/>
                <w:highlight w:val="none"/>
                <w:lang w:eastAsia="zh-CN"/>
              </w:rPr>
              <w:t>（</w:t>
            </w:r>
            <w:r>
              <w:rPr>
                <w:rFonts w:hint="default" w:ascii="Times New Roman" w:hAnsi="Times New Roman" w:cs="Times New Roman"/>
                <w:color w:val="FF0000"/>
                <w:highlight w:val="none"/>
                <w:lang w:val="en-US" w:eastAsia="zh-CN"/>
              </w:rPr>
              <w:t>0.0</w:t>
            </w:r>
            <w:r>
              <w:rPr>
                <w:rFonts w:hint="eastAsia" w:cs="Times New Roman"/>
                <w:color w:val="FF0000"/>
                <w:highlight w:val="none"/>
                <w:lang w:val="en-US" w:eastAsia="zh-CN"/>
              </w:rPr>
              <w:t>09</w:t>
            </w:r>
            <w:r>
              <w:rPr>
                <w:rFonts w:hint="default" w:ascii="Times New Roman" w:hAnsi="Times New Roman" w:cs="Times New Roman"/>
                <w:color w:val="FF0000"/>
                <w:highlight w:val="none"/>
              </w:rPr>
              <w:t>kg/h</w:t>
            </w:r>
            <w:r>
              <w:rPr>
                <w:rFonts w:hint="default" w:ascii="Times New Roman" w:hAnsi="Times New Roman" w:cs="Times New Roman"/>
                <w:color w:val="FF0000"/>
                <w:highlight w:val="none"/>
                <w:lang w:eastAsia="zh-CN"/>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未收集到逃逸的有机废气以无组织形式排放，无组织有机废气产生量约</w:t>
            </w:r>
            <w:r>
              <w:rPr>
                <w:rFonts w:hint="eastAsia"/>
                <w:color w:val="FF0000"/>
                <w:highlight w:val="none"/>
                <w:lang w:val="en-US" w:eastAsia="zh-CN"/>
              </w:rPr>
              <w:t>0.0048</w:t>
            </w:r>
            <w:r>
              <w:rPr>
                <w:rFonts w:hint="eastAsia"/>
                <w:color w:val="FF0000"/>
                <w:highlight w:val="none"/>
              </w:rPr>
              <w:t>t/a（</w:t>
            </w:r>
            <w:r>
              <w:rPr>
                <w:rFonts w:hint="eastAsia"/>
                <w:color w:val="FF0000"/>
                <w:highlight w:val="none"/>
                <w:lang w:val="en-US" w:eastAsia="zh-CN"/>
              </w:rPr>
              <w:t>0.005</w:t>
            </w:r>
            <w:r>
              <w:rPr>
                <w:rFonts w:hint="eastAsia"/>
                <w:color w:val="FF0000"/>
                <w:highlight w:val="none"/>
              </w:rPr>
              <w:t>kg/h)</w:t>
            </w:r>
            <w:r>
              <w:rPr>
                <w:rFonts w:hint="eastAsia"/>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③</w:t>
            </w:r>
            <w:r>
              <w:rPr>
                <w:rFonts w:hint="eastAsia"/>
                <w:color w:val="000000" w:themeColor="text1"/>
                <w:highlight w:val="none"/>
                <w14:textFill>
                  <w14:solidFill>
                    <w14:schemeClr w14:val="tx1"/>
                  </w14:solidFill>
                </w14:textFill>
              </w:rPr>
              <w:t>颗粒物</w:t>
            </w:r>
            <w:r>
              <w:rPr>
                <w:rFonts w:hint="eastAsia"/>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项目固化后的板材需进行修整切割，其中夹芯板会产生少量粉尘/颗粒物。类比同类行业，粉尘产生量约为原料用量的1</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彩卷</w:t>
            </w:r>
            <w:r>
              <w:rPr>
                <w:rFonts w:hint="eastAsia"/>
                <w:color w:val="000000" w:themeColor="text1"/>
                <w:highlight w:val="none"/>
                <w14:textFill>
                  <w14:solidFill>
                    <w14:schemeClr w14:val="tx1"/>
                  </w14:solidFill>
                </w14:textFill>
              </w:rPr>
              <w:t>用量</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0t/a，则项目切割粉尘产生量约为</w:t>
            </w:r>
            <w:r>
              <w:rPr>
                <w:rFonts w:hint="eastAsia"/>
                <w:color w:val="000000" w:themeColor="text1"/>
                <w:highlight w:val="none"/>
                <w:lang w:val="en-US" w:eastAsia="zh-CN"/>
                <w14:textFill>
                  <w14:solidFill>
                    <w14:schemeClr w14:val="tx1"/>
                  </w14:solidFill>
                </w14:textFill>
              </w:rPr>
              <w:t>0.7t/a（0.73kg/h）</w:t>
            </w:r>
            <w:r>
              <w:rPr>
                <w:rFonts w:hint="eastAsia"/>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w:t>
            </w:r>
            <w:r>
              <w:rPr>
                <w:rFonts w:hint="eastAsia"/>
                <w:color w:val="000000" w:themeColor="text1"/>
                <w:highlight w:val="none"/>
                <w14:textFill>
                  <w14:solidFill>
                    <w14:schemeClr w14:val="tx1"/>
                  </w14:solidFill>
                </w14:textFill>
              </w:rPr>
              <w:t>项目在切割设备上方设集气罩，集气罩的收集效率90%，粉尘废气经集气罩收集后通过一套布袋除尘器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去除效率98%</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处理后，经15m排气筒P</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高空排放，风机风量为</w:t>
            </w:r>
            <w:r>
              <w:rPr>
                <w:rFonts w:hint="eastAsia"/>
                <w:color w:val="000000" w:themeColor="text1"/>
                <w:highlight w:val="none"/>
                <w:lang w:val="en-US" w:eastAsia="zh-CN"/>
                <w14:textFill>
                  <w14:solidFill>
                    <w14:schemeClr w14:val="tx1"/>
                  </w14:solidFill>
                </w14:textFill>
              </w:rPr>
              <w:t>2000</w:t>
            </w:r>
            <w:r>
              <w:rPr>
                <w:rFonts w:hint="eastAsia"/>
                <w:color w:val="000000" w:themeColor="text1"/>
                <w:highlight w:val="none"/>
                <w14:textFill>
                  <w14:solidFill>
                    <w14:schemeClr w14:val="tx1"/>
                  </w14:solidFill>
                </w14:textFill>
              </w:rPr>
              <w:t>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/h</w:t>
            </w:r>
            <w:r>
              <w:rPr>
                <w:rFonts w:hint="eastAsia"/>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本项目年工作</w:t>
            </w:r>
            <w:r>
              <w:rPr>
                <w:rFonts w:hint="eastAsia"/>
                <w:color w:val="000000" w:themeColor="text1"/>
                <w:highlight w:val="none"/>
                <w:lang w:val="en-US" w:eastAsia="zh-CN"/>
                <w14:textFill>
                  <w14:solidFill>
                    <w14:schemeClr w14:val="tx1"/>
                  </w14:solidFill>
                </w14:textFill>
              </w:rPr>
              <w:t>960</w:t>
            </w:r>
            <w:r>
              <w:rPr>
                <w:rFonts w:hint="eastAsia"/>
                <w:color w:val="000000" w:themeColor="text1"/>
                <w:highlight w:val="none"/>
                <w14:textFill>
                  <w14:solidFill>
                    <w14:schemeClr w14:val="tx1"/>
                  </w14:solidFill>
                </w14:textFill>
              </w:rPr>
              <w:t>小时，</w:t>
            </w:r>
            <w:r>
              <w:rPr>
                <w:rFonts w:hint="eastAsia"/>
                <w:color w:val="000000" w:themeColor="text1"/>
                <w:highlight w:val="none"/>
                <w:lang w:val="en-US" w:eastAsia="zh-CN"/>
                <w14:textFill>
                  <w14:solidFill>
                    <w14:schemeClr w14:val="tx1"/>
                  </w14:solidFill>
                </w14:textFill>
              </w:rPr>
              <w:t>颗粒物</w:t>
            </w:r>
            <w:r>
              <w:rPr>
                <w:rFonts w:hint="eastAsia"/>
                <w:color w:val="000000" w:themeColor="text1"/>
                <w:highlight w:val="none"/>
                <w14:textFill>
                  <w14:solidFill>
                    <w14:schemeClr w14:val="tx1"/>
                  </w14:solidFill>
                </w14:textFill>
              </w:rPr>
              <w:t>总产生量约</w:t>
            </w:r>
            <w:r>
              <w:rPr>
                <w:rFonts w:hint="eastAsia"/>
                <w:color w:val="000000" w:themeColor="text1"/>
                <w:highlight w:val="none"/>
                <w:lang w:val="en-US" w:eastAsia="zh-CN"/>
                <w14:textFill>
                  <w14:solidFill>
                    <w14:schemeClr w14:val="tx1"/>
                  </w14:solidFill>
                </w14:textFill>
              </w:rPr>
              <w:t>0.7t</w:t>
            </w:r>
            <w:r>
              <w:rPr>
                <w:rFonts w:hint="eastAsia"/>
                <w:color w:val="000000" w:themeColor="text1"/>
                <w:highlight w:val="none"/>
                <w14:textFill>
                  <w14:solidFill>
                    <w14:schemeClr w14:val="tx1"/>
                  </w14:solidFill>
                </w14:textFill>
              </w:rPr>
              <w:t>/a，经收集后，</w:t>
            </w:r>
            <w:r>
              <w:rPr>
                <w:rFonts w:hint="eastAsia"/>
                <w:color w:val="000000" w:themeColor="text1"/>
                <w:highlight w:val="none"/>
                <w:lang w:val="en-US" w:eastAsia="zh-CN"/>
                <w14:textFill>
                  <w14:solidFill>
                    <w14:schemeClr w14:val="tx1"/>
                  </w14:solidFill>
                </w14:textFill>
              </w:rPr>
              <w:t>颗粒物</w:t>
            </w:r>
            <w:r>
              <w:rPr>
                <w:rFonts w:hint="eastAsia"/>
                <w:color w:val="000000" w:themeColor="text1"/>
                <w:highlight w:val="none"/>
                <w14:textFill>
                  <w14:solidFill>
                    <w14:schemeClr w14:val="tx1"/>
                  </w14:solidFill>
                </w14:textFill>
              </w:rPr>
              <w:t>产生量约</w:t>
            </w:r>
            <w:r>
              <w:rPr>
                <w:rFonts w:hint="eastAsia"/>
                <w:color w:val="000000" w:themeColor="text1"/>
                <w:highlight w:val="none"/>
                <w:lang w:val="en-US" w:eastAsia="zh-CN"/>
                <w14:textFill>
                  <w14:solidFill>
                    <w14:schemeClr w14:val="tx1"/>
                  </w14:solidFill>
                </w14:textFill>
              </w:rPr>
              <w:t>0.63t</w:t>
            </w:r>
            <w:r>
              <w:rPr>
                <w:rFonts w:hint="eastAsia"/>
                <w:color w:val="000000" w:themeColor="text1"/>
                <w:highlight w:val="none"/>
                <w14:textFill>
                  <w14:solidFill>
                    <w14:schemeClr w14:val="tx1"/>
                  </w14:solidFill>
                </w14:textFill>
              </w:rPr>
              <w:t>/a</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0.656</w:t>
            </w:r>
            <w:r>
              <w:rPr>
                <w:rFonts w:hint="eastAsia"/>
                <w:color w:val="000000" w:themeColor="text1"/>
                <w:highlight w:val="none"/>
                <w14:textFill>
                  <w14:solidFill>
                    <w14:schemeClr w14:val="tx1"/>
                  </w14:solidFill>
                </w14:textFill>
              </w:rPr>
              <w:t>kg/h</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，经吸附净化处理后，</w:t>
            </w:r>
            <w:r>
              <w:rPr>
                <w:rFonts w:hint="eastAsia"/>
                <w:color w:val="000000" w:themeColor="text1"/>
                <w:highlight w:val="none"/>
                <w:lang w:val="en-US" w:eastAsia="zh-CN"/>
                <w14:textFill>
                  <w14:solidFill>
                    <w14:schemeClr w14:val="tx1"/>
                  </w14:solidFill>
                </w14:textFill>
              </w:rPr>
              <w:t>颗粒物</w:t>
            </w:r>
            <w:r>
              <w:rPr>
                <w:rFonts w:hint="eastAsia"/>
                <w:color w:val="000000" w:themeColor="text1"/>
                <w:highlight w:val="none"/>
                <w14:textFill>
                  <w14:solidFill>
                    <w14:schemeClr w14:val="tx1"/>
                  </w14:solidFill>
                </w14:textFill>
              </w:rPr>
              <w:t>经P</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排气筒排放量约</w:t>
            </w:r>
            <w:r>
              <w:rPr>
                <w:rFonts w:hint="eastAsia"/>
                <w:color w:val="000000" w:themeColor="text1"/>
                <w:highlight w:val="none"/>
                <w:lang w:val="en-US" w:eastAsia="zh-CN"/>
                <w14:textFill>
                  <w14:solidFill>
                    <w14:schemeClr w14:val="tx1"/>
                  </w14:solidFill>
                </w14:textFill>
              </w:rPr>
              <w:t>0.0126</w:t>
            </w:r>
            <w:r>
              <w:rPr>
                <w:rFonts w:hint="eastAsia"/>
                <w:color w:val="000000" w:themeColor="text1"/>
                <w:highlight w:val="none"/>
                <w14:textFill>
                  <w14:solidFill>
                    <w14:schemeClr w14:val="tx1"/>
                  </w14:solidFill>
                </w14:textFill>
              </w:rPr>
              <w:t>t/a</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0.0</w:t>
            </w:r>
            <w:r>
              <w:rPr>
                <w:rFonts w:hint="eastAsia" w:cs="Times New Roman"/>
                <w:color w:val="000000" w:themeColor="text1"/>
                <w:highlight w:val="none"/>
                <w:lang w:val="en-US" w:eastAsia="zh-CN"/>
                <w14:textFill>
                  <w14:solidFill>
                    <w14:schemeClr w14:val="tx1"/>
                  </w14:solidFill>
                </w14:textFill>
              </w:rPr>
              <w:t>131</w:t>
            </w:r>
            <w:r>
              <w:rPr>
                <w:rFonts w:hint="default" w:ascii="Times New Roman" w:hAnsi="Times New Roman" w:cs="Times New Roman"/>
                <w:color w:val="000000" w:themeColor="text1"/>
                <w:highlight w:val="none"/>
                <w14:textFill>
                  <w14:solidFill>
                    <w14:schemeClr w14:val="tx1"/>
                  </w14:solidFill>
                </w14:textFill>
              </w:rPr>
              <w:t>kg/h</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未收集到逃逸的</w:t>
            </w:r>
            <w:r>
              <w:rPr>
                <w:rFonts w:hint="eastAsia"/>
                <w:color w:val="000000" w:themeColor="text1"/>
                <w:highlight w:val="none"/>
                <w:lang w:val="en-US" w:eastAsia="zh-CN"/>
                <w14:textFill>
                  <w14:solidFill>
                    <w14:schemeClr w14:val="tx1"/>
                  </w14:solidFill>
                </w14:textFill>
              </w:rPr>
              <w:t>颗粒物</w:t>
            </w:r>
            <w:r>
              <w:rPr>
                <w:rFonts w:hint="eastAsia"/>
                <w:color w:val="000000" w:themeColor="text1"/>
                <w:highlight w:val="none"/>
                <w14:textFill>
                  <w14:solidFill>
                    <w14:schemeClr w14:val="tx1"/>
                  </w14:solidFill>
                </w14:textFill>
              </w:rPr>
              <w:t>以无组织形式排放，无组织</w:t>
            </w:r>
            <w:r>
              <w:rPr>
                <w:rFonts w:hint="eastAsia"/>
                <w:color w:val="000000" w:themeColor="text1"/>
                <w:highlight w:val="none"/>
                <w:lang w:val="en-US" w:eastAsia="zh-CN"/>
                <w14:textFill>
                  <w14:solidFill>
                    <w14:schemeClr w14:val="tx1"/>
                  </w14:solidFill>
                </w14:textFill>
              </w:rPr>
              <w:t>颗粒物</w:t>
            </w:r>
            <w:r>
              <w:rPr>
                <w:rFonts w:hint="eastAsia"/>
                <w:color w:val="000000" w:themeColor="text1"/>
                <w:highlight w:val="none"/>
                <w14:textFill>
                  <w14:solidFill>
                    <w14:schemeClr w14:val="tx1"/>
                  </w14:solidFill>
                </w14:textFill>
              </w:rPr>
              <w:t>产生量约</w:t>
            </w:r>
            <w:r>
              <w:rPr>
                <w:rFonts w:hint="eastAsia"/>
                <w:color w:val="000000" w:themeColor="text1"/>
                <w:highlight w:val="none"/>
                <w:lang w:val="en-US" w:eastAsia="zh-CN"/>
                <w14:textFill>
                  <w14:solidFill>
                    <w14:schemeClr w14:val="tx1"/>
                  </w14:solidFill>
                </w14:textFill>
              </w:rPr>
              <w:t>0.07</w:t>
            </w:r>
            <w:r>
              <w:rPr>
                <w:rFonts w:hint="eastAsia"/>
                <w:color w:val="000000" w:themeColor="text1"/>
                <w:highlight w:val="none"/>
                <w14:textFill>
                  <w14:solidFill>
                    <w14:schemeClr w14:val="tx1"/>
                  </w14:solidFill>
                </w14:textFill>
              </w:rPr>
              <w:t>t/a</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0.073</w:t>
            </w:r>
            <w:r>
              <w:rPr>
                <w:rFonts w:hint="default" w:ascii="Times New Roman" w:hAnsi="Times New Roman" w:cs="Times New Roman"/>
                <w:color w:val="000000" w:themeColor="text1"/>
                <w:highlight w:val="none"/>
                <w14:textFill>
                  <w14:solidFill>
                    <w14:schemeClr w14:val="tx1"/>
                  </w14:solidFill>
                </w14:textFill>
              </w:rPr>
              <w:t>kg/h</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jc w:val="center"/>
              <w:textAlignment w:val="auto"/>
              <w:rPr>
                <w:rFonts w:hint="eastAsia"/>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表3</w:t>
            </w:r>
            <w:r>
              <w:rPr>
                <w:rFonts w:hint="eastAsia" w:cs="Times New Roman"/>
                <w:b/>
                <w:bCs/>
                <w:color w:val="000000" w:themeColor="text1"/>
                <w:sz w:val="21"/>
                <w:szCs w:val="21"/>
                <w:lang w:val="en-US" w:eastAsia="zh-CN"/>
                <w14:textFill>
                  <w14:solidFill>
                    <w14:schemeClr w14:val="tx1"/>
                  </w14:solidFill>
                </w14:textFill>
              </w:rPr>
              <w:t>5</w:t>
            </w:r>
            <w:r>
              <w:rPr>
                <w:rFonts w:hint="default" w:ascii="Times New Roman" w:hAnsi="Times New Roman" w:cs="Times New Roman"/>
                <w:b/>
                <w:bCs/>
                <w:color w:val="000000" w:themeColor="text1"/>
                <w:sz w:val="21"/>
                <w:szCs w:val="21"/>
                <w:lang w:val="en-US" w:eastAsia="zh-CN"/>
                <w14:textFill>
                  <w14:solidFill>
                    <w14:schemeClr w14:val="tx1"/>
                  </w14:solidFill>
                </w14:textFill>
              </w:rPr>
              <w:t xml:space="preserve">  有组织废气产排情况一览表</w:t>
            </w:r>
          </w:p>
          <w:tbl>
            <w:tblPr>
              <w:tblStyle w:val="19"/>
              <w:tblW w:w="8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05"/>
              <w:gridCol w:w="900"/>
              <w:gridCol w:w="818"/>
              <w:gridCol w:w="825"/>
              <w:gridCol w:w="840"/>
              <w:gridCol w:w="840"/>
              <w:gridCol w:w="855"/>
              <w:gridCol w:w="854"/>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污染源</w:t>
                  </w:r>
                </w:p>
              </w:tc>
              <w:tc>
                <w:tcPr>
                  <w:tcW w:w="90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污染物名称</w:t>
                  </w:r>
                </w:p>
              </w:tc>
              <w:tc>
                <w:tcPr>
                  <w:tcW w:w="2483"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产生情况</w:t>
                  </w:r>
                </w:p>
              </w:tc>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消减量t/a</w:t>
                  </w:r>
                </w:p>
              </w:tc>
              <w:tc>
                <w:tcPr>
                  <w:tcW w:w="2539"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90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81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浓度</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mg/m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3</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速率kg/h</w:t>
                  </w:r>
                </w:p>
              </w:tc>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产生量t/a</w:t>
                  </w:r>
                </w:p>
              </w:tc>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8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浓度</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mg/m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3</w:t>
                  </w:r>
                </w:p>
              </w:tc>
              <w:tc>
                <w:tcPr>
                  <w:tcW w:w="8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速率kg/h</w:t>
                  </w:r>
                </w:p>
              </w:tc>
              <w:tc>
                <w:tcPr>
                  <w:tcW w:w="8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排放</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喷胶、注胶发泡、固化</w:t>
                  </w:r>
                </w:p>
              </w:tc>
              <w:tc>
                <w:tcPr>
                  <w:tcW w:w="4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P1</w:t>
                  </w:r>
                </w:p>
              </w:tc>
              <w:tc>
                <w:tcPr>
                  <w:tcW w:w="9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VOCs</w:t>
                  </w:r>
                </w:p>
              </w:tc>
              <w:tc>
                <w:tcPr>
                  <w:tcW w:w="81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vertAlign w:val="baseline"/>
                      <w:lang w:val="en-US" w:eastAsia="zh-CN"/>
                    </w:rPr>
                    <w:t>22.34</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vertAlign w:val="baseline"/>
                      <w:lang w:val="en-US" w:eastAsia="zh-CN"/>
                    </w:rPr>
                    <w:t>0.0447</w:t>
                  </w:r>
                </w:p>
              </w:tc>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vertAlign w:val="baseline"/>
                      <w:lang w:val="en-US" w:eastAsia="zh-CN"/>
                    </w:rPr>
                    <w:t>0.0429</w:t>
                  </w:r>
                </w:p>
              </w:tc>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vertAlign w:val="baseline"/>
                      <w:lang w:val="en-US" w:eastAsia="zh-CN"/>
                    </w:rPr>
                    <w:t>0.0343</w:t>
                  </w:r>
                </w:p>
              </w:tc>
              <w:tc>
                <w:tcPr>
                  <w:tcW w:w="8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vertAlign w:val="baseline"/>
                      <w:lang w:val="en-US" w:eastAsia="zh-CN"/>
                    </w:rPr>
                    <w:t>4.48</w:t>
                  </w:r>
                </w:p>
              </w:tc>
              <w:tc>
                <w:tcPr>
                  <w:tcW w:w="8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vertAlign w:val="baseline"/>
                      <w:lang w:val="en-US" w:eastAsia="zh-CN"/>
                    </w:rPr>
                    <w:t>0.009</w:t>
                  </w:r>
                </w:p>
              </w:tc>
              <w:tc>
                <w:tcPr>
                  <w:tcW w:w="8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vertAlign w:val="baseline"/>
                      <w:lang w:val="en-US" w:eastAsia="zh-CN"/>
                    </w:rPr>
                    <w:t>0.0086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颗粒物</w:t>
                  </w:r>
                </w:p>
              </w:tc>
              <w:tc>
                <w:tcPr>
                  <w:tcW w:w="4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P2</w:t>
                  </w:r>
                </w:p>
              </w:tc>
              <w:tc>
                <w:tcPr>
                  <w:tcW w:w="9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颗粒物</w:t>
                  </w:r>
                </w:p>
              </w:tc>
              <w:tc>
                <w:tcPr>
                  <w:tcW w:w="81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328.13</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0.656</w:t>
                  </w:r>
                </w:p>
              </w:tc>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0.63</w:t>
                  </w:r>
                </w:p>
              </w:tc>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0.6174</w:t>
                  </w:r>
                </w:p>
              </w:tc>
              <w:tc>
                <w:tcPr>
                  <w:tcW w:w="8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6.56</w:t>
                  </w:r>
                </w:p>
              </w:tc>
              <w:tc>
                <w:tcPr>
                  <w:tcW w:w="8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0.0131</w:t>
                  </w:r>
                </w:p>
              </w:tc>
              <w:tc>
                <w:tcPr>
                  <w:tcW w:w="8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0.0126</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表3</w:t>
            </w:r>
            <w:r>
              <w:rPr>
                <w:rFonts w:hint="eastAsia" w:cs="Times New Roman"/>
                <w:b/>
                <w:bCs/>
                <w:color w:val="000000" w:themeColor="text1"/>
                <w:sz w:val="21"/>
                <w:szCs w:val="21"/>
                <w:lang w:val="en-US" w:eastAsia="zh-CN"/>
                <w14:textFill>
                  <w14:solidFill>
                    <w14:schemeClr w14:val="tx1"/>
                  </w14:solidFill>
                </w14:textFill>
              </w:rPr>
              <w:t>6</w:t>
            </w:r>
            <w:r>
              <w:rPr>
                <w:rFonts w:hint="default" w:ascii="Times New Roman" w:hAnsi="Times New Roman" w:cs="Times New Roman"/>
                <w:b/>
                <w:bCs/>
                <w:color w:val="000000" w:themeColor="text1"/>
                <w:sz w:val="21"/>
                <w:szCs w:val="21"/>
                <w:lang w:val="en-US" w:eastAsia="zh-CN"/>
                <w14:textFill>
                  <w14:solidFill>
                    <w14:schemeClr w14:val="tx1"/>
                  </w14:solidFill>
                </w14:textFill>
              </w:rPr>
              <w:t xml:space="preserve">  排放口基本情况</w:t>
            </w:r>
          </w:p>
          <w:tbl>
            <w:tblPr>
              <w:tblStyle w:val="19"/>
              <w:tblW w:w="7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709"/>
              <w:gridCol w:w="493"/>
              <w:gridCol w:w="1598"/>
              <w:gridCol w:w="639"/>
              <w:gridCol w:w="801"/>
              <w:gridCol w:w="870"/>
              <w:gridCol w:w="81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排气筒信息</w:t>
                  </w: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排气筒内径</w:t>
                  </w:r>
                </w:p>
              </w:tc>
              <w:tc>
                <w:tcPr>
                  <w:tcW w:w="49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排气筒温度</w:t>
                  </w: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排气筒地理位置</w:t>
                  </w:r>
                </w:p>
              </w:tc>
              <w:tc>
                <w:tcPr>
                  <w:tcW w:w="6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排放口类型</w:t>
                  </w:r>
                </w:p>
              </w:tc>
              <w:tc>
                <w:tcPr>
                  <w:tcW w:w="80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污染物</w:t>
                  </w:r>
                </w:p>
              </w:tc>
              <w:tc>
                <w:tcPr>
                  <w:tcW w:w="8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污染物排放浓度mg/m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p>
              </w:tc>
              <w:tc>
                <w:tcPr>
                  <w:tcW w:w="8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排放速率kg/h</w:t>
                  </w:r>
                </w:p>
              </w:tc>
              <w:tc>
                <w:tcPr>
                  <w:tcW w:w="158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排气筒P1</w:t>
                  </w: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0.5m</w:t>
                  </w:r>
                </w:p>
              </w:tc>
              <w:tc>
                <w:tcPr>
                  <w:tcW w:w="49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常温</w:t>
                  </w: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87°8′</w:t>
                  </w:r>
                  <w:r>
                    <w:rPr>
                      <w:rFonts w:hint="default" w:ascii="Times New Roman" w:hAnsi="Times New Roman" w:cs="Times New Roman"/>
                      <w:color w:val="000000" w:themeColor="text1"/>
                      <w:kern w:val="0"/>
                      <w:sz w:val="21"/>
                      <w:szCs w:val="21"/>
                      <w:lang w:val="en-US" w:eastAsia="zh-CN"/>
                      <w14:textFill>
                        <w14:solidFill>
                          <w14:schemeClr w14:val="tx1"/>
                        </w14:solidFill>
                      </w14:textFill>
                    </w:rPr>
                    <w:t>17</w:t>
                  </w:r>
                  <w:r>
                    <w:rPr>
                      <w:rFonts w:hint="default" w:ascii="Times New Roman" w:hAnsi="Times New Roman" w:cs="Times New Roman"/>
                      <w:color w:val="000000" w:themeColor="text1"/>
                      <w:kern w:val="0"/>
                      <w:sz w:val="21"/>
                      <w:szCs w:val="21"/>
                      <w14:textFill>
                        <w14:solidFill>
                          <w14:schemeClr w14:val="tx1"/>
                        </w14:solidFill>
                      </w14:textFill>
                    </w:rPr>
                    <w:t>.</w:t>
                  </w:r>
                  <w:r>
                    <w:rPr>
                      <w:rFonts w:hint="default" w:ascii="Times New Roman" w:hAnsi="Times New Roman" w:cs="Times New Roman"/>
                      <w:color w:val="000000" w:themeColor="text1"/>
                      <w:kern w:val="0"/>
                      <w:sz w:val="21"/>
                      <w:szCs w:val="21"/>
                      <w:lang w:val="en-US" w:eastAsia="zh-CN"/>
                      <w14:textFill>
                        <w14:solidFill>
                          <w14:schemeClr w14:val="tx1"/>
                        </w14:solidFill>
                      </w14:textFill>
                    </w:rPr>
                    <w:t>451</w:t>
                  </w:r>
                  <w:r>
                    <w:rPr>
                      <w:rFonts w:hint="default" w:ascii="Times New Roman" w:hAnsi="Times New Roman" w:cs="Times New Roman"/>
                      <w:color w:val="000000" w:themeColor="text1"/>
                      <w:kern w:val="0"/>
                      <w:sz w:val="21"/>
                      <w:szCs w:val="21"/>
                      <w14:textFill>
                        <w14:solidFill>
                          <w14:schemeClr w14:val="tx1"/>
                        </w14:solidFill>
                      </w14:textFill>
                    </w:rPr>
                    <w:t>″</w:t>
                  </w:r>
                  <w:r>
                    <w:rPr>
                      <w:rFonts w:hint="default" w:ascii="Times New Roman" w:hAnsi="Times New Roman" w:cs="Times New Roman"/>
                      <w:color w:val="000000" w:themeColor="text1"/>
                      <w:kern w:val="0"/>
                      <w:sz w:val="21"/>
                      <w:szCs w:val="21"/>
                      <w:lang w:val="en-US" w:eastAsia="zh-CN"/>
                      <w14:textFill>
                        <w14:solidFill>
                          <w14:schemeClr w14:val="tx1"/>
                        </w14:solidFill>
                      </w14:textFill>
                    </w:rPr>
                    <w:t xml:space="preserve"> E</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44°</w:t>
                  </w:r>
                  <w:r>
                    <w:rPr>
                      <w:rFonts w:hint="default" w:ascii="Times New Roman" w:hAnsi="Times New Roman" w:cs="Times New Roman"/>
                      <w:color w:val="000000" w:themeColor="text1"/>
                      <w:kern w:val="0"/>
                      <w:sz w:val="21"/>
                      <w:szCs w:val="21"/>
                      <w:lang w:val="en-US" w:eastAsia="zh-CN"/>
                      <w14:textFill>
                        <w14:solidFill>
                          <w14:schemeClr w14:val="tx1"/>
                        </w14:solidFill>
                      </w14:textFill>
                    </w:rPr>
                    <w:t>5</w:t>
                  </w:r>
                  <w:r>
                    <w:rPr>
                      <w:rFonts w:hint="default" w:ascii="Times New Roman" w:hAnsi="Times New Roman" w:cs="Times New Roman"/>
                      <w:color w:val="000000" w:themeColor="text1"/>
                      <w:kern w:val="0"/>
                      <w:sz w:val="21"/>
                      <w:szCs w:val="21"/>
                      <w14:textFill>
                        <w14:solidFill>
                          <w14:schemeClr w14:val="tx1"/>
                        </w14:solidFill>
                      </w14:textFill>
                    </w:rPr>
                    <w:t>′</w:t>
                  </w:r>
                  <w:r>
                    <w:rPr>
                      <w:rFonts w:hint="default" w:ascii="Times New Roman" w:hAnsi="Times New Roman" w:cs="Times New Roman"/>
                      <w:color w:val="000000" w:themeColor="text1"/>
                      <w:kern w:val="0"/>
                      <w:sz w:val="21"/>
                      <w:szCs w:val="21"/>
                      <w:lang w:val="en-US" w:eastAsia="zh-CN"/>
                      <w14:textFill>
                        <w14:solidFill>
                          <w14:schemeClr w14:val="tx1"/>
                        </w14:solidFill>
                      </w14:textFill>
                    </w:rPr>
                    <w:t>24</w:t>
                  </w:r>
                  <w:r>
                    <w:rPr>
                      <w:rFonts w:hint="default" w:ascii="Times New Roman" w:hAnsi="Times New Roman" w:cs="Times New Roman"/>
                      <w:color w:val="000000" w:themeColor="text1"/>
                      <w:kern w:val="0"/>
                      <w:sz w:val="21"/>
                      <w:szCs w:val="21"/>
                      <w14:textFill>
                        <w14:solidFill>
                          <w14:schemeClr w14:val="tx1"/>
                        </w14:solidFill>
                      </w14:textFill>
                    </w:rPr>
                    <w:t>.</w:t>
                  </w:r>
                  <w:r>
                    <w:rPr>
                      <w:rFonts w:hint="default" w:ascii="Times New Roman" w:hAnsi="Times New Roman" w:cs="Times New Roman"/>
                      <w:color w:val="000000" w:themeColor="text1"/>
                      <w:kern w:val="0"/>
                      <w:sz w:val="21"/>
                      <w:szCs w:val="21"/>
                      <w:lang w:val="en-US" w:eastAsia="zh-CN"/>
                      <w14:textFill>
                        <w14:solidFill>
                          <w14:schemeClr w14:val="tx1"/>
                        </w14:solidFill>
                      </w14:textFill>
                    </w:rPr>
                    <w:t>838</w:t>
                  </w:r>
                  <w:r>
                    <w:rPr>
                      <w:rFonts w:hint="default" w:ascii="Times New Roman" w:hAnsi="Times New Roman" w:cs="Times New Roman"/>
                      <w:color w:val="000000" w:themeColor="text1"/>
                      <w:kern w:val="0"/>
                      <w:sz w:val="21"/>
                      <w:szCs w:val="21"/>
                      <w14:textFill>
                        <w14:solidFill>
                          <w14:schemeClr w14:val="tx1"/>
                        </w14:solidFill>
                      </w14:textFill>
                    </w:rPr>
                    <w:t>″</w:t>
                  </w:r>
                  <w:r>
                    <w:rPr>
                      <w:rFonts w:hint="default" w:ascii="Times New Roman" w:hAnsi="Times New Roman" w:cs="Times New Roman"/>
                      <w:color w:val="000000" w:themeColor="text1"/>
                      <w:kern w:val="0"/>
                      <w:sz w:val="21"/>
                      <w:szCs w:val="21"/>
                      <w:lang w:val="en-US" w:eastAsia="zh-CN"/>
                      <w14:textFill>
                        <w14:solidFill>
                          <w14:schemeClr w14:val="tx1"/>
                        </w14:solidFill>
                      </w14:textFill>
                    </w:rPr>
                    <w:t xml:space="preserve"> N</w:t>
                  </w:r>
                </w:p>
              </w:tc>
              <w:tc>
                <w:tcPr>
                  <w:tcW w:w="6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一般排放口</w:t>
                  </w:r>
                </w:p>
              </w:tc>
              <w:tc>
                <w:tcPr>
                  <w:tcW w:w="80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14:textFill>
                        <w14:gradFill>
                          <w14:gsLst>
                            <w14:gs w14:pos="0">
                              <w14:srgbClr w14:val="FE4444"/>
                            </w14:gs>
                            <w14:gs w14:pos="100000">
                              <w14:srgbClr w14:val="832B2B"/>
                            </w14:gs>
                          </w14:gsLst>
                          <w14:lin w14:scaled="0"/>
                        </w14:gradFill>
                      </w14:textFill>
                    </w:rPr>
                  </w:pPr>
                  <w:r>
                    <w:rPr>
                      <w:rFonts w:hint="default" w:ascii="Times New Roman" w:hAnsi="Times New Roman" w:cs="Times New Roman"/>
                      <w:color w:val="000000" w:themeColor="text1"/>
                      <w:sz w:val="21"/>
                      <w:szCs w:val="21"/>
                      <w:vertAlign w:val="baseline"/>
                      <w:lang w:val="en-US" w:eastAsia="zh-CN"/>
                      <w14:textFill>
                        <w14:gradFill>
                          <w14:gsLst>
                            <w14:gs w14:pos="0">
                              <w14:srgbClr w14:val="FE4444"/>
                            </w14:gs>
                            <w14:gs w14:pos="100000">
                              <w14:srgbClr w14:val="832B2B"/>
                            </w14:gs>
                          </w14:gsLst>
                          <w14:lin w14:scaled="0"/>
                        </w14:gradFill>
                      </w14:textFill>
                    </w:rPr>
                    <w:t>VOCs</w:t>
                  </w:r>
                </w:p>
              </w:tc>
              <w:tc>
                <w:tcPr>
                  <w:tcW w:w="8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gradFill>
                          <w14:gsLst>
                            <w14:gs w14:pos="0">
                              <w14:srgbClr w14:val="FE4444"/>
                            </w14:gs>
                            <w14:gs w14:pos="100000">
                              <w14:srgbClr w14:val="832B2B"/>
                            </w14:gs>
                          </w14:gsLst>
                          <w14:lin w14:scaled="0"/>
                        </w14:gradFill>
                      </w14:textFill>
                    </w:rPr>
                  </w:pPr>
                  <w:r>
                    <w:rPr>
                      <w:rFonts w:hint="eastAsia" w:cs="Times New Roman"/>
                      <w:color w:val="000000" w:themeColor="text1"/>
                      <w:sz w:val="21"/>
                      <w:szCs w:val="21"/>
                      <w:vertAlign w:val="baseline"/>
                      <w:lang w:val="en-US" w:eastAsia="zh-CN"/>
                      <w14:textFill>
                        <w14:gradFill>
                          <w14:gsLst>
                            <w14:gs w14:pos="0">
                              <w14:srgbClr w14:val="FE4444"/>
                            </w14:gs>
                            <w14:gs w14:pos="100000">
                              <w14:srgbClr w14:val="832B2B"/>
                            </w14:gs>
                          </w14:gsLst>
                          <w14:lin w14:scaled="0"/>
                        </w14:gradFill>
                      </w14:textFill>
                    </w:rPr>
                    <w:t>4.48</w:t>
                  </w:r>
                </w:p>
              </w:tc>
              <w:tc>
                <w:tcPr>
                  <w:tcW w:w="8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gradFill>
                          <w14:gsLst>
                            <w14:gs w14:pos="0">
                              <w14:srgbClr w14:val="FE4444"/>
                            </w14:gs>
                            <w14:gs w14:pos="100000">
                              <w14:srgbClr w14:val="832B2B"/>
                            </w14:gs>
                          </w14:gsLst>
                          <w14:lin w14:scaled="0"/>
                        </w14:gradFill>
                      </w14:textFill>
                    </w:rPr>
                  </w:pPr>
                  <w:r>
                    <w:rPr>
                      <w:rFonts w:hint="eastAsia" w:cs="Times New Roman"/>
                      <w:color w:val="000000" w:themeColor="text1"/>
                      <w:sz w:val="21"/>
                      <w:szCs w:val="21"/>
                      <w:vertAlign w:val="baseline"/>
                      <w:lang w:val="en-US" w:eastAsia="zh-CN"/>
                      <w14:textFill>
                        <w14:gradFill>
                          <w14:gsLst>
                            <w14:gs w14:pos="0">
                              <w14:srgbClr w14:val="FE4444"/>
                            </w14:gs>
                            <w14:gs w14:pos="100000">
                              <w14:srgbClr w14:val="832B2B"/>
                            </w14:gs>
                          </w14:gsLst>
                          <w14:lin w14:scaled="0"/>
                        </w14:gradFill>
                      </w14:textFill>
                    </w:rPr>
                    <w:t>0.0086</w:t>
                  </w:r>
                </w:p>
              </w:tc>
              <w:tc>
                <w:tcPr>
                  <w:tcW w:w="158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《合成树脂工业污染物排放标准》（GB31572-2015）表5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000000" w:themeColor="text1"/>
                      <w:sz w:val="21"/>
                      <w:szCs w:val="21"/>
                      <w:vertAlign w:val="baseline"/>
                      <w:lang w:val="en-US"/>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排气筒P2</w:t>
                  </w: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0.5m</w:t>
                  </w:r>
                </w:p>
              </w:tc>
              <w:tc>
                <w:tcPr>
                  <w:tcW w:w="49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常温</w:t>
                  </w: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87°8′</w:t>
                  </w:r>
                  <w:r>
                    <w:rPr>
                      <w:rFonts w:hint="default" w:ascii="Times New Roman" w:hAnsi="Times New Roman" w:cs="Times New Roman"/>
                      <w:color w:val="000000" w:themeColor="text1"/>
                      <w:kern w:val="0"/>
                      <w:sz w:val="21"/>
                      <w:szCs w:val="21"/>
                      <w:lang w:val="en-US" w:eastAsia="zh-CN"/>
                      <w14:textFill>
                        <w14:solidFill>
                          <w14:schemeClr w14:val="tx1"/>
                        </w14:solidFill>
                      </w14:textFill>
                    </w:rPr>
                    <w:t>19</w:t>
                  </w:r>
                  <w:r>
                    <w:rPr>
                      <w:rFonts w:hint="default" w:ascii="Times New Roman" w:hAnsi="Times New Roman" w:cs="Times New Roman"/>
                      <w:color w:val="000000" w:themeColor="text1"/>
                      <w:kern w:val="0"/>
                      <w:sz w:val="21"/>
                      <w:szCs w:val="21"/>
                      <w14:textFill>
                        <w14:solidFill>
                          <w14:schemeClr w14:val="tx1"/>
                        </w14:solidFill>
                      </w14:textFill>
                    </w:rPr>
                    <w:t>.</w:t>
                  </w:r>
                  <w:r>
                    <w:rPr>
                      <w:rFonts w:hint="default" w:ascii="Times New Roman" w:hAnsi="Times New Roman" w:cs="Times New Roman"/>
                      <w:color w:val="000000" w:themeColor="text1"/>
                      <w:kern w:val="0"/>
                      <w:sz w:val="21"/>
                      <w:szCs w:val="21"/>
                      <w:lang w:val="en-US" w:eastAsia="zh-CN"/>
                      <w14:textFill>
                        <w14:solidFill>
                          <w14:schemeClr w14:val="tx1"/>
                        </w14:solidFill>
                      </w14:textFill>
                    </w:rPr>
                    <w:t>271</w:t>
                  </w:r>
                  <w:r>
                    <w:rPr>
                      <w:rFonts w:hint="default" w:ascii="Times New Roman" w:hAnsi="Times New Roman" w:cs="Times New Roman"/>
                      <w:color w:val="000000" w:themeColor="text1"/>
                      <w:kern w:val="0"/>
                      <w:sz w:val="21"/>
                      <w:szCs w:val="21"/>
                      <w14:textFill>
                        <w14:solidFill>
                          <w14:schemeClr w14:val="tx1"/>
                        </w14:solidFill>
                      </w14:textFill>
                    </w:rPr>
                    <w:t>″</w:t>
                  </w:r>
                  <w:r>
                    <w:rPr>
                      <w:rFonts w:hint="default" w:ascii="Times New Roman" w:hAnsi="Times New Roman" w:cs="Times New Roman"/>
                      <w:color w:val="000000" w:themeColor="text1"/>
                      <w:kern w:val="0"/>
                      <w:sz w:val="21"/>
                      <w:szCs w:val="21"/>
                      <w:lang w:val="en-US" w:eastAsia="zh-CN"/>
                      <w14:textFill>
                        <w14:solidFill>
                          <w14:schemeClr w14:val="tx1"/>
                        </w14:solidFill>
                      </w14:textFill>
                    </w:rPr>
                    <w:t xml:space="preserve"> E</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44°</w:t>
                  </w:r>
                  <w:r>
                    <w:rPr>
                      <w:rFonts w:hint="default" w:ascii="Times New Roman" w:hAnsi="Times New Roman" w:cs="Times New Roman"/>
                      <w:color w:val="000000" w:themeColor="text1"/>
                      <w:kern w:val="0"/>
                      <w:sz w:val="21"/>
                      <w:szCs w:val="21"/>
                      <w:lang w:val="en-US" w:eastAsia="zh-CN"/>
                      <w14:textFill>
                        <w14:solidFill>
                          <w14:schemeClr w14:val="tx1"/>
                        </w14:solidFill>
                      </w14:textFill>
                    </w:rPr>
                    <w:t>5</w:t>
                  </w:r>
                  <w:r>
                    <w:rPr>
                      <w:rFonts w:hint="default" w:ascii="Times New Roman" w:hAnsi="Times New Roman" w:cs="Times New Roman"/>
                      <w:color w:val="000000" w:themeColor="text1"/>
                      <w:kern w:val="0"/>
                      <w:sz w:val="21"/>
                      <w:szCs w:val="21"/>
                      <w14:textFill>
                        <w14:solidFill>
                          <w14:schemeClr w14:val="tx1"/>
                        </w14:solidFill>
                      </w14:textFill>
                    </w:rPr>
                    <w:t>′</w:t>
                  </w:r>
                  <w:r>
                    <w:rPr>
                      <w:rFonts w:hint="default" w:ascii="Times New Roman" w:hAnsi="Times New Roman" w:cs="Times New Roman"/>
                      <w:color w:val="000000" w:themeColor="text1"/>
                      <w:kern w:val="0"/>
                      <w:sz w:val="21"/>
                      <w:szCs w:val="21"/>
                      <w:lang w:val="en-US" w:eastAsia="zh-CN"/>
                      <w14:textFill>
                        <w14:solidFill>
                          <w14:schemeClr w14:val="tx1"/>
                        </w14:solidFill>
                      </w14:textFill>
                    </w:rPr>
                    <w:t>23.676</w:t>
                  </w:r>
                  <w:r>
                    <w:rPr>
                      <w:rFonts w:hint="default" w:ascii="Times New Roman" w:hAnsi="Times New Roman" w:cs="Times New Roman"/>
                      <w:color w:val="000000" w:themeColor="text1"/>
                      <w:kern w:val="0"/>
                      <w:sz w:val="21"/>
                      <w:szCs w:val="21"/>
                      <w14:textFill>
                        <w14:solidFill>
                          <w14:schemeClr w14:val="tx1"/>
                        </w14:solidFill>
                      </w14:textFill>
                    </w:rPr>
                    <w:t>″</w:t>
                  </w:r>
                  <w:r>
                    <w:rPr>
                      <w:rFonts w:hint="default" w:ascii="Times New Roman" w:hAnsi="Times New Roman" w:cs="Times New Roman"/>
                      <w:color w:val="000000" w:themeColor="text1"/>
                      <w:kern w:val="0"/>
                      <w:sz w:val="21"/>
                      <w:szCs w:val="21"/>
                      <w:lang w:val="en-US" w:eastAsia="zh-CN"/>
                      <w14:textFill>
                        <w14:solidFill>
                          <w14:schemeClr w14:val="tx1"/>
                        </w14:solidFill>
                      </w14:textFill>
                    </w:rPr>
                    <w:t xml:space="preserve"> N</w:t>
                  </w:r>
                </w:p>
              </w:tc>
              <w:tc>
                <w:tcPr>
                  <w:tcW w:w="6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一般排放口</w:t>
                  </w:r>
                </w:p>
              </w:tc>
              <w:tc>
                <w:tcPr>
                  <w:tcW w:w="80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颗粒物</w:t>
                  </w:r>
                </w:p>
              </w:tc>
              <w:tc>
                <w:tcPr>
                  <w:tcW w:w="8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6.56</w:t>
                  </w:r>
                </w:p>
              </w:tc>
              <w:tc>
                <w:tcPr>
                  <w:tcW w:w="8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0.0</w:t>
                  </w:r>
                  <w:r>
                    <w:rPr>
                      <w:rFonts w:hint="eastAsia" w:cs="Times New Roman"/>
                      <w:color w:val="000000" w:themeColor="text1"/>
                      <w:sz w:val="21"/>
                      <w:szCs w:val="21"/>
                      <w:highlight w:val="none"/>
                      <w:vertAlign w:val="baseline"/>
                      <w:lang w:val="en-US" w:eastAsia="zh-CN"/>
                      <w14:textFill>
                        <w14:solidFill>
                          <w14:schemeClr w14:val="tx1"/>
                        </w14:solidFill>
                      </w14:textFill>
                    </w:rPr>
                    <w:t>131</w:t>
                  </w:r>
                </w:p>
              </w:tc>
              <w:tc>
                <w:tcPr>
                  <w:tcW w:w="158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8" w:type="dxa"/>
                  <w:gridSpan w:val="9"/>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备注：排气筒高度15m</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（2）无组织排放有机废气</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default" w:ascii="Times New Roman" w:hAnsi="Times New Roman" w:cs="Times New Roman" w:eastAsiaTheme="minorEastAsia"/>
                <w:color w:val="000000" w:themeColor="text1"/>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本项目无组织废气主要为未被捕集的有机废气及切割工序产生的粉尘。建设单位通过以下措施加强无组织废气控制</w:t>
            </w:r>
            <w:r>
              <w:rPr>
                <w:rFonts w:hint="default" w:ascii="Times New Roman" w:hAnsi="Times New Roman" w:cs="Times New Roman" w:eastAsiaTheme="minorEastAsia"/>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eastAsia="宋体"/>
                <w:color w:val="000000" w:themeColor="text1"/>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①</w:t>
            </w:r>
            <w:r>
              <w:rPr>
                <w:rFonts w:hint="default" w:ascii="Times New Roman" w:hAnsi="Times New Roman" w:cs="Times New Roman" w:eastAsiaTheme="minorEastAsia"/>
                <w:color w:val="000000" w:themeColor="text1"/>
                <w:highlight w:val="none"/>
                <w14:textFill>
                  <w14:solidFill>
                    <w14:schemeClr w14:val="tx1"/>
                  </w14:solidFill>
                </w14:textFill>
              </w:rPr>
              <w:t>生产过程中，尽量保持废气产生车间和操作间</w:t>
            </w:r>
            <w:r>
              <w:rPr>
                <w:rFonts w:hint="default" w:ascii="Times New Roman" w:hAnsi="Times New Roman" w:cs="Times New Roman" w:eastAsiaTheme="minorEastAsia"/>
                <w:color w:val="000000" w:themeColor="text1"/>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室</w:t>
            </w:r>
            <w:r>
              <w:rPr>
                <w:rFonts w:hint="default" w:ascii="Times New Roman" w:hAnsi="Times New Roman" w:cs="Times New Roman" w:eastAsiaTheme="minorEastAsia"/>
                <w:color w:val="000000" w:themeColor="text1"/>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highlight w:val="none"/>
                <w14:textFill>
                  <w14:solidFill>
                    <w14:schemeClr w14:val="tx1"/>
                  </w14:solidFill>
                </w14:textFill>
              </w:rPr>
              <w:t>的密闭，合理设</w:t>
            </w:r>
            <w:r>
              <w:rPr>
                <w:rFonts w:hint="eastAsia"/>
                <w:color w:val="000000" w:themeColor="text1"/>
                <w:highlight w:val="none"/>
                <w14:textFill>
                  <w14:solidFill>
                    <w14:schemeClr w14:val="tx1"/>
                  </w14:solidFill>
                </w14:textFill>
              </w:rPr>
              <w:t>计送排风系统，提高废气捕集率，尽量将废气收集集中处理</w:t>
            </w:r>
            <w:r>
              <w:rPr>
                <w:rFonts w:hint="eastAsia"/>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②加强生产管理，规范操作，使设备设施处于正常工作状态，减少生产、控制、输送等过程中的废气散发，在物料进行传输过程中使用密闭的气力输送管道；</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③对于废气散发面较大的工段，合理设计废气捕集系统，加大排风量和捕集面积，减少废气的无组织排放。</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a.未被捕集的有机废气</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color w:val="FF0000"/>
                <w:highlight w:val="none"/>
              </w:rPr>
            </w:pPr>
            <w:r>
              <w:rPr>
                <w:rFonts w:hint="eastAsia"/>
                <w:color w:val="000000" w:themeColor="text1"/>
                <w:highlight w:val="none"/>
                <w14:textFill>
                  <w14:solidFill>
                    <w14:schemeClr w14:val="tx1"/>
                  </w14:solidFill>
                </w14:textFill>
              </w:rPr>
              <w:t>喷胶、注胶发泡、连续固化过程中废气捕集率为90%，10%未被捕集的有机废气在车间内以无组织形式排放，非甲烷总经产生量约为</w:t>
            </w:r>
            <w:r>
              <w:rPr>
                <w:rFonts w:hint="eastAsia"/>
                <w:color w:val="FF0000"/>
                <w:highlight w:val="none"/>
                <w:lang w:val="en-US" w:eastAsia="zh-CN"/>
              </w:rPr>
              <w:t>0.0048</w:t>
            </w:r>
            <w:r>
              <w:rPr>
                <w:rFonts w:hint="eastAsia"/>
                <w:color w:val="FF0000"/>
                <w:highlight w:val="none"/>
              </w:rPr>
              <w:t>t/a</w:t>
            </w:r>
            <w:r>
              <w:rPr>
                <w:rFonts w:hint="eastAsia"/>
                <w:color w:val="FF0000"/>
                <w:highlight w:val="none"/>
                <w:lang w:eastAsia="zh-CN"/>
              </w:rPr>
              <w:t>（</w:t>
            </w:r>
            <w:r>
              <w:rPr>
                <w:rFonts w:hint="eastAsia"/>
                <w:color w:val="FF0000"/>
                <w:highlight w:val="none"/>
                <w:lang w:val="en-US" w:eastAsia="zh-CN"/>
              </w:rPr>
              <w:t>0.005</w:t>
            </w:r>
            <w:r>
              <w:rPr>
                <w:rFonts w:hint="eastAsia"/>
                <w:color w:val="FF0000"/>
                <w:highlight w:val="none"/>
              </w:rPr>
              <w:t>kg/h）。</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b.未被捕集的颗粒物</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修整、切割产生的颗粒物捕集率为9</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%未被捕集的颗粒物在车间内以无组织形式排放，颗粒物产生量约为</w:t>
            </w:r>
            <w:r>
              <w:rPr>
                <w:rFonts w:hint="eastAsia"/>
                <w:color w:val="000000" w:themeColor="text1"/>
                <w:highlight w:val="none"/>
                <w:lang w:val="en-US" w:eastAsia="zh-CN"/>
                <w14:textFill>
                  <w14:solidFill>
                    <w14:schemeClr w14:val="tx1"/>
                  </w14:solidFill>
                </w14:textFill>
              </w:rPr>
              <w:t>0.07</w:t>
            </w:r>
            <w:r>
              <w:rPr>
                <w:rFonts w:hint="eastAsia"/>
                <w:color w:val="000000" w:themeColor="text1"/>
                <w:highlight w:val="none"/>
                <w14:textFill>
                  <w14:solidFill>
                    <w14:schemeClr w14:val="tx1"/>
                  </w14:solidFill>
                </w14:textFill>
              </w:rPr>
              <w:t>t/a</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0.073</w:t>
            </w:r>
            <w:r>
              <w:rPr>
                <w:rFonts w:hint="eastAsia"/>
                <w:color w:val="000000" w:themeColor="text1"/>
                <w:highlight w:val="none"/>
                <w14:textFill>
                  <w14:solidFill>
                    <w14:schemeClr w14:val="tx1"/>
                  </w14:solidFill>
                </w14:textFill>
              </w:rPr>
              <w:t>kg/h</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pPr>
              <w:pStyle w:val="23"/>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eastAsia="黑体"/>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表3</w:t>
            </w:r>
            <w:r>
              <w:rPr>
                <w:rFonts w:hint="eastAsia" w:ascii="Times New Roman" w:cs="Times New Roman"/>
                <w:color w:val="000000" w:themeColor="text1"/>
                <w:sz w:val="21"/>
                <w:szCs w:val="21"/>
                <w:lang w:val="en-US" w:eastAsia="zh-CN"/>
                <w14:textFill>
                  <w14:solidFill>
                    <w14:schemeClr w14:val="tx1"/>
                  </w14:solidFill>
                </w14:textFill>
              </w:rPr>
              <w:t>7</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无组织废气产排情况一览表</w:t>
            </w:r>
          </w:p>
          <w:tbl>
            <w:tblPr>
              <w:tblStyle w:val="19"/>
              <w:tblW w:w="8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405"/>
              <w:gridCol w:w="900"/>
              <w:gridCol w:w="810"/>
              <w:gridCol w:w="810"/>
              <w:gridCol w:w="837"/>
              <w:gridCol w:w="753"/>
              <w:gridCol w:w="810"/>
              <w:gridCol w:w="795"/>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污染源</w:t>
                  </w:r>
                </w:p>
              </w:tc>
              <w:tc>
                <w:tcPr>
                  <w:tcW w:w="90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污染物名称</w:t>
                  </w:r>
                </w:p>
              </w:tc>
              <w:tc>
                <w:tcPr>
                  <w:tcW w:w="2457"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产生情况</w:t>
                  </w:r>
                </w:p>
              </w:tc>
              <w:tc>
                <w:tcPr>
                  <w:tcW w:w="75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消减量t/a</w:t>
                  </w:r>
                </w:p>
              </w:tc>
              <w:tc>
                <w:tcPr>
                  <w:tcW w:w="2449"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90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8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浓度</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p>
              </w:tc>
              <w:tc>
                <w:tcPr>
                  <w:tcW w:w="8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速率kg/h</w:t>
                  </w:r>
                </w:p>
              </w:tc>
              <w:tc>
                <w:tcPr>
                  <w:tcW w:w="8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产生量t/a</w:t>
                  </w:r>
                </w:p>
              </w:tc>
              <w:tc>
                <w:tcPr>
                  <w:tcW w:w="75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8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浓度</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p>
              </w:tc>
              <w:tc>
                <w:tcPr>
                  <w:tcW w:w="7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速率kg/h</w:t>
                  </w:r>
                </w:p>
              </w:tc>
              <w:tc>
                <w:tcPr>
                  <w:tcW w:w="84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喷胶、注胶发泡、固化</w:t>
                  </w:r>
                </w:p>
              </w:tc>
              <w:tc>
                <w:tcPr>
                  <w:tcW w:w="4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无组织</w:t>
                  </w:r>
                </w:p>
              </w:tc>
              <w:tc>
                <w:tcPr>
                  <w:tcW w:w="9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VOCs</w:t>
                  </w:r>
                </w:p>
              </w:tc>
              <w:tc>
                <w:tcPr>
                  <w:tcW w:w="8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tc>
              <w:tc>
                <w:tcPr>
                  <w:tcW w:w="8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0.00</w:t>
                  </w:r>
                  <w:r>
                    <w:rPr>
                      <w:rFonts w:hint="eastAsia" w:cs="Times New Roman"/>
                      <w:color w:val="FF0000"/>
                      <w:sz w:val="21"/>
                      <w:szCs w:val="21"/>
                      <w:vertAlign w:val="baseline"/>
                      <w:lang w:val="en-US" w:eastAsia="zh-CN"/>
                    </w:rPr>
                    <w:t>5</w:t>
                  </w:r>
                </w:p>
              </w:tc>
              <w:tc>
                <w:tcPr>
                  <w:tcW w:w="8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0.00</w:t>
                  </w:r>
                  <w:r>
                    <w:rPr>
                      <w:rFonts w:hint="eastAsia" w:cs="Times New Roman"/>
                      <w:color w:val="FF0000"/>
                      <w:sz w:val="21"/>
                      <w:szCs w:val="21"/>
                      <w:vertAlign w:val="baseline"/>
                      <w:lang w:val="en-US" w:eastAsia="zh-CN"/>
                    </w:rPr>
                    <w:t>48</w:t>
                  </w:r>
                </w:p>
              </w:tc>
              <w:tc>
                <w:tcPr>
                  <w:tcW w:w="75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0</w:t>
                  </w:r>
                </w:p>
              </w:tc>
              <w:tc>
                <w:tcPr>
                  <w:tcW w:w="8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w:t>
                  </w:r>
                </w:p>
              </w:tc>
              <w:tc>
                <w:tcPr>
                  <w:tcW w:w="7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0.00</w:t>
                  </w:r>
                  <w:r>
                    <w:rPr>
                      <w:rFonts w:hint="eastAsia" w:cs="Times New Roman"/>
                      <w:color w:val="FF0000"/>
                      <w:sz w:val="21"/>
                      <w:szCs w:val="21"/>
                      <w:vertAlign w:val="baseline"/>
                      <w:lang w:val="en-US" w:eastAsia="zh-CN"/>
                    </w:rPr>
                    <w:t>5</w:t>
                  </w:r>
                </w:p>
              </w:tc>
              <w:tc>
                <w:tcPr>
                  <w:tcW w:w="84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0.00</w:t>
                  </w:r>
                  <w:r>
                    <w:rPr>
                      <w:rFonts w:hint="eastAsia" w:cs="Times New Roman"/>
                      <w:color w:val="FF0000"/>
                      <w:sz w:val="21"/>
                      <w:szCs w:val="21"/>
                      <w:vertAlign w:val="baseli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修整切割</w:t>
                  </w:r>
                </w:p>
              </w:tc>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9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颗粒物</w:t>
                  </w:r>
                </w:p>
              </w:tc>
              <w:tc>
                <w:tcPr>
                  <w:tcW w:w="8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tc>
              <w:tc>
                <w:tcPr>
                  <w:tcW w:w="8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0.073</w:t>
                  </w:r>
                </w:p>
              </w:tc>
              <w:tc>
                <w:tcPr>
                  <w:tcW w:w="8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0.07</w:t>
                  </w:r>
                </w:p>
              </w:tc>
              <w:tc>
                <w:tcPr>
                  <w:tcW w:w="75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w:t>
                  </w:r>
                </w:p>
              </w:tc>
              <w:tc>
                <w:tcPr>
                  <w:tcW w:w="8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tc>
              <w:tc>
                <w:tcPr>
                  <w:tcW w:w="7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0.073</w:t>
                  </w:r>
                </w:p>
              </w:tc>
              <w:tc>
                <w:tcPr>
                  <w:tcW w:w="84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0.07</w:t>
                  </w:r>
                </w:p>
              </w:tc>
            </w:tr>
          </w:tbl>
          <w:p>
            <w:pPr>
              <w:pStyle w:val="4"/>
              <w:pageBreakBefore w:val="0"/>
              <w:widowControl w:val="0"/>
              <w:kinsoku/>
              <w:wordWrap/>
              <w:overflowPunct/>
              <w:topLinePunct w:val="0"/>
              <w:autoSpaceDE/>
              <w:autoSpaceDN/>
              <w:bidi w:val="0"/>
              <w:adjustRightInd/>
              <w:snapToGrid w:val="0"/>
              <w:spacing w:before="0" w:after="0"/>
              <w:jc w:val="left"/>
              <w:textAlignment w:val="auto"/>
              <w:rPr>
                <w:rFonts w:hint="default" w:eastAsia="宋体"/>
                <w:color w:val="FF0000"/>
                <w:lang w:val="en-US" w:eastAsia="zh-CN"/>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废气处理措施可行性分析</w:t>
            </w:r>
          </w:p>
          <w:p>
            <w:pPr>
              <w:pStyle w:val="4"/>
              <w:keepNext/>
              <w:keepLines/>
              <w:pageBreakBefore w:val="0"/>
              <w:widowControl w:val="0"/>
              <w:kinsoku/>
              <w:wordWrap/>
              <w:overflowPunct/>
              <w:topLinePunct w:val="0"/>
              <w:autoSpaceDE/>
              <w:autoSpaceDN/>
              <w:bidi w:val="0"/>
              <w:adjustRightInd/>
              <w:snapToGrid w:val="0"/>
              <w:spacing w:before="0" w:after="0"/>
              <w:ind w:firstLine="480" w:firstLineChars="200"/>
              <w:jc w:val="left"/>
              <w:textAlignment w:val="auto"/>
              <w:rPr>
                <w:rFonts w:hint="default" w:eastAsia="宋体"/>
                <w:b w:val="0"/>
                <w:bCs w:val="0"/>
                <w:color w:val="000000" w:themeColor="text1"/>
                <w:lang w:val="en-US"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1</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活性炭吸附装置</w:t>
            </w:r>
          </w:p>
          <w:p>
            <w:pPr>
              <w:jc w:val="left"/>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本项目产生的有机废气主要为非甲烷总经，目前国内清除该类废气的方法有多种，具有代表性的有直接燃烧法、催化燃烧法、活性炭吸附法和吸收法，各有其特点。</w:t>
            </w:r>
          </w:p>
          <w:p>
            <w:pPr>
              <w:jc w:val="left"/>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针对本项目废气的成分、浓度、风量等特点，废气的气量</w:t>
            </w:r>
            <w:r>
              <w:rPr>
                <w:rFonts w:hint="eastAsia"/>
                <w:b w:val="0"/>
                <w:bCs w:val="0"/>
                <w:color w:val="000000" w:themeColor="text1"/>
                <w:lang w:eastAsia="zh-CN"/>
                <w14:textFill>
                  <w14:solidFill>
                    <w14:schemeClr w14:val="tx1"/>
                  </w14:solidFill>
                </w14:textFill>
              </w:rPr>
              <w:t>较小</w:t>
            </w:r>
            <w:r>
              <w:rPr>
                <w:rFonts w:hint="eastAsia"/>
                <w:b w:val="0"/>
                <w:bCs w:val="0"/>
                <w:color w:val="000000" w:themeColor="text1"/>
                <w14:textFill>
                  <w14:solidFill>
                    <w14:schemeClr w14:val="tx1"/>
                  </w14:solidFill>
                </w14:textFill>
              </w:rPr>
              <w:t>、浓度低，选用活性炭吸附装置净化处理。</w:t>
            </w:r>
          </w:p>
          <w:p>
            <w:pPr>
              <w:jc w:val="left"/>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项目喷胶、发泡、固化产生的有机废气经设备上方的吸风罩引入活性炭吸附装置</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14:textFill>
                  <w14:solidFill>
                    <w14:schemeClr w14:val="tx1"/>
                  </w14:solidFill>
                </w14:textFill>
              </w:rPr>
              <w:t>炭颗粒吸附装置是目前国内废气治理措施中最为常用的设备。废气以高速状态经管道进入活性炭颗粒吸附装置进行吸附处理。活性炭表面由无数细孔群组成，强大的比表面积和疏水性，使其对非极性和极性较弱的有机废气具有良好的吸附效果。此外活性炭颗粒对有机废气的吸附，既有物理吸附，也存在着化学吸附由于随着温度的升高，活性炭颗粒物理吸附能力会降低，而化学吸附能力会相应提高，所以选择活性炭颗粒吸附作为处理措施是可靠的。</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废气从吸附罐顶部通入，经过罐内活性炭吸附层，达标处理后的尾气经15m高排气简排放废气通过活性炭吸附层时，大部分的吸附质被吸附在吸附层内，随着吸附时间的延续，活性炭的吸附能力将下降，其有效部分将越来越薄，当活性炭全部达到饱和时，活性炭被穿透。为确保装置处理效率，当活性炭饱和度达到80%时，对活性炭进行更替，建设单位可在安装活性炭颗粒吸附装置时，对管道进气口以及出气口处均预留采样平台，并购置专用的浓度监测仪器对废气的进气浓度以及出气浓度进行监测，并根据测试结果进行活性炭饱和程度的核算，对活性炭的吸附能力进行监控，一旦发现活性炭的吸附量有所下降，即表明活性炭的吸附能力已趋饱和，此时需定时进行更换。更换下来的废活性炭于厂内暂存在危废暂存间，危废暂存间按照要求做好防雨、防渗漏等措施，由有资质单位定期清运，进行无害化处置。</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(2）布袋除尘器</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布袋除尘器是基于过滤原理的过滤式除尘设备，它利用有机纤维或无机纤维过滤布将气体中的粉尘过滤出来。大型脉冲长布袋除尘器是借鉴国内外先进技术研制成功的新型高效长布袋除尘器，是在常规短袋脉冲除尘器的基础上发展起来的一种新型、高效的袋式除尘器。它不仅综合了分室反吹和脉冲清灰的特点，克服了普通分室反吹强度不足和一般脉冲清灰粉尘再附的缺点，而且加长了滤袋，充分发挥压缩空气强力清灰的作用，是一种除尘效率高、占地面积小、运行稳定、性能可靠、维修方便的大型除尘设备。</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除尘过程</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含尘气体由进气口进入中部箱体，从滤袋外进入布袋内，粉尘被阻挡在滤袋外的表面，净化的空气进入袋内，再由布袋上部进入上箱体，最后由排气管排出。</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布袋除尘器的工作机理是含尘烟气通过过滤材料，尘粒被过滤下来。过滤材料捕集粗粒粉尘主要靠惯性碰撞作用，捕集细粒粉尘主要靠扩散和筛分作用。滤料的粉尘层也有一定的过滤作用。布袋除尘器除尘效果的优劣与多种因素有关，但主要取决于滤料。布袋除尘器的滤料就是由合成纤维、天然纤维或玻璃纤维织成的布或毡，根据需要再把布或毡缝成圆筒或扁平形滤袋。根据烟气性质，选择出适合于应用条件的滤料。通常，在烟气温度低于120℃，要求滤料具有耐酸性和耐久性的情况下，常选用涤纶绒布和涤纶针刺毡</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在处理高温烟气(&lt;250℃)时，主要选用石墨化玻璃丝布</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在某些特殊情况下，选用炭素纤维滤料等。布袋除尘器运行中控制烟气通过滤料的速度（称为过滤速度）特别重要。一般取过滤速度为0.5~2m/min，对于大于0.1</w:t>
            </w:r>
            <w:r>
              <w:rPr>
                <w:color w:val="000000" w:themeColor="text1"/>
                <w:highlight w:val="none"/>
                <w14:textFill>
                  <w14:solidFill>
                    <w14:schemeClr w14:val="tx1"/>
                  </w14:solidFill>
                </w14:textFill>
              </w:rPr>
              <w:t>μ</w:t>
            </w:r>
            <w:r>
              <w:rPr>
                <w:rFonts w:hint="eastAsia"/>
                <w:color w:val="000000" w:themeColor="text1"/>
                <w:highlight w:val="none"/>
                <w:lang w:val="en-US" w:eastAsia="zh-CN"/>
                <w14:textFill>
                  <w14:solidFill>
                    <w14:schemeClr w14:val="tx1"/>
                  </w14:solidFill>
                </w14:textFill>
              </w:rPr>
              <w:t>m</w:t>
            </w:r>
            <w:r>
              <w:rPr>
                <w:rFonts w:hint="eastAsia"/>
                <w:color w:val="000000" w:themeColor="text1"/>
                <w14:textFill>
                  <w14:solidFill>
                    <w14:schemeClr w14:val="tx1"/>
                  </w14:solidFill>
                </w14:textFill>
              </w:rPr>
              <w:t>的微粒过滤效率可达9</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%以上，设备压力损失为980~1470Pa。</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综上所述，本项目采用的废气处理工艺成熟、技术可靠、运行稳定、成本和运行费用均较低、经济合理，废气治理措施工艺、技术、经济可行。</w:t>
            </w:r>
          </w:p>
          <w:p>
            <w:pPr>
              <w:ind w:left="0" w:leftChars="0" w:firstLine="0" w:firstLineChars="0"/>
              <w:jc w:val="left"/>
              <w:rPr>
                <w:rFonts w:hint="default" w:eastAsia="宋体"/>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4.2.3达标性分析</w:t>
            </w:r>
          </w:p>
          <w:p>
            <w:pPr>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有组织废气达标性分析</w:t>
            </w:r>
          </w:p>
          <w:p>
            <w:pPr>
              <w:jc w:val="lef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综上所述，VOCs</w:t>
            </w:r>
            <w:r>
              <w:rPr>
                <w:rFonts w:hint="eastAsia" w:ascii="Times New Roman" w:hAnsi="Times New Roman" w:cs="Times New Roman"/>
                <w:color w:val="000000" w:themeColor="text1"/>
                <w:sz w:val="24"/>
                <w:szCs w:val="24"/>
                <w:highlight w:val="none"/>
                <w:lang w:eastAsia="zh-CN"/>
                <w14:textFill>
                  <w14:solidFill>
                    <w14:schemeClr w14:val="tx1"/>
                  </w14:solidFill>
                </w14:textFill>
              </w:rPr>
              <w:t>和颗粒物</w:t>
            </w:r>
            <w:r>
              <w:rPr>
                <w:rFonts w:hint="default" w:ascii="Times New Roman" w:hAnsi="Times New Roman" w:cs="Times New Roman"/>
                <w:color w:val="000000" w:themeColor="text1"/>
                <w:sz w:val="24"/>
                <w:szCs w:val="24"/>
                <w:highlight w:val="none"/>
                <w14:textFill>
                  <w14:solidFill>
                    <w14:schemeClr w14:val="tx1"/>
                  </w14:solidFill>
                </w14:textFill>
              </w:rPr>
              <w:t>有组织排放满足《合成树脂工业污染物排放标准》（GB31572-2015）表5中</w:t>
            </w:r>
            <w:r>
              <w:rPr>
                <w:rFonts w:hint="eastAsia"/>
                <w:color w:val="000000" w:themeColor="text1"/>
                <w14:textFill>
                  <w14:solidFill>
                    <w14:schemeClr w14:val="tx1"/>
                  </w14:solidFill>
                </w14:textFill>
              </w:rPr>
              <w:t>标准限值要求</w:t>
            </w:r>
            <w:r>
              <w:rPr>
                <w:rFonts w:hint="default" w:ascii="Times New Roman" w:hAnsi="Times New Roman" w:cs="Times New Roman"/>
                <w:color w:val="000000" w:themeColor="text1"/>
                <w:sz w:val="24"/>
                <w:szCs w:val="24"/>
                <w:highlight w:val="none"/>
                <w14:textFill>
                  <w14:solidFill>
                    <w14:schemeClr w14:val="tx1"/>
                  </w14:solidFill>
                </w14:textFill>
              </w:rPr>
              <w:t>（VOCs</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60</w:t>
            </w:r>
            <w:r>
              <w:rPr>
                <w:rFonts w:hint="default" w:ascii="Times New Roman" w:hAnsi="Times New Roman" w:cs="Times New Roman"/>
                <w:color w:val="000000" w:themeColor="text1"/>
                <w:sz w:val="24"/>
                <w:szCs w:val="24"/>
                <w:highlight w:val="none"/>
                <w14:textFill>
                  <w14:solidFill>
                    <w14:schemeClr w14:val="tx1"/>
                  </w14:solidFill>
                </w14:textFill>
              </w:rPr>
              <w:t>mg/m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highlight w:val="none"/>
                <w:vertAlign w:val="baseli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颗粒物</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cs="Times New Roman"/>
                <w:color w:val="000000" w:themeColor="text1"/>
                <w:sz w:val="24"/>
                <w:szCs w:val="24"/>
                <w:highlight w:val="none"/>
                <w14:textFill>
                  <w14:solidFill>
                    <w14:schemeClr w14:val="tx1"/>
                  </w14:solidFill>
                </w14:textFill>
              </w:rPr>
              <w:t>mg/m</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p>
          <w:p>
            <w:pPr>
              <w:jc w:val="left"/>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无组织废气达标性分析</w:t>
            </w:r>
          </w:p>
          <w:p>
            <w:pPr>
              <w:jc w:val="left"/>
              <w:rPr>
                <w:rFonts w:hint="eastAsia"/>
                <w:color w:val="000000" w:themeColor="text1"/>
                <w:highlight w:val="red"/>
                <w14:textFill>
                  <w14:solidFill>
                    <w14:schemeClr w14:val="tx1"/>
                  </w14:solidFill>
                </w14:textFill>
              </w:rPr>
            </w:pPr>
            <w:r>
              <w:rPr>
                <w:rFonts w:hint="eastAsia"/>
                <w:color w:val="000000" w:themeColor="text1"/>
                <w14:textFill>
                  <w14:solidFill>
                    <w14:schemeClr w14:val="tx1"/>
                  </w14:solidFill>
                </w14:textFill>
              </w:rPr>
              <w:t>综上所述，颗粒物无组织排</w:t>
            </w:r>
            <w:r>
              <w:rPr>
                <w:rFonts w:hint="eastAsia"/>
                <w:b w:val="0"/>
                <w:bCs w:val="0"/>
                <w:color w:val="000000" w:themeColor="text1"/>
                <w14:textFill>
                  <w14:solidFill>
                    <w14:schemeClr w14:val="tx1"/>
                  </w14:solidFill>
                </w14:textFill>
              </w:rPr>
              <w:t>放满足</w:t>
            </w:r>
            <w:r>
              <w:rPr>
                <w:rFonts w:hint="default" w:ascii="Times New Roman" w:hAnsi="Times New Roman" w:cs="Times New Roman"/>
                <w:color w:val="000000" w:themeColor="text1"/>
                <w:sz w:val="24"/>
                <w:szCs w:val="24"/>
                <w14:textFill>
                  <w14:solidFill>
                    <w14:schemeClr w14:val="tx1"/>
                  </w14:solidFill>
                </w14:textFill>
              </w:rPr>
              <w:t>《合成树脂工业污染物排放标准》（GB31572-2015）表9中</w:t>
            </w:r>
            <w:r>
              <w:rPr>
                <w:rFonts w:hint="eastAsia"/>
                <w:color w:val="000000" w:themeColor="text1"/>
                <w14:textFill>
                  <w14:solidFill>
                    <w14:schemeClr w14:val="tx1"/>
                  </w14:solidFill>
                </w14:textFill>
              </w:rPr>
              <w:t>标准限值要求（颗粒物</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1.0mg/m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VOCs执行</w:t>
            </w:r>
            <w:r>
              <w:rPr>
                <w:rFonts w:hint="default" w:ascii="Times New Roman" w:hAnsi="Times New Roman" w:cs="Times New Roman"/>
                <w:color w:val="000000" w:themeColor="text1"/>
                <w:sz w:val="24"/>
                <w:szCs w:val="24"/>
                <w:highlight w:val="none"/>
                <w14:textFill>
                  <w14:solidFill>
                    <w14:schemeClr w14:val="tx1"/>
                  </w14:solidFill>
                </w14:textFill>
              </w:rPr>
              <w:t>《挥发性有机物无组织排放控制标准》（GB37822-2019）附录A中表A.1特别排放限值</w:t>
            </w:r>
            <w:r>
              <w:rPr>
                <w:rFonts w:hint="eastAsia"/>
                <w:color w:val="000000" w:themeColor="text1"/>
                <w:highlight w:val="none"/>
                <w14:textFill>
                  <w14:solidFill>
                    <w14:schemeClr w14:val="tx1"/>
                  </w14:solidFill>
                </w14:textFill>
              </w:rPr>
              <w:t>(VOCs</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.0mg/m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w:t>
            </w:r>
          </w:p>
          <w:p>
            <w:pPr>
              <w:jc w:val="left"/>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非正常工况排放达标性分析</w:t>
            </w:r>
          </w:p>
          <w:p>
            <w:pPr>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非正常排放按照厂区净化处理设施不能正常运行，造成污染物未经处理直接排放考虑，其排放源强详见下表。</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表3</w:t>
            </w:r>
            <w:r>
              <w:rPr>
                <w:rFonts w:hint="eastAsia" w:cs="Times New Roman"/>
                <w:b/>
                <w:bCs/>
                <w:color w:val="000000" w:themeColor="text1"/>
                <w:sz w:val="21"/>
                <w:szCs w:val="21"/>
                <w:highlight w:val="none"/>
                <w:lang w:val="en-US" w:eastAsia="zh-CN"/>
                <w14:textFill>
                  <w14:solidFill>
                    <w14:schemeClr w14:val="tx1"/>
                  </w14:solidFill>
                </w14:textFill>
              </w:rPr>
              <w:t>8</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  非正常工况大气污染物排放量核算</w:t>
            </w:r>
          </w:p>
          <w:tbl>
            <w:tblPr>
              <w:tblStyle w:val="19"/>
              <w:tblW w:w="7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465"/>
              <w:gridCol w:w="1005"/>
              <w:gridCol w:w="780"/>
              <w:gridCol w:w="915"/>
              <w:gridCol w:w="810"/>
              <w:gridCol w:w="720"/>
              <w:gridCol w:w="945"/>
              <w:gridCol w:w="750"/>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序号</w:t>
                  </w:r>
                </w:p>
              </w:tc>
              <w:tc>
                <w:tcPr>
                  <w:tcW w:w="4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污染源</w:t>
                  </w:r>
                </w:p>
              </w:tc>
              <w:tc>
                <w:tcPr>
                  <w:tcW w:w="10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非正常排放原因</w:t>
                  </w:r>
                </w:p>
              </w:tc>
              <w:tc>
                <w:tcPr>
                  <w:tcW w:w="7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污染物</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非正常排放浓度mg/m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p>
              </w:tc>
              <w:tc>
                <w:tcPr>
                  <w:tcW w:w="8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非正常排放速率kg/h</w:t>
                  </w:r>
                </w:p>
              </w:tc>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单次持续时间/h</w:t>
                  </w:r>
                </w:p>
              </w:tc>
              <w:tc>
                <w:tcPr>
                  <w:tcW w:w="94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排放量kg/次</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年发生频次/次</w:t>
                  </w:r>
                </w:p>
              </w:tc>
              <w:tc>
                <w:tcPr>
                  <w:tcW w:w="108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w:t>
                  </w:r>
                </w:p>
              </w:tc>
              <w:tc>
                <w:tcPr>
                  <w:tcW w:w="4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排气筒</w:t>
                  </w:r>
                </w:p>
                <w:p>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14:textFill>
                        <w14:solidFill>
                          <w14:schemeClr w14:val="tx1"/>
                        </w14:solidFill>
                      </w14:textFill>
                    </w:rPr>
                    <w:t>P1</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污染治理设施处理效率为0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VOCs</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eastAsia" w:cs="Times New Roman"/>
                      <w:color w:val="FF0000"/>
                      <w:sz w:val="21"/>
                      <w:szCs w:val="21"/>
                      <w:vertAlign w:val="baseline"/>
                      <w:lang w:val="en-US" w:eastAsia="zh-CN"/>
                    </w:rPr>
                    <w:t>24.27</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FF0000"/>
                      <w:sz w:val="21"/>
                      <w:szCs w:val="21"/>
                      <w:vertAlign w:val="baseline"/>
                      <w:lang w:val="en-US"/>
                    </w:rPr>
                  </w:pPr>
                  <w:r>
                    <w:rPr>
                      <w:rFonts w:hint="default" w:ascii="Times New Roman" w:hAnsi="Times New Roman" w:cs="Times New Roman"/>
                      <w:color w:val="FF0000"/>
                      <w:sz w:val="21"/>
                      <w:szCs w:val="21"/>
                      <w:vertAlign w:val="baseline"/>
                      <w:lang w:val="en-US" w:eastAsia="zh-CN"/>
                    </w:rPr>
                    <w:t>0.</w:t>
                  </w:r>
                  <w:r>
                    <w:rPr>
                      <w:rFonts w:hint="eastAsia" w:cs="Times New Roman"/>
                      <w:color w:val="FF0000"/>
                      <w:sz w:val="21"/>
                      <w:szCs w:val="21"/>
                      <w:vertAlign w:val="baseline"/>
                      <w:lang w:val="en-US" w:eastAsia="zh-CN"/>
                    </w:rPr>
                    <w:t>0466</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0.5</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eastAsia" w:cs="Times New Roman"/>
                      <w:color w:val="FF0000"/>
                      <w:sz w:val="21"/>
                      <w:szCs w:val="21"/>
                      <w:vertAlign w:val="baseline"/>
                      <w:lang w:val="en-US" w:eastAsia="zh-CN"/>
                    </w:rPr>
                    <w:t>0.0233</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w:t>
                  </w:r>
                </w:p>
              </w:tc>
              <w:tc>
                <w:tcPr>
                  <w:tcW w:w="108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发生故障时须立即</w:t>
                  </w:r>
                  <w:r>
                    <w:rPr>
                      <w:rFonts w:hint="eastAsia" w:cs="Times New Roman"/>
                      <w:color w:val="000000" w:themeColor="text1"/>
                      <w:sz w:val="21"/>
                      <w:szCs w:val="21"/>
                      <w:vertAlign w:val="baseline"/>
                      <w:lang w:val="en-US" w:eastAsia="zh-CN"/>
                      <w14:textFill>
                        <w14:solidFill>
                          <w14:schemeClr w14:val="tx1"/>
                        </w14:solidFill>
                      </w14:textFill>
                    </w:rPr>
                    <w:t>停止生产</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，对发生故障的废气处理系统进行维修、维护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w:t>
                  </w:r>
                </w:p>
              </w:tc>
              <w:tc>
                <w:tcPr>
                  <w:tcW w:w="4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排气筒</w:t>
                  </w:r>
                </w:p>
                <w:p>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vertAlign w:val="baseline"/>
                      <w:lang w:val="en-US" w:eastAsia="zh-CN"/>
                      <w14:textFill>
                        <w14:solidFill>
                          <w14:schemeClr w14:val="tx1"/>
                        </w14:solidFill>
                      </w14:textFill>
                    </w:rPr>
                    <w:t>P2</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污染治理设施处理效率为0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物</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364.58</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0.7292</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0.5</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0.3646</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w:t>
                  </w:r>
                </w:p>
              </w:tc>
              <w:tc>
                <w:tcPr>
                  <w:tcW w:w="1082" w:type="dxa"/>
                  <w:vMerge w:val="continue"/>
                </w:tcPr>
                <w:p>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val="0"/>
              <w:ind w:firstLine="480"/>
              <w:jc w:val="left"/>
              <w:textAlignment w:val="auto"/>
              <w:rPr>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由上表可知，在非正常工况下，污染物排放均超出标准</w:t>
            </w:r>
            <w:r>
              <w:rPr>
                <w:rFonts w:hint="eastAsia"/>
                <w:color w:val="000000" w:themeColor="text1"/>
                <w:lang w:val="en-US" w:eastAsia="zh-CN"/>
                <w14:textFill>
                  <w14:solidFill>
                    <w14:schemeClr w14:val="tx1"/>
                  </w14:solidFill>
                </w14:textFill>
              </w:rPr>
              <w:t>限</w:t>
            </w:r>
            <w:r>
              <w:rPr>
                <w:rFonts w:hint="default" w:eastAsia="宋体"/>
                <w:color w:val="000000" w:themeColor="text1"/>
                <w:lang w:val="en-US" w:eastAsia="zh-CN"/>
                <w14:textFill>
                  <w14:solidFill>
                    <w14:schemeClr w14:val="tx1"/>
                  </w14:solidFill>
                </w14:textFill>
              </w:rPr>
              <w:t>值。因此，建设单位必须加强废气处理设施的管理，定期检修，确保废气处理设备正常运行，在废气处理设施停止运行或出现故障时，产生废气的各工序也必须停止生产。</w:t>
            </w:r>
          </w:p>
          <w:p>
            <w:pPr>
              <w:pStyle w:val="4"/>
              <w:pageBreakBefore w:val="0"/>
              <w:widowControl w:val="0"/>
              <w:kinsoku/>
              <w:wordWrap/>
              <w:overflowPunct/>
              <w:topLinePunct w:val="0"/>
              <w:autoSpaceDE/>
              <w:autoSpaceDN/>
              <w:bidi w:val="0"/>
              <w:adjustRightInd/>
              <w:snapToGrid w:val="0"/>
              <w:spacing w:before="0" w:after="0"/>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监测</w:t>
            </w:r>
            <w:r>
              <w:rPr>
                <w:rFonts w:hint="eastAsia"/>
                <w:color w:val="000000" w:themeColor="text1"/>
                <w:highlight w:val="none"/>
                <w:lang w:eastAsia="zh-CN"/>
                <w14:textFill>
                  <w14:solidFill>
                    <w14:schemeClr w14:val="tx1"/>
                  </w14:solidFill>
                </w14:textFill>
              </w:rPr>
              <w:t>计划</w:t>
            </w:r>
          </w:p>
          <w:p>
            <w:pPr>
              <w:pageBreakBefore w:val="0"/>
              <w:widowControl w:val="0"/>
              <w:kinsoku/>
              <w:wordWrap/>
              <w:overflowPunct/>
              <w:topLinePunct w:val="0"/>
              <w:autoSpaceDE/>
              <w:autoSpaceDN/>
              <w:bidi w:val="0"/>
              <w:adjustRightInd/>
              <w:snapToGrid w:val="0"/>
              <w:ind w:firstLine="48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根据</w:t>
            </w:r>
            <w:r>
              <w:rPr>
                <w:rFonts w:hint="eastAsia"/>
                <w:color w:val="000000" w:themeColor="text1"/>
                <w:highlight w:val="none"/>
                <w14:textFill>
                  <w14:solidFill>
                    <w14:schemeClr w14:val="tx1"/>
                  </w14:solidFill>
                </w14:textFill>
              </w:rPr>
              <w:t>《排污单位自行监测技术指南</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总则》（HJ819-2017）</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排污许可证申请与核发技术规范 总则</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HJ942-2018</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相关要求，本项目废气自行监测计划具体</w:t>
            </w:r>
            <w:r>
              <w:rPr>
                <w:rFonts w:hint="eastAsia"/>
                <w:color w:val="000000" w:themeColor="text1"/>
                <w14:textFill>
                  <w14:solidFill>
                    <w14:schemeClr w14:val="tx1"/>
                  </w14:solidFill>
                </w14:textFill>
              </w:rPr>
              <w:t>见表</w:t>
            </w:r>
            <w:r>
              <w:rPr>
                <w:rFonts w:hint="eastAsia"/>
                <w:color w:val="000000" w:themeColor="text1"/>
                <w:lang w:val="en-US" w:eastAsia="zh-CN"/>
                <w14:textFill>
                  <w14:solidFill>
                    <w14:schemeClr w14:val="tx1"/>
                  </w14:solidFill>
                </w14:textFill>
              </w:rPr>
              <w:t>39</w:t>
            </w:r>
            <w:r>
              <w:rPr>
                <w:rFonts w:hint="eastAsia"/>
                <w:color w:val="000000" w:themeColor="text1"/>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39</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废气监测</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计划</w:t>
            </w:r>
            <w:r>
              <w:rPr>
                <w:rFonts w:hint="eastAsia" w:asciiTheme="minorEastAsia" w:hAnsiTheme="minorEastAsia" w:eastAsiaTheme="minorEastAsia" w:cstheme="minorEastAsia"/>
                <w:color w:val="000000" w:themeColor="text1"/>
                <w:sz w:val="21"/>
                <w:szCs w:val="21"/>
                <w14:textFill>
                  <w14:solidFill>
                    <w14:schemeClr w14:val="tx1"/>
                  </w14:solidFill>
                </w14:textFill>
              </w:rPr>
              <w:t>一览表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1266"/>
              <w:gridCol w:w="1134"/>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监测点位</w:t>
                  </w:r>
                </w:p>
              </w:tc>
              <w:tc>
                <w:tcPr>
                  <w:tcW w:w="7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监测指标</w:t>
                  </w:r>
                </w:p>
              </w:tc>
              <w:tc>
                <w:tcPr>
                  <w:tcW w:w="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监测频次</w:t>
                  </w:r>
                </w:p>
              </w:tc>
              <w:tc>
                <w:tcPr>
                  <w:tcW w:w="18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排气筒</w:t>
                  </w:r>
                  <w:r>
                    <w:rPr>
                      <w:rFonts w:hint="eastAsia"/>
                      <w:color w:val="000000" w:themeColor="text1"/>
                      <w:sz w:val="21"/>
                      <w:szCs w:val="21"/>
                      <w:lang w:val="en-US" w:eastAsia="zh-CN"/>
                      <w14:textFill>
                        <w14:solidFill>
                          <w14:schemeClr w14:val="tx1"/>
                        </w14:solidFill>
                      </w14:textFill>
                    </w:rPr>
                    <w:t>P1</w:t>
                  </w:r>
                </w:p>
              </w:tc>
              <w:tc>
                <w:tcPr>
                  <w:tcW w:w="7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非甲烷总烃</w:t>
                  </w:r>
                </w:p>
              </w:tc>
              <w:tc>
                <w:tcPr>
                  <w:tcW w:w="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1次/</w:t>
                  </w:r>
                  <w:r>
                    <w:rPr>
                      <w:rFonts w:hint="eastAsia"/>
                      <w:color w:val="000000" w:themeColor="text1"/>
                      <w:sz w:val="21"/>
                      <w:szCs w:val="21"/>
                      <w:lang w:eastAsia="zh-CN"/>
                      <w14:textFill>
                        <w14:solidFill>
                          <w14:schemeClr w14:val="tx1"/>
                        </w14:solidFill>
                      </w14:textFill>
                    </w:rPr>
                    <w:t>半年</w:t>
                  </w:r>
                </w:p>
              </w:tc>
              <w:tc>
                <w:tcPr>
                  <w:tcW w:w="186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合成树脂工业污染物排放标准》（GB31572-2015）中表5大气污染物特别排放限值、表9企业边界大气污染物浓度限值和《挥发性有机物无组织排放控制标准》（GB37822-2019）中表A.1厂区内VOCs无组织特别排放限值和《大气污染物无组织排放监测技术导则》（HJ/T55-2000)中监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排气筒</w:t>
                  </w:r>
                  <w:r>
                    <w:rPr>
                      <w:rFonts w:hint="eastAsia"/>
                      <w:color w:val="000000" w:themeColor="text1"/>
                      <w:sz w:val="21"/>
                      <w:szCs w:val="21"/>
                      <w:lang w:val="en-US" w:eastAsia="zh-CN"/>
                      <w14:textFill>
                        <w14:solidFill>
                          <w14:schemeClr w14:val="tx1"/>
                        </w14:solidFill>
                      </w14:textFill>
                    </w:rPr>
                    <w:t>P2</w:t>
                  </w:r>
                </w:p>
              </w:tc>
              <w:tc>
                <w:tcPr>
                  <w:tcW w:w="7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颗粒物</w:t>
                  </w:r>
                </w:p>
              </w:tc>
              <w:tc>
                <w:tcPr>
                  <w:tcW w:w="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1次/</w:t>
                  </w:r>
                  <w:r>
                    <w:rPr>
                      <w:rFonts w:hint="eastAsia"/>
                      <w:color w:val="000000" w:themeColor="text1"/>
                      <w:sz w:val="21"/>
                      <w:szCs w:val="21"/>
                      <w:lang w:eastAsia="zh-CN"/>
                      <w14:textFill>
                        <w14:solidFill>
                          <w14:schemeClr w14:val="tx1"/>
                        </w14:solidFill>
                      </w14:textFill>
                    </w:rPr>
                    <w:t>半年</w:t>
                  </w:r>
                </w:p>
              </w:tc>
              <w:tc>
                <w:tcPr>
                  <w:tcW w:w="186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62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厂区内：厂房门窗或通风口外、其他开口（孔）等排放口外1m，距离地面1.5m以上</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厂区周边：上风向距厂界10m处设置1个参照点，下风向距厂界10m处设置2个监控点</w:t>
                  </w:r>
                </w:p>
              </w:tc>
              <w:tc>
                <w:tcPr>
                  <w:tcW w:w="7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非甲烷总烃</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（无组织）</w:t>
                  </w:r>
                </w:p>
              </w:tc>
              <w:tc>
                <w:tcPr>
                  <w:tcW w:w="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1次/</w:t>
                  </w:r>
                  <w:r>
                    <w:rPr>
                      <w:rFonts w:hint="eastAsia"/>
                      <w:color w:val="000000" w:themeColor="text1"/>
                      <w:sz w:val="21"/>
                      <w:szCs w:val="21"/>
                      <w:lang w:eastAsia="zh-CN"/>
                      <w14:textFill>
                        <w14:solidFill>
                          <w14:schemeClr w14:val="tx1"/>
                        </w14:solidFill>
                      </w14:textFill>
                    </w:rPr>
                    <w:t>半年</w:t>
                  </w:r>
                </w:p>
              </w:tc>
              <w:tc>
                <w:tcPr>
                  <w:tcW w:w="186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p>
              </w:tc>
              <w:tc>
                <w:tcPr>
                  <w:tcW w:w="7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颗粒物</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（无组织）</w:t>
                  </w:r>
                </w:p>
              </w:tc>
              <w:tc>
                <w:tcPr>
                  <w:tcW w:w="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1次/</w:t>
                  </w:r>
                  <w:r>
                    <w:rPr>
                      <w:rFonts w:hint="eastAsia"/>
                      <w:color w:val="000000" w:themeColor="text1"/>
                      <w:sz w:val="21"/>
                      <w:szCs w:val="21"/>
                      <w:lang w:eastAsia="zh-CN"/>
                      <w14:textFill>
                        <w14:solidFill>
                          <w14:schemeClr w14:val="tx1"/>
                        </w14:solidFill>
                      </w14:textFill>
                    </w:rPr>
                    <w:t>半年</w:t>
                  </w:r>
                </w:p>
              </w:tc>
              <w:tc>
                <w:tcPr>
                  <w:tcW w:w="186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1"/>
                      <w:szCs w:val="21"/>
                    </w:rPr>
                  </w:pPr>
                </w:p>
              </w:tc>
            </w:tr>
          </w:tbl>
          <w:p>
            <w:pPr>
              <w:pStyle w:val="3"/>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4.</w:t>
            </w:r>
            <w:r>
              <w:rPr>
                <w:rFonts w:hint="eastAsia"/>
                <w:color w:val="auto"/>
                <w:lang w:val="en-US" w:eastAsia="zh-CN"/>
              </w:rPr>
              <w:t>3</w:t>
            </w:r>
            <w:r>
              <w:rPr>
                <w:rFonts w:hint="eastAsia"/>
                <w:color w:val="auto"/>
              </w:rPr>
              <w:t>废水</w:t>
            </w:r>
          </w:p>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4.</w:t>
            </w:r>
            <w:r>
              <w:rPr>
                <w:rFonts w:hint="eastAsia"/>
                <w:lang w:val="en-US" w:eastAsia="zh-CN"/>
              </w:rPr>
              <w:t>3</w:t>
            </w:r>
            <w:r>
              <w:rPr>
                <w:rFonts w:hint="eastAsia"/>
              </w:rPr>
              <w:t>.1废水产生情况</w:t>
            </w:r>
          </w:p>
          <w:p>
            <w:pPr>
              <w:pageBreakBefore w:val="0"/>
              <w:widowControl w:val="0"/>
              <w:kinsoku/>
              <w:wordWrap/>
              <w:topLinePunct w:val="0"/>
              <w:autoSpaceDE/>
              <w:autoSpaceDN/>
              <w:bidi w:val="0"/>
              <w:adjustRightInd/>
              <w:snapToGrid w:val="0"/>
              <w:ind w:firstLine="480"/>
              <w:jc w:val="left"/>
              <w:textAlignment w:val="auto"/>
            </w:pPr>
            <w:r>
              <w:rPr>
                <w:rFonts w:hint="eastAsia"/>
              </w:rPr>
              <w:t>本项目产生的废水主要为生活废水，无生产废水产生。</w:t>
            </w:r>
          </w:p>
          <w:p>
            <w:pPr>
              <w:pageBreakBefore w:val="0"/>
              <w:widowControl w:val="0"/>
              <w:kinsoku/>
              <w:wordWrap/>
              <w:topLinePunct w:val="0"/>
              <w:autoSpaceDE/>
              <w:autoSpaceDN/>
              <w:bidi w:val="0"/>
              <w:adjustRightInd/>
              <w:snapToGrid w:val="0"/>
              <w:ind w:firstLine="480"/>
              <w:jc w:val="left"/>
              <w:textAlignment w:val="auto"/>
            </w:pPr>
            <w:r>
              <w:rPr>
                <w:rFonts w:hint="eastAsia"/>
              </w:rPr>
              <w:t>（1）生活废水</w:t>
            </w:r>
          </w:p>
          <w:p>
            <w:pPr>
              <w:pageBreakBefore w:val="0"/>
              <w:widowControl w:val="0"/>
              <w:kinsoku/>
              <w:wordWrap/>
              <w:topLinePunct w:val="0"/>
              <w:autoSpaceDE/>
              <w:autoSpaceDN/>
              <w:bidi w:val="0"/>
              <w:adjustRightInd/>
              <w:snapToGrid w:val="0"/>
              <w:ind w:firstLine="480"/>
              <w:jc w:val="left"/>
              <w:textAlignment w:val="auto"/>
              <w:rPr>
                <w:rFonts w:hint="eastAsia"/>
              </w:rPr>
            </w:pPr>
            <w:r>
              <w:rPr>
                <w:rFonts w:hint="eastAsia"/>
              </w:rPr>
              <w:t>本项目</w:t>
            </w:r>
            <w:r>
              <w:rPr>
                <w:rFonts w:hint="eastAsia"/>
                <w:lang w:eastAsia="zh-CN"/>
              </w:rPr>
              <w:t>劳动定员为</w:t>
            </w:r>
            <w:r>
              <w:rPr>
                <w:rFonts w:hint="eastAsia"/>
              </w:rPr>
              <w:t>1</w:t>
            </w:r>
            <w:r>
              <w:rPr>
                <w:rFonts w:hint="eastAsia"/>
                <w:lang w:val="en-US" w:eastAsia="zh-CN"/>
              </w:rPr>
              <w:t>1</w:t>
            </w:r>
            <w:r>
              <w:rPr>
                <w:rFonts w:hint="eastAsia"/>
              </w:rPr>
              <w:t>人，按照《新疆维吾尔自治区生活用水定额》，本项目生活用水量按</w:t>
            </w:r>
            <w:r>
              <w:rPr>
                <w:rFonts w:hint="eastAsia"/>
                <w:lang w:val="en-US" w:eastAsia="zh-CN"/>
              </w:rPr>
              <w:t>80</w:t>
            </w:r>
            <w:r>
              <w:rPr>
                <w:rFonts w:hint="eastAsia"/>
              </w:rPr>
              <w:t>L/人</w:t>
            </w:r>
            <w:r>
              <w:t>·</w:t>
            </w:r>
            <w:r>
              <w:rPr>
                <w:rFonts w:hint="eastAsia"/>
              </w:rPr>
              <w:t>d计，则产生的生活用水量</w:t>
            </w:r>
            <w:r>
              <w:rPr>
                <w:rFonts w:hint="eastAsia"/>
                <w:lang w:val="en-US" w:eastAsia="zh-CN"/>
              </w:rPr>
              <w:t>105.6</w:t>
            </w:r>
            <w:r>
              <w:rPr>
                <w:rFonts w:hint="eastAsia"/>
              </w:rPr>
              <w:t>m</w:t>
            </w:r>
            <w:r>
              <w:rPr>
                <w:rFonts w:hint="eastAsia"/>
                <w:vertAlign w:val="superscript"/>
              </w:rPr>
              <w:t>3</w:t>
            </w:r>
            <w:r>
              <w:rPr>
                <w:rFonts w:hint="eastAsia"/>
              </w:rPr>
              <w:t>/a，排污系数按照0.85计，故本项目生活污水排放量为</w:t>
            </w:r>
            <w:r>
              <w:rPr>
                <w:rFonts w:hint="eastAsia"/>
                <w:lang w:val="en-US" w:eastAsia="zh-CN"/>
              </w:rPr>
              <w:t>89.76</w:t>
            </w:r>
            <w:r>
              <w:rPr>
                <w:rFonts w:hint="eastAsia"/>
              </w:rPr>
              <w:t>m</w:t>
            </w:r>
            <w:r>
              <w:rPr>
                <w:rFonts w:hint="eastAsia"/>
                <w:vertAlign w:val="superscript"/>
              </w:rPr>
              <w:t>3</w:t>
            </w:r>
            <w:r>
              <w:rPr>
                <w:rFonts w:hint="eastAsia"/>
              </w:rPr>
              <w:t>/a（全年工作日按照</w:t>
            </w:r>
            <w:r>
              <w:rPr>
                <w:rFonts w:hint="eastAsia"/>
                <w:lang w:val="en-US" w:eastAsia="zh-CN"/>
              </w:rPr>
              <w:t>120</w:t>
            </w:r>
            <w:r>
              <w:rPr>
                <w:rFonts w:hint="eastAsia"/>
              </w:rPr>
              <w:t>天计）。生活污水排入</w:t>
            </w:r>
            <w:r>
              <w:rPr>
                <w:rFonts w:hint="eastAsia"/>
                <w:lang w:eastAsia="zh-CN"/>
              </w:rPr>
              <w:t>园区管网，最终进入高新区污水处理厂处置。</w:t>
            </w:r>
            <w:r>
              <w:rPr>
                <w:rFonts w:hint="eastAsia"/>
              </w:rPr>
              <w:t>主要污染物为COD</w:t>
            </w:r>
            <w:r>
              <w:rPr>
                <w:rFonts w:hint="eastAsia"/>
                <w:vertAlign w:val="subscript"/>
              </w:rPr>
              <w:t>Cr</w:t>
            </w:r>
            <w:r>
              <w:rPr>
                <w:rFonts w:hint="eastAsia"/>
              </w:rPr>
              <w:t>、BOD</w:t>
            </w:r>
            <w:r>
              <w:rPr>
                <w:rFonts w:hint="eastAsia"/>
                <w:vertAlign w:val="subscript"/>
              </w:rPr>
              <w:t>5</w:t>
            </w:r>
            <w:r>
              <w:rPr>
                <w:rFonts w:hint="eastAsia"/>
              </w:rPr>
              <w:t>、SS、NH</w:t>
            </w:r>
            <w:r>
              <w:rPr>
                <w:rFonts w:hint="eastAsia"/>
                <w:vertAlign w:val="subscript"/>
              </w:rPr>
              <w:t>3</w:t>
            </w:r>
            <w:r>
              <w:rPr>
                <w:rFonts w:hint="eastAsia"/>
              </w:rPr>
              <w:t>-N等。</w:t>
            </w:r>
          </w:p>
          <w:p>
            <w:pPr>
              <w:pageBreakBefore w:val="0"/>
              <w:widowControl w:val="0"/>
              <w:kinsoku/>
              <w:wordWrap/>
              <w:topLinePunct w:val="0"/>
              <w:autoSpaceDE/>
              <w:autoSpaceDN/>
              <w:bidi w:val="0"/>
              <w:adjustRightInd/>
              <w:snapToGrid w:val="0"/>
              <w:jc w:val="left"/>
              <w:textAlignment w:val="auto"/>
            </w:pPr>
            <w:r>
              <w:rPr>
                <w:rFonts w:hint="eastAsia"/>
              </w:rPr>
              <w:t>（2）建设项目废水污染物排放信息</w:t>
            </w:r>
          </w:p>
          <w:p>
            <w:pPr>
              <w:pageBreakBefore w:val="0"/>
              <w:widowControl w:val="0"/>
              <w:kinsoku/>
              <w:wordWrap/>
              <w:topLinePunct w:val="0"/>
              <w:autoSpaceDE/>
              <w:autoSpaceDN/>
              <w:bidi w:val="0"/>
              <w:adjustRightInd/>
              <w:snapToGrid w:val="0"/>
              <w:ind w:firstLine="480"/>
              <w:jc w:val="left"/>
              <w:textAlignment w:val="auto"/>
            </w:pPr>
            <w:r>
              <w:rPr>
                <w:rFonts w:hint="eastAsia"/>
              </w:rPr>
              <w:t>参照《城市给水排水工程规划设计实用全书》，生活污水主要污染物及浓度分别为：COD</w:t>
            </w:r>
            <w:r>
              <w:rPr>
                <w:rFonts w:hint="eastAsia"/>
                <w:vertAlign w:val="subscript"/>
              </w:rPr>
              <w:t>Cr</w:t>
            </w:r>
            <w:r>
              <w:rPr>
                <w:rFonts w:hint="eastAsia"/>
              </w:rPr>
              <w:t>≈350mg/L，BOD</w:t>
            </w:r>
            <w:r>
              <w:rPr>
                <w:rFonts w:hint="eastAsia"/>
                <w:vertAlign w:val="subscript"/>
              </w:rPr>
              <w:t>5</w:t>
            </w:r>
            <w:r>
              <w:rPr>
                <w:rFonts w:hint="eastAsia"/>
              </w:rPr>
              <w:t>≈200mg/L，SS≈250mg/L、NH</w:t>
            </w:r>
            <w:r>
              <w:rPr>
                <w:rFonts w:hint="eastAsia"/>
                <w:vertAlign w:val="subscript"/>
              </w:rPr>
              <w:t>3</w:t>
            </w:r>
            <w:r>
              <w:rPr>
                <w:rFonts w:hint="eastAsia"/>
              </w:rPr>
              <w:t>-N≈35mg/L，本项目水污染物产生量情况见表</w:t>
            </w:r>
            <w:r>
              <w:rPr>
                <w:rFonts w:hint="eastAsia"/>
                <w:lang w:val="en-US" w:eastAsia="zh-CN"/>
              </w:rPr>
              <w:t>40</w:t>
            </w:r>
            <w:r>
              <w:rPr>
                <w:rFonts w:hint="eastAsia"/>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rPr>
              <w:t xml:space="preserve">  废水污染源源强核算结果表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432"/>
              <w:gridCol w:w="496"/>
              <w:gridCol w:w="947"/>
              <w:gridCol w:w="707"/>
              <w:gridCol w:w="840"/>
              <w:gridCol w:w="842"/>
              <w:gridCol w:w="700"/>
              <w:gridCol w:w="704"/>
              <w:gridCol w:w="98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7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工序/生产线</w:t>
                  </w:r>
                </w:p>
              </w:tc>
              <w:tc>
                <w:tcPr>
                  <w:tcW w:w="27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装置</w:t>
                  </w:r>
                </w:p>
              </w:tc>
              <w:tc>
                <w:tcPr>
                  <w:tcW w:w="31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污染源</w:t>
                  </w:r>
                </w:p>
              </w:tc>
              <w:tc>
                <w:tcPr>
                  <w:tcW w:w="59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污染物</w:t>
                  </w:r>
                </w:p>
              </w:tc>
              <w:tc>
                <w:tcPr>
                  <w:tcW w:w="44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核算</w:t>
                  </w:r>
                </w:p>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方法</w:t>
                  </w:r>
                </w:p>
              </w:tc>
              <w:tc>
                <w:tcPr>
                  <w:tcW w:w="1059"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污染物产生量</w:t>
                  </w:r>
                </w:p>
              </w:tc>
              <w:tc>
                <w:tcPr>
                  <w:tcW w:w="88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治理措施</w:t>
                  </w:r>
                </w:p>
              </w:tc>
              <w:tc>
                <w:tcPr>
                  <w:tcW w:w="1157"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污染物排放量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7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27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31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59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44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5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产生</w:t>
                  </w:r>
                </w:p>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浓度mg/L</w:t>
                  </w:r>
                </w:p>
              </w:tc>
              <w:tc>
                <w:tcPr>
                  <w:tcW w:w="53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产生量（t/a）</w:t>
                  </w:r>
                </w:p>
              </w:tc>
              <w:tc>
                <w:tcPr>
                  <w:tcW w:w="4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工艺</w:t>
                  </w:r>
                </w:p>
              </w:tc>
              <w:tc>
                <w:tcPr>
                  <w:tcW w:w="4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效率（%）</w:t>
                  </w:r>
                </w:p>
              </w:tc>
              <w:tc>
                <w:tcPr>
                  <w:tcW w:w="6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排放</w:t>
                  </w:r>
                </w:p>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浓度（mg/L）</w:t>
                  </w:r>
                </w:p>
              </w:tc>
              <w:tc>
                <w:tcPr>
                  <w:tcW w:w="5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生活系统</w:t>
                  </w:r>
                </w:p>
              </w:tc>
              <w:tc>
                <w:tcPr>
                  <w:tcW w:w="27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生活系统</w:t>
                  </w:r>
                </w:p>
              </w:tc>
              <w:tc>
                <w:tcPr>
                  <w:tcW w:w="31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生活污水</w:t>
                  </w:r>
                </w:p>
              </w:tc>
              <w:tc>
                <w:tcPr>
                  <w:tcW w:w="5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rFonts w:hint="default" w:eastAsia="宋体"/>
                      <w:bCs/>
                      <w:sz w:val="21"/>
                      <w:szCs w:val="21"/>
                      <w:lang w:val="en-US" w:eastAsia="zh-CN"/>
                    </w:rPr>
                  </w:pPr>
                  <w:r>
                    <w:rPr>
                      <w:bCs/>
                      <w:sz w:val="21"/>
                      <w:szCs w:val="21"/>
                    </w:rPr>
                    <w:t>COD</w:t>
                  </w:r>
                  <w:r>
                    <w:rPr>
                      <w:rFonts w:hint="eastAsia"/>
                      <w:bCs/>
                      <w:sz w:val="21"/>
                      <w:szCs w:val="21"/>
                      <w:vertAlign w:val="subscript"/>
                      <w:lang w:val="en-US" w:eastAsia="zh-CN"/>
                    </w:rPr>
                    <w:t>cr</w:t>
                  </w:r>
                </w:p>
              </w:tc>
              <w:tc>
                <w:tcPr>
                  <w:tcW w:w="44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rFonts w:hint="eastAsia"/>
                      <w:bCs/>
                      <w:sz w:val="21"/>
                      <w:szCs w:val="21"/>
                    </w:rPr>
                    <w:t>资料法</w:t>
                  </w:r>
                </w:p>
              </w:tc>
              <w:tc>
                <w:tcPr>
                  <w:tcW w:w="5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rFonts w:hint="eastAsia"/>
                      <w:sz w:val="21"/>
                      <w:szCs w:val="21"/>
                    </w:rPr>
                    <w:t>350</w:t>
                  </w:r>
                </w:p>
              </w:tc>
              <w:tc>
                <w:tcPr>
                  <w:tcW w:w="53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rFonts w:hint="default" w:eastAsia="宋体"/>
                      <w:sz w:val="21"/>
                      <w:lang w:val="en-US" w:eastAsia="zh-CN"/>
                    </w:rPr>
                  </w:pPr>
                  <w:r>
                    <w:rPr>
                      <w:rFonts w:hint="eastAsia"/>
                      <w:sz w:val="21"/>
                      <w:lang w:val="en-US" w:eastAsia="zh-CN"/>
                    </w:rPr>
                    <w:t>0.0314</w:t>
                  </w:r>
                </w:p>
              </w:tc>
              <w:tc>
                <w:tcPr>
                  <w:tcW w:w="44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rFonts w:hint="eastAsia" w:eastAsia="宋体"/>
                      <w:bCs/>
                      <w:sz w:val="21"/>
                      <w:szCs w:val="21"/>
                      <w:lang w:eastAsia="zh-CN"/>
                    </w:rPr>
                  </w:pPr>
                  <w:r>
                    <w:rPr>
                      <w:rFonts w:hint="eastAsia"/>
                      <w:bCs/>
                      <w:sz w:val="21"/>
                      <w:szCs w:val="21"/>
                      <w:lang w:val="en-US" w:eastAsia="zh-CN"/>
                    </w:rPr>
                    <w:t>/</w:t>
                  </w:r>
                </w:p>
              </w:tc>
              <w:tc>
                <w:tcPr>
                  <w:tcW w:w="4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rFonts w:hint="eastAsia"/>
                      <w:sz w:val="21"/>
                      <w:szCs w:val="21"/>
                    </w:rPr>
                    <w:t>0</w:t>
                  </w:r>
                </w:p>
              </w:tc>
              <w:tc>
                <w:tcPr>
                  <w:tcW w:w="6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rFonts w:hint="eastAsia"/>
                      <w:sz w:val="21"/>
                      <w:szCs w:val="21"/>
                    </w:rPr>
                    <w:t>350</w:t>
                  </w:r>
                </w:p>
              </w:tc>
              <w:tc>
                <w:tcPr>
                  <w:tcW w:w="5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sz w:val="21"/>
                    </w:rPr>
                  </w:pPr>
                  <w:r>
                    <w:rPr>
                      <w:rFonts w:hint="eastAsia"/>
                      <w:sz w:val="21"/>
                      <w:lang w:val="en-US" w:eastAsia="zh-CN"/>
                    </w:rPr>
                    <w:t>0.0314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27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31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5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BOD</w:t>
                  </w:r>
                  <w:r>
                    <w:rPr>
                      <w:bCs/>
                      <w:sz w:val="21"/>
                      <w:szCs w:val="21"/>
                      <w:vertAlign w:val="subscript"/>
                    </w:rPr>
                    <w:t>5</w:t>
                  </w:r>
                </w:p>
              </w:tc>
              <w:tc>
                <w:tcPr>
                  <w:tcW w:w="44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5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rFonts w:hint="eastAsia"/>
                      <w:sz w:val="21"/>
                      <w:szCs w:val="21"/>
                    </w:rPr>
                    <w:t>200</w:t>
                  </w:r>
                </w:p>
              </w:tc>
              <w:tc>
                <w:tcPr>
                  <w:tcW w:w="53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rFonts w:hint="default" w:eastAsia="宋体"/>
                      <w:sz w:val="21"/>
                      <w:lang w:val="en-US" w:eastAsia="zh-CN"/>
                    </w:rPr>
                  </w:pPr>
                  <w:r>
                    <w:rPr>
                      <w:rFonts w:hint="eastAsia"/>
                      <w:sz w:val="21"/>
                    </w:rPr>
                    <w:t>0.0</w:t>
                  </w:r>
                  <w:r>
                    <w:rPr>
                      <w:rFonts w:hint="eastAsia"/>
                      <w:sz w:val="21"/>
                      <w:lang w:val="en-US" w:eastAsia="zh-CN"/>
                    </w:rPr>
                    <w:t>18</w:t>
                  </w:r>
                </w:p>
              </w:tc>
              <w:tc>
                <w:tcPr>
                  <w:tcW w:w="44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4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rFonts w:hint="eastAsia"/>
                      <w:sz w:val="21"/>
                      <w:szCs w:val="21"/>
                    </w:rPr>
                    <w:t>0</w:t>
                  </w:r>
                </w:p>
              </w:tc>
              <w:tc>
                <w:tcPr>
                  <w:tcW w:w="6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rFonts w:hint="eastAsia"/>
                      <w:sz w:val="21"/>
                      <w:szCs w:val="21"/>
                    </w:rPr>
                    <w:t>200</w:t>
                  </w:r>
                </w:p>
              </w:tc>
              <w:tc>
                <w:tcPr>
                  <w:tcW w:w="5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sz w:val="21"/>
                    </w:rPr>
                  </w:pPr>
                  <w:r>
                    <w:rPr>
                      <w:rFonts w:hint="eastAsia"/>
                      <w:sz w:val="21"/>
                    </w:rPr>
                    <w:t>0.0</w:t>
                  </w:r>
                  <w:r>
                    <w:rPr>
                      <w:rFonts w:hint="eastAsia"/>
                      <w:sz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27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31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5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SS</w:t>
                  </w:r>
                </w:p>
              </w:tc>
              <w:tc>
                <w:tcPr>
                  <w:tcW w:w="44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5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rFonts w:hint="eastAsia"/>
                      <w:sz w:val="21"/>
                      <w:szCs w:val="21"/>
                    </w:rPr>
                    <w:t>250</w:t>
                  </w:r>
                </w:p>
              </w:tc>
              <w:tc>
                <w:tcPr>
                  <w:tcW w:w="53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rFonts w:hint="default" w:eastAsia="宋体"/>
                      <w:sz w:val="21"/>
                      <w:lang w:val="en-US" w:eastAsia="zh-CN"/>
                    </w:rPr>
                  </w:pPr>
                  <w:r>
                    <w:rPr>
                      <w:rFonts w:hint="eastAsia"/>
                      <w:sz w:val="21"/>
                    </w:rPr>
                    <w:t>0.0</w:t>
                  </w:r>
                  <w:r>
                    <w:rPr>
                      <w:rFonts w:hint="eastAsia"/>
                      <w:sz w:val="21"/>
                      <w:lang w:val="en-US" w:eastAsia="zh-CN"/>
                    </w:rPr>
                    <w:t>224</w:t>
                  </w:r>
                </w:p>
              </w:tc>
              <w:tc>
                <w:tcPr>
                  <w:tcW w:w="44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4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rFonts w:hint="eastAsia"/>
                      <w:sz w:val="21"/>
                      <w:szCs w:val="21"/>
                    </w:rPr>
                    <w:t>0</w:t>
                  </w:r>
                </w:p>
              </w:tc>
              <w:tc>
                <w:tcPr>
                  <w:tcW w:w="6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rFonts w:hint="eastAsia"/>
                      <w:sz w:val="21"/>
                      <w:szCs w:val="21"/>
                    </w:rPr>
                    <w:t>250</w:t>
                  </w:r>
                </w:p>
              </w:tc>
              <w:tc>
                <w:tcPr>
                  <w:tcW w:w="5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sz w:val="21"/>
                    </w:rPr>
                  </w:pPr>
                  <w:r>
                    <w:rPr>
                      <w:rFonts w:hint="eastAsia"/>
                      <w:sz w:val="21"/>
                    </w:rPr>
                    <w:t>0.0</w:t>
                  </w:r>
                  <w:r>
                    <w:rPr>
                      <w:rFonts w:hint="eastAsia"/>
                      <w:sz w:val="21"/>
                      <w:lang w:val="en-US" w:eastAsia="zh-CN"/>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27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31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5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bCs/>
                      <w:sz w:val="21"/>
                      <w:szCs w:val="21"/>
                    </w:rPr>
                    <w:t>NH</w:t>
                  </w:r>
                  <w:r>
                    <w:rPr>
                      <w:bCs/>
                      <w:sz w:val="21"/>
                      <w:szCs w:val="21"/>
                      <w:vertAlign w:val="subscript"/>
                    </w:rPr>
                    <w:t>3</w:t>
                  </w:r>
                  <w:r>
                    <w:rPr>
                      <w:bCs/>
                      <w:sz w:val="21"/>
                      <w:szCs w:val="21"/>
                    </w:rPr>
                    <w:t>-N</w:t>
                  </w:r>
                </w:p>
              </w:tc>
              <w:tc>
                <w:tcPr>
                  <w:tcW w:w="44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5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rFonts w:hint="eastAsia"/>
                      <w:sz w:val="21"/>
                      <w:szCs w:val="21"/>
                    </w:rPr>
                    <w:t>35</w:t>
                  </w:r>
                </w:p>
              </w:tc>
              <w:tc>
                <w:tcPr>
                  <w:tcW w:w="53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rFonts w:hint="default" w:eastAsia="宋体"/>
                      <w:sz w:val="21"/>
                      <w:lang w:val="en-US" w:eastAsia="zh-CN"/>
                    </w:rPr>
                  </w:pPr>
                  <w:r>
                    <w:rPr>
                      <w:rFonts w:hint="eastAsia"/>
                      <w:sz w:val="21"/>
                    </w:rPr>
                    <w:t>0.00</w:t>
                  </w:r>
                  <w:r>
                    <w:rPr>
                      <w:rFonts w:hint="eastAsia"/>
                      <w:sz w:val="21"/>
                      <w:lang w:val="en-US" w:eastAsia="zh-CN"/>
                    </w:rPr>
                    <w:t>31</w:t>
                  </w:r>
                </w:p>
              </w:tc>
              <w:tc>
                <w:tcPr>
                  <w:tcW w:w="44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p>
              </w:tc>
              <w:tc>
                <w:tcPr>
                  <w:tcW w:w="4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rFonts w:hint="eastAsia"/>
                      <w:sz w:val="21"/>
                      <w:szCs w:val="21"/>
                    </w:rPr>
                    <w:t>0</w:t>
                  </w:r>
                </w:p>
              </w:tc>
              <w:tc>
                <w:tcPr>
                  <w:tcW w:w="6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sz w:val="21"/>
                      <w:szCs w:val="21"/>
                    </w:rPr>
                  </w:pPr>
                  <w:r>
                    <w:rPr>
                      <w:rFonts w:hint="eastAsia"/>
                      <w:sz w:val="21"/>
                      <w:szCs w:val="21"/>
                    </w:rPr>
                    <w:t>35</w:t>
                  </w:r>
                </w:p>
              </w:tc>
              <w:tc>
                <w:tcPr>
                  <w:tcW w:w="5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sz w:val="21"/>
                    </w:rPr>
                  </w:pPr>
                  <w:r>
                    <w:rPr>
                      <w:rFonts w:hint="eastAsia"/>
                      <w:sz w:val="21"/>
                    </w:rPr>
                    <w:t>0.00</w:t>
                  </w:r>
                  <w:r>
                    <w:rPr>
                      <w:rFonts w:hint="eastAsia"/>
                      <w:sz w:val="21"/>
                      <w:lang w:val="en-US" w:eastAsia="zh-CN"/>
                    </w:rPr>
                    <w:t>31</w:t>
                  </w:r>
                </w:p>
              </w:tc>
            </w:tr>
          </w:tbl>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4.</w:t>
            </w:r>
            <w:r>
              <w:rPr>
                <w:rFonts w:hint="eastAsia"/>
                <w:lang w:val="en-US" w:eastAsia="zh-CN"/>
              </w:rPr>
              <w:t>3</w:t>
            </w:r>
            <w:r>
              <w:rPr>
                <w:rFonts w:hint="eastAsia"/>
              </w:rPr>
              <w:t>.</w:t>
            </w:r>
            <w:r>
              <w:rPr>
                <w:rFonts w:hint="eastAsia"/>
                <w:lang w:val="en-US" w:eastAsia="zh-CN"/>
              </w:rPr>
              <w:t>2</w:t>
            </w:r>
            <w:r>
              <w:rPr>
                <w:rFonts w:hint="eastAsia"/>
              </w:rPr>
              <w:t>废水治理设施情况</w:t>
            </w:r>
          </w:p>
          <w:p>
            <w:pPr>
              <w:pageBreakBefore w:val="0"/>
              <w:widowControl w:val="0"/>
              <w:kinsoku/>
              <w:wordWrap/>
              <w:topLinePunct w:val="0"/>
              <w:autoSpaceDE/>
              <w:autoSpaceDN/>
              <w:bidi w:val="0"/>
              <w:adjustRightInd/>
              <w:snapToGrid w:val="0"/>
              <w:ind w:firstLine="480"/>
              <w:jc w:val="left"/>
              <w:textAlignment w:val="auto"/>
            </w:pPr>
            <w:r>
              <w:rPr>
                <w:rFonts w:hint="eastAsia"/>
              </w:rPr>
              <w:t>本项目生活污水各污染物排放浓度能够满足《污水综合排放标准》（GB8978-1996）表4中三级标准和《污水排入城镇下水道水质标准》（GB/T31962-2015）中NH</w:t>
            </w:r>
            <w:r>
              <w:rPr>
                <w:rFonts w:hint="eastAsia"/>
                <w:vertAlign w:val="subscript"/>
              </w:rPr>
              <w:t>3</w:t>
            </w:r>
            <w:r>
              <w:rPr>
                <w:rFonts w:hint="eastAsia"/>
              </w:rPr>
              <w:t>-N最高允许值中B级标准45mg/L的规定，项目区产生的生活污水</w:t>
            </w:r>
            <w:r>
              <w:rPr>
                <w:rFonts w:hint="eastAsia"/>
                <w:lang w:eastAsia="zh-CN"/>
              </w:rPr>
              <w:t>排入园区管网统一处理</w:t>
            </w:r>
            <w:r>
              <w:rPr>
                <w:rFonts w:hint="eastAsia"/>
              </w:rPr>
              <w:t>，对周围环境不会造成影响。</w:t>
            </w:r>
          </w:p>
          <w:p>
            <w:pPr>
              <w:pStyle w:val="4"/>
              <w:pageBreakBefore w:val="0"/>
              <w:widowControl w:val="0"/>
              <w:kinsoku/>
              <w:wordWrap/>
              <w:topLinePunct w:val="0"/>
              <w:autoSpaceDE/>
              <w:autoSpaceDN/>
              <w:bidi w:val="0"/>
              <w:adjustRightInd/>
              <w:snapToGrid w:val="0"/>
              <w:spacing w:before="0" w:after="0"/>
              <w:jc w:val="left"/>
              <w:textAlignment w:val="auto"/>
              <w:rPr>
                <w:highlight w:val="none"/>
              </w:rPr>
            </w:pPr>
            <w:r>
              <w:rPr>
                <w:rFonts w:hint="eastAsia"/>
                <w:highlight w:val="none"/>
              </w:rPr>
              <w:t>4.</w:t>
            </w:r>
            <w:r>
              <w:rPr>
                <w:rFonts w:hint="eastAsia"/>
                <w:highlight w:val="none"/>
                <w:lang w:val="en-US" w:eastAsia="zh-CN"/>
              </w:rPr>
              <w:t>3</w:t>
            </w:r>
            <w:r>
              <w:rPr>
                <w:rFonts w:hint="eastAsia"/>
                <w:highlight w:val="none"/>
              </w:rPr>
              <w:t>.</w:t>
            </w:r>
            <w:r>
              <w:rPr>
                <w:rFonts w:hint="eastAsia"/>
                <w:highlight w:val="none"/>
                <w:lang w:val="en-US" w:eastAsia="zh-CN"/>
              </w:rPr>
              <w:t>3</w:t>
            </w:r>
            <w:r>
              <w:rPr>
                <w:rFonts w:hint="eastAsia"/>
                <w:highlight w:val="none"/>
              </w:rPr>
              <w:t>废水治理设施依托可行性</w:t>
            </w:r>
          </w:p>
          <w:p>
            <w:pPr>
              <w:pageBreakBefore w:val="0"/>
              <w:widowControl w:val="0"/>
              <w:kinsoku/>
              <w:wordWrap/>
              <w:topLinePunct w:val="0"/>
              <w:autoSpaceDE/>
              <w:autoSpaceDN/>
              <w:bidi w:val="0"/>
              <w:adjustRightInd/>
              <w:snapToGrid w:val="0"/>
              <w:ind w:firstLine="480"/>
              <w:jc w:val="left"/>
              <w:textAlignment w:val="auto"/>
              <w:rPr>
                <w:highlight w:val="none"/>
              </w:rPr>
            </w:pPr>
            <w:r>
              <w:rPr>
                <w:rFonts w:hint="eastAsia"/>
                <w:highlight w:val="none"/>
              </w:rPr>
              <w:t>昌吉高新技术产业开发区污水处理厂位于昌吉高新技术产业开发区西北角，该污水处理厂污水接纳范围主要包括昌吉高新技术产业开发区内各企业的工业污水、军户农场和榆树沟镇的生活污水，设计处理规模30000m</w:t>
            </w:r>
            <w:r>
              <w:rPr>
                <w:rFonts w:hint="eastAsia"/>
                <w:highlight w:val="none"/>
                <w:vertAlign w:val="superscript"/>
              </w:rPr>
              <w:t>3</w:t>
            </w:r>
            <w:r>
              <w:rPr>
                <w:rFonts w:hint="eastAsia"/>
                <w:highlight w:val="none"/>
              </w:rPr>
              <w:t>/d，实际处理规模15000m</w:t>
            </w:r>
            <w:r>
              <w:rPr>
                <w:rFonts w:hint="eastAsia"/>
                <w:highlight w:val="none"/>
                <w:vertAlign w:val="superscript"/>
              </w:rPr>
              <w:t>3</w:t>
            </w:r>
            <w:r>
              <w:rPr>
                <w:rFonts w:hint="eastAsia"/>
                <w:highlight w:val="none"/>
              </w:rPr>
              <w:t>/d，污水处理工艺采用污水→粗格栅及污水提升泵站→细格栅及曝气沉砂池→初沉池→MBBR池→二沉池→Fenton反应池→絮凝沉淀池→纤维转盘滤池→紫外消毒，处理后污水可达到《城镇污水处理厂污染物排放标准》（GB18918-2002）中一级A标准，处理后尾水夏季排入污水处理厂西侧约70m处7000m</w:t>
            </w:r>
            <w:r>
              <w:rPr>
                <w:rFonts w:hint="eastAsia"/>
                <w:highlight w:val="none"/>
                <w:vertAlign w:val="superscript"/>
              </w:rPr>
              <w:t>3</w:t>
            </w:r>
            <w:r>
              <w:rPr>
                <w:rFonts w:hint="eastAsia"/>
                <w:highlight w:val="none"/>
              </w:rPr>
              <w:t>的高新区生态灌溉项目蓄水池中，用于高新区工业冷却水、绿化、洗车、浇洒道路、景观用水，冬季尾水排入污水处理厂西南侧约2km处50万m</w:t>
            </w:r>
            <w:r>
              <w:rPr>
                <w:rFonts w:hint="eastAsia"/>
                <w:highlight w:val="none"/>
                <w:vertAlign w:val="superscript"/>
              </w:rPr>
              <w:t>3</w:t>
            </w:r>
            <w:r>
              <w:rPr>
                <w:rFonts w:hint="eastAsia"/>
                <w:highlight w:val="none"/>
              </w:rPr>
              <w:t>的园区水库中。</w:t>
            </w:r>
          </w:p>
          <w:p>
            <w:pPr>
              <w:pageBreakBefore w:val="0"/>
              <w:widowControl w:val="0"/>
              <w:kinsoku/>
              <w:wordWrap/>
              <w:topLinePunct w:val="0"/>
              <w:autoSpaceDE/>
              <w:autoSpaceDN/>
              <w:bidi w:val="0"/>
              <w:adjustRightInd/>
              <w:snapToGrid w:val="0"/>
              <w:ind w:firstLine="480"/>
              <w:jc w:val="left"/>
              <w:textAlignment w:val="auto"/>
              <w:rPr>
                <w:highlight w:val="none"/>
              </w:rPr>
            </w:pPr>
            <w:r>
              <w:rPr>
                <w:rFonts w:hint="eastAsia"/>
                <w:highlight w:val="none"/>
              </w:rPr>
              <w:t>项目生活废水污染物排放浓度可达《污水综合排放标准》（GB8978-1996）表4中三级标准和《污水排入城镇下水道水质标准》（GB/T31962-2015）中NH</w:t>
            </w:r>
            <w:r>
              <w:rPr>
                <w:rFonts w:hint="eastAsia"/>
                <w:highlight w:val="none"/>
                <w:vertAlign w:val="subscript"/>
              </w:rPr>
              <w:t>3</w:t>
            </w:r>
            <w:r>
              <w:rPr>
                <w:rFonts w:hint="eastAsia"/>
                <w:highlight w:val="none"/>
              </w:rPr>
              <w:t>-N最高允许值中B级标准45mg/L的规定，能够满足昌吉国家高新技术产业区污水处理厂入场要求。</w:t>
            </w:r>
          </w:p>
          <w:p>
            <w:pPr>
              <w:pageBreakBefore w:val="0"/>
              <w:widowControl w:val="0"/>
              <w:kinsoku/>
              <w:wordWrap/>
              <w:topLinePunct w:val="0"/>
              <w:autoSpaceDE/>
              <w:autoSpaceDN/>
              <w:bidi w:val="0"/>
              <w:adjustRightInd/>
              <w:snapToGrid w:val="0"/>
              <w:ind w:firstLine="480"/>
              <w:jc w:val="left"/>
              <w:textAlignment w:val="auto"/>
              <w:rPr>
                <w:highlight w:val="none"/>
              </w:rPr>
            </w:pPr>
            <w:r>
              <w:rPr>
                <w:highlight w:val="none"/>
              </w:rPr>
              <w:t>本项目生活污水量为</w:t>
            </w:r>
            <w:r>
              <w:rPr>
                <w:rFonts w:hint="eastAsia"/>
                <w:highlight w:val="none"/>
                <w:lang w:val="en-US" w:eastAsia="zh-CN"/>
              </w:rPr>
              <w:t>0.748</w:t>
            </w:r>
            <w:r>
              <w:rPr>
                <w:rFonts w:hint="eastAsia"/>
                <w:highlight w:val="none"/>
              </w:rPr>
              <w:t>m</w:t>
            </w:r>
            <w:r>
              <w:rPr>
                <w:rFonts w:hint="eastAsia"/>
                <w:highlight w:val="none"/>
                <w:vertAlign w:val="superscript"/>
              </w:rPr>
              <w:t>3</w:t>
            </w:r>
            <w:r>
              <w:rPr>
                <w:rFonts w:hint="eastAsia"/>
                <w:highlight w:val="none"/>
              </w:rPr>
              <w:t>/d，昌吉高新技术产业开发区污水处理厂设计处理规模3万m</w:t>
            </w:r>
            <w:r>
              <w:rPr>
                <w:rFonts w:hint="eastAsia"/>
                <w:highlight w:val="none"/>
                <w:vertAlign w:val="superscript"/>
              </w:rPr>
              <w:t>3</w:t>
            </w:r>
            <w:r>
              <w:rPr>
                <w:rFonts w:hint="eastAsia"/>
                <w:highlight w:val="none"/>
              </w:rPr>
              <w:t>/d，目前实际处理水量为1.5万m</w:t>
            </w:r>
            <w:r>
              <w:rPr>
                <w:rFonts w:hint="eastAsia"/>
                <w:highlight w:val="none"/>
                <w:vertAlign w:val="superscript"/>
              </w:rPr>
              <w:t>3</w:t>
            </w:r>
            <w:r>
              <w:rPr>
                <w:rFonts w:hint="eastAsia"/>
                <w:highlight w:val="none"/>
              </w:rPr>
              <w:t>/d，尚有1.5万m</w:t>
            </w:r>
            <w:r>
              <w:rPr>
                <w:rFonts w:hint="eastAsia"/>
                <w:highlight w:val="none"/>
                <w:vertAlign w:val="superscript"/>
              </w:rPr>
              <w:t>3</w:t>
            </w:r>
            <w:r>
              <w:rPr>
                <w:rFonts w:hint="eastAsia"/>
                <w:highlight w:val="none"/>
              </w:rPr>
              <w:t>/d富余量，因此项目产生的生活污水完全能够纳入昌吉高新技术产业开发区污水处理厂。</w:t>
            </w:r>
          </w:p>
          <w:p>
            <w:pPr>
              <w:pageBreakBefore w:val="0"/>
              <w:widowControl w:val="0"/>
              <w:kinsoku/>
              <w:wordWrap/>
              <w:topLinePunct w:val="0"/>
              <w:autoSpaceDE/>
              <w:autoSpaceDN/>
              <w:bidi w:val="0"/>
              <w:adjustRightInd/>
              <w:snapToGrid w:val="0"/>
              <w:ind w:firstLine="480"/>
              <w:jc w:val="left"/>
              <w:textAlignment w:val="auto"/>
              <w:rPr>
                <w:rFonts w:hint="eastAsia"/>
                <w:highlight w:val="none"/>
              </w:rPr>
            </w:pPr>
            <w:r>
              <w:rPr>
                <w:rFonts w:hint="eastAsia"/>
                <w:highlight w:val="none"/>
              </w:rPr>
              <w:t>项目在采取上述废水处理措施后，满足相关环保要求，因此项目建设对水环境影响很小。</w:t>
            </w:r>
          </w:p>
          <w:p>
            <w:pPr>
              <w:pageBreakBefore w:val="0"/>
              <w:widowControl w:val="0"/>
              <w:kinsoku/>
              <w:wordWrap/>
              <w:topLinePunct w:val="0"/>
              <w:autoSpaceDE/>
              <w:autoSpaceDN/>
              <w:bidi w:val="0"/>
              <w:adjustRightInd/>
              <w:snapToGrid w:val="0"/>
              <w:ind w:left="0" w:leftChars="0" w:firstLine="0" w:firstLineChars="0"/>
              <w:jc w:val="left"/>
              <w:textAlignment w:val="auto"/>
              <w:rPr>
                <w:rFonts w:hint="eastAsia"/>
                <w:highlight w:val="none"/>
                <w:lang w:val="en-US" w:eastAsia="zh-CN"/>
              </w:rPr>
            </w:pPr>
            <w:r>
              <w:rPr>
                <w:rFonts w:hint="default" w:ascii="Times New Roman" w:hAnsi="Times New Roman" w:cs="Times New Roman"/>
                <w:b/>
                <w:bCs/>
                <w:highlight w:val="none"/>
                <w:lang w:val="en-US" w:eastAsia="zh-CN"/>
              </w:rPr>
              <w:t>4.</w:t>
            </w:r>
            <w:r>
              <w:rPr>
                <w:rFonts w:hint="eastAsia" w:cs="Times New Roman"/>
                <w:b/>
                <w:bCs/>
                <w:highlight w:val="none"/>
                <w:lang w:val="en-US" w:eastAsia="zh-CN"/>
              </w:rPr>
              <w:t>3</w:t>
            </w:r>
            <w:r>
              <w:rPr>
                <w:rFonts w:hint="default" w:ascii="Times New Roman" w:hAnsi="Times New Roman" w:cs="Times New Roman"/>
                <w:b/>
                <w:bCs/>
                <w:highlight w:val="none"/>
                <w:lang w:val="en-US" w:eastAsia="zh-CN"/>
              </w:rPr>
              <w:t>.4废水监测计划</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default"/>
                <w:highlight w:val="none"/>
                <w:lang w:val="en-US" w:eastAsia="zh-CN"/>
              </w:rPr>
            </w:pPr>
            <w:r>
              <w:rPr>
                <w:rFonts w:hint="eastAsia"/>
                <w:highlight w:val="none"/>
                <w:lang w:val="en-US" w:eastAsia="zh-CN"/>
              </w:rPr>
              <w:t>参照《排污单位自行监测技术指南 总则》（HJ819-2017）、《排污许可证申请与核发技术规范 总则》（HJ942-2018）相关要求，本项目废水监测计划见表41。</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b/>
                <w:bCs/>
                <w:sz w:val="21"/>
                <w:szCs w:val="21"/>
                <w:highlight w:val="none"/>
                <w:lang w:val="en-US" w:eastAsia="zh-CN"/>
              </w:rPr>
            </w:pPr>
            <w:r>
              <w:rPr>
                <w:rFonts w:hint="eastAsia"/>
                <w:b/>
                <w:bCs/>
                <w:sz w:val="21"/>
                <w:szCs w:val="21"/>
                <w:highlight w:val="none"/>
                <w:lang w:val="en-US" w:eastAsia="zh-CN"/>
              </w:rPr>
              <w:t>表41  废水监测计划一览表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400"/>
              <w:gridCol w:w="1789"/>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监测点位</w:t>
                  </w:r>
                </w:p>
              </w:tc>
              <w:tc>
                <w:tcPr>
                  <w:tcW w:w="151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监测</w:t>
                  </w:r>
                  <w:r>
                    <w:rPr>
                      <w:rFonts w:hint="eastAsia" w:cs="Times New Roman"/>
                      <w:sz w:val="21"/>
                      <w:szCs w:val="21"/>
                      <w:highlight w:val="none"/>
                      <w:vertAlign w:val="baseline"/>
                      <w:lang w:val="en-US" w:eastAsia="zh-CN"/>
                    </w:rPr>
                    <w:t>指标</w:t>
                  </w:r>
                </w:p>
              </w:tc>
              <w:tc>
                <w:tcPr>
                  <w:tcW w:w="112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监测频次</w:t>
                  </w:r>
                </w:p>
              </w:tc>
              <w:tc>
                <w:tcPr>
                  <w:tcW w:w="148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综合废水排放口</w:t>
                  </w:r>
                </w:p>
              </w:tc>
              <w:tc>
                <w:tcPr>
                  <w:tcW w:w="151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COD</w:t>
                  </w:r>
                  <w:r>
                    <w:rPr>
                      <w:rFonts w:hint="eastAsia" w:cs="Times New Roman"/>
                      <w:sz w:val="21"/>
                      <w:szCs w:val="21"/>
                      <w:highlight w:val="none"/>
                      <w:vertAlign w:val="subscript"/>
                      <w:lang w:val="en-US" w:eastAsia="zh-CN"/>
                    </w:rPr>
                    <w:t>cr</w:t>
                  </w:r>
                  <w:r>
                    <w:rPr>
                      <w:rFonts w:hint="default" w:ascii="Times New Roman" w:hAnsi="Times New Roman" w:cs="Times New Roman"/>
                      <w:sz w:val="21"/>
                      <w:szCs w:val="21"/>
                      <w:highlight w:val="none"/>
                      <w:vertAlign w:val="baseline"/>
                      <w:lang w:val="en-US" w:eastAsia="zh-CN"/>
                    </w:rPr>
                    <w:t>、BOD</w:t>
                  </w:r>
                  <w:r>
                    <w:rPr>
                      <w:rFonts w:hint="default" w:ascii="Times New Roman" w:hAnsi="Times New Roman" w:cs="Times New Roman"/>
                      <w:sz w:val="21"/>
                      <w:szCs w:val="21"/>
                      <w:highlight w:val="none"/>
                      <w:vertAlign w:val="subscript"/>
                      <w:lang w:val="en-US" w:eastAsia="zh-CN"/>
                    </w:rPr>
                    <w:t>5</w:t>
                  </w:r>
                  <w:r>
                    <w:rPr>
                      <w:rFonts w:hint="default" w:ascii="Times New Roman" w:hAnsi="Times New Roman" w:cs="Times New Roman"/>
                      <w:sz w:val="21"/>
                      <w:szCs w:val="21"/>
                      <w:highlight w:val="none"/>
                      <w:vertAlign w:val="baseline"/>
                      <w:lang w:val="en-US" w:eastAsia="zh-CN"/>
                    </w:rPr>
                    <w:t>、SS、NH</w:t>
                  </w:r>
                  <w:r>
                    <w:rPr>
                      <w:rFonts w:hint="default" w:ascii="Times New Roman" w:hAnsi="Times New Roman" w:cs="Times New Roman"/>
                      <w:sz w:val="21"/>
                      <w:szCs w:val="21"/>
                      <w:highlight w:val="none"/>
                      <w:vertAlign w:val="subscript"/>
                      <w:lang w:val="en-US" w:eastAsia="zh-CN"/>
                    </w:rPr>
                    <w:t>3</w:t>
                  </w:r>
                  <w:r>
                    <w:rPr>
                      <w:rFonts w:hint="default" w:ascii="Times New Roman" w:hAnsi="Times New Roman" w:cs="Times New Roman"/>
                      <w:sz w:val="21"/>
                      <w:szCs w:val="21"/>
                      <w:highlight w:val="none"/>
                      <w:vertAlign w:val="baseline"/>
                      <w:lang w:val="en-US" w:eastAsia="zh-CN"/>
                    </w:rPr>
                    <w:t>-N</w:t>
                  </w:r>
                </w:p>
              </w:tc>
              <w:tc>
                <w:tcPr>
                  <w:tcW w:w="1127"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1次/</w:t>
                  </w:r>
                  <w:r>
                    <w:rPr>
                      <w:rFonts w:hint="eastAsia" w:cs="Times New Roman"/>
                      <w:sz w:val="21"/>
                      <w:szCs w:val="21"/>
                      <w:highlight w:val="none"/>
                      <w:vertAlign w:val="baseline"/>
                      <w:lang w:val="en-US" w:eastAsia="zh-CN"/>
                    </w:rPr>
                    <w:t>半年</w:t>
                  </w:r>
                  <w:r>
                    <w:rPr>
                      <w:rFonts w:hint="default" w:ascii="Times New Roman" w:hAnsi="Times New Roman" w:cs="Times New Roman"/>
                      <w:sz w:val="21"/>
                      <w:szCs w:val="21"/>
                      <w:highlight w:val="none"/>
                      <w:vertAlign w:val="baseline"/>
                      <w:lang w:val="en-US" w:eastAsia="zh-CN"/>
                    </w:rPr>
                    <w:t>；非正常情况发生时，随时进行必要的监测</w:t>
                  </w:r>
                </w:p>
              </w:tc>
              <w:tc>
                <w:tcPr>
                  <w:tcW w:w="148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color w:val="000000"/>
                      <w:sz w:val="21"/>
                      <w:szCs w:val="21"/>
                      <w:lang w:val="en-US" w:eastAsia="zh-CN"/>
                    </w:rPr>
                    <w:t>《污水综合排放标准》（GB8978-1996）中的三级标准</w:t>
                  </w:r>
                </w:p>
              </w:tc>
            </w:tr>
          </w:tbl>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4.</w:t>
            </w:r>
            <w:r>
              <w:rPr>
                <w:rFonts w:hint="eastAsia"/>
                <w:lang w:val="en-US" w:eastAsia="zh-CN"/>
              </w:rPr>
              <w:t>3</w:t>
            </w:r>
            <w:r>
              <w:rPr>
                <w:rFonts w:hint="eastAsia"/>
              </w:rPr>
              <w:t>.</w:t>
            </w:r>
            <w:r>
              <w:rPr>
                <w:rFonts w:hint="eastAsia"/>
                <w:lang w:val="en-US" w:eastAsia="zh-CN"/>
              </w:rPr>
              <w:t>5</w:t>
            </w:r>
            <w:r>
              <w:rPr>
                <w:rFonts w:hint="eastAsia"/>
              </w:rPr>
              <w:t>地表水环境影响分析</w:t>
            </w:r>
          </w:p>
          <w:p>
            <w:pPr>
              <w:pageBreakBefore w:val="0"/>
              <w:widowControl w:val="0"/>
              <w:kinsoku/>
              <w:wordWrap/>
              <w:topLinePunct w:val="0"/>
              <w:autoSpaceDE/>
              <w:autoSpaceDN/>
              <w:bidi w:val="0"/>
              <w:adjustRightInd/>
              <w:snapToGrid w:val="0"/>
              <w:ind w:firstLine="480"/>
              <w:jc w:val="left"/>
              <w:textAlignment w:val="auto"/>
            </w:pPr>
            <w:r>
              <w:rPr>
                <w:rFonts w:hint="eastAsia"/>
              </w:rPr>
              <w:t>本项目产生的废水量较小，</w:t>
            </w:r>
            <w:r>
              <w:rPr>
                <w:rFonts w:hint="eastAsia"/>
                <w:lang w:eastAsia="zh-CN"/>
              </w:rPr>
              <w:t>生活污水通过园区管网至</w:t>
            </w:r>
            <w:r>
              <w:rPr>
                <w:rFonts w:hint="eastAsia"/>
              </w:rPr>
              <w:t>园区污水处理厂处理后，废水可达标排放，对环境影响较小。</w:t>
            </w:r>
          </w:p>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4.</w:t>
            </w:r>
            <w:r>
              <w:rPr>
                <w:rFonts w:hint="eastAsia"/>
                <w:color w:val="auto"/>
                <w:lang w:val="en-US" w:eastAsia="zh-CN"/>
              </w:rPr>
              <w:t>4</w:t>
            </w:r>
            <w:r>
              <w:rPr>
                <w:rFonts w:hint="eastAsia"/>
                <w:color w:val="auto"/>
              </w:rPr>
              <w:t>噪声</w:t>
            </w:r>
          </w:p>
          <w:p>
            <w:pPr>
              <w:pStyle w:val="4"/>
              <w:pageBreakBefore w:val="0"/>
              <w:widowControl w:val="0"/>
              <w:kinsoku/>
              <w:wordWrap/>
              <w:topLinePunct w:val="0"/>
              <w:autoSpaceDE/>
              <w:autoSpaceDN/>
              <w:bidi w:val="0"/>
              <w:adjustRightInd/>
              <w:snapToGrid w:val="0"/>
              <w:spacing w:before="0" w:after="0"/>
              <w:jc w:val="left"/>
              <w:textAlignment w:val="auto"/>
              <w:rPr>
                <w:rFonts w:hint="eastAsia" w:eastAsia="宋体"/>
                <w:highlight w:val="none"/>
                <w:lang w:eastAsia="zh-CN"/>
              </w:rPr>
            </w:pPr>
            <w:r>
              <w:rPr>
                <w:rFonts w:hint="eastAsia"/>
                <w:highlight w:val="none"/>
              </w:rPr>
              <w:t>4.</w:t>
            </w:r>
            <w:r>
              <w:rPr>
                <w:rFonts w:hint="eastAsia"/>
                <w:highlight w:val="none"/>
                <w:lang w:val="en-US" w:eastAsia="zh-CN"/>
              </w:rPr>
              <w:t>4</w:t>
            </w:r>
            <w:r>
              <w:rPr>
                <w:rFonts w:hint="eastAsia"/>
                <w:highlight w:val="none"/>
              </w:rPr>
              <w:t>.1噪声源</w:t>
            </w:r>
            <w:r>
              <w:rPr>
                <w:rFonts w:hint="eastAsia"/>
                <w:highlight w:val="none"/>
                <w:lang w:eastAsia="zh-CN"/>
              </w:rPr>
              <w:t>强</w:t>
            </w:r>
          </w:p>
          <w:p>
            <w:pPr>
              <w:pageBreakBefore w:val="0"/>
              <w:widowControl w:val="0"/>
              <w:kinsoku/>
              <w:wordWrap/>
              <w:topLinePunct w:val="0"/>
              <w:autoSpaceDE/>
              <w:autoSpaceDN/>
              <w:bidi w:val="0"/>
              <w:adjustRightInd/>
              <w:snapToGrid w:val="0"/>
              <w:ind w:firstLine="480"/>
              <w:jc w:val="left"/>
              <w:textAlignment w:val="auto"/>
              <w:rPr>
                <w:rFonts w:hint="eastAsia" w:eastAsia="宋体"/>
                <w:lang w:eastAsia="zh-CN"/>
              </w:rPr>
            </w:pPr>
            <w:r>
              <w:rPr>
                <w:rFonts w:hint="eastAsia"/>
              </w:rPr>
              <w:t>本项目运营期噪声</w:t>
            </w:r>
            <w:r>
              <w:rPr>
                <w:rFonts w:hint="eastAsia"/>
                <w:lang w:eastAsia="zh-CN"/>
              </w:rPr>
              <w:t>源主要为全自动开卷机、全自动压型机、自动分条上棉设备、双履带复合机、（高压</w:t>
            </w:r>
            <w:r>
              <w:rPr>
                <w:rFonts w:hint="eastAsia"/>
                <w:lang w:val="en-US" w:eastAsia="zh-CN"/>
              </w:rPr>
              <w:t>/低压</w:t>
            </w:r>
            <w:r>
              <w:rPr>
                <w:rFonts w:hint="eastAsia"/>
                <w:lang w:eastAsia="zh-CN"/>
              </w:rPr>
              <w:t>）发泡机、切割机、废气处理设备配套的风机，根据建设方提供的噪声源设备型号、规格，才有类比方法确定主要噪声源强。</w:t>
            </w:r>
          </w:p>
          <w:p>
            <w:pPr>
              <w:keepNext w:val="0"/>
              <w:keepLines w:val="0"/>
              <w:pageBreakBefore w:val="0"/>
              <w:widowControl w:val="0"/>
              <w:kinsoku/>
              <w:wordWrap/>
              <w:overflowPunct/>
              <w:topLinePunct w:val="0"/>
              <w:autoSpaceDE/>
              <w:autoSpaceDN/>
              <w:bidi w:val="0"/>
              <w:adjustRightInd/>
              <w:snapToGrid w:val="0"/>
              <w:spacing w:line="360" w:lineRule="auto"/>
              <w:ind w:firstLine="480"/>
              <w:jc w:val="center"/>
              <w:textAlignment w:val="auto"/>
              <w:rPr>
                <w:rFonts w:hint="default" w:eastAsia="宋体"/>
                <w:lang w:val="en-US" w:eastAsia="zh-CN"/>
              </w:rPr>
            </w:pPr>
            <w:r>
              <w:rPr>
                <w:rFonts w:hint="default" w:ascii="Times New Roman" w:hAnsi="Times New Roman" w:cs="Times New Roman"/>
                <w:b/>
                <w:bCs/>
                <w:sz w:val="21"/>
                <w:szCs w:val="21"/>
                <w:lang w:eastAsia="zh-CN"/>
              </w:rPr>
              <w:t>表</w:t>
            </w:r>
            <w:r>
              <w:rPr>
                <w:rFonts w:hint="eastAsia" w:cs="Times New Roman"/>
                <w:b/>
                <w:bCs/>
                <w:sz w:val="21"/>
                <w:szCs w:val="21"/>
                <w:lang w:val="en-US" w:eastAsia="zh-CN"/>
              </w:rPr>
              <w:t>42</w:t>
            </w:r>
            <w:r>
              <w:rPr>
                <w:rFonts w:hint="default" w:ascii="Times New Roman" w:hAnsi="Times New Roman" w:cs="Times New Roman"/>
                <w:b/>
                <w:bCs/>
                <w:sz w:val="21"/>
                <w:szCs w:val="21"/>
                <w:lang w:val="en-US" w:eastAsia="zh-CN"/>
              </w:rPr>
              <w:t xml:space="preserve">  营运期噪声源强一览表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1065"/>
              <w:gridCol w:w="2410"/>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噪声源</w:t>
                  </w:r>
                </w:p>
              </w:tc>
              <w:tc>
                <w:tcPr>
                  <w:tcW w:w="10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sz w:val="21"/>
                      <w:szCs w:val="21"/>
                      <w:vertAlign w:val="baseline"/>
                      <w:lang w:eastAsia="zh-CN"/>
                    </w:rPr>
                  </w:pPr>
                  <w:r>
                    <w:rPr>
                      <w:rFonts w:hint="eastAsia" w:ascii="Times New Roman" w:hAnsi="Times New Roman" w:cs="Times New Roman"/>
                      <w:sz w:val="21"/>
                      <w:szCs w:val="21"/>
                      <w:vertAlign w:val="baseline"/>
                      <w:lang w:eastAsia="zh-CN"/>
                    </w:rPr>
                    <w:t>数量</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（台</w:t>
                  </w:r>
                  <w:r>
                    <w:rPr>
                      <w:rFonts w:hint="eastAsia" w:ascii="Times New Roman" w:hAnsi="Times New Roman" w:cs="Times New Roman"/>
                      <w:sz w:val="21"/>
                      <w:szCs w:val="21"/>
                      <w:vertAlign w:val="baseline"/>
                      <w:lang w:val="en-US" w:eastAsia="zh-CN"/>
                    </w:rPr>
                    <w:t>/套</w:t>
                  </w:r>
                  <w:r>
                    <w:rPr>
                      <w:rFonts w:hint="eastAsia" w:ascii="Times New Roman" w:hAnsi="Times New Roman" w:cs="Times New Roman"/>
                      <w:sz w:val="21"/>
                      <w:szCs w:val="21"/>
                      <w:vertAlign w:val="baseline"/>
                      <w:lang w:eastAsia="zh-CN"/>
                    </w:rPr>
                    <w:t>）</w:t>
                  </w:r>
                </w:p>
              </w:tc>
              <w:tc>
                <w:tcPr>
                  <w:tcW w:w="24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声压级</w:t>
                  </w:r>
                </w:p>
              </w:tc>
              <w:tc>
                <w:tcPr>
                  <w:tcW w:w="20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全自动开卷机</w:t>
                  </w:r>
                </w:p>
              </w:tc>
              <w:tc>
                <w:tcPr>
                  <w:tcW w:w="10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p>
              </w:tc>
              <w:tc>
                <w:tcPr>
                  <w:tcW w:w="24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80</w:t>
                  </w:r>
                </w:p>
              </w:tc>
              <w:tc>
                <w:tcPr>
                  <w:tcW w:w="20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全自动压型机</w:t>
                  </w:r>
                </w:p>
              </w:tc>
              <w:tc>
                <w:tcPr>
                  <w:tcW w:w="10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24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85</w:t>
                  </w:r>
                </w:p>
              </w:tc>
              <w:tc>
                <w:tcPr>
                  <w:tcW w:w="20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vertAlign w:val="baseline"/>
                    </w:rPr>
                  </w:pPr>
                  <w:r>
                    <w:rPr>
                      <w:rFonts w:hint="eastAsia" w:ascii="Times New Roman" w:hAnsi="Times New Roman" w:cs="Times New Roman"/>
                      <w:sz w:val="21"/>
                      <w:szCs w:val="21"/>
                      <w:vertAlign w:val="baseline"/>
                      <w:lang w:eastAsia="zh-CN"/>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自动分条上边设备</w:t>
                  </w:r>
                </w:p>
              </w:tc>
              <w:tc>
                <w:tcPr>
                  <w:tcW w:w="10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p>
              </w:tc>
              <w:tc>
                <w:tcPr>
                  <w:tcW w:w="24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80</w:t>
                  </w:r>
                </w:p>
              </w:tc>
              <w:tc>
                <w:tcPr>
                  <w:tcW w:w="20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vertAlign w:val="baseline"/>
                    </w:rPr>
                  </w:pPr>
                  <w:r>
                    <w:rPr>
                      <w:rFonts w:hint="eastAsia" w:ascii="Times New Roman" w:hAnsi="Times New Roman" w:cs="Times New Roman"/>
                      <w:sz w:val="21"/>
                      <w:szCs w:val="21"/>
                      <w:vertAlign w:val="baseline"/>
                      <w:lang w:eastAsia="zh-CN"/>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双履带复合机</w:t>
                  </w:r>
                </w:p>
              </w:tc>
              <w:tc>
                <w:tcPr>
                  <w:tcW w:w="10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p>
              </w:tc>
              <w:tc>
                <w:tcPr>
                  <w:tcW w:w="24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80</w:t>
                  </w:r>
                </w:p>
              </w:tc>
              <w:tc>
                <w:tcPr>
                  <w:tcW w:w="20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vertAlign w:val="baseline"/>
                    </w:rPr>
                  </w:pPr>
                  <w:r>
                    <w:rPr>
                      <w:rFonts w:hint="eastAsia" w:ascii="Times New Roman" w:hAnsi="Times New Roman" w:cs="Times New Roman"/>
                      <w:sz w:val="21"/>
                      <w:szCs w:val="21"/>
                      <w:vertAlign w:val="baseline"/>
                      <w:lang w:eastAsia="zh-CN"/>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（高压</w:t>
                  </w:r>
                  <w:r>
                    <w:rPr>
                      <w:rFonts w:hint="eastAsia" w:ascii="Times New Roman" w:hAnsi="Times New Roman" w:cs="Times New Roman"/>
                      <w:sz w:val="21"/>
                      <w:szCs w:val="21"/>
                      <w:vertAlign w:val="baseline"/>
                      <w:lang w:val="en-US" w:eastAsia="zh-CN"/>
                    </w:rPr>
                    <w:t>/低压</w:t>
                  </w:r>
                  <w:r>
                    <w:rPr>
                      <w:rFonts w:hint="eastAsia" w:ascii="Times New Roman" w:hAnsi="Times New Roman" w:cs="Times New Roman"/>
                      <w:sz w:val="21"/>
                      <w:szCs w:val="21"/>
                      <w:vertAlign w:val="baseline"/>
                      <w:lang w:eastAsia="zh-CN"/>
                    </w:rPr>
                    <w:t>）发泡机</w:t>
                  </w:r>
                </w:p>
              </w:tc>
              <w:tc>
                <w:tcPr>
                  <w:tcW w:w="10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24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85</w:t>
                  </w:r>
                </w:p>
              </w:tc>
              <w:tc>
                <w:tcPr>
                  <w:tcW w:w="20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vertAlign w:val="baseline"/>
                    </w:rPr>
                  </w:pPr>
                  <w:r>
                    <w:rPr>
                      <w:rFonts w:hint="eastAsia" w:ascii="Times New Roman" w:hAnsi="Times New Roman" w:cs="Times New Roman"/>
                      <w:sz w:val="21"/>
                      <w:szCs w:val="21"/>
                      <w:vertAlign w:val="baseline"/>
                      <w:lang w:eastAsia="zh-CN"/>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切割机</w:t>
                  </w:r>
                </w:p>
              </w:tc>
              <w:tc>
                <w:tcPr>
                  <w:tcW w:w="10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p>
              </w:tc>
              <w:tc>
                <w:tcPr>
                  <w:tcW w:w="24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85</w:t>
                  </w:r>
                </w:p>
              </w:tc>
              <w:tc>
                <w:tcPr>
                  <w:tcW w:w="20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s="Times New Roman"/>
                      <w:sz w:val="21"/>
                      <w:szCs w:val="21"/>
                      <w:vertAlign w:val="baseline"/>
                      <w:lang w:eastAsia="zh-CN"/>
                    </w:rPr>
                  </w:pPr>
                  <w:r>
                    <w:rPr>
                      <w:rFonts w:hint="eastAsia" w:ascii="Times New Roman" w:hAnsi="Times New Roman" w:cs="Times New Roman"/>
                      <w:sz w:val="21"/>
                      <w:szCs w:val="21"/>
                      <w:vertAlign w:val="baseline"/>
                      <w:lang w:eastAsia="zh-CN"/>
                    </w:rPr>
                    <w:t>废气处理设备配套的风机</w:t>
                  </w:r>
                </w:p>
              </w:tc>
              <w:tc>
                <w:tcPr>
                  <w:tcW w:w="10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p>
              </w:tc>
              <w:tc>
                <w:tcPr>
                  <w:tcW w:w="24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90</w:t>
                  </w:r>
                </w:p>
              </w:tc>
              <w:tc>
                <w:tcPr>
                  <w:tcW w:w="20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sz w:val="21"/>
                      <w:szCs w:val="21"/>
                      <w:vertAlign w:val="baseline"/>
                      <w:lang w:eastAsia="zh-CN"/>
                    </w:rPr>
                  </w:pPr>
                  <w:r>
                    <w:rPr>
                      <w:rFonts w:hint="eastAsia" w:ascii="Times New Roman" w:hAnsi="Times New Roman" w:cs="Times New Roman"/>
                      <w:sz w:val="21"/>
                      <w:szCs w:val="21"/>
                      <w:vertAlign w:val="baseline"/>
                      <w:lang w:eastAsia="zh-CN"/>
                    </w:rPr>
                    <w:t>连续</w:t>
                  </w:r>
                </w:p>
              </w:tc>
            </w:tr>
          </w:tbl>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4.</w:t>
            </w:r>
            <w:r>
              <w:rPr>
                <w:rFonts w:hint="eastAsia"/>
                <w:lang w:val="en-US" w:eastAsia="zh-CN"/>
              </w:rPr>
              <w:t>4.</w:t>
            </w:r>
            <w:r>
              <w:rPr>
                <w:rFonts w:hint="eastAsia"/>
              </w:rPr>
              <w:t>2降噪措施</w:t>
            </w:r>
          </w:p>
          <w:p>
            <w:pPr>
              <w:pageBreakBefore w:val="0"/>
              <w:widowControl w:val="0"/>
              <w:kinsoku/>
              <w:wordWrap/>
              <w:topLinePunct w:val="0"/>
              <w:autoSpaceDE/>
              <w:autoSpaceDN/>
              <w:bidi w:val="0"/>
              <w:adjustRightInd/>
              <w:snapToGrid w:val="0"/>
              <w:ind w:firstLine="480"/>
              <w:jc w:val="left"/>
              <w:textAlignment w:val="auto"/>
              <w:rPr>
                <w:rFonts w:hint="eastAsia" w:eastAsia="宋体"/>
                <w:highlight w:val="none"/>
                <w:lang w:eastAsia="zh-CN"/>
              </w:rPr>
            </w:pPr>
            <w:r>
              <w:rPr>
                <w:rFonts w:hint="eastAsia"/>
                <w:highlight w:val="none"/>
                <w:lang w:eastAsia="zh-CN"/>
              </w:rPr>
              <w:t>本项目噪声源主要为全自动开卷机、全自动压型机、自动分条上棉设备、双履带复合机、（高压</w:t>
            </w:r>
            <w:r>
              <w:rPr>
                <w:rFonts w:hint="eastAsia"/>
                <w:highlight w:val="none"/>
                <w:lang w:val="en-US" w:eastAsia="zh-CN"/>
              </w:rPr>
              <w:t>/低压</w:t>
            </w:r>
            <w:r>
              <w:rPr>
                <w:rFonts w:hint="eastAsia"/>
                <w:highlight w:val="none"/>
                <w:lang w:eastAsia="zh-CN"/>
              </w:rPr>
              <w:t>）发泡机、切割机、车间外废气处理设备配套的风机。拟采取以下措施：</w:t>
            </w:r>
          </w:p>
          <w:p>
            <w:pPr>
              <w:pageBreakBefore w:val="0"/>
              <w:widowControl w:val="0"/>
              <w:kinsoku/>
              <w:wordWrap/>
              <w:topLinePunct w:val="0"/>
              <w:autoSpaceDE/>
              <w:autoSpaceDN/>
              <w:bidi w:val="0"/>
              <w:adjustRightInd/>
              <w:snapToGrid w:val="0"/>
              <w:ind w:firstLine="480"/>
              <w:jc w:val="left"/>
              <w:textAlignment w:val="auto"/>
            </w:pPr>
            <w:r>
              <w:rPr>
                <w:rFonts w:hint="eastAsia"/>
              </w:rPr>
              <w:t>（1）设备上选用先进的低噪声、振动小的生产设备，安装时采取台基减振、橡胶减振接头及减震垫等措施。</w:t>
            </w:r>
          </w:p>
          <w:p>
            <w:pPr>
              <w:pageBreakBefore w:val="0"/>
              <w:widowControl w:val="0"/>
              <w:kinsoku/>
              <w:wordWrap/>
              <w:topLinePunct w:val="0"/>
              <w:autoSpaceDE/>
              <w:autoSpaceDN/>
              <w:bidi w:val="0"/>
              <w:adjustRightInd/>
              <w:snapToGrid w:val="0"/>
              <w:ind w:firstLine="480"/>
              <w:jc w:val="left"/>
              <w:textAlignment w:val="auto"/>
            </w:pPr>
            <w:r>
              <w:rPr>
                <w:rFonts w:hint="eastAsia"/>
              </w:rPr>
              <w:t>（2）本项目通过安排合理生产时间，尽量减少对外界环境的噪声影响。项目仅在昼间进行生产，夜间不进行生产。</w:t>
            </w:r>
          </w:p>
          <w:p>
            <w:pPr>
              <w:pageBreakBefore w:val="0"/>
              <w:widowControl w:val="0"/>
              <w:kinsoku/>
              <w:wordWrap/>
              <w:topLinePunct w:val="0"/>
              <w:autoSpaceDE/>
              <w:autoSpaceDN/>
              <w:bidi w:val="0"/>
              <w:adjustRightInd/>
              <w:snapToGrid w:val="0"/>
              <w:ind w:firstLine="480"/>
              <w:jc w:val="left"/>
              <w:textAlignment w:val="auto"/>
            </w:pPr>
            <w:r>
              <w:rPr>
                <w:rFonts w:hint="eastAsia"/>
              </w:rPr>
              <w:t>（3）项目通过加强设备保养、维护，对机械设备定期加润滑油进行维护，减少因设备工况查而产生的噪声污染。</w:t>
            </w:r>
          </w:p>
          <w:p>
            <w:pPr>
              <w:pageBreakBefore w:val="0"/>
              <w:widowControl w:val="0"/>
              <w:kinsoku/>
              <w:wordWrap/>
              <w:topLinePunct w:val="0"/>
              <w:autoSpaceDE/>
              <w:autoSpaceDN/>
              <w:bidi w:val="0"/>
              <w:adjustRightInd/>
              <w:snapToGrid w:val="0"/>
              <w:ind w:firstLine="480"/>
              <w:jc w:val="left"/>
              <w:textAlignment w:val="auto"/>
            </w:pPr>
            <w:r>
              <w:rPr>
                <w:rFonts w:hint="eastAsia"/>
              </w:rPr>
              <w:t>（4）项目通过加强管理，文明施工操作，装卸货物时轻拿轻放，避免因操作产生的突发性噪声。</w:t>
            </w:r>
          </w:p>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4.</w:t>
            </w:r>
            <w:r>
              <w:rPr>
                <w:rFonts w:hint="eastAsia"/>
                <w:lang w:val="en-US" w:eastAsia="zh-CN"/>
              </w:rPr>
              <w:t>4</w:t>
            </w:r>
            <w:r>
              <w:rPr>
                <w:rFonts w:hint="eastAsia"/>
              </w:rPr>
              <w:t>.3噪声达标分析</w:t>
            </w:r>
          </w:p>
          <w:p>
            <w:pPr>
              <w:pageBreakBefore w:val="0"/>
              <w:widowControl w:val="0"/>
              <w:kinsoku/>
              <w:wordWrap/>
              <w:topLinePunct w:val="0"/>
              <w:autoSpaceDE/>
              <w:autoSpaceDN/>
              <w:bidi w:val="0"/>
              <w:adjustRightInd/>
              <w:snapToGrid w:val="0"/>
              <w:ind w:firstLine="480"/>
              <w:jc w:val="left"/>
              <w:textAlignment w:val="auto"/>
            </w:pPr>
            <w:r>
              <w:rPr>
                <w:rFonts w:hint="eastAsia"/>
              </w:rPr>
              <w:t>本项目设备均位于室内，采取车间密闭、基础减振、隔声、消声等措施处理后，降噪效果显著，</w:t>
            </w:r>
            <w:r>
              <w:rPr>
                <w:rFonts w:hint="eastAsia"/>
                <w:lang w:eastAsia="zh-CN"/>
              </w:rPr>
              <w:t>根据现状</w:t>
            </w:r>
            <w:r>
              <w:rPr>
                <w:rFonts w:hint="eastAsia"/>
                <w:highlight w:val="none"/>
                <w:lang w:val="en-US" w:eastAsia="zh-CN"/>
              </w:rPr>
              <w:t>监测结果表明：项目厂界昼间噪声监测范围为46~50dB(A)，夜间噪声监测范围39~42dB(A)，项目厂界四周昼、夜噪声均符合《工业企业厂界环境噪声排放标准》（GB12348-2008）中3类标准，达标排放。</w:t>
            </w:r>
            <w:r>
              <w:rPr>
                <w:rFonts w:hint="eastAsia"/>
              </w:rPr>
              <w:t>拟建项目运营期产生的噪声对周围环境影响不大，且项目厂界50米范围内均为工业企业，也无声环境保护目标。</w:t>
            </w:r>
          </w:p>
          <w:p>
            <w:pPr>
              <w:pStyle w:val="4"/>
              <w:pageBreakBefore w:val="0"/>
              <w:widowControl w:val="0"/>
              <w:kinsoku/>
              <w:wordWrap/>
              <w:topLinePunct w:val="0"/>
              <w:autoSpaceDE/>
              <w:autoSpaceDN/>
              <w:bidi w:val="0"/>
              <w:adjustRightInd/>
              <w:snapToGrid w:val="0"/>
              <w:spacing w:before="0" w:after="0"/>
              <w:jc w:val="left"/>
              <w:textAlignment w:val="auto"/>
              <w:rPr>
                <w:rFonts w:hint="eastAsia" w:eastAsia="宋体"/>
                <w:highlight w:val="none"/>
                <w:lang w:eastAsia="zh-CN"/>
              </w:rPr>
            </w:pPr>
            <w:r>
              <w:rPr>
                <w:rFonts w:hint="eastAsia"/>
                <w:highlight w:val="none"/>
              </w:rPr>
              <w:t>4.</w:t>
            </w:r>
            <w:r>
              <w:rPr>
                <w:rFonts w:hint="eastAsia"/>
                <w:highlight w:val="none"/>
                <w:lang w:val="en-US" w:eastAsia="zh-CN"/>
              </w:rPr>
              <w:t>4</w:t>
            </w:r>
            <w:r>
              <w:rPr>
                <w:rFonts w:hint="eastAsia"/>
                <w:highlight w:val="none"/>
              </w:rPr>
              <w:t>.4</w:t>
            </w:r>
            <w:r>
              <w:rPr>
                <w:rFonts w:hint="eastAsia"/>
                <w:highlight w:val="none"/>
                <w:lang w:eastAsia="zh-CN"/>
              </w:rPr>
              <w:t>噪声</w:t>
            </w:r>
            <w:r>
              <w:rPr>
                <w:rFonts w:hint="eastAsia"/>
                <w:highlight w:val="none"/>
              </w:rPr>
              <w:t>监测</w:t>
            </w:r>
            <w:r>
              <w:rPr>
                <w:rFonts w:hint="eastAsia"/>
                <w:highlight w:val="none"/>
                <w:lang w:eastAsia="zh-CN"/>
              </w:rPr>
              <w:t>计划</w:t>
            </w:r>
          </w:p>
          <w:p>
            <w:pPr>
              <w:pageBreakBefore w:val="0"/>
              <w:widowControl w:val="0"/>
              <w:kinsoku/>
              <w:wordWrap/>
              <w:topLinePunct w:val="0"/>
              <w:autoSpaceDE/>
              <w:autoSpaceDN/>
              <w:bidi w:val="0"/>
              <w:adjustRightInd/>
              <w:snapToGrid w:val="0"/>
              <w:ind w:firstLine="480"/>
              <w:jc w:val="left"/>
              <w:textAlignment w:val="auto"/>
              <w:rPr>
                <w:rFonts w:hint="default" w:eastAsia="宋体"/>
                <w:lang w:val="en-US" w:eastAsia="zh-CN"/>
              </w:rPr>
            </w:pPr>
            <w:r>
              <w:rPr>
                <w:rFonts w:hint="eastAsia"/>
              </w:rPr>
              <w:t>根据《排污单位自行监测技术指南 总则》（HJ819-2017）和本项目情况，确定本项目噪声的日常监测</w:t>
            </w:r>
            <w:r>
              <w:rPr>
                <w:rFonts w:hint="eastAsia"/>
                <w:lang w:eastAsia="zh-CN"/>
              </w:rPr>
              <w:t>计划见表</w:t>
            </w:r>
            <w:r>
              <w:rPr>
                <w:rFonts w:hint="eastAsia"/>
                <w:lang w:val="en-US" w:eastAsia="zh-CN"/>
              </w:rPr>
              <w:t>43。</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 xml:space="preserve">43 </w:t>
            </w:r>
            <w:r>
              <w:rPr>
                <w:rFonts w:hint="eastAsia" w:asciiTheme="minorEastAsia" w:hAnsiTheme="minorEastAsia" w:eastAsiaTheme="minorEastAsia" w:cstheme="minorEastAsia"/>
                <w:sz w:val="21"/>
                <w:szCs w:val="21"/>
              </w:rPr>
              <w:t xml:space="preserve"> 噪声监测</w:t>
            </w:r>
            <w:r>
              <w:rPr>
                <w:rFonts w:hint="eastAsia" w:asciiTheme="minorEastAsia" w:hAnsiTheme="minorEastAsia" w:eastAsiaTheme="minorEastAsia" w:cstheme="minorEastAsia"/>
                <w:sz w:val="21"/>
                <w:szCs w:val="21"/>
                <w:lang w:eastAsia="zh-CN"/>
              </w:rPr>
              <w:t>计划</w:t>
            </w:r>
            <w:r>
              <w:rPr>
                <w:rFonts w:hint="eastAsia" w:asciiTheme="minorEastAsia" w:hAnsiTheme="minorEastAsia" w:eastAsiaTheme="minorEastAsia" w:cstheme="minorEastAsia"/>
                <w:sz w:val="21"/>
                <w:szCs w:val="21"/>
              </w:rPr>
              <w:t>一览表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2103"/>
              <w:gridCol w:w="1312"/>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 w:val="21"/>
                      <w:szCs w:val="21"/>
                    </w:rPr>
                  </w:pPr>
                  <w:r>
                    <w:rPr>
                      <w:rFonts w:hint="eastAsia"/>
                      <w:sz w:val="21"/>
                      <w:szCs w:val="21"/>
                    </w:rPr>
                    <w:t>监测点位</w:t>
                  </w:r>
                </w:p>
              </w:tc>
              <w:tc>
                <w:tcPr>
                  <w:tcW w:w="13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 w:val="21"/>
                      <w:szCs w:val="21"/>
                    </w:rPr>
                  </w:pPr>
                  <w:r>
                    <w:rPr>
                      <w:rFonts w:hint="eastAsia"/>
                      <w:sz w:val="21"/>
                      <w:szCs w:val="21"/>
                    </w:rPr>
                    <w:t>监测指标</w:t>
                  </w:r>
                </w:p>
              </w:tc>
              <w:tc>
                <w:tcPr>
                  <w:tcW w:w="82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 w:val="21"/>
                      <w:szCs w:val="21"/>
                    </w:rPr>
                  </w:pPr>
                  <w:r>
                    <w:rPr>
                      <w:rFonts w:hint="eastAsia"/>
                      <w:sz w:val="21"/>
                      <w:szCs w:val="21"/>
                    </w:rPr>
                    <w:t>监测频次</w:t>
                  </w:r>
                </w:p>
              </w:tc>
              <w:tc>
                <w:tcPr>
                  <w:tcW w:w="19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8" w:type="pct"/>
                  <w:tcBorders>
                    <w:tl2br w:val="nil"/>
                    <w:tr2bl w:val="nil"/>
                  </w:tcBorders>
                  <w:vAlign w:val="center"/>
                </w:tcPr>
                <w:p>
                  <w:pPr>
                    <w:spacing w:line="240" w:lineRule="auto"/>
                    <w:ind w:firstLine="0" w:firstLineChars="0"/>
                    <w:jc w:val="center"/>
                    <w:rPr>
                      <w:sz w:val="21"/>
                      <w:szCs w:val="21"/>
                    </w:rPr>
                  </w:pPr>
                  <w:r>
                    <w:rPr>
                      <w:rFonts w:hint="eastAsia"/>
                      <w:sz w:val="21"/>
                      <w:szCs w:val="21"/>
                    </w:rPr>
                    <w:t>厂界外1m设4个监测点位</w:t>
                  </w:r>
                </w:p>
              </w:tc>
              <w:tc>
                <w:tcPr>
                  <w:tcW w:w="1324" w:type="pct"/>
                  <w:tcBorders>
                    <w:tl2br w:val="nil"/>
                    <w:tr2bl w:val="nil"/>
                  </w:tcBorders>
                  <w:vAlign w:val="center"/>
                </w:tcPr>
                <w:p>
                  <w:pPr>
                    <w:spacing w:line="240" w:lineRule="auto"/>
                    <w:ind w:firstLine="0" w:firstLineChars="0"/>
                    <w:jc w:val="center"/>
                    <w:rPr>
                      <w:sz w:val="21"/>
                      <w:szCs w:val="21"/>
                    </w:rPr>
                  </w:pPr>
                  <w:r>
                    <w:rPr>
                      <w:rFonts w:hint="eastAsia"/>
                      <w:sz w:val="21"/>
                      <w:szCs w:val="21"/>
                    </w:rPr>
                    <w:t>昼、夜间等效连续A声级</w:t>
                  </w:r>
                </w:p>
              </w:tc>
              <w:tc>
                <w:tcPr>
                  <w:tcW w:w="826" w:type="pct"/>
                  <w:tcBorders>
                    <w:tl2br w:val="nil"/>
                    <w:tr2bl w:val="nil"/>
                  </w:tcBorders>
                  <w:vAlign w:val="center"/>
                </w:tcPr>
                <w:p>
                  <w:pPr>
                    <w:spacing w:line="240" w:lineRule="auto"/>
                    <w:ind w:firstLine="0" w:firstLineChars="0"/>
                    <w:jc w:val="center"/>
                    <w:rPr>
                      <w:sz w:val="21"/>
                      <w:szCs w:val="21"/>
                    </w:rPr>
                  </w:pPr>
                  <w:r>
                    <w:rPr>
                      <w:sz w:val="21"/>
                      <w:szCs w:val="21"/>
                    </w:rPr>
                    <w:t>1次/</w:t>
                  </w:r>
                  <w:r>
                    <w:rPr>
                      <w:rFonts w:hint="eastAsia"/>
                      <w:sz w:val="21"/>
                      <w:szCs w:val="21"/>
                    </w:rPr>
                    <w:t>季度</w:t>
                  </w:r>
                </w:p>
              </w:tc>
              <w:tc>
                <w:tcPr>
                  <w:tcW w:w="1950" w:type="pct"/>
                  <w:tcBorders>
                    <w:tl2br w:val="nil"/>
                    <w:tr2bl w:val="nil"/>
                  </w:tcBorders>
                  <w:vAlign w:val="center"/>
                </w:tcPr>
                <w:p>
                  <w:pPr>
                    <w:spacing w:line="240" w:lineRule="auto"/>
                    <w:ind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《工业企业厂界环境噪声排放标准》（GB12348-2008）3类</w:t>
                  </w:r>
                  <w:r>
                    <w:rPr>
                      <w:rFonts w:hint="default" w:ascii="Times New Roman" w:hAnsi="Times New Roman" w:cs="Times New Roman"/>
                      <w:sz w:val="21"/>
                      <w:szCs w:val="21"/>
                      <w:lang w:eastAsia="zh-CN"/>
                    </w:rPr>
                    <w:t>，即昼间</w:t>
                  </w:r>
                  <w:r>
                    <w:rPr>
                      <w:rFonts w:hint="default" w:ascii="Times New Roman" w:hAnsi="Times New Roman" w:cs="Times New Roman"/>
                      <w:sz w:val="21"/>
                      <w:szCs w:val="21"/>
                      <w:lang w:val="en-US" w:eastAsia="zh-CN"/>
                    </w:rPr>
                    <w:t>65dB（A）、夜间55dB（A）</w:t>
                  </w:r>
                </w:p>
              </w:tc>
            </w:tr>
          </w:tbl>
          <w:p>
            <w:pPr>
              <w:pStyle w:val="3"/>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4.</w:t>
            </w:r>
            <w:r>
              <w:rPr>
                <w:rFonts w:hint="eastAsia"/>
                <w:color w:val="auto"/>
                <w:lang w:val="en-US" w:eastAsia="zh-CN"/>
              </w:rPr>
              <w:t>5</w:t>
            </w:r>
            <w:r>
              <w:rPr>
                <w:rFonts w:hint="eastAsia"/>
                <w:color w:val="auto"/>
              </w:rPr>
              <w:t>固体废物</w:t>
            </w:r>
          </w:p>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4.</w:t>
            </w:r>
            <w:r>
              <w:rPr>
                <w:rFonts w:hint="eastAsia"/>
                <w:lang w:val="en-US" w:eastAsia="zh-CN"/>
              </w:rPr>
              <w:t>5</w:t>
            </w:r>
            <w:r>
              <w:rPr>
                <w:rFonts w:hint="eastAsia"/>
              </w:rPr>
              <w:t>.1固体废物产生环节、产生量及处置方式</w:t>
            </w:r>
          </w:p>
          <w:p>
            <w:pPr>
              <w:pageBreakBefore w:val="0"/>
              <w:widowControl w:val="0"/>
              <w:kinsoku/>
              <w:wordWrap/>
              <w:topLinePunct w:val="0"/>
              <w:autoSpaceDE/>
              <w:autoSpaceDN/>
              <w:bidi w:val="0"/>
              <w:adjustRightInd/>
              <w:snapToGrid w:val="0"/>
              <w:ind w:firstLine="480"/>
              <w:jc w:val="left"/>
              <w:textAlignment w:val="auto"/>
            </w:pPr>
            <w:r>
              <w:rPr>
                <w:rFonts w:hint="eastAsia"/>
              </w:rPr>
              <w:t>本项目固体废弃物主要为一般固废、危险废物和生活垃圾。</w:t>
            </w:r>
          </w:p>
          <w:p>
            <w:pPr>
              <w:pageBreakBefore w:val="0"/>
              <w:widowControl w:val="0"/>
              <w:kinsoku/>
              <w:wordWrap/>
              <w:topLinePunct w:val="0"/>
              <w:autoSpaceDE/>
              <w:autoSpaceDN/>
              <w:bidi w:val="0"/>
              <w:adjustRightInd/>
              <w:snapToGrid w:val="0"/>
              <w:ind w:firstLine="480"/>
              <w:jc w:val="left"/>
              <w:textAlignment w:val="auto"/>
            </w:pPr>
            <w:r>
              <w:rPr>
                <w:rFonts w:hint="eastAsia"/>
              </w:rPr>
              <w:t>（1）一般固废</w:t>
            </w:r>
          </w:p>
          <w:p>
            <w:pPr>
              <w:pageBreakBefore w:val="0"/>
              <w:widowControl w:val="0"/>
              <w:kinsoku/>
              <w:wordWrap/>
              <w:topLinePunct w:val="0"/>
              <w:autoSpaceDE/>
              <w:autoSpaceDN/>
              <w:bidi w:val="0"/>
              <w:adjustRightInd/>
              <w:snapToGrid w:val="0"/>
              <w:ind w:firstLine="480"/>
              <w:jc w:val="left"/>
              <w:textAlignment w:val="auto"/>
            </w:pPr>
            <w:r>
              <w:rPr>
                <w:rFonts w:hint="eastAsia"/>
              </w:rPr>
              <w:t>本项目运营期产生的一般固废为原材料包装袋，根据业主介绍，在生产过程中产生的</w:t>
            </w:r>
            <w:r>
              <w:rPr>
                <w:rFonts w:hint="eastAsia"/>
                <w:highlight w:val="none"/>
              </w:rPr>
              <w:t>原材料包装袋约为</w:t>
            </w:r>
            <w:r>
              <w:rPr>
                <w:rFonts w:hint="eastAsia"/>
                <w:highlight w:val="none"/>
                <w:lang w:val="en-US" w:eastAsia="zh-CN"/>
              </w:rPr>
              <w:t>5</w:t>
            </w:r>
            <w:r>
              <w:rPr>
                <w:rFonts w:hint="eastAsia"/>
                <w:highlight w:val="none"/>
              </w:rPr>
              <w:t>t/a，</w:t>
            </w:r>
            <w:r>
              <w:rPr>
                <w:rFonts w:hint="eastAsia"/>
              </w:rPr>
              <w:t>收集后外售至废品收购站。</w:t>
            </w:r>
          </w:p>
          <w:p>
            <w:pPr>
              <w:pageBreakBefore w:val="0"/>
              <w:widowControl w:val="0"/>
              <w:kinsoku/>
              <w:wordWrap/>
              <w:topLinePunct w:val="0"/>
              <w:autoSpaceDE/>
              <w:autoSpaceDN/>
              <w:bidi w:val="0"/>
              <w:adjustRightInd/>
              <w:snapToGrid w:val="0"/>
              <w:ind w:firstLine="480"/>
              <w:jc w:val="left"/>
              <w:textAlignment w:val="auto"/>
            </w:pPr>
            <w:r>
              <w:rPr>
                <w:rFonts w:hint="eastAsia"/>
              </w:rPr>
              <w:t>本项目在切割过程中会产生一定量的残次品，</w:t>
            </w:r>
            <w:r>
              <w:rPr>
                <w:rFonts w:hint="eastAsia"/>
                <w:highlight w:val="none"/>
              </w:rPr>
              <w:t>产生量约为1</w:t>
            </w:r>
            <w:r>
              <w:rPr>
                <w:rFonts w:hint="eastAsia"/>
                <w:highlight w:val="none"/>
                <w:lang w:val="en-US" w:eastAsia="zh-CN"/>
              </w:rPr>
              <w:t>.1</w:t>
            </w:r>
            <w:r>
              <w:rPr>
                <w:rFonts w:hint="eastAsia"/>
                <w:highlight w:val="none"/>
              </w:rPr>
              <w:t>t/a</w:t>
            </w:r>
            <w:r>
              <w:rPr>
                <w:rFonts w:hint="eastAsia"/>
              </w:rPr>
              <w:t>，属一般固体废物，经收集后外售至废品收购站。</w:t>
            </w:r>
          </w:p>
          <w:p>
            <w:pPr>
              <w:pageBreakBefore w:val="0"/>
              <w:widowControl w:val="0"/>
              <w:kinsoku/>
              <w:wordWrap/>
              <w:topLinePunct w:val="0"/>
              <w:autoSpaceDE/>
              <w:autoSpaceDN/>
              <w:bidi w:val="0"/>
              <w:adjustRightInd/>
              <w:snapToGrid w:val="0"/>
              <w:ind w:firstLine="480"/>
              <w:jc w:val="left"/>
              <w:textAlignment w:val="auto"/>
            </w:pPr>
            <w:r>
              <w:rPr>
                <w:rFonts w:hint="eastAsia"/>
              </w:rPr>
              <w:t>（2）危险废物</w:t>
            </w:r>
          </w:p>
          <w:p>
            <w:pPr>
              <w:pageBreakBefore w:val="0"/>
              <w:widowControl w:val="0"/>
              <w:kinsoku/>
              <w:wordWrap/>
              <w:topLinePunct w:val="0"/>
              <w:autoSpaceDE/>
              <w:autoSpaceDN/>
              <w:bidi w:val="0"/>
              <w:adjustRightInd/>
              <w:snapToGrid w:val="0"/>
              <w:ind w:firstLine="480"/>
              <w:jc w:val="left"/>
              <w:textAlignment w:val="auto"/>
            </w:pPr>
            <w:r>
              <w:rPr>
                <w:rFonts w:hint="eastAsia"/>
              </w:rPr>
              <w:t>本项目有机废气采用UV光氧催化+活性炭吸附装置处理，根据《活性炭吸附手册》，活性炭吸附非甲烷总烃的吸附量约为300~500kg/t，根据以下公式可计算出每年所需要的活性炭总量：</w:t>
            </w:r>
          </w:p>
          <w:p>
            <w:pPr>
              <w:pageBreakBefore w:val="0"/>
              <w:widowControl w:val="0"/>
              <w:kinsoku/>
              <w:wordWrap/>
              <w:topLinePunct w:val="0"/>
              <w:autoSpaceDE/>
              <w:autoSpaceDN/>
              <w:bidi w:val="0"/>
              <w:adjustRightInd/>
              <w:snapToGrid w:val="0"/>
              <w:ind w:firstLine="0" w:firstLineChars="0"/>
              <w:jc w:val="center"/>
              <w:textAlignment w:val="auto"/>
            </w:pPr>
            <w:r>
              <w:rPr>
                <w:position w:val="-35"/>
              </w:rPr>
              <w:object>
                <v:shape id="_x0000_i1028" o:spt="75" type="#_x0000_t75" style="height:43.8pt;width:43.2pt;" o:ole="t" filled="f" o:preferrelative="t" stroked="f" coordsize="21600,21600">
                  <v:path/>
                  <v:fill on="f" focussize="0,0"/>
                  <v:stroke on="f" joinstyle="miter"/>
                  <v:imagedata r:id="rId27" o:title=""/>
                  <o:lock v:ext="edit" aspectratio="t"/>
                  <w10:wrap type="none"/>
                  <w10:anchorlock/>
                </v:shape>
                <o:OLEObject Type="Embed" ProgID="Equation.AxMath" ShapeID="_x0000_i1028" DrawAspect="Content" ObjectID="_1468075728" r:id="rId26">
                  <o:LockedField>false</o:LockedField>
                </o:OLEObject>
              </w:object>
            </w:r>
          </w:p>
          <w:p>
            <w:pPr>
              <w:pageBreakBefore w:val="0"/>
              <w:widowControl w:val="0"/>
              <w:kinsoku/>
              <w:wordWrap/>
              <w:topLinePunct w:val="0"/>
              <w:autoSpaceDE/>
              <w:autoSpaceDN/>
              <w:bidi w:val="0"/>
              <w:adjustRightInd/>
              <w:snapToGrid w:val="0"/>
              <w:ind w:firstLine="480"/>
              <w:jc w:val="left"/>
              <w:textAlignment w:val="auto"/>
            </w:pPr>
            <w:r>
              <w:rPr>
                <w:rFonts w:hint="eastAsia"/>
              </w:rPr>
              <w:t>式中：T——活性炭量，t/a；</w:t>
            </w:r>
          </w:p>
          <w:p>
            <w:pPr>
              <w:pageBreakBefore w:val="0"/>
              <w:widowControl w:val="0"/>
              <w:kinsoku/>
              <w:wordWrap/>
              <w:topLinePunct w:val="0"/>
              <w:autoSpaceDE/>
              <w:autoSpaceDN/>
              <w:bidi w:val="0"/>
              <w:adjustRightInd/>
              <w:snapToGrid w:val="0"/>
              <w:ind w:firstLine="1200" w:firstLineChars="500"/>
              <w:jc w:val="left"/>
              <w:textAlignment w:val="auto"/>
            </w:pPr>
            <w:r>
              <w:rPr>
                <w:rFonts w:hint="eastAsia"/>
              </w:rPr>
              <w:t>M——活性炭吸附的非甲烷总烃总量，本项目共计</w:t>
            </w:r>
            <w:r>
              <w:rPr>
                <w:rFonts w:hint="eastAsia"/>
                <w:color w:val="FF0000"/>
                <w:highlight w:val="none"/>
                <w:lang w:val="en-US" w:eastAsia="zh-CN"/>
              </w:rPr>
              <w:t>0.0429t</w:t>
            </w:r>
            <w:r>
              <w:rPr>
                <w:rFonts w:hint="eastAsia"/>
                <w:color w:val="FF0000"/>
                <w:highlight w:val="none"/>
              </w:rPr>
              <w:t>/a</w:t>
            </w:r>
            <w:r>
              <w:rPr>
                <w:rFonts w:hint="eastAsia"/>
              </w:rPr>
              <w:t>；</w:t>
            </w:r>
          </w:p>
          <w:p>
            <w:pPr>
              <w:pageBreakBefore w:val="0"/>
              <w:widowControl w:val="0"/>
              <w:kinsoku/>
              <w:wordWrap/>
              <w:topLinePunct w:val="0"/>
              <w:autoSpaceDE/>
              <w:autoSpaceDN/>
              <w:bidi w:val="0"/>
              <w:adjustRightInd/>
              <w:snapToGrid w:val="0"/>
              <w:ind w:firstLine="1200" w:firstLineChars="500"/>
              <w:jc w:val="left"/>
              <w:textAlignment w:val="auto"/>
            </w:pPr>
            <w:r>
              <w:rPr>
                <w:rFonts w:hint="eastAsia"/>
              </w:rPr>
              <w:t>f——活性炭吸附量，kg/t；本项目取</w:t>
            </w:r>
            <w:r>
              <w:rPr>
                <w:rFonts w:hint="eastAsia"/>
                <w:highlight w:val="none"/>
              </w:rPr>
              <w:t>400kg/t</w:t>
            </w:r>
            <w:r>
              <w:rPr>
                <w:rFonts w:hint="eastAsia"/>
              </w:rPr>
              <w:t>。</w:t>
            </w:r>
          </w:p>
          <w:p>
            <w:pPr>
              <w:pageBreakBefore w:val="0"/>
              <w:widowControl w:val="0"/>
              <w:kinsoku/>
              <w:wordWrap/>
              <w:topLinePunct w:val="0"/>
              <w:autoSpaceDE/>
              <w:autoSpaceDN/>
              <w:bidi w:val="0"/>
              <w:adjustRightInd/>
              <w:snapToGrid w:val="0"/>
              <w:ind w:firstLine="480"/>
              <w:jc w:val="left"/>
              <w:textAlignment w:val="auto"/>
              <w:rPr>
                <w:rFonts w:hint="eastAsia"/>
              </w:rPr>
            </w:pPr>
            <w:r>
              <w:rPr>
                <w:rFonts w:hint="eastAsia"/>
              </w:rPr>
              <w:t>经计算，本项目有机废气处理装置需要活性炭总量为</w:t>
            </w:r>
            <w:r>
              <w:rPr>
                <w:rFonts w:hint="eastAsia"/>
                <w:color w:val="FF0000"/>
                <w:highlight w:val="none"/>
                <w:lang w:val="en-US" w:eastAsia="zh-CN"/>
              </w:rPr>
              <w:t>0.1502</w:t>
            </w:r>
            <w:r>
              <w:rPr>
                <w:rFonts w:hint="eastAsia"/>
                <w:color w:val="FF0000"/>
                <w:highlight w:val="none"/>
              </w:rPr>
              <w:t>t/a</w:t>
            </w:r>
            <w:r>
              <w:rPr>
                <w:rFonts w:hint="eastAsia"/>
              </w:rPr>
              <w:t>，属于危险废物，集中收集后暂存于危废暂存间，及时的委托有危险废物处理资质的单位进行处理。</w:t>
            </w:r>
          </w:p>
          <w:p>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heme="minorEastAsia" w:hAnsiTheme="minorEastAsia" w:eastAsiaTheme="minorEastAsia" w:cstheme="minorEastAsia"/>
                <w:b w:val="0"/>
                <w:bCs/>
                <w:color w:val="000000" w:themeColor="text1"/>
                <w:lang w:val="en-US" w:eastAsia="zh-CN"/>
                <w14:textFill>
                  <w14:solidFill>
                    <w14:schemeClr w14:val="tx1"/>
                  </w14:solidFill>
                </w14:textFill>
              </w:rPr>
            </w:pPr>
            <w:r>
              <w:rPr>
                <w:rFonts w:hint="default" w:ascii="Times New Roman" w:hAnsi="Times New Roman" w:eastAsia="宋体" w:cs="Times New Roman"/>
                <w:b w:val="0"/>
                <w:bCs/>
                <w:color w:val="000000" w:themeColor="text1"/>
                <w:lang w:val="en-US" w:eastAsia="zh-CN"/>
                <w14:textFill>
                  <w14:solidFill>
                    <w14:schemeClr w14:val="tx1"/>
                  </w14:solidFill>
                </w14:textFill>
              </w:rPr>
              <w:t>活性炭吸附装置需定期</w:t>
            </w:r>
            <w:r>
              <w:rPr>
                <w:rFonts w:hint="eastAsia" w:ascii="Times New Roman" w:eastAsia="宋体" w:cs="Times New Roman"/>
                <w:b w:val="0"/>
                <w:bCs/>
                <w:color w:val="000000" w:themeColor="text1"/>
                <w:lang w:val="en-US" w:eastAsia="zh-CN"/>
                <w14:textFill>
                  <w14:solidFill>
                    <w14:schemeClr w14:val="tx1"/>
                  </w14:solidFill>
                </w14:textFill>
              </w:rPr>
              <w:t>更</w:t>
            </w:r>
            <w:r>
              <w:rPr>
                <w:rFonts w:hint="default" w:ascii="Times New Roman" w:hAnsi="Times New Roman" w:eastAsia="宋体" w:cs="Times New Roman"/>
                <w:b w:val="0"/>
                <w:bCs/>
                <w:color w:val="000000" w:themeColor="text1"/>
                <w:lang w:val="en-US" w:eastAsia="zh-CN"/>
                <w14:textFill>
                  <w14:solidFill>
                    <w14:schemeClr w14:val="tx1"/>
                  </w14:solidFill>
                </w14:textFill>
              </w:rPr>
              <w:t>换活性炭，更换周期为</w:t>
            </w:r>
            <w:r>
              <w:rPr>
                <w:rFonts w:hint="eastAsia" w:ascii="Times New Roman" w:eastAsia="宋体" w:cs="Times New Roman"/>
                <w:b w:val="0"/>
                <w:bCs/>
                <w:color w:val="000000" w:themeColor="text1"/>
                <w:lang w:val="en-US" w:eastAsia="zh-CN"/>
                <w14:textFill>
                  <w14:solidFill>
                    <w14:schemeClr w14:val="tx1"/>
                  </w14:solidFill>
                </w14:textFill>
              </w:rPr>
              <w:t>12</w:t>
            </w:r>
            <w:r>
              <w:rPr>
                <w:rFonts w:hint="default" w:ascii="Times New Roman" w:hAnsi="Times New Roman" w:eastAsia="宋体" w:cs="Times New Roman"/>
                <w:b w:val="0"/>
                <w:bCs/>
                <w:color w:val="000000" w:themeColor="text1"/>
                <w:lang w:val="en-US" w:eastAsia="zh-CN"/>
                <w14:textFill>
                  <w14:solidFill>
                    <w14:schemeClr w14:val="tx1"/>
                  </w14:solidFill>
                </w14:textFill>
              </w:rPr>
              <w:t>个月，更换的活性炭由企业收集暂存于危废暂存间，委托有资质的单位处理。</w:t>
            </w:r>
          </w:p>
          <w:p>
            <w:pPr>
              <w:pageBreakBefore w:val="0"/>
              <w:widowControl w:val="0"/>
              <w:kinsoku/>
              <w:wordWrap/>
              <w:topLinePunct w:val="0"/>
              <w:autoSpaceDE/>
              <w:autoSpaceDN/>
              <w:bidi w:val="0"/>
              <w:adjustRightInd/>
              <w:snapToGrid w:val="0"/>
              <w:ind w:firstLine="480"/>
              <w:jc w:val="left"/>
              <w:textAlignment w:val="auto"/>
            </w:pPr>
            <w:r>
              <w:rPr>
                <w:rFonts w:hint="eastAsia"/>
              </w:rPr>
              <w:t>本项目废UV光氧催化灯管产生量预计为</w:t>
            </w:r>
            <w:r>
              <w:rPr>
                <w:rFonts w:hint="eastAsia"/>
                <w:highlight w:val="none"/>
                <w:lang w:val="en-US" w:eastAsia="zh-CN"/>
              </w:rPr>
              <w:t>1</w:t>
            </w:r>
            <w:r>
              <w:rPr>
                <w:rFonts w:hint="eastAsia"/>
                <w:highlight w:val="none"/>
              </w:rPr>
              <w:t>个/a</w:t>
            </w:r>
            <w:r>
              <w:rPr>
                <w:rFonts w:hint="eastAsia"/>
              </w:rPr>
              <w:t>，属于危险废物，集中收集后暂存于危废暂存间，及时的委托有危险废物处理资质的单位进行处理。</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44</w:t>
            </w:r>
            <w:r>
              <w:rPr>
                <w:rFonts w:hint="eastAsia" w:asciiTheme="minorEastAsia" w:hAnsiTheme="minorEastAsia" w:eastAsiaTheme="minorEastAsia" w:cstheme="minorEastAsia"/>
                <w:sz w:val="21"/>
                <w:szCs w:val="21"/>
              </w:rPr>
              <w:t xml:space="preserve">  危险废物汇总表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440"/>
              <w:gridCol w:w="758"/>
              <w:gridCol w:w="1166"/>
              <w:gridCol w:w="700"/>
              <w:gridCol w:w="1140"/>
              <w:gridCol w:w="912"/>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危废</w:t>
                  </w:r>
                </w:p>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名称</w:t>
                  </w:r>
                </w:p>
              </w:tc>
              <w:tc>
                <w:tcPr>
                  <w:tcW w:w="9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危险废物类别/代码</w:t>
                  </w:r>
                </w:p>
              </w:tc>
              <w:tc>
                <w:tcPr>
                  <w:tcW w:w="4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物理</w:t>
                  </w:r>
                </w:p>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性状</w:t>
                  </w:r>
                </w:p>
              </w:tc>
              <w:tc>
                <w:tcPr>
                  <w:tcW w:w="7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产生环节</w:t>
                  </w:r>
                </w:p>
              </w:tc>
              <w:tc>
                <w:tcPr>
                  <w:tcW w:w="4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危险</w:t>
                  </w:r>
                </w:p>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特性</w:t>
                  </w:r>
                </w:p>
              </w:tc>
              <w:tc>
                <w:tcPr>
                  <w:tcW w:w="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主要有毒有害物质</w:t>
                  </w:r>
                </w:p>
              </w:tc>
              <w:tc>
                <w:tcPr>
                  <w:tcW w:w="5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年度</w:t>
                  </w:r>
                </w:p>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产生量</w:t>
                  </w:r>
                </w:p>
              </w:tc>
              <w:tc>
                <w:tcPr>
                  <w:tcW w:w="5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处置</w:t>
                  </w:r>
                </w:p>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5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废活性炭</w:t>
                  </w:r>
                </w:p>
              </w:tc>
              <w:tc>
                <w:tcPr>
                  <w:tcW w:w="9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HW49其他废物/</w:t>
                  </w:r>
                  <w:r>
                    <w:rPr>
                      <w:sz w:val="21"/>
                    </w:rPr>
                    <w:t>900-041-49</w:t>
                  </w:r>
                </w:p>
              </w:tc>
              <w:tc>
                <w:tcPr>
                  <w:tcW w:w="4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固态</w:t>
                  </w:r>
                </w:p>
              </w:tc>
              <w:tc>
                <w:tcPr>
                  <w:tcW w:w="7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活性炭吸附设备维护</w:t>
                  </w:r>
                </w:p>
              </w:tc>
              <w:tc>
                <w:tcPr>
                  <w:tcW w:w="4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T/In</w:t>
                  </w:r>
                </w:p>
              </w:tc>
              <w:tc>
                <w:tcPr>
                  <w:tcW w:w="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VOCs</w:t>
                  </w:r>
                </w:p>
              </w:tc>
              <w:tc>
                <w:tcPr>
                  <w:tcW w:w="5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rFonts w:hint="default" w:eastAsia="宋体"/>
                      <w:color w:val="FF0000"/>
                      <w:sz w:val="21"/>
                      <w:szCs w:val="21"/>
                      <w:highlight w:val="none"/>
                      <w:lang w:val="en-US" w:eastAsia="zh-CN"/>
                    </w:rPr>
                  </w:pPr>
                  <w:r>
                    <w:rPr>
                      <w:rFonts w:hint="eastAsia"/>
                      <w:color w:val="FF0000"/>
                      <w:sz w:val="21"/>
                      <w:szCs w:val="21"/>
                      <w:highlight w:val="none"/>
                      <w:lang w:val="en-US" w:eastAsia="zh-CN"/>
                    </w:rPr>
                    <w:t>0.1502</w:t>
                  </w:r>
                  <w:r>
                    <w:rPr>
                      <w:rFonts w:hint="eastAsia"/>
                      <w:color w:val="FF0000"/>
                      <w:sz w:val="21"/>
                      <w:szCs w:val="21"/>
                      <w:highlight w:val="none"/>
                    </w:rPr>
                    <w:t>t</w:t>
                  </w:r>
                  <w:r>
                    <w:rPr>
                      <w:rFonts w:hint="eastAsia"/>
                      <w:color w:val="FF0000"/>
                      <w:sz w:val="21"/>
                      <w:szCs w:val="21"/>
                      <w:highlight w:val="none"/>
                      <w:lang w:val="en-US" w:eastAsia="zh-CN"/>
                    </w:rPr>
                    <w:t>/a</w:t>
                  </w:r>
                </w:p>
              </w:tc>
              <w:tc>
                <w:tcPr>
                  <w:tcW w:w="57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集中收集后暂存于危废暂存间，及时的委托有危险废物处理资质的单位进行处理。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5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废弃灯管</w:t>
                  </w:r>
                </w:p>
              </w:tc>
              <w:tc>
                <w:tcPr>
                  <w:tcW w:w="9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HW29含汞废物/</w:t>
                  </w:r>
                  <w:r>
                    <w:rPr>
                      <w:sz w:val="21"/>
                    </w:rPr>
                    <w:t>900-023-29</w:t>
                  </w:r>
                </w:p>
              </w:tc>
              <w:tc>
                <w:tcPr>
                  <w:tcW w:w="4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固态</w:t>
                  </w:r>
                </w:p>
              </w:tc>
              <w:tc>
                <w:tcPr>
                  <w:tcW w:w="7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UV光氧催化设备维护</w:t>
                  </w:r>
                </w:p>
              </w:tc>
              <w:tc>
                <w:tcPr>
                  <w:tcW w:w="4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T</w:t>
                  </w:r>
                </w:p>
              </w:tc>
              <w:tc>
                <w:tcPr>
                  <w:tcW w:w="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汞</w:t>
                  </w:r>
                </w:p>
              </w:tc>
              <w:tc>
                <w:tcPr>
                  <w:tcW w:w="5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highlight w:val="none"/>
                      <w:lang w:val="en-US" w:eastAsia="zh-CN"/>
                    </w:rPr>
                    <w:t>1</w:t>
                  </w:r>
                  <w:r>
                    <w:rPr>
                      <w:rFonts w:hint="eastAsia"/>
                      <w:sz w:val="21"/>
                      <w:highlight w:val="none"/>
                    </w:rPr>
                    <w:t>个</w:t>
                  </w:r>
                </w:p>
              </w:tc>
              <w:tc>
                <w:tcPr>
                  <w:tcW w:w="572" w:type="pct"/>
                  <w:vMerge w:val="continue"/>
                  <w:tcBorders>
                    <w:tl2br w:val="nil"/>
                    <w:tr2bl w:val="nil"/>
                  </w:tcBorders>
                  <w:vAlign w:val="center"/>
                </w:tcPr>
                <w:p>
                  <w:pPr>
                    <w:spacing w:line="240" w:lineRule="auto"/>
                    <w:ind w:left="-120" w:leftChars="-50" w:right="-120" w:rightChars="-50" w:firstLine="0" w:firstLineChars="0"/>
                    <w:jc w:val="center"/>
                    <w:rPr>
                      <w:sz w:val="21"/>
                    </w:rPr>
                  </w:pPr>
                </w:p>
              </w:tc>
            </w:tr>
          </w:tbl>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rPr>
              <w:t>（3）生活垃圾</w:t>
            </w:r>
          </w:p>
          <w:p>
            <w:pPr>
              <w:keepNext w:val="0"/>
              <w:keepLines w:val="0"/>
              <w:pageBreakBefore w:val="0"/>
              <w:widowControl w:val="0"/>
              <w:kinsoku/>
              <w:wordWrap/>
              <w:overflowPunct/>
              <w:topLinePunct w:val="0"/>
              <w:autoSpaceDE/>
              <w:autoSpaceDN/>
              <w:bidi w:val="0"/>
              <w:adjustRightInd/>
              <w:snapToGrid w:val="0"/>
              <w:ind w:firstLine="480"/>
              <w:jc w:val="left"/>
              <w:textAlignment w:val="auto"/>
            </w:pPr>
            <w:r>
              <w:rPr>
                <w:rFonts w:hint="eastAsia"/>
              </w:rPr>
              <w:t>项目职工共1</w:t>
            </w:r>
            <w:r>
              <w:rPr>
                <w:rFonts w:hint="eastAsia"/>
                <w:lang w:val="en-US" w:eastAsia="zh-CN"/>
              </w:rPr>
              <w:t>1</w:t>
            </w:r>
            <w:r>
              <w:rPr>
                <w:rFonts w:hint="eastAsia"/>
              </w:rPr>
              <w:t>人，按每人每天产生1kg生活垃圾计，则产生量约为</w:t>
            </w:r>
            <w:r>
              <w:rPr>
                <w:rFonts w:hint="eastAsia"/>
                <w:highlight w:val="none"/>
                <w:lang w:val="en-US" w:eastAsia="zh-CN"/>
              </w:rPr>
              <w:t>1.32</w:t>
            </w:r>
            <w:r>
              <w:rPr>
                <w:rFonts w:hint="eastAsia"/>
              </w:rPr>
              <w:t>t/a，生活垃圾集中收集在园区垃圾设施中，由环卫部门统一处理。</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Theme="minorEastAsia" w:hAnsiTheme="minorEastAsia" w:eastAsiaTheme="minorEastAsia" w:cstheme="minorEastAsia"/>
                <w:sz w:val="21"/>
                <w:szCs w:val="21"/>
              </w:rPr>
              <w:t>表</w:t>
            </w:r>
            <w:r>
              <w:rPr>
                <w:rFonts w:hint="eastAsia" w:cs="Times New Roman" w:eastAsiaTheme="minorEastAsia"/>
                <w:sz w:val="21"/>
                <w:szCs w:val="21"/>
                <w:lang w:val="en-US" w:eastAsia="zh-CN"/>
              </w:rPr>
              <w:t>45</w:t>
            </w:r>
            <w:r>
              <w:rPr>
                <w:rFonts w:hint="eastAsia" w:asciiTheme="minorEastAsia" w:hAnsiTheme="minorEastAsia" w:eastAsiaTheme="minorEastAsia" w:cstheme="minorEastAsia"/>
                <w:sz w:val="21"/>
                <w:szCs w:val="21"/>
              </w:rPr>
              <w:t xml:space="preserve">  本项目固体废物产生环节、产生量核算一览表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67"/>
              <w:gridCol w:w="895"/>
              <w:gridCol w:w="1348"/>
              <w:gridCol w:w="849"/>
              <w:gridCol w:w="852"/>
              <w:gridCol w:w="476"/>
              <w:gridCol w:w="883"/>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工序/生产线</w:t>
                  </w:r>
                </w:p>
              </w:tc>
              <w:tc>
                <w:tcPr>
                  <w:tcW w:w="54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装置</w:t>
                  </w:r>
                </w:p>
              </w:tc>
              <w:tc>
                <w:tcPr>
                  <w:tcW w:w="56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固体废物名称</w:t>
                  </w:r>
                </w:p>
              </w:tc>
              <w:tc>
                <w:tcPr>
                  <w:tcW w:w="84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固废属性</w:t>
                  </w:r>
                </w:p>
              </w:tc>
              <w:tc>
                <w:tcPr>
                  <w:tcW w:w="1072"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产生情况</w:t>
                  </w:r>
                </w:p>
              </w:tc>
              <w:tc>
                <w:tcPr>
                  <w:tcW w:w="856"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处置措施</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最终</w:t>
                  </w:r>
                </w:p>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p>
              </w:tc>
              <w:tc>
                <w:tcPr>
                  <w:tcW w:w="54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p>
              </w:tc>
              <w:tc>
                <w:tcPr>
                  <w:tcW w:w="56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p>
              </w:tc>
              <w:tc>
                <w:tcPr>
                  <w:tcW w:w="8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p>
              </w:tc>
              <w:tc>
                <w:tcPr>
                  <w:tcW w:w="5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核算</w:t>
                  </w:r>
                </w:p>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方法</w:t>
                  </w:r>
                </w:p>
              </w:tc>
              <w:tc>
                <w:tcPr>
                  <w:tcW w:w="53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产生量</w:t>
                  </w:r>
                </w:p>
              </w:tc>
              <w:tc>
                <w:tcPr>
                  <w:tcW w:w="3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工艺</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处置量（t/a）</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原材料包装</w:t>
                  </w:r>
                </w:p>
              </w:tc>
              <w:tc>
                <w:tcPr>
                  <w:tcW w:w="5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w:t>
                  </w:r>
                </w:p>
              </w:tc>
              <w:tc>
                <w:tcPr>
                  <w:tcW w:w="56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废原材料包装袋</w:t>
                  </w:r>
                </w:p>
              </w:tc>
              <w:tc>
                <w:tcPr>
                  <w:tcW w:w="8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一般工业固体废物</w:t>
                  </w:r>
                </w:p>
              </w:tc>
              <w:tc>
                <w:tcPr>
                  <w:tcW w:w="5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经验法</w:t>
                  </w:r>
                </w:p>
              </w:tc>
              <w:tc>
                <w:tcPr>
                  <w:tcW w:w="53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lang w:val="en-US" w:eastAsia="zh-CN"/>
                    </w:rPr>
                    <w:t>5</w:t>
                  </w:r>
                  <w:r>
                    <w:rPr>
                      <w:rFonts w:hint="eastAsia"/>
                      <w:sz w:val="21"/>
                      <w:szCs w:val="21"/>
                    </w:rPr>
                    <w:t>t/a</w:t>
                  </w:r>
                </w:p>
              </w:tc>
              <w:tc>
                <w:tcPr>
                  <w:tcW w:w="3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lang w:val="en-US" w:eastAsia="zh-CN"/>
                    </w:rPr>
                    <w:t>5</w:t>
                  </w:r>
                  <w:r>
                    <w:rPr>
                      <w:rFonts w:hint="eastAsia"/>
                      <w:sz w:val="21"/>
                      <w:szCs w:val="21"/>
                    </w:rPr>
                    <w:t>t/a</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收集后外售至废品收购站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切割过程</w:t>
                  </w:r>
                </w:p>
              </w:tc>
              <w:tc>
                <w:tcPr>
                  <w:tcW w:w="5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裁剪机</w:t>
                  </w:r>
                </w:p>
              </w:tc>
              <w:tc>
                <w:tcPr>
                  <w:tcW w:w="56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rPr>
                  </w:pPr>
                  <w:r>
                    <w:rPr>
                      <w:rFonts w:hint="eastAsia"/>
                      <w:sz w:val="21"/>
                    </w:rPr>
                    <w:t>残次品</w:t>
                  </w:r>
                </w:p>
              </w:tc>
              <w:tc>
                <w:tcPr>
                  <w:tcW w:w="8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一般工业固体废物</w:t>
                  </w:r>
                </w:p>
              </w:tc>
              <w:tc>
                <w:tcPr>
                  <w:tcW w:w="5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经验法</w:t>
                  </w:r>
                </w:p>
              </w:tc>
              <w:tc>
                <w:tcPr>
                  <w:tcW w:w="53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lang w:val="en-US" w:eastAsia="zh-CN"/>
                    </w:rPr>
                    <w:t>1.1</w:t>
                  </w:r>
                  <w:r>
                    <w:rPr>
                      <w:rFonts w:hint="eastAsia"/>
                      <w:sz w:val="21"/>
                      <w:szCs w:val="21"/>
                    </w:rPr>
                    <w:t>t/a</w:t>
                  </w:r>
                </w:p>
              </w:tc>
              <w:tc>
                <w:tcPr>
                  <w:tcW w:w="3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lang w:val="en-US" w:eastAsia="zh-CN"/>
                    </w:rPr>
                    <w:t>1.1</w:t>
                  </w:r>
                  <w:r>
                    <w:rPr>
                      <w:rFonts w:hint="eastAsia"/>
                      <w:sz w:val="21"/>
                      <w:szCs w:val="21"/>
                    </w:rPr>
                    <w:t>t/a</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设备维修、维护</w:t>
                  </w:r>
                </w:p>
              </w:tc>
              <w:tc>
                <w:tcPr>
                  <w:tcW w:w="5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活性炭吸附装置</w:t>
                  </w:r>
                </w:p>
              </w:tc>
              <w:tc>
                <w:tcPr>
                  <w:tcW w:w="56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rPr>
                    <w:t>废活性炭</w:t>
                  </w:r>
                </w:p>
              </w:tc>
              <w:tc>
                <w:tcPr>
                  <w:tcW w:w="8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HW49其他废物/900-041-49</w:t>
                  </w:r>
                </w:p>
              </w:tc>
              <w:tc>
                <w:tcPr>
                  <w:tcW w:w="5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系数法</w:t>
                  </w:r>
                </w:p>
              </w:tc>
              <w:tc>
                <w:tcPr>
                  <w:tcW w:w="53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FF0000"/>
                      <w:sz w:val="21"/>
                      <w:szCs w:val="21"/>
                      <w:highlight w:val="none"/>
                    </w:rPr>
                  </w:pPr>
                  <w:r>
                    <w:rPr>
                      <w:rFonts w:hint="eastAsia"/>
                      <w:color w:val="FF0000"/>
                      <w:sz w:val="21"/>
                      <w:szCs w:val="21"/>
                      <w:highlight w:val="none"/>
                      <w:lang w:val="en-US" w:eastAsia="zh-CN"/>
                    </w:rPr>
                    <w:t>0.1502</w:t>
                  </w:r>
                  <w:r>
                    <w:rPr>
                      <w:rFonts w:hint="eastAsia"/>
                      <w:color w:val="FF0000"/>
                      <w:sz w:val="21"/>
                      <w:szCs w:val="21"/>
                      <w:highlight w:val="none"/>
                    </w:rPr>
                    <w:t>t/a</w:t>
                  </w:r>
                </w:p>
              </w:tc>
              <w:tc>
                <w:tcPr>
                  <w:tcW w:w="3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FF0000"/>
                      <w:sz w:val="21"/>
                      <w:szCs w:val="21"/>
                      <w:highlight w:val="none"/>
                    </w:rPr>
                  </w:pPr>
                  <w:r>
                    <w:rPr>
                      <w:rFonts w:hint="eastAsia"/>
                      <w:color w:val="FF0000"/>
                      <w:sz w:val="21"/>
                      <w:szCs w:val="21"/>
                      <w:highlight w:val="none"/>
                      <w:lang w:val="en-US" w:eastAsia="zh-CN"/>
                    </w:rPr>
                    <w:t>0.1502</w:t>
                  </w:r>
                  <w:r>
                    <w:rPr>
                      <w:rFonts w:hint="eastAsia"/>
                      <w:color w:val="FF0000"/>
                      <w:sz w:val="21"/>
                      <w:szCs w:val="21"/>
                      <w:highlight w:val="none"/>
                    </w:rPr>
                    <w:t>t/a</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交由有危险废物处理资质的单位处理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设备维修、维护</w:t>
                  </w:r>
                </w:p>
              </w:tc>
              <w:tc>
                <w:tcPr>
                  <w:tcW w:w="5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UV光氧催化</w:t>
                  </w:r>
                </w:p>
              </w:tc>
              <w:tc>
                <w:tcPr>
                  <w:tcW w:w="56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rPr>
                    <w:t>废弃灯管</w:t>
                  </w:r>
                </w:p>
              </w:tc>
              <w:tc>
                <w:tcPr>
                  <w:tcW w:w="8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HW29含汞废物/900-023-29</w:t>
                  </w:r>
                </w:p>
              </w:tc>
              <w:tc>
                <w:tcPr>
                  <w:tcW w:w="5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系数法</w:t>
                  </w:r>
                </w:p>
              </w:tc>
              <w:tc>
                <w:tcPr>
                  <w:tcW w:w="53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highlight w:val="none"/>
                    </w:rPr>
                  </w:pPr>
                  <w:r>
                    <w:rPr>
                      <w:rFonts w:hint="eastAsia"/>
                      <w:sz w:val="21"/>
                      <w:szCs w:val="21"/>
                      <w:highlight w:val="none"/>
                      <w:lang w:val="en-US" w:eastAsia="zh-CN"/>
                    </w:rPr>
                    <w:t>1</w:t>
                  </w:r>
                  <w:r>
                    <w:rPr>
                      <w:rFonts w:hint="eastAsia"/>
                      <w:sz w:val="21"/>
                      <w:szCs w:val="21"/>
                      <w:highlight w:val="none"/>
                    </w:rPr>
                    <w:t>个/a</w:t>
                  </w:r>
                </w:p>
              </w:tc>
              <w:tc>
                <w:tcPr>
                  <w:tcW w:w="3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highlight w:val="none"/>
                    </w:rPr>
                  </w:pPr>
                  <w:r>
                    <w:rPr>
                      <w:rFonts w:hint="eastAsia"/>
                      <w:sz w:val="21"/>
                      <w:szCs w:val="21"/>
                      <w:highlight w:val="none"/>
                    </w:rPr>
                    <w:t>/</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highlight w:val="none"/>
                    </w:rPr>
                  </w:pPr>
                  <w:r>
                    <w:rPr>
                      <w:rFonts w:hint="eastAsia"/>
                      <w:sz w:val="21"/>
                      <w:szCs w:val="21"/>
                      <w:highlight w:val="none"/>
                      <w:lang w:val="en-US" w:eastAsia="zh-CN"/>
                    </w:rPr>
                    <w:t>1</w:t>
                  </w:r>
                  <w:r>
                    <w:rPr>
                      <w:rFonts w:hint="eastAsia"/>
                      <w:sz w:val="21"/>
                      <w:szCs w:val="21"/>
                      <w:highlight w:val="none"/>
                    </w:rPr>
                    <w:t>个/a</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highlight w:val="none"/>
                    </w:rPr>
                  </w:pPr>
                  <w:r>
                    <w:rPr>
                      <w:rFonts w:hint="eastAsia"/>
                      <w:sz w:val="21"/>
                      <w:szCs w:val="21"/>
                      <w:highlight w:val="none"/>
                    </w:rPr>
                    <w:t>员工生活</w:t>
                  </w:r>
                </w:p>
              </w:tc>
              <w:tc>
                <w:tcPr>
                  <w:tcW w:w="5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highlight w:val="none"/>
                    </w:rPr>
                  </w:pPr>
                  <w:r>
                    <w:rPr>
                      <w:rFonts w:hint="eastAsia"/>
                      <w:sz w:val="21"/>
                      <w:szCs w:val="21"/>
                      <w:highlight w:val="none"/>
                    </w:rPr>
                    <w:t>/</w:t>
                  </w:r>
                </w:p>
              </w:tc>
              <w:tc>
                <w:tcPr>
                  <w:tcW w:w="56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highlight w:val="none"/>
                    </w:rPr>
                  </w:pPr>
                  <w:r>
                    <w:rPr>
                      <w:rFonts w:hint="eastAsia"/>
                      <w:sz w:val="21"/>
                      <w:szCs w:val="21"/>
                      <w:highlight w:val="none"/>
                    </w:rPr>
                    <w:t>生活垃圾</w:t>
                  </w:r>
                </w:p>
              </w:tc>
              <w:tc>
                <w:tcPr>
                  <w:tcW w:w="8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highlight w:val="none"/>
                    </w:rPr>
                  </w:pPr>
                  <w:r>
                    <w:rPr>
                      <w:rFonts w:hint="eastAsia"/>
                      <w:sz w:val="21"/>
                      <w:szCs w:val="21"/>
                      <w:highlight w:val="none"/>
                    </w:rPr>
                    <w:t>生活垃圾</w:t>
                  </w:r>
                </w:p>
              </w:tc>
              <w:tc>
                <w:tcPr>
                  <w:tcW w:w="5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highlight w:val="none"/>
                    </w:rPr>
                  </w:pPr>
                  <w:r>
                    <w:rPr>
                      <w:rFonts w:hint="eastAsia"/>
                      <w:sz w:val="21"/>
                      <w:szCs w:val="21"/>
                      <w:highlight w:val="none"/>
                    </w:rPr>
                    <w:t>系数法</w:t>
                  </w:r>
                </w:p>
              </w:tc>
              <w:tc>
                <w:tcPr>
                  <w:tcW w:w="53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highlight w:val="none"/>
                    </w:rPr>
                  </w:pPr>
                  <w:r>
                    <w:rPr>
                      <w:rFonts w:hint="eastAsia"/>
                      <w:sz w:val="21"/>
                      <w:szCs w:val="21"/>
                      <w:highlight w:val="none"/>
                      <w:lang w:val="en-US" w:eastAsia="zh-CN"/>
                    </w:rPr>
                    <w:t>1.32</w:t>
                  </w:r>
                  <w:r>
                    <w:rPr>
                      <w:rFonts w:hint="eastAsia"/>
                      <w:sz w:val="21"/>
                      <w:szCs w:val="21"/>
                      <w:highlight w:val="none"/>
                    </w:rPr>
                    <w:t>t/a</w:t>
                  </w:r>
                </w:p>
              </w:tc>
              <w:tc>
                <w:tcPr>
                  <w:tcW w:w="3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highlight w:val="none"/>
                    </w:rPr>
                  </w:pPr>
                  <w:r>
                    <w:rPr>
                      <w:rFonts w:hint="eastAsia"/>
                      <w:sz w:val="21"/>
                      <w:szCs w:val="21"/>
                      <w:highlight w:val="none"/>
                    </w:rPr>
                    <w:t>/</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highlight w:val="none"/>
                    </w:rPr>
                  </w:pPr>
                  <w:r>
                    <w:rPr>
                      <w:rFonts w:hint="eastAsia"/>
                      <w:sz w:val="21"/>
                      <w:szCs w:val="21"/>
                      <w:highlight w:val="none"/>
                      <w:lang w:val="en-US" w:eastAsia="zh-CN"/>
                    </w:rPr>
                    <w:t>1.32</w:t>
                  </w:r>
                  <w:r>
                    <w:rPr>
                      <w:rFonts w:hint="eastAsia"/>
                      <w:sz w:val="21"/>
                      <w:szCs w:val="21"/>
                      <w:highlight w:val="none"/>
                    </w:rPr>
                    <w:t>t/a</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sz w:val="21"/>
                      <w:szCs w:val="21"/>
                    </w:rPr>
                  </w:pPr>
                  <w:r>
                    <w:rPr>
                      <w:rFonts w:hint="eastAsia"/>
                      <w:sz w:val="21"/>
                      <w:szCs w:val="21"/>
                    </w:rPr>
                    <w:t>交由环卫部门处理</w:t>
                  </w:r>
                </w:p>
              </w:tc>
            </w:tr>
          </w:tbl>
          <w:p>
            <w:pPr>
              <w:pStyle w:val="4"/>
              <w:pageBreakBefore w:val="0"/>
              <w:widowControl w:val="0"/>
              <w:kinsoku/>
              <w:wordWrap/>
              <w:topLinePunct w:val="0"/>
              <w:autoSpaceDE/>
              <w:autoSpaceDN/>
              <w:bidi w:val="0"/>
              <w:adjustRightInd/>
              <w:snapToGrid w:val="0"/>
              <w:spacing w:before="0" w:after="0"/>
              <w:jc w:val="left"/>
              <w:textAlignment w:val="auto"/>
              <w:rPr>
                <w:highlight w:val="none"/>
              </w:rPr>
            </w:pPr>
            <w:r>
              <w:rPr>
                <w:rFonts w:hint="eastAsia"/>
                <w:highlight w:val="none"/>
              </w:rPr>
              <w:t>4.</w:t>
            </w:r>
            <w:r>
              <w:rPr>
                <w:rFonts w:hint="eastAsia"/>
                <w:highlight w:val="none"/>
                <w:lang w:val="en-US" w:eastAsia="zh-CN"/>
              </w:rPr>
              <w:t>5</w:t>
            </w:r>
            <w:r>
              <w:rPr>
                <w:rFonts w:hint="eastAsia"/>
                <w:highlight w:val="none"/>
              </w:rPr>
              <w:t>.2固体废物防治措施及环境管理要求</w:t>
            </w:r>
          </w:p>
          <w:p>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ascii="宋体" w:hAnsi="宋体" w:eastAsia="宋体" w:cs="宋体"/>
                <w:sz w:val="24"/>
                <w:szCs w:val="24"/>
              </w:rPr>
              <w:t>建设项目危险废物的管理和防治应按《危险废物规范化管理指标体系》进行：</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建立固废防治责任制度</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ascii="宋体" w:hAnsi="宋体" w:eastAsia="宋体" w:cs="宋体"/>
                <w:sz w:val="24"/>
                <w:szCs w:val="24"/>
              </w:rPr>
              <w:t>企业按要求建立、健全污染环境防治责任制度，明确责任人。负责人熟悉危废管理相关法规、制度、标准、规范。</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建立标识制度</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ascii="宋体" w:hAnsi="宋体" w:eastAsia="宋体" w:cs="宋体"/>
                <w:sz w:val="24"/>
                <w:szCs w:val="24"/>
              </w:rPr>
              <w:t>根据《危险废物贮存污染控制标准》（GB18597-2001）附录A所示标签，危险废物的容器和包装物必须设置危险废物识别标志，收集、贮存、运输、利用、处置危险废物的设施、场所显著位置张贴危险废物的标识，需根据《危险废物贮存污染控制标准》（GB18597-2001）附录A和《环境保护图形标志(GB15562－1995)》所示标签设置危险废物识别。</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制定危险废物管理计划</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ascii="宋体" w:hAnsi="宋体" w:eastAsia="宋体" w:cs="宋体"/>
                <w:sz w:val="24"/>
                <w:szCs w:val="24"/>
              </w:rPr>
              <w:t>按要求制定危险废物管理计划，计划涵盖危险废物的产生环节、种类、危害特性、产生量、利用处置方式并报环保部门备案，如发生重大改变及时申报。</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建立申报制度</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ascii="宋体" w:hAnsi="宋体" w:eastAsia="宋体" w:cs="宋体"/>
                <w:sz w:val="24"/>
                <w:szCs w:val="24"/>
              </w:rPr>
              <w:t>如实地向所在地县级以上地方人民政府环境保护行政主管部门申报危险废物的种类、产生量、流向、贮存、处置等有关资料，申报事项有重大变化的，应当及时申报。</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源头分类制度</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ascii="宋体" w:hAnsi="宋体" w:eastAsia="宋体" w:cs="宋体"/>
                <w:sz w:val="24"/>
                <w:szCs w:val="24"/>
              </w:rPr>
              <w:t>危险废物按种类分别存放，且不同类废物间有明显的间隔（如过道等）。</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ascii="宋体" w:hAnsi="宋体" w:eastAsia="宋体" w:cs="宋体"/>
                <w:sz w:val="24"/>
                <w:szCs w:val="24"/>
              </w:rPr>
              <w:t>转移联单制度</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ascii="宋体" w:hAnsi="宋体" w:eastAsia="宋体" w:cs="宋体"/>
                <w:sz w:val="24"/>
                <w:szCs w:val="24"/>
              </w:rPr>
              <w:t>在转移危险废物前，向环保部门报批危险废物转移计划，并得到批准；转移的危险废物按照《危险废物转移联单管理办法》有关规定，如实填写转移联单中产生的单位栏目，加盖公章；转移联单保存齐全。</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ascii="宋体" w:hAnsi="宋体" w:eastAsia="宋体" w:cs="宋体"/>
                <w:sz w:val="24"/>
                <w:szCs w:val="24"/>
              </w:rPr>
              <w:t>经营许可证制度</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ascii="宋体" w:hAnsi="宋体" w:eastAsia="宋体" w:cs="宋体"/>
                <w:sz w:val="24"/>
                <w:szCs w:val="24"/>
              </w:rPr>
              <w:t>转移的危险废物全部提供或委托给持危险废物经营许可证的单位从事收集、贮存、利用、处置的活动，有与持危险废物经营许可证的单位签订的合同。</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ascii="宋体" w:hAnsi="宋体" w:eastAsia="宋体" w:cs="宋体"/>
                <w:sz w:val="24"/>
                <w:szCs w:val="24"/>
              </w:rPr>
              <w:t>应急预案备案制度</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ascii="宋体" w:hAnsi="宋体" w:eastAsia="宋体" w:cs="宋体"/>
                <w:sz w:val="24"/>
                <w:szCs w:val="24"/>
              </w:rPr>
              <w:t>制定意外事故的防范措施和应急预案（综合性应急预案有关篇章或有专门应急预案），并向当地环保部门备案，按照预案要求每年组织应急演练。</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ascii="宋体" w:hAnsi="宋体" w:eastAsia="宋体" w:cs="宋体"/>
                <w:sz w:val="24"/>
                <w:szCs w:val="24"/>
              </w:rPr>
              <w:t>业务培训</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ascii="宋体" w:hAnsi="宋体" w:eastAsia="宋体" w:cs="宋体"/>
                <w:sz w:val="24"/>
                <w:szCs w:val="24"/>
              </w:rPr>
              <w:t>危险废物产生单位应对本单位工作人员进行培训，掌握国家有关法律法规、规章和有关规范性文件的规定；熟悉本单位制定的危险废物管理规章制度、工作流程和应急预案等各项要求；掌握危险废物分类收集、运输、暂存的正确方法和操作程序。</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ascii="宋体" w:hAnsi="宋体" w:eastAsia="宋体" w:cs="宋体"/>
                <w:sz w:val="24"/>
                <w:szCs w:val="24"/>
              </w:rPr>
              <w:t>贮存设施管理</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ascii="宋体" w:hAnsi="宋体" w:eastAsia="宋体" w:cs="宋体"/>
                <w:sz w:val="24"/>
                <w:szCs w:val="24"/>
              </w:rPr>
            </w:pPr>
            <w:r>
              <w:rPr>
                <w:rFonts w:ascii="宋体" w:hAnsi="宋体" w:eastAsia="宋体" w:cs="宋体"/>
                <w:sz w:val="24"/>
                <w:szCs w:val="24"/>
              </w:rPr>
              <w:t>按照《危险废物贮存污染控制标准》的要求：贮存场所地面作硬化及防渗处理；场所应有雨棚、围堰或围墙；设置废水导排管道或渠道，将废水纳入企业废水处理设施或危险废物管理；装载危险废物的容器完好无损。建立危险废物贮存台账，并如实和规范记录危险废物贮存情况。</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以上《危险废物规范化管理指标体系》相关内容应作为“三同时”环保竣工验收内容。</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pPr>
            <w:r>
              <w:rPr>
                <w:rFonts w:ascii="宋体" w:hAnsi="宋体" w:eastAsia="宋体" w:cs="宋体"/>
                <w:sz w:val="24"/>
                <w:szCs w:val="24"/>
              </w:rPr>
              <w:t>本项目固体废物综合处置率达100%，在落实好危险固废安全处置的情况下，不会造成二次污染，不会对周围环境造成影响，固废防治措施是可行的。</w:t>
            </w:r>
          </w:p>
          <w:p>
            <w:pPr>
              <w:pStyle w:val="3"/>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4.</w:t>
            </w:r>
            <w:r>
              <w:rPr>
                <w:rFonts w:hint="eastAsia"/>
                <w:color w:val="auto"/>
                <w:lang w:val="en-US" w:eastAsia="zh-CN"/>
              </w:rPr>
              <w:t>6</w:t>
            </w:r>
            <w:r>
              <w:rPr>
                <w:rFonts w:hint="eastAsia"/>
                <w:color w:val="auto"/>
              </w:rPr>
              <w:t>环境风险</w:t>
            </w:r>
          </w:p>
          <w:p>
            <w:pPr>
              <w:pageBreakBefore w:val="0"/>
              <w:widowControl w:val="0"/>
              <w:kinsoku/>
              <w:wordWrap/>
              <w:topLinePunct w:val="0"/>
              <w:autoSpaceDE/>
              <w:autoSpaceDN/>
              <w:bidi w:val="0"/>
              <w:adjustRightInd/>
              <w:snapToGrid w:val="0"/>
              <w:ind w:firstLine="480"/>
              <w:jc w:val="left"/>
              <w:textAlignment w:val="auto"/>
            </w:pPr>
            <w:r>
              <w:rPr>
                <w:rFonts w:hint="eastAsia"/>
              </w:rPr>
              <w:t>根据《建设项目环境风险评价技术导则》（HJ169-2018）、《关于切实加强风险防范严格环境影响评价管理的通知》（环发[2012]98号）、《关于进一步加强环境影响评价管理防范环境风险的通知》（环发[2012]77号）等要求，对本项目进行环境风险评价，通过对建设项目的环境风险进行分析、预测和评估，提出环境风险预防、控制、减缓措施，明确环境风险监控及应急建议要求，为建设项目环境风险防控提出科学依据。</w:t>
            </w:r>
          </w:p>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4.</w:t>
            </w:r>
            <w:r>
              <w:rPr>
                <w:rFonts w:hint="eastAsia"/>
                <w:lang w:val="en-US" w:eastAsia="zh-CN"/>
              </w:rPr>
              <w:t>6</w:t>
            </w:r>
            <w:r>
              <w:rPr>
                <w:rFonts w:hint="eastAsia"/>
              </w:rPr>
              <w:t>.1风险物质识别</w:t>
            </w:r>
          </w:p>
          <w:p>
            <w:pPr>
              <w:pageBreakBefore w:val="0"/>
              <w:widowControl w:val="0"/>
              <w:kinsoku/>
              <w:wordWrap/>
              <w:topLinePunct w:val="0"/>
              <w:autoSpaceDE/>
              <w:autoSpaceDN/>
              <w:bidi w:val="0"/>
              <w:adjustRightInd/>
              <w:snapToGrid w:val="0"/>
              <w:ind w:firstLine="480"/>
              <w:jc w:val="left"/>
              <w:textAlignment w:val="auto"/>
            </w:pPr>
            <w:r>
              <w:rPr>
                <w:rFonts w:hint="eastAsia"/>
              </w:rPr>
              <w:t>本项目可能发生的环境风险事故为原辅材料（</w:t>
            </w:r>
            <w:r>
              <w:rPr>
                <w:rFonts w:hint="eastAsia"/>
                <w:lang w:eastAsia="zh-CN"/>
              </w:rPr>
              <w:t>岩棉、玻璃丝绵</w:t>
            </w:r>
            <w:r>
              <w:rPr>
                <w:rFonts w:hint="eastAsia"/>
              </w:rPr>
              <w:t>）</w:t>
            </w:r>
            <w:r>
              <w:rPr>
                <w:rFonts w:hint="eastAsia"/>
                <w:lang w:eastAsia="zh-CN"/>
              </w:rPr>
              <w:t>和</w:t>
            </w:r>
            <w:r>
              <w:rPr>
                <w:rFonts w:hint="eastAsia"/>
              </w:rPr>
              <w:t>成品</w:t>
            </w:r>
            <w:r>
              <w:rPr>
                <w:rFonts w:hint="eastAsia"/>
                <w:lang w:eastAsia="zh-CN"/>
              </w:rPr>
              <w:t>聚氨酯封边岩棉夹芯</w:t>
            </w:r>
            <w:r>
              <w:rPr>
                <w:rFonts w:hint="eastAsia"/>
              </w:rPr>
              <w:t>板发生火灾事故，对事故区域以及周边区域环境质量产生影响。本项目生产过程中并未使用风险物质，原材料（</w:t>
            </w:r>
            <w:r>
              <w:rPr>
                <w:rFonts w:hint="eastAsia"/>
                <w:lang w:eastAsia="zh-CN"/>
              </w:rPr>
              <w:t>岩棉、玻璃丝绵</w:t>
            </w:r>
            <w:r>
              <w:rPr>
                <w:rFonts w:hint="eastAsia"/>
              </w:rPr>
              <w:t>）</w:t>
            </w:r>
            <w:r>
              <w:rPr>
                <w:rFonts w:hint="eastAsia"/>
                <w:lang w:eastAsia="zh-CN"/>
              </w:rPr>
              <w:t>和</w:t>
            </w:r>
            <w:r>
              <w:rPr>
                <w:rFonts w:hint="eastAsia"/>
              </w:rPr>
              <w:t>成品</w:t>
            </w:r>
            <w:r>
              <w:rPr>
                <w:rFonts w:hint="eastAsia"/>
                <w:lang w:eastAsia="zh-CN"/>
              </w:rPr>
              <w:t>聚氨酯封边岩棉夹芯</w:t>
            </w:r>
            <w:r>
              <w:rPr>
                <w:rFonts w:hint="eastAsia"/>
              </w:rPr>
              <w:t>板属于可燃性危险源。</w:t>
            </w:r>
          </w:p>
          <w:p>
            <w:pPr>
              <w:pageBreakBefore w:val="0"/>
              <w:widowControl w:val="0"/>
              <w:kinsoku/>
              <w:wordWrap/>
              <w:topLinePunct w:val="0"/>
              <w:autoSpaceDE/>
              <w:autoSpaceDN/>
              <w:bidi w:val="0"/>
              <w:adjustRightInd/>
              <w:snapToGrid w:val="0"/>
              <w:ind w:firstLine="480"/>
              <w:jc w:val="left"/>
              <w:textAlignment w:val="auto"/>
            </w:pPr>
            <w:r>
              <w:rPr>
                <w:rFonts w:hint="eastAsia"/>
              </w:rPr>
              <w:t>根据《建设项目环境风险评价技术导则》（HJ169-2018）附录B、《危险化学品重大危险源辨识》（GB18218-2018）和《危险化学品目录（2015版）》的有关规定，本项目在生产过程中使用的主要原材料为</w:t>
            </w:r>
            <w:r>
              <w:rPr>
                <w:rFonts w:hint="eastAsia"/>
                <w:lang w:eastAsia="zh-CN"/>
              </w:rPr>
              <w:t>岩棉和玻璃丝绵</w:t>
            </w:r>
            <w:r>
              <w:rPr>
                <w:rFonts w:hint="eastAsia"/>
              </w:rPr>
              <w:t>，成品为</w:t>
            </w:r>
            <w:r>
              <w:rPr>
                <w:rFonts w:hint="eastAsia"/>
                <w:lang w:eastAsia="zh-CN"/>
              </w:rPr>
              <w:t>聚氨酯封边岩棉夹芯</w:t>
            </w:r>
            <w:r>
              <w:rPr>
                <w:rFonts w:hint="eastAsia"/>
              </w:rPr>
              <w:t>板，未被列入《建设项目环境风险评价技术导则》（HJ169-2018）附录B和《危险化学品重大危险源辨识》（GB18218-2018）监控目录，属非重大危险源。</w:t>
            </w:r>
          </w:p>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4.</w:t>
            </w:r>
            <w:r>
              <w:rPr>
                <w:rFonts w:hint="eastAsia"/>
                <w:lang w:val="en-US" w:eastAsia="zh-CN"/>
              </w:rPr>
              <w:t>6</w:t>
            </w:r>
            <w:r>
              <w:rPr>
                <w:rFonts w:hint="eastAsia"/>
              </w:rPr>
              <w:t>.2风险潜势初判</w:t>
            </w:r>
          </w:p>
          <w:p>
            <w:pPr>
              <w:pageBreakBefore w:val="0"/>
              <w:widowControl w:val="0"/>
              <w:kinsoku/>
              <w:wordWrap/>
              <w:topLinePunct w:val="0"/>
              <w:autoSpaceDE/>
              <w:autoSpaceDN/>
              <w:bidi w:val="0"/>
              <w:adjustRightInd/>
              <w:snapToGrid w:val="0"/>
              <w:ind w:firstLine="480"/>
              <w:jc w:val="left"/>
              <w:textAlignment w:val="auto"/>
            </w:pPr>
            <w:r>
              <w:rPr>
                <w:rFonts w:hint="eastAsia"/>
              </w:rPr>
              <w:t>根据《建设项目环境风险评价技术导则》（HJ169-2018）中附录C的规定：计算项目所涉及的每种危险物质在厂界内的最大存在总量与其在附录B中对应临界量的比值Q。当只涉及一种危险物质时，计算该物质的总量与其临界量的比值，即为Q。单元内存在多种危险物质，重大危险源判定按下面公式进行，若满足下面公式，则定为重大危险源：</w:t>
            </w:r>
          </w:p>
          <w:p>
            <w:pPr>
              <w:pageBreakBefore w:val="0"/>
              <w:widowControl w:val="0"/>
              <w:kinsoku/>
              <w:wordWrap/>
              <w:topLinePunct w:val="0"/>
              <w:autoSpaceDE/>
              <w:autoSpaceDN/>
              <w:bidi w:val="0"/>
              <w:adjustRightInd/>
              <w:snapToGrid w:val="0"/>
              <w:ind w:firstLine="0" w:firstLineChars="0"/>
              <w:jc w:val="center"/>
              <w:textAlignment w:val="auto"/>
            </w:pPr>
            <w:r>
              <w:rPr>
                <w:position w:val="-35"/>
              </w:rPr>
              <w:object>
                <v:shape id="_x0000_i1029" o:spt="75" type="#_x0000_t75" style="height:42.6pt;width:153.8pt;" o:ole="t" filled="f" o:preferrelative="t" stroked="f" coordsize="21600,21600">
                  <v:path/>
                  <v:fill on="f" focussize="0,0"/>
                  <v:stroke on="f" joinstyle="miter"/>
                  <v:imagedata r:id="rId29" o:title=""/>
                  <o:lock v:ext="edit" aspectratio="t"/>
                  <w10:wrap type="none"/>
                  <w10:anchorlock/>
                </v:shape>
                <o:OLEObject Type="Embed" ProgID="Equation.AxMath" ShapeID="_x0000_i1029" DrawAspect="Content" ObjectID="_1468075729" r:id="rId28">
                  <o:LockedField>false</o:LockedField>
                </o:OLEObject>
              </w:object>
            </w:r>
          </w:p>
          <w:p>
            <w:pPr>
              <w:pageBreakBefore w:val="0"/>
              <w:widowControl w:val="0"/>
              <w:kinsoku/>
              <w:wordWrap/>
              <w:topLinePunct w:val="0"/>
              <w:autoSpaceDE/>
              <w:autoSpaceDN/>
              <w:bidi w:val="0"/>
              <w:adjustRightInd/>
              <w:snapToGrid w:val="0"/>
              <w:ind w:firstLine="480"/>
              <w:jc w:val="left"/>
              <w:textAlignment w:val="auto"/>
            </w:pPr>
            <w:r>
              <w:rPr>
                <w:rFonts w:hint="eastAsia"/>
              </w:rPr>
              <w:t>式中：q</w:t>
            </w:r>
            <w:r>
              <w:rPr>
                <w:rFonts w:hint="eastAsia"/>
                <w:vertAlign w:val="subscript"/>
              </w:rPr>
              <w:t>1</w:t>
            </w:r>
            <w:r>
              <w:rPr>
                <w:rFonts w:hint="eastAsia"/>
              </w:rPr>
              <w:t>、q</w:t>
            </w:r>
            <w:r>
              <w:rPr>
                <w:rFonts w:hint="eastAsia"/>
                <w:vertAlign w:val="subscript"/>
              </w:rPr>
              <w:t>2</w:t>
            </w:r>
            <w:r>
              <w:rPr>
                <w:rFonts w:hint="eastAsia"/>
              </w:rPr>
              <w:t>‥‥q</w:t>
            </w:r>
            <w:r>
              <w:rPr>
                <w:rFonts w:hint="eastAsia"/>
                <w:vertAlign w:val="subscript"/>
              </w:rPr>
              <w:t>n</w:t>
            </w:r>
            <w:r>
              <w:rPr>
                <w:rFonts w:hint="eastAsia"/>
              </w:rPr>
              <w:t>——每种危险物质的最大存在总量，t；</w:t>
            </w:r>
          </w:p>
          <w:p>
            <w:pPr>
              <w:pageBreakBefore w:val="0"/>
              <w:widowControl w:val="0"/>
              <w:kinsoku/>
              <w:wordWrap/>
              <w:topLinePunct w:val="0"/>
              <w:autoSpaceDE/>
              <w:autoSpaceDN/>
              <w:bidi w:val="0"/>
              <w:adjustRightInd/>
              <w:snapToGrid w:val="0"/>
              <w:ind w:firstLine="1200" w:firstLineChars="500"/>
              <w:jc w:val="left"/>
              <w:textAlignment w:val="auto"/>
            </w:pPr>
            <w:r>
              <w:rPr>
                <w:rFonts w:hint="eastAsia"/>
              </w:rPr>
              <w:t>Q</w:t>
            </w:r>
            <w:r>
              <w:rPr>
                <w:rFonts w:hint="eastAsia"/>
                <w:vertAlign w:val="subscript"/>
              </w:rPr>
              <w:t>1</w:t>
            </w:r>
            <w:r>
              <w:rPr>
                <w:rFonts w:hint="eastAsia"/>
              </w:rPr>
              <w:t>、Q</w:t>
            </w:r>
            <w:r>
              <w:rPr>
                <w:rFonts w:hint="eastAsia"/>
                <w:vertAlign w:val="subscript"/>
              </w:rPr>
              <w:t>2</w:t>
            </w:r>
            <w:r>
              <w:rPr>
                <w:rFonts w:hint="eastAsia"/>
              </w:rPr>
              <w:t>‥‥Q</w:t>
            </w:r>
            <w:r>
              <w:rPr>
                <w:rFonts w:hint="eastAsia"/>
                <w:vertAlign w:val="subscript"/>
              </w:rPr>
              <w:t>n</w:t>
            </w:r>
            <w:r>
              <w:rPr>
                <w:rFonts w:hint="eastAsia"/>
              </w:rPr>
              <w:t>——每种危险物质的临界量，t。</w:t>
            </w:r>
          </w:p>
          <w:p>
            <w:pPr>
              <w:pageBreakBefore w:val="0"/>
              <w:widowControl w:val="0"/>
              <w:kinsoku/>
              <w:wordWrap/>
              <w:topLinePunct w:val="0"/>
              <w:autoSpaceDE/>
              <w:autoSpaceDN/>
              <w:bidi w:val="0"/>
              <w:adjustRightInd/>
              <w:snapToGrid w:val="0"/>
              <w:ind w:firstLine="480"/>
              <w:jc w:val="left"/>
              <w:textAlignment w:val="auto"/>
            </w:pPr>
            <w:r>
              <w:rPr>
                <w:rFonts w:hint="eastAsia"/>
              </w:rPr>
              <w:t>根据《建设项目环境风险评价技术导则》（HJ169-2018），本项目在生产过程中使用的主要原材料为</w:t>
            </w:r>
            <w:r>
              <w:rPr>
                <w:rFonts w:hint="eastAsia"/>
                <w:lang w:eastAsia="zh-CN"/>
              </w:rPr>
              <w:t>岩棉、玻璃丝绵</w:t>
            </w:r>
            <w:r>
              <w:rPr>
                <w:rFonts w:hint="eastAsia"/>
              </w:rPr>
              <w:t>，成品为</w:t>
            </w:r>
            <w:r>
              <w:rPr>
                <w:rFonts w:hint="eastAsia"/>
                <w:lang w:eastAsia="zh-CN"/>
              </w:rPr>
              <w:t>聚氨酯封边岩棉夹芯</w:t>
            </w:r>
            <w:r>
              <w:rPr>
                <w:rFonts w:hint="eastAsia"/>
              </w:rPr>
              <w:t>板，均未被列入《危险化学品重大危险源辨识》（GB18218-2018）监控目录，不构成重大危险源，其存储量和临界量比值（Q）＜1，该项目环境风险潜势为Ⅰ。</w:t>
            </w:r>
          </w:p>
          <w:p>
            <w:pPr>
              <w:pStyle w:val="4"/>
              <w:pageBreakBefore w:val="0"/>
              <w:widowControl w:val="0"/>
              <w:kinsoku/>
              <w:wordWrap/>
              <w:topLinePunct w:val="0"/>
              <w:autoSpaceDE/>
              <w:autoSpaceDN/>
              <w:bidi w:val="0"/>
              <w:adjustRightInd/>
              <w:snapToGrid w:val="0"/>
              <w:spacing w:before="0" w:after="0"/>
              <w:jc w:val="left"/>
              <w:textAlignment w:val="auto"/>
            </w:pPr>
            <w:r>
              <w:rPr>
                <w:rFonts w:hint="eastAsia"/>
              </w:rPr>
              <w:t>4.</w:t>
            </w:r>
            <w:r>
              <w:rPr>
                <w:rFonts w:hint="eastAsia"/>
                <w:lang w:val="en-US" w:eastAsia="zh-CN"/>
              </w:rPr>
              <w:t>6</w:t>
            </w:r>
            <w:r>
              <w:rPr>
                <w:rFonts w:hint="eastAsia"/>
              </w:rPr>
              <w:t>.3环境风险评价工作等级</w:t>
            </w:r>
          </w:p>
          <w:p>
            <w:pPr>
              <w:pageBreakBefore w:val="0"/>
              <w:widowControl w:val="0"/>
              <w:kinsoku/>
              <w:wordWrap/>
              <w:topLinePunct w:val="0"/>
              <w:autoSpaceDE/>
              <w:autoSpaceDN/>
              <w:bidi w:val="0"/>
              <w:adjustRightInd/>
              <w:snapToGrid w:val="0"/>
              <w:ind w:firstLine="480"/>
              <w:jc w:val="left"/>
              <w:textAlignment w:val="auto"/>
            </w:pPr>
            <w:r>
              <w:rPr>
                <w:rFonts w:hint="eastAsia"/>
              </w:rPr>
              <w:t>根据《建设项目环境风险评价技术导则》（HJ169-2018）环境风险评价工作等级划分为一级、二级、三级。根据建设项目涉及的物质及工艺系统危险性和所在地的环境敏感性确定环境风险潜势，确定评价工作等级。风险潜势为Ⅳ及以上，进行一级评价；风险潜势为Ⅲ，进行二级评价；风险潜势为Ⅱ，进行三级评价；风险潜势为Ⅰ，可开展简单分析。评价工作等级的划分依据具体见表</w:t>
            </w:r>
            <w:r>
              <w:rPr>
                <w:rFonts w:hint="eastAsia"/>
                <w:lang w:val="en-US" w:eastAsia="zh-CN"/>
              </w:rPr>
              <w:t>46</w:t>
            </w:r>
            <w:r>
              <w:rPr>
                <w:rFonts w:hint="eastAsia"/>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 xml:space="preserve">46 </w:t>
            </w:r>
            <w:r>
              <w:rPr>
                <w:rFonts w:hint="eastAsia" w:asciiTheme="minorEastAsia" w:hAnsiTheme="minorEastAsia" w:eastAsiaTheme="minorEastAsia" w:cstheme="minorEastAsia"/>
                <w:sz w:val="21"/>
                <w:szCs w:val="21"/>
              </w:rPr>
              <w:t xml:space="preserve"> 评价工作等级划分表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5"/>
              <w:gridCol w:w="1585"/>
              <w:gridCol w:w="158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 w:val="21"/>
                    </w:rPr>
                  </w:pPr>
                  <w:r>
                    <w:rPr>
                      <w:rFonts w:hint="eastAsia"/>
                      <w:sz w:val="21"/>
                    </w:rPr>
                    <w:t>环境风险潜势</w:t>
                  </w:r>
                </w:p>
              </w:tc>
              <w:tc>
                <w:tcPr>
                  <w:tcW w:w="9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 w:val="21"/>
                    </w:rPr>
                  </w:pPr>
                  <w:r>
                    <w:rPr>
                      <w:rFonts w:hint="eastAsia"/>
                      <w:sz w:val="21"/>
                    </w:rPr>
                    <w:t>Ⅳ、Ⅳ</w:t>
                  </w:r>
                  <w:r>
                    <w:rPr>
                      <w:rFonts w:hint="eastAsia"/>
                      <w:sz w:val="21"/>
                      <w:vertAlign w:val="superscript"/>
                    </w:rPr>
                    <w:t>+</w:t>
                  </w:r>
                </w:p>
              </w:tc>
              <w:tc>
                <w:tcPr>
                  <w:tcW w:w="9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 w:val="21"/>
                    </w:rPr>
                  </w:pPr>
                  <w:r>
                    <w:rPr>
                      <w:rFonts w:hint="eastAsia"/>
                      <w:sz w:val="21"/>
                    </w:rPr>
                    <w:t>Ⅲ</w:t>
                  </w:r>
                </w:p>
              </w:tc>
              <w:tc>
                <w:tcPr>
                  <w:tcW w:w="9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 w:val="21"/>
                    </w:rPr>
                  </w:pPr>
                  <w:r>
                    <w:rPr>
                      <w:rFonts w:hint="eastAsia"/>
                      <w:sz w:val="21"/>
                    </w:rPr>
                    <w:t>Ⅱ</w:t>
                  </w:r>
                </w:p>
              </w:tc>
              <w:tc>
                <w:tcPr>
                  <w:tcW w:w="10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 w:val="21"/>
                    </w:rPr>
                  </w:pPr>
                  <w:r>
                    <w:rPr>
                      <w:rFonts w:hint="eastAsia"/>
                      <w:sz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99" w:type="pct"/>
                  <w:tcBorders>
                    <w:tl2br w:val="nil"/>
                    <w:tr2bl w:val="nil"/>
                  </w:tcBorders>
                  <w:vAlign w:val="center"/>
                </w:tcPr>
                <w:p>
                  <w:pPr>
                    <w:spacing w:line="240" w:lineRule="auto"/>
                    <w:ind w:firstLine="0" w:firstLineChars="0"/>
                    <w:jc w:val="center"/>
                    <w:rPr>
                      <w:sz w:val="21"/>
                    </w:rPr>
                  </w:pPr>
                  <w:r>
                    <w:rPr>
                      <w:rFonts w:hint="eastAsia"/>
                      <w:sz w:val="21"/>
                    </w:rPr>
                    <w:t>评价工作等级</w:t>
                  </w:r>
                </w:p>
              </w:tc>
              <w:tc>
                <w:tcPr>
                  <w:tcW w:w="999" w:type="pct"/>
                  <w:tcBorders>
                    <w:tl2br w:val="nil"/>
                    <w:tr2bl w:val="nil"/>
                  </w:tcBorders>
                  <w:vAlign w:val="center"/>
                </w:tcPr>
                <w:p>
                  <w:pPr>
                    <w:spacing w:line="240" w:lineRule="auto"/>
                    <w:ind w:firstLine="0" w:firstLineChars="0"/>
                    <w:jc w:val="center"/>
                    <w:rPr>
                      <w:sz w:val="21"/>
                    </w:rPr>
                  </w:pPr>
                  <w:r>
                    <w:rPr>
                      <w:rFonts w:hint="eastAsia"/>
                      <w:sz w:val="21"/>
                    </w:rPr>
                    <w:t>一</w:t>
                  </w:r>
                </w:p>
              </w:tc>
              <w:tc>
                <w:tcPr>
                  <w:tcW w:w="999" w:type="pct"/>
                  <w:tcBorders>
                    <w:tl2br w:val="nil"/>
                    <w:tr2bl w:val="nil"/>
                  </w:tcBorders>
                  <w:vAlign w:val="center"/>
                </w:tcPr>
                <w:p>
                  <w:pPr>
                    <w:spacing w:line="240" w:lineRule="auto"/>
                    <w:ind w:firstLine="0" w:firstLineChars="0"/>
                    <w:jc w:val="center"/>
                    <w:rPr>
                      <w:sz w:val="21"/>
                    </w:rPr>
                  </w:pPr>
                  <w:r>
                    <w:rPr>
                      <w:rFonts w:hint="eastAsia"/>
                      <w:sz w:val="21"/>
                    </w:rPr>
                    <w:t>二</w:t>
                  </w:r>
                </w:p>
              </w:tc>
              <w:tc>
                <w:tcPr>
                  <w:tcW w:w="999" w:type="pct"/>
                  <w:tcBorders>
                    <w:tl2br w:val="nil"/>
                    <w:tr2bl w:val="nil"/>
                  </w:tcBorders>
                  <w:vAlign w:val="center"/>
                </w:tcPr>
                <w:p>
                  <w:pPr>
                    <w:spacing w:line="240" w:lineRule="auto"/>
                    <w:ind w:firstLine="0" w:firstLineChars="0"/>
                    <w:jc w:val="center"/>
                    <w:rPr>
                      <w:sz w:val="21"/>
                    </w:rPr>
                  </w:pPr>
                  <w:r>
                    <w:rPr>
                      <w:rFonts w:hint="eastAsia"/>
                      <w:sz w:val="21"/>
                    </w:rPr>
                    <w:t>三</w:t>
                  </w:r>
                </w:p>
              </w:tc>
              <w:tc>
                <w:tcPr>
                  <w:tcW w:w="1001" w:type="pct"/>
                  <w:tcBorders>
                    <w:tl2br w:val="nil"/>
                    <w:tr2bl w:val="nil"/>
                  </w:tcBorders>
                  <w:vAlign w:val="center"/>
                </w:tcPr>
                <w:p>
                  <w:pPr>
                    <w:spacing w:line="240" w:lineRule="auto"/>
                    <w:ind w:firstLine="0" w:firstLineChars="0"/>
                    <w:jc w:val="center"/>
                    <w:rPr>
                      <w:sz w:val="21"/>
                    </w:rPr>
                  </w:pPr>
                  <w:r>
                    <w:rPr>
                      <w:rFonts w:hint="eastAsia"/>
                      <w:sz w:val="21"/>
                    </w:rPr>
                    <w:t>简单分析</w:t>
                  </w:r>
                  <w:r>
                    <w:rPr>
                      <w:rFonts w:hint="eastAsia"/>
                      <w:sz w:val="21"/>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000" w:type="pct"/>
                  <w:gridSpan w:val="5"/>
                  <w:tcBorders>
                    <w:tl2br w:val="nil"/>
                    <w:tr2bl w:val="nil"/>
                  </w:tcBorders>
                  <w:vAlign w:val="center"/>
                </w:tcPr>
                <w:p>
                  <w:pPr>
                    <w:spacing w:line="240" w:lineRule="auto"/>
                    <w:ind w:firstLine="0" w:firstLineChars="0"/>
                    <w:jc w:val="left"/>
                    <w:rPr>
                      <w:sz w:val="21"/>
                    </w:rPr>
                  </w:pPr>
                  <w:r>
                    <w:rPr>
                      <w:rFonts w:hint="eastAsia"/>
                      <w:sz w:val="21"/>
                    </w:rPr>
                    <w:t>a是相对于详细评价工作内容而言，在描述危险物质、环境影响途径、环境危害后果、风险防范措施等方面给出定性的说明。</w:t>
                  </w:r>
                </w:p>
              </w:tc>
            </w:tr>
          </w:tbl>
          <w:p>
            <w:pPr>
              <w:pageBreakBefore w:val="0"/>
              <w:widowControl w:val="0"/>
              <w:kinsoku/>
              <w:wordWrap/>
              <w:overflowPunct/>
              <w:topLinePunct w:val="0"/>
              <w:autoSpaceDE/>
              <w:autoSpaceDN/>
              <w:bidi w:val="0"/>
              <w:adjustRightInd/>
              <w:snapToGrid w:val="0"/>
              <w:ind w:firstLine="480"/>
              <w:jc w:val="left"/>
              <w:textAlignment w:val="auto"/>
            </w:pPr>
            <w:r>
              <w:rPr>
                <w:rFonts w:hint="eastAsia"/>
              </w:rPr>
              <w:t>根据《建设项目环境风险评价技术导则》（HJ169-2018）中的规定，项目未构成重大危险源，项目环境风险潜势为Ⅰ级，因此确定本项目的环境风险评价等级为简单分析。</w:t>
            </w:r>
          </w:p>
          <w:p>
            <w:pPr>
              <w:pStyle w:val="4"/>
              <w:pageBreakBefore w:val="0"/>
              <w:widowControl w:val="0"/>
              <w:kinsoku/>
              <w:wordWrap/>
              <w:overflowPunct/>
              <w:topLinePunct w:val="0"/>
              <w:autoSpaceDE/>
              <w:autoSpaceDN/>
              <w:bidi w:val="0"/>
              <w:adjustRightInd/>
              <w:snapToGrid w:val="0"/>
              <w:spacing w:before="0" w:after="0"/>
              <w:jc w:val="left"/>
              <w:textAlignment w:val="auto"/>
            </w:pPr>
            <w:r>
              <w:rPr>
                <w:rFonts w:hint="eastAsia"/>
              </w:rPr>
              <w:t>4.</w:t>
            </w:r>
            <w:r>
              <w:rPr>
                <w:rFonts w:hint="eastAsia"/>
                <w:lang w:val="en-US" w:eastAsia="zh-CN"/>
              </w:rPr>
              <w:t>6</w:t>
            </w:r>
            <w:r>
              <w:rPr>
                <w:rFonts w:hint="eastAsia"/>
              </w:rPr>
              <w:t>.4环境敏感目标</w:t>
            </w:r>
          </w:p>
          <w:p>
            <w:pPr>
              <w:pageBreakBefore w:val="0"/>
              <w:widowControl w:val="0"/>
              <w:kinsoku/>
              <w:wordWrap/>
              <w:overflowPunct/>
              <w:topLinePunct w:val="0"/>
              <w:autoSpaceDE/>
              <w:autoSpaceDN/>
              <w:bidi w:val="0"/>
              <w:adjustRightInd/>
              <w:snapToGrid w:val="0"/>
              <w:ind w:firstLine="480"/>
              <w:jc w:val="left"/>
              <w:textAlignment w:val="auto"/>
              <w:rPr>
                <w:rFonts w:hint="default" w:eastAsia="宋体"/>
                <w:lang w:val="en-US" w:eastAsia="zh-CN"/>
              </w:rPr>
            </w:pPr>
            <w:r>
              <w:rPr>
                <w:rFonts w:hint="eastAsia"/>
                <w:lang w:eastAsia="zh-CN"/>
              </w:rPr>
              <w:t>无</w:t>
            </w:r>
            <w:r>
              <w:rPr>
                <w:rFonts w:hint="eastAsia"/>
              </w:rPr>
              <w:t>。</w:t>
            </w:r>
          </w:p>
          <w:p>
            <w:pPr>
              <w:pStyle w:val="4"/>
              <w:pageBreakBefore w:val="0"/>
              <w:widowControl w:val="0"/>
              <w:kinsoku/>
              <w:wordWrap/>
              <w:overflowPunct/>
              <w:topLinePunct w:val="0"/>
              <w:autoSpaceDE/>
              <w:autoSpaceDN/>
              <w:bidi w:val="0"/>
              <w:adjustRightInd/>
              <w:snapToGrid w:val="0"/>
              <w:spacing w:before="0" w:after="0"/>
              <w:jc w:val="left"/>
              <w:textAlignment w:val="auto"/>
            </w:pPr>
            <w:r>
              <w:rPr>
                <w:rFonts w:hint="eastAsia"/>
              </w:rPr>
              <w:t>4.</w:t>
            </w:r>
            <w:r>
              <w:rPr>
                <w:rFonts w:hint="eastAsia"/>
                <w:lang w:val="en-US" w:eastAsia="zh-CN"/>
              </w:rPr>
              <w:t>6</w:t>
            </w:r>
            <w:r>
              <w:rPr>
                <w:rFonts w:hint="eastAsia"/>
              </w:rPr>
              <w:t>.5环境风险识别</w:t>
            </w:r>
          </w:p>
          <w:p>
            <w:pPr>
              <w:pageBreakBefore w:val="0"/>
              <w:widowControl w:val="0"/>
              <w:kinsoku/>
              <w:wordWrap/>
              <w:overflowPunct/>
              <w:topLinePunct w:val="0"/>
              <w:autoSpaceDE/>
              <w:autoSpaceDN/>
              <w:bidi w:val="0"/>
              <w:adjustRightInd/>
              <w:snapToGrid w:val="0"/>
              <w:ind w:firstLine="480"/>
              <w:jc w:val="left"/>
              <w:textAlignment w:val="auto"/>
            </w:pPr>
            <w:r>
              <w:t>4.</w:t>
            </w:r>
            <w:r>
              <w:rPr>
                <w:rFonts w:hint="eastAsia"/>
                <w:lang w:val="en-US" w:eastAsia="zh-CN"/>
              </w:rPr>
              <w:t>6</w:t>
            </w:r>
            <w:r>
              <w:t>.5</w:t>
            </w:r>
            <w:r>
              <w:rPr>
                <w:rFonts w:hint="eastAsia"/>
              </w:rPr>
              <w:t>.1风险类型</w:t>
            </w:r>
          </w:p>
          <w:p>
            <w:pPr>
              <w:pageBreakBefore w:val="0"/>
              <w:widowControl w:val="0"/>
              <w:kinsoku/>
              <w:wordWrap/>
              <w:overflowPunct/>
              <w:topLinePunct w:val="0"/>
              <w:autoSpaceDE/>
              <w:autoSpaceDN/>
              <w:bidi w:val="0"/>
              <w:adjustRightInd/>
              <w:snapToGrid w:val="0"/>
              <w:ind w:firstLine="480"/>
              <w:jc w:val="left"/>
              <w:textAlignment w:val="auto"/>
            </w:pPr>
            <w:r>
              <w:rPr>
                <w:rFonts w:hint="eastAsia"/>
              </w:rPr>
              <w:t>本项目涉及的环境风险类型为原辅材料（</w:t>
            </w:r>
            <w:r>
              <w:rPr>
                <w:rFonts w:hint="eastAsia"/>
                <w:lang w:eastAsia="zh-CN"/>
              </w:rPr>
              <w:t>岩棉、玻璃丝绵</w:t>
            </w:r>
            <w:r>
              <w:rPr>
                <w:rFonts w:hint="eastAsia"/>
              </w:rPr>
              <w:t>）</w:t>
            </w:r>
            <w:r>
              <w:rPr>
                <w:rFonts w:hint="eastAsia"/>
                <w:lang w:eastAsia="zh-CN"/>
              </w:rPr>
              <w:t>、</w:t>
            </w:r>
            <w:r>
              <w:rPr>
                <w:rFonts w:hint="eastAsia"/>
              </w:rPr>
              <w:t>成品</w:t>
            </w:r>
            <w:r>
              <w:rPr>
                <w:rFonts w:hint="eastAsia"/>
                <w:lang w:eastAsia="zh-CN"/>
              </w:rPr>
              <w:t>聚氨酯封边岩棉夹芯</w:t>
            </w:r>
            <w:r>
              <w:rPr>
                <w:rFonts w:hint="eastAsia"/>
              </w:rPr>
              <w:t>板遇明火发生火灾，在燃烧过程中引起的伴生/次生污染。</w:t>
            </w:r>
          </w:p>
          <w:p>
            <w:pPr>
              <w:pageBreakBefore w:val="0"/>
              <w:widowControl w:val="0"/>
              <w:kinsoku/>
              <w:wordWrap/>
              <w:overflowPunct/>
              <w:topLinePunct w:val="0"/>
              <w:autoSpaceDE/>
              <w:autoSpaceDN/>
              <w:bidi w:val="0"/>
              <w:adjustRightInd/>
              <w:snapToGrid w:val="0"/>
              <w:ind w:firstLine="480"/>
              <w:jc w:val="left"/>
              <w:textAlignment w:val="auto"/>
            </w:pPr>
            <w:r>
              <w:t>4.</w:t>
            </w:r>
            <w:r>
              <w:rPr>
                <w:rFonts w:hint="eastAsia"/>
                <w:lang w:val="en-US" w:eastAsia="zh-CN"/>
              </w:rPr>
              <w:t>6</w:t>
            </w:r>
            <w:r>
              <w:t>.5</w:t>
            </w:r>
            <w:r>
              <w:rPr>
                <w:rFonts w:hint="eastAsia"/>
              </w:rPr>
              <w:t>.2风险事故可能影响环境的途径</w:t>
            </w:r>
          </w:p>
          <w:p>
            <w:pPr>
              <w:pageBreakBefore w:val="0"/>
              <w:widowControl w:val="0"/>
              <w:kinsoku/>
              <w:wordWrap/>
              <w:overflowPunct/>
              <w:topLinePunct w:val="0"/>
              <w:autoSpaceDE/>
              <w:autoSpaceDN/>
              <w:bidi w:val="0"/>
              <w:adjustRightInd/>
              <w:snapToGrid w:val="0"/>
              <w:ind w:firstLine="480"/>
              <w:jc w:val="left"/>
              <w:textAlignment w:val="auto"/>
            </w:pPr>
            <w:r>
              <w:rPr>
                <w:rFonts w:hint="eastAsia"/>
              </w:rPr>
              <w:t>本项目风险事故可能的影响途径为风险物质可能由于存放、管理不当遇明火引发火灾，在燃烧过程中产生的伴生/次生污染物对周边环境空气的影响。</w:t>
            </w:r>
          </w:p>
          <w:p>
            <w:pPr>
              <w:pStyle w:val="4"/>
              <w:pageBreakBefore w:val="0"/>
              <w:widowControl w:val="0"/>
              <w:kinsoku/>
              <w:wordWrap/>
              <w:overflowPunct/>
              <w:topLinePunct w:val="0"/>
              <w:autoSpaceDE/>
              <w:autoSpaceDN/>
              <w:bidi w:val="0"/>
              <w:adjustRightInd/>
              <w:snapToGrid w:val="0"/>
              <w:spacing w:before="0" w:after="0"/>
              <w:jc w:val="left"/>
              <w:textAlignment w:val="auto"/>
            </w:pPr>
            <w:r>
              <w:rPr>
                <w:rFonts w:hint="eastAsia"/>
              </w:rPr>
              <w:t>4.</w:t>
            </w:r>
            <w:r>
              <w:rPr>
                <w:rFonts w:hint="eastAsia"/>
                <w:lang w:val="en-US" w:eastAsia="zh-CN"/>
              </w:rPr>
              <w:t>6</w:t>
            </w:r>
            <w:r>
              <w:rPr>
                <w:rFonts w:hint="eastAsia"/>
              </w:rPr>
              <w:t>.6环境风险影响分析</w:t>
            </w:r>
          </w:p>
          <w:p>
            <w:pPr>
              <w:pageBreakBefore w:val="0"/>
              <w:widowControl w:val="0"/>
              <w:kinsoku/>
              <w:wordWrap/>
              <w:overflowPunct/>
              <w:topLinePunct w:val="0"/>
              <w:autoSpaceDE/>
              <w:autoSpaceDN/>
              <w:bidi w:val="0"/>
              <w:adjustRightInd/>
              <w:snapToGrid w:val="0"/>
              <w:ind w:firstLine="480"/>
              <w:jc w:val="left"/>
              <w:textAlignment w:val="auto"/>
            </w:pPr>
            <w:r>
              <w:rPr>
                <w:rFonts w:hint="eastAsia"/>
              </w:rPr>
              <w:t>本项目可能的风险事故为原辅材料</w:t>
            </w:r>
            <w:r>
              <w:rPr>
                <w:rFonts w:hint="eastAsia"/>
                <w:lang w:eastAsia="zh-CN"/>
              </w:rPr>
              <w:t>、</w:t>
            </w:r>
            <w:r>
              <w:rPr>
                <w:rFonts w:hint="eastAsia"/>
              </w:rPr>
              <w:t>成品</w:t>
            </w:r>
            <w:r>
              <w:rPr>
                <w:rFonts w:hint="eastAsia"/>
                <w:lang w:eastAsia="zh-CN"/>
              </w:rPr>
              <w:t>聚氨酯封边岩棉夹芯</w:t>
            </w:r>
            <w:r>
              <w:rPr>
                <w:rFonts w:hint="eastAsia"/>
              </w:rPr>
              <w:t>板由于存放、管理不当遇明火引发火灾，火灾事故次生、伴生灾害主要为产生的烟雾对周围人体和环境的影响。烟雾是物质在燃烧反应过程中产生的含有气态、液态和固态物质与空气的混合物，可能含有对人体和环境有害的有机物。本项目库存量较小，火灾程度较小，因此一旦发生火灾时，及时采用灭火措施，迅速疏导厂内及周边人员，火灾烟雾预计不会对环境和周边人员产生显著影响。</w:t>
            </w:r>
          </w:p>
          <w:p>
            <w:pPr>
              <w:pStyle w:val="4"/>
              <w:pageBreakBefore w:val="0"/>
              <w:widowControl w:val="0"/>
              <w:kinsoku/>
              <w:wordWrap/>
              <w:overflowPunct/>
              <w:topLinePunct w:val="0"/>
              <w:autoSpaceDE/>
              <w:autoSpaceDN/>
              <w:bidi w:val="0"/>
              <w:adjustRightInd/>
              <w:snapToGrid w:val="0"/>
              <w:spacing w:before="0" w:after="0"/>
              <w:jc w:val="left"/>
              <w:textAlignment w:val="auto"/>
            </w:pPr>
            <w:r>
              <w:rPr>
                <w:rFonts w:hint="eastAsia"/>
              </w:rPr>
              <w:t>4.</w:t>
            </w:r>
            <w:r>
              <w:rPr>
                <w:rFonts w:hint="eastAsia"/>
                <w:lang w:val="en-US" w:eastAsia="zh-CN"/>
              </w:rPr>
              <w:t>6</w:t>
            </w:r>
            <w:r>
              <w:rPr>
                <w:rFonts w:hint="eastAsia"/>
              </w:rPr>
              <w:t>.7环境风险防控措施及应急要求</w:t>
            </w:r>
          </w:p>
          <w:p>
            <w:pPr>
              <w:pageBreakBefore w:val="0"/>
              <w:widowControl w:val="0"/>
              <w:kinsoku/>
              <w:wordWrap/>
              <w:overflowPunct/>
              <w:topLinePunct w:val="0"/>
              <w:autoSpaceDE/>
              <w:autoSpaceDN/>
              <w:bidi w:val="0"/>
              <w:adjustRightInd/>
              <w:snapToGrid w:val="0"/>
              <w:ind w:firstLine="480"/>
              <w:jc w:val="left"/>
              <w:textAlignment w:val="auto"/>
            </w:pPr>
            <w:r>
              <w:rPr>
                <w:rFonts w:hint="eastAsia"/>
              </w:rPr>
              <w:t>拟建项目存在发生火灾事故的可能，具有一定的风险性。如果安全措施全面落实到位，则事故的概率将会降低，但不会为零。项目在设计、建造和运行过程中要科学规划、合理布局、严格执行设计防火规范，严格遵守安全生产制度，提高操作人员的素质和水平，以减少事故的发生。一旦发生事故，则要根据具体情况采取应急措施，迅速切断泄漏源，防止事故进一步扩大。</w:t>
            </w:r>
          </w:p>
          <w:p>
            <w:pPr>
              <w:pageBreakBefore w:val="0"/>
              <w:widowControl w:val="0"/>
              <w:kinsoku/>
              <w:wordWrap/>
              <w:overflowPunct/>
              <w:topLinePunct w:val="0"/>
              <w:autoSpaceDE/>
              <w:autoSpaceDN/>
              <w:bidi w:val="0"/>
              <w:adjustRightInd/>
              <w:snapToGrid w:val="0"/>
              <w:ind w:firstLine="480"/>
              <w:jc w:val="left"/>
              <w:textAlignment w:val="auto"/>
            </w:pPr>
            <w:r>
              <w:rPr>
                <w:rFonts w:hint="eastAsia"/>
              </w:rPr>
              <w:t>4.</w:t>
            </w:r>
            <w:r>
              <w:rPr>
                <w:rFonts w:hint="eastAsia"/>
                <w:lang w:val="en-US" w:eastAsia="zh-CN"/>
              </w:rPr>
              <w:t>6</w:t>
            </w:r>
            <w:r>
              <w:rPr>
                <w:rFonts w:hint="eastAsia"/>
              </w:rPr>
              <w:t>.7.1环境风险防控措施</w:t>
            </w:r>
          </w:p>
          <w:p>
            <w:pPr>
              <w:pageBreakBefore w:val="0"/>
              <w:widowControl w:val="0"/>
              <w:kinsoku/>
              <w:wordWrap/>
              <w:overflowPunct/>
              <w:topLinePunct w:val="0"/>
              <w:autoSpaceDE/>
              <w:autoSpaceDN/>
              <w:bidi w:val="0"/>
              <w:adjustRightInd/>
              <w:snapToGrid w:val="0"/>
              <w:ind w:firstLine="480"/>
              <w:jc w:val="left"/>
              <w:textAlignment w:val="auto"/>
            </w:pPr>
            <w:r>
              <w:rPr>
                <w:rFonts w:hint="eastAsia"/>
              </w:rPr>
              <w:t>（1）建立完善的安全生产管理制度和消防安全规定，制定设备操作规程并严格遵照执行；</w:t>
            </w:r>
          </w:p>
          <w:p>
            <w:pPr>
              <w:pageBreakBefore w:val="0"/>
              <w:widowControl w:val="0"/>
              <w:kinsoku/>
              <w:wordWrap/>
              <w:overflowPunct/>
              <w:topLinePunct w:val="0"/>
              <w:autoSpaceDE/>
              <w:autoSpaceDN/>
              <w:bidi w:val="0"/>
              <w:adjustRightInd/>
              <w:snapToGrid w:val="0"/>
              <w:ind w:firstLine="480"/>
              <w:jc w:val="left"/>
              <w:textAlignment w:val="auto"/>
            </w:pPr>
            <w:r>
              <w:rPr>
                <w:rFonts w:hint="eastAsia"/>
              </w:rPr>
              <w:t>（2）生产车间等应按照《建筑设计防火规范》等文件的要求设置消防给水和灭火设施、火灾探测及火灾报警系统。生产车间、库房配备灭火器、消防栓等消防器材；</w:t>
            </w:r>
          </w:p>
          <w:p>
            <w:pPr>
              <w:pageBreakBefore w:val="0"/>
              <w:widowControl w:val="0"/>
              <w:kinsoku/>
              <w:wordWrap/>
              <w:overflowPunct/>
              <w:topLinePunct w:val="0"/>
              <w:autoSpaceDE/>
              <w:autoSpaceDN/>
              <w:bidi w:val="0"/>
              <w:adjustRightInd/>
              <w:snapToGrid w:val="0"/>
              <w:ind w:firstLine="480"/>
              <w:jc w:val="left"/>
              <w:textAlignment w:val="auto"/>
            </w:pPr>
            <w:r>
              <w:rPr>
                <w:rFonts w:hint="eastAsia"/>
              </w:rPr>
              <w:t>（3）在有较大危险因素的有关设施、设备上，如压力容器、变压器等处均应设置明显的安全警示标志。</w:t>
            </w:r>
          </w:p>
          <w:p>
            <w:pPr>
              <w:pageBreakBefore w:val="0"/>
              <w:widowControl w:val="0"/>
              <w:kinsoku/>
              <w:wordWrap/>
              <w:overflowPunct/>
              <w:topLinePunct w:val="0"/>
              <w:autoSpaceDE/>
              <w:autoSpaceDN/>
              <w:bidi w:val="0"/>
              <w:adjustRightInd/>
              <w:snapToGrid w:val="0"/>
              <w:ind w:firstLine="480"/>
              <w:jc w:val="left"/>
              <w:textAlignment w:val="auto"/>
            </w:pPr>
            <w:r>
              <w:rPr>
                <w:rFonts w:hint="eastAsia"/>
              </w:rPr>
              <w:t>（4）生产区域应加强管理，避免和及时消除各种激发能源的产生和积累，杜绝火种及违章违纪现象，进入车辆必须装阻火器。</w:t>
            </w:r>
          </w:p>
          <w:p>
            <w:pPr>
              <w:pageBreakBefore w:val="0"/>
              <w:widowControl w:val="0"/>
              <w:kinsoku/>
              <w:wordWrap/>
              <w:overflowPunct/>
              <w:topLinePunct w:val="0"/>
              <w:autoSpaceDE/>
              <w:autoSpaceDN/>
              <w:bidi w:val="0"/>
              <w:adjustRightInd/>
              <w:snapToGrid w:val="0"/>
              <w:ind w:firstLine="480"/>
              <w:jc w:val="left"/>
              <w:textAlignment w:val="auto"/>
            </w:pPr>
            <w:r>
              <w:rPr>
                <w:rFonts w:hint="eastAsia"/>
              </w:rPr>
              <w:t>（5）加强员工的思想、道德教育，提高员工的责任心和主观能动性：完善并严格遵守相关的操作规程，加强岗位培训，落实岗位责任制，加强设备管理。</w:t>
            </w:r>
          </w:p>
          <w:p>
            <w:pPr>
              <w:pageBreakBefore w:val="0"/>
              <w:widowControl w:val="0"/>
              <w:kinsoku/>
              <w:wordWrap/>
              <w:overflowPunct/>
              <w:topLinePunct w:val="0"/>
              <w:autoSpaceDE/>
              <w:autoSpaceDN/>
              <w:bidi w:val="0"/>
              <w:adjustRightInd/>
              <w:snapToGrid w:val="0"/>
              <w:ind w:firstLine="480"/>
              <w:jc w:val="left"/>
              <w:textAlignment w:val="auto"/>
            </w:pPr>
            <w:r>
              <w:rPr>
                <w:rFonts w:hint="eastAsia"/>
              </w:rPr>
              <w:t>（6）加强事故管理，在生产过程中注意对其它单位相关事故的研究，充分吸取经验和教训。</w:t>
            </w:r>
          </w:p>
          <w:p>
            <w:pPr>
              <w:pageBreakBefore w:val="0"/>
              <w:widowControl w:val="0"/>
              <w:kinsoku/>
              <w:wordWrap/>
              <w:overflowPunct/>
              <w:topLinePunct w:val="0"/>
              <w:autoSpaceDE/>
              <w:autoSpaceDN/>
              <w:bidi w:val="0"/>
              <w:adjustRightInd/>
              <w:snapToGrid w:val="0"/>
              <w:ind w:firstLine="480"/>
              <w:jc w:val="left"/>
              <w:textAlignment w:val="auto"/>
            </w:pPr>
            <w:r>
              <w:rPr>
                <w:rFonts w:hint="eastAsia"/>
              </w:rPr>
              <w:t>4.</w:t>
            </w:r>
            <w:r>
              <w:rPr>
                <w:rFonts w:hint="eastAsia"/>
                <w:lang w:val="en-US" w:eastAsia="zh-CN"/>
              </w:rPr>
              <w:t>6</w:t>
            </w:r>
            <w:r>
              <w:rPr>
                <w:rFonts w:hint="eastAsia"/>
              </w:rPr>
              <w:t>.7.2风险事故应急预案</w:t>
            </w:r>
          </w:p>
          <w:p>
            <w:pPr>
              <w:pageBreakBefore w:val="0"/>
              <w:widowControl w:val="0"/>
              <w:kinsoku/>
              <w:wordWrap/>
              <w:overflowPunct/>
              <w:topLinePunct w:val="0"/>
              <w:autoSpaceDE/>
              <w:autoSpaceDN/>
              <w:bidi w:val="0"/>
              <w:adjustRightInd/>
              <w:snapToGrid w:val="0"/>
              <w:ind w:firstLine="480"/>
              <w:jc w:val="left"/>
              <w:textAlignment w:val="auto"/>
            </w:pPr>
            <w:r>
              <w:rPr>
                <w:rFonts w:hint="eastAsia"/>
              </w:rPr>
              <w:t>建设单位应按照《企业突发环境事件风险评估指南（试行）》（环境保护部环办[2014]34号）的要求建立环境风险事故应急预案，应急预案所要求的基本内容可参照表</w:t>
            </w:r>
            <w:r>
              <w:rPr>
                <w:rFonts w:hint="eastAsia"/>
                <w:lang w:val="en-US" w:eastAsia="zh-CN"/>
              </w:rPr>
              <w:t>47</w:t>
            </w:r>
            <w:r>
              <w:rPr>
                <w:rFonts w:hint="eastAsia"/>
              </w:rPr>
              <w:t>中的相关内容。</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47</w:t>
            </w:r>
            <w:r>
              <w:rPr>
                <w:rFonts w:hint="eastAsia" w:asciiTheme="minorEastAsia" w:hAnsiTheme="minorEastAsia" w:eastAsiaTheme="minorEastAsia" w:cstheme="minorEastAsia"/>
                <w:sz w:val="21"/>
                <w:szCs w:val="21"/>
              </w:rPr>
              <w:t xml:space="preserve">  应急预案内容一览表</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036"/>
              <w:gridCol w:w="5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 w:val="21"/>
                    </w:rPr>
                  </w:pPr>
                  <w:r>
                    <w:rPr>
                      <w:rFonts w:hint="eastAsia"/>
                      <w:sz w:val="21"/>
                    </w:rPr>
                    <w:t>序号</w:t>
                  </w:r>
                </w:p>
              </w:tc>
              <w:tc>
                <w:tcPr>
                  <w:tcW w:w="12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 w:val="21"/>
                    </w:rPr>
                  </w:pPr>
                  <w:r>
                    <w:rPr>
                      <w:rFonts w:hint="eastAsia"/>
                      <w:sz w:val="21"/>
                    </w:rPr>
                    <w:t>项目</w:t>
                  </w:r>
                </w:p>
              </w:tc>
              <w:tc>
                <w:tcPr>
                  <w:tcW w:w="329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 w:val="21"/>
                    </w:rPr>
                  </w:pPr>
                  <w:r>
                    <w:rPr>
                      <w:rFonts w:hint="eastAsia"/>
                      <w:sz w:val="21"/>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vAlign w:val="center"/>
                </w:tcPr>
                <w:p>
                  <w:pPr>
                    <w:spacing w:line="240" w:lineRule="auto"/>
                    <w:ind w:firstLine="0" w:firstLineChars="0"/>
                    <w:jc w:val="center"/>
                    <w:rPr>
                      <w:sz w:val="21"/>
                    </w:rPr>
                  </w:pPr>
                  <w:r>
                    <w:rPr>
                      <w:rFonts w:hint="eastAsia"/>
                      <w:sz w:val="21"/>
                    </w:rPr>
                    <w:t>1</w:t>
                  </w:r>
                </w:p>
              </w:tc>
              <w:tc>
                <w:tcPr>
                  <w:tcW w:w="1282" w:type="pct"/>
                  <w:tcBorders>
                    <w:tl2br w:val="nil"/>
                    <w:tr2bl w:val="nil"/>
                  </w:tcBorders>
                  <w:vAlign w:val="center"/>
                </w:tcPr>
                <w:p>
                  <w:pPr>
                    <w:spacing w:line="240" w:lineRule="auto"/>
                    <w:ind w:firstLine="0" w:firstLineChars="0"/>
                    <w:jc w:val="left"/>
                    <w:rPr>
                      <w:sz w:val="21"/>
                    </w:rPr>
                  </w:pPr>
                  <w:r>
                    <w:rPr>
                      <w:rFonts w:hint="eastAsia"/>
                      <w:sz w:val="21"/>
                    </w:rPr>
                    <w:t>应急计划区</w:t>
                  </w:r>
                </w:p>
              </w:tc>
              <w:tc>
                <w:tcPr>
                  <w:tcW w:w="3295" w:type="pct"/>
                  <w:tcBorders>
                    <w:tl2br w:val="nil"/>
                    <w:tr2bl w:val="nil"/>
                  </w:tcBorders>
                  <w:vAlign w:val="center"/>
                </w:tcPr>
                <w:p>
                  <w:pPr>
                    <w:spacing w:line="240" w:lineRule="auto"/>
                    <w:ind w:firstLine="0" w:firstLineChars="0"/>
                    <w:jc w:val="left"/>
                    <w:rPr>
                      <w:sz w:val="21"/>
                    </w:rPr>
                  </w:pPr>
                  <w:r>
                    <w:rPr>
                      <w:rFonts w:hint="eastAsia"/>
                      <w:sz w:val="21"/>
                    </w:rPr>
                    <w:t>危险目标，环境保护目标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vAlign w:val="center"/>
                </w:tcPr>
                <w:p>
                  <w:pPr>
                    <w:spacing w:line="240" w:lineRule="auto"/>
                    <w:ind w:firstLine="0" w:firstLineChars="0"/>
                    <w:jc w:val="center"/>
                    <w:rPr>
                      <w:sz w:val="21"/>
                    </w:rPr>
                  </w:pPr>
                  <w:r>
                    <w:rPr>
                      <w:rFonts w:hint="eastAsia"/>
                      <w:sz w:val="21"/>
                    </w:rPr>
                    <w:t>2</w:t>
                  </w:r>
                </w:p>
              </w:tc>
              <w:tc>
                <w:tcPr>
                  <w:tcW w:w="1282" w:type="pct"/>
                  <w:tcBorders>
                    <w:tl2br w:val="nil"/>
                    <w:tr2bl w:val="nil"/>
                  </w:tcBorders>
                  <w:vAlign w:val="center"/>
                </w:tcPr>
                <w:p>
                  <w:pPr>
                    <w:spacing w:line="240" w:lineRule="auto"/>
                    <w:ind w:firstLine="0" w:firstLineChars="0"/>
                    <w:jc w:val="left"/>
                    <w:rPr>
                      <w:sz w:val="21"/>
                    </w:rPr>
                  </w:pPr>
                  <w:r>
                    <w:rPr>
                      <w:rFonts w:hint="eastAsia"/>
                      <w:sz w:val="21"/>
                    </w:rPr>
                    <w:t>应急组织机构、人员</w:t>
                  </w:r>
                </w:p>
              </w:tc>
              <w:tc>
                <w:tcPr>
                  <w:tcW w:w="3295" w:type="pct"/>
                  <w:tcBorders>
                    <w:tl2br w:val="nil"/>
                    <w:tr2bl w:val="nil"/>
                  </w:tcBorders>
                  <w:vAlign w:val="center"/>
                </w:tcPr>
                <w:p>
                  <w:pPr>
                    <w:spacing w:line="240" w:lineRule="auto"/>
                    <w:ind w:firstLine="0" w:firstLineChars="0"/>
                    <w:jc w:val="left"/>
                    <w:rPr>
                      <w:sz w:val="21"/>
                    </w:rPr>
                  </w:pPr>
                  <w:r>
                    <w:rPr>
                      <w:rFonts w:hint="eastAsia"/>
                      <w:sz w:val="21"/>
                    </w:rPr>
                    <w:t>厂区、地区应急组织机构、人员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vAlign w:val="center"/>
                </w:tcPr>
                <w:p>
                  <w:pPr>
                    <w:spacing w:line="240" w:lineRule="auto"/>
                    <w:ind w:firstLine="0" w:firstLineChars="0"/>
                    <w:jc w:val="center"/>
                    <w:rPr>
                      <w:sz w:val="21"/>
                    </w:rPr>
                  </w:pPr>
                  <w:r>
                    <w:rPr>
                      <w:rFonts w:hint="eastAsia"/>
                      <w:sz w:val="21"/>
                    </w:rPr>
                    <w:t>3</w:t>
                  </w:r>
                </w:p>
              </w:tc>
              <w:tc>
                <w:tcPr>
                  <w:tcW w:w="1282" w:type="pct"/>
                  <w:tcBorders>
                    <w:tl2br w:val="nil"/>
                    <w:tr2bl w:val="nil"/>
                  </w:tcBorders>
                  <w:vAlign w:val="center"/>
                </w:tcPr>
                <w:p>
                  <w:pPr>
                    <w:spacing w:line="240" w:lineRule="auto"/>
                    <w:ind w:firstLine="0" w:firstLineChars="0"/>
                    <w:jc w:val="left"/>
                    <w:rPr>
                      <w:sz w:val="21"/>
                    </w:rPr>
                  </w:pPr>
                  <w:r>
                    <w:rPr>
                      <w:rFonts w:hint="eastAsia"/>
                      <w:sz w:val="21"/>
                    </w:rPr>
                    <w:t>预案分级响应条件</w:t>
                  </w:r>
                </w:p>
              </w:tc>
              <w:tc>
                <w:tcPr>
                  <w:tcW w:w="3295" w:type="pct"/>
                  <w:tcBorders>
                    <w:tl2br w:val="nil"/>
                    <w:tr2bl w:val="nil"/>
                  </w:tcBorders>
                  <w:vAlign w:val="center"/>
                </w:tcPr>
                <w:p>
                  <w:pPr>
                    <w:spacing w:line="240" w:lineRule="auto"/>
                    <w:ind w:firstLine="0" w:firstLineChars="0"/>
                    <w:jc w:val="left"/>
                    <w:rPr>
                      <w:sz w:val="21"/>
                    </w:rPr>
                  </w:pPr>
                  <w:r>
                    <w:rPr>
                      <w:rFonts w:hint="eastAsia"/>
                      <w:sz w:val="21"/>
                    </w:rPr>
                    <w:t>规定预案的级别及分级响应程序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vAlign w:val="center"/>
                </w:tcPr>
                <w:p>
                  <w:pPr>
                    <w:spacing w:line="240" w:lineRule="auto"/>
                    <w:ind w:firstLine="0" w:firstLineChars="0"/>
                    <w:jc w:val="center"/>
                    <w:rPr>
                      <w:sz w:val="21"/>
                    </w:rPr>
                  </w:pPr>
                  <w:r>
                    <w:rPr>
                      <w:rFonts w:hint="eastAsia"/>
                      <w:sz w:val="21"/>
                    </w:rPr>
                    <w:t>4</w:t>
                  </w:r>
                </w:p>
              </w:tc>
              <w:tc>
                <w:tcPr>
                  <w:tcW w:w="1282" w:type="pct"/>
                  <w:tcBorders>
                    <w:tl2br w:val="nil"/>
                    <w:tr2bl w:val="nil"/>
                  </w:tcBorders>
                  <w:vAlign w:val="center"/>
                </w:tcPr>
                <w:p>
                  <w:pPr>
                    <w:spacing w:line="240" w:lineRule="auto"/>
                    <w:ind w:firstLine="0" w:firstLineChars="0"/>
                    <w:jc w:val="left"/>
                    <w:rPr>
                      <w:sz w:val="21"/>
                    </w:rPr>
                  </w:pPr>
                  <w:r>
                    <w:rPr>
                      <w:rFonts w:hint="eastAsia"/>
                      <w:sz w:val="21"/>
                    </w:rPr>
                    <w:t>应急救援保障</w:t>
                  </w:r>
                </w:p>
              </w:tc>
              <w:tc>
                <w:tcPr>
                  <w:tcW w:w="3295" w:type="pct"/>
                  <w:tcBorders>
                    <w:tl2br w:val="nil"/>
                    <w:tr2bl w:val="nil"/>
                  </w:tcBorders>
                  <w:vAlign w:val="center"/>
                </w:tcPr>
                <w:p>
                  <w:pPr>
                    <w:spacing w:line="240" w:lineRule="auto"/>
                    <w:ind w:firstLine="0" w:firstLineChars="0"/>
                    <w:jc w:val="left"/>
                    <w:rPr>
                      <w:sz w:val="21"/>
                    </w:rPr>
                  </w:pPr>
                  <w:r>
                    <w:rPr>
                      <w:rFonts w:hint="eastAsia"/>
                      <w:sz w:val="21"/>
                    </w:rPr>
                    <w:t>应急设施，设备与器材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1" w:type="pct"/>
                  <w:tcBorders>
                    <w:tl2br w:val="nil"/>
                    <w:tr2bl w:val="nil"/>
                  </w:tcBorders>
                  <w:vAlign w:val="center"/>
                </w:tcPr>
                <w:p>
                  <w:pPr>
                    <w:spacing w:line="240" w:lineRule="auto"/>
                    <w:ind w:firstLine="0" w:firstLineChars="0"/>
                    <w:jc w:val="center"/>
                    <w:rPr>
                      <w:sz w:val="21"/>
                    </w:rPr>
                  </w:pPr>
                  <w:r>
                    <w:rPr>
                      <w:rFonts w:hint="eastAsia"/>
                      <w:sz w:val="21"/>
                    </w:rPr>
                    <w:t>5</w:t>
                  </w:r>
                </w:p>
              </w:tc>
              <w:tc>
                <w:tcPr>
                  <w:tcW w:w="1282" w:type="pct"/>
                  <w:tcBorders>
                    <w:tl2br w:val="nil"/>
                    <w:tr2bl w:val="nil"/>
                  </w:tcBorders>
                  <w:vAlign w:val="center"/>
                </w:tcPr>
                <w:p>
                  <w:pPr>
                    <w:spacing w:line="240" w:lineRule="auto"/>
                    <w:ind w:firstLine="0" w:firstLineChars="0"/>
                    <w:jc w:val="left"/>
                    <w:rPr>
                      <w:sz w:val="21"/>
                    </w:rPr>
                  </w:pPr>
                  <w:r>
                    <w:rPr>
                      <w:rFonts w:hint="eastAsia"/>
                      <w:sz w:val="21"/>
                    </w:rPr>
                    <w:t>报警、通讯联络方式</w:t>
                  </w:r>
                </w:p>
              </w:tc>
              <w:tc>
                <w:tcPr>
                  <w:tcW w:w="3295" w:type="pct"/>
                  <w:tcBorders>
                    <w:tl2br w:val="nil"/>
                    <w:tr2bl w:val="nil"/>
                  </w:tcBorders>
                  <w:vAlign w:val="center"/>
                </w:tcPr>
                <w:p>
                  <w:pPr>
                    <w:spacing w:line="240" w:lineRule="auto"/>
                    <w:ind w:firstLine="0" w:firstLineChars="0"/>
                    <w:jc w:val="left"/>
                    <w:rPr>
                      <w:sz w:val="21"/>
                    </w:rPr>
                  </w:pPr>
                  <w:r>
                    <w:rPr>
                      <w:rFonts w:hint="eastAsia"/>
                      <w:sz w:val="21"/>
                    </w:rPr>
                    <w:t>规定应急状态下的报警通讯方式、通知方式和交通保障、管制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1" w:type="pct"/>
                  <w:tcBorders>
                    <w:tl2br w:val="nil"/>
                    <w:tr2bl w:val="nil"/>
                  </w:tcBorders>
                  <w:vAlign w:val="center"/>
                </w:tcPr>
                <w:p>
                  <w:pPr>
                    <w:spacing w:line="240" w:lineRule="auto"/>
                    <w:ind w:firstLine="0" w:firstLineChars="0"/>
                    <w:jc w:val="center"/>
                    <w:rPr>
                      <w:sz w:val="21"/>
                    </w:rPr>
                  </w:pPr>
                  <w:r>
                    <w:rPr>
                      <w:rFonts w:hint="eastAsia"/>
                      <w:sz w:val="21"/>
                    </w:rPr>
                    <w:t>6</w:t>
                  </w:r>
                </w:p>
              </w:tc>
              <w:tc>
                <w:tcPr>
                  <w:tcW w:w="1282" w:type="pct"/>
                  <w:tcBorders>
                    <w:tl2br w:val="nil"/>
                    <w:tr2bl w:val="nil"/>
                  </w:tcBorders>
                  <w:vAlign w:val="center"/>
                </w:tcPr>
                <w:p>
                  <w:pPr>
                    <w:spacing w:line="240" w:lineRule="auto"/>
                    <w:ind w:firstLine="0" w:firstLineChars="0"/>
                    <w:jc w:val="left"/>
                    <w:rPr>
                      <w:sz w:val="21"/>
                    </w:rPr>
                  </w:pPr>
                  <w:r>
                    <w:rPr>
                      <w:rFonts w:hint="eastAsia"/>
                      <w:sz w:val="21"/>
                    </w:rPr>
                    <w:t>应急环境监测、抢险、救援及控制措施</w:t>
                  </w:r>
                </w:p>
              </w:tc>
              <w:tc>
                <w:tcPr>
                  <w:tcW w:w="3295" w:type="pct"/>
                  <w:tcBorders>
                    <w:tl2br w:val="nil"/>
                    <w:tr2bl w:val="nil"/>
                  </w:tcBorders>
                  <w:vAlign w:val="center"/>
                </w:tcPr>
                <w:p>
                  <w:pPr>
                    <w:spacing w:line="240" w:lineRule="auto"/>
                    <w:ind w:firstLine="0" w:firstLineChars="0"/>
                    <w:jc w:val="left"/>
                    <w:rPr>
                      <w:sz w:val="21"/>
                    </w:rPr>
                  </w:pPr>
                  <w:r>
                    <w:rPr>
                      <w:rFonts w:hint="eastAsia"/>
                      <w:sz w:val="21"/>
                    </w:rPr>
                    <w:t>由专业队伍负责对事故现场进行侦查监测，对事故性质、参数与后果进行评估，为指挥部门提供决策依据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1" w:type="pct"/>
                  <w:tcBorders>
                    <w:tl2br w:val="nil"/>
                    <w:tr2bl w:val="nil"/>
                  </w:tcBorders>
                  <w:vAlign w:val="center"/>
                </w:tcPr>
                <w:p>
                  <w:pPr>
                    <w:spacing w:line="240" w:lineRule="auto"/>
                    <w:ind w:firstLine="0" w:firstLineChars="0"/>
                    <w:jc w:val="center"/>
                    <w:rPr>
                      <w:sz w:val="21"/>
                    </w:rPr>
                  </w:pPr>
                  <w:r>
                    <w:rPr>
                      <w:rFonts w:hint="eastAsia"/>
                      <w:sz w:val="21"/>
                    </w:rPr>
                    <w:t>7</w:t>
                  </w:r>
                </w:p>
              </w:tc>
              <w:tc>
                <w:tcPr>
                  <w:tcW w:w="1282" w:type="pct"/>
                  <w:tcBorders>
                    <w:tl2br w:val="nil"/>
                    <w:tr2bl w:val="nil"/>
                  </w:tcBorders>
                  <w:vAlign w:val="center"/>
                </w:tcPr>
                <w:p>
                  <w:pPr>
                    <w:spacing w:line="240" w:lineRule="auto"/>
                    <w:ind w:firstLine="0" w:firstLineChars="0"/>
                    <w:jc w:val="left"/>
                    <w:rPr>
                      <w:sz w:val="21"/>
                    </w:rPr>
                  </w:pPr>
                  <w:r>
                    <w:rPr>
                      <w:rFonts w:hint="eastAsia"/>
                      <w:sz w:val="21"/>
                    </w:rPr>
                    <w:t>应急检测、防护措施、清楚泄露措施和器材</w:t>
                  </w:r>
                </w:p>
              </w:tc>
              <w:tc>
                <w:tcPr>
                  <w:tcW w:w="3295" w:type="pct"/>
                  <w:tcBorders>
                    <w:tl2br w:val="nil"/>
                    <w:tr2bl w:val="nil"/>
                  </w:tcBorders>
                  <w:vAlign w:val="center"/>
                </w:tcPr>
                <w:p>
                  <w:pPr>
                    <w:spacing w:line="240" w:lineRule="auto"/>
                    <w:ind w:firstLine="0" w:firstLineChars="0"/>
                    <w:jc w:val="left"/>
                    <w:rPr>
                      <w:sz w:val="21"/>
                    </w:rPr>
                  </w:pPr>
                  <w:r>
                    <w:rPr>
                      <w:rFonts w:hint="eastAsia"/>
                      <w:sz w:val="21"/>
                    </w:rPr>
                    <w:t>事故现场、临近区域、控制防火措施，控制和清楚污染措施及相应设备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1" w:type="pct"/>
                  <w:tcBorders>
                    <w:tl2br w:val="nil"/>
                    <w:tr2bl w:val="nil"/>
                  </w:tcBorders>
                  <w:vAlign w:val="center"/>
                </w:tcPr>
                <w:p>
                  <w:pPr>
                    <w:spacing w:line="240" w:lineRule="auto"/>
                    <w:ind w:firstLine="0" w:firstLineChars="0"/>
                    <w:jc w:val="center"/>
                    <w:rPr>
                      <w:sz w:val="21"/>
                    </w:rPr>
                  </w:pPr>
                  <w:r>
                    <w:rPr>
                      <w:rFonts w:hint="eastAsia"/>
                      <w:sz w:val="21"/>
                    </w:rPr>
                    <w:t>8</w:t>
                  </w:r>
                </w:p>
              </w:tc>
              <w:tc>
                <w:tcPr>
                  <w:tcW w:w="1282" w:type="pct"/>
                  <w:tcBorders>
                    <w:tl2br w:val="nil"/>
                    <w:tr2bl w:val="nil"/>
                  </w:tcBorders>
                  <w:vAlign w:val="center"/>
                </w:tcPr>
                <w:p>
                  <w:pPr>
                    <w:spacing w:line="240" w:lineRule="auto"/>
                    <w:ind w:firstLine="0" w:firstLineChars="0"/>
                    <w:jc w:val="left"/>
                    <w:rPr>
                      <w:sz w:val="21"/>
                    </w:rPr>
                  </w:pPr>
                  <w:r>
                    <w:rPr>
                      <w:rFonts w:hint="eastAsia"/>
                      <w:sz w:val="21"/>
                    </w:rPr>
                    <w:t>人员紧急撤离、疏散，应急剂量控制、撤离组织计划</w:t>
                  </w:r>
                </w:p>
              </w:tc>
              <w:tc>
                <w:tcPr>
                  <w:tcW w:w="3295" w:type="pct"/>
                  <w:tcBorders>
                    <w:tl2br w:val="nil"/>
                    <w:tr2bl w:val="nil"/>
                  </w:tcBorders>
                  <w:vAlign w:val="center"/>
                </w:tcPr>
                <w:p>
                  <w:pPr>
                    <w:spacing w:line="240" w:lineRule="auto"/>
                    <w:ind w:firstLine="0" w:firstLineChars="0"/>
                    <w:jc w:val="left"/>
                    <w:rPr>
                      <w:sz w:val="21"/>
                    </w:rPr>
                  </w:pPr>
                  <w:r>
                    <w:rPr>
                      <w:rFonts w:hint="eastAsia"/>
                      <w:sz w:val="21"/>
                    </w:rPr>
                    <w:t>事故现场、厂区临近区、受事故影响的区域人员及公众对毒物应急剂量控制规定，撤离组织计划及救护，医疗救护与公众健康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1" w:type="pct"/>
                  <w:tcBorders>
                    <w:tl2br w:val="nil"/>
                    <w:tr2bl w:val="nil"/>
                  </w:tcBorders>
                  <w:vAlign w:val="center"/>
                </w:tcPr>
                <w:p>
                  <w:pPr>
                    <w:spacing w:line="240" w:lineRule="auto"/>
                    <w:ind w:firstLine="0" w:firstLineChars="0"/>
                    <w:jc w:val="center"/>
                    <w:rPr>
                      <w:sz w:val="21"/>
                    </w:rPr>
                  </w:pPr>
                  <w:r>
                    <w:rPr>
                      <w:rFonts w:hint="eastAsia"/>
                      <w:sz w:val="21"/>
                    </w:rPr>
                    <w:t>9</w:t>
                  </w:r>
                </w:p>
              </w:tc>
              <w:tc>
                <w:tcPr>
                  <w:tcW w:w="1282" w:type="pct"/>
                  <w:tcBorders>
                    <w:tl2br w:val="nil"/>
                    <w:tr2bl w:val="nil"/>
                  </w:tcBorders>
                  <w:vAlign w:val="center"/>
                </w:tcPr>
                <w:p>
                  <w:pPr>
                    <w:spacing w:line="240" w:lineRule="auto"/>
                    <w:ind w:firstLine="0" w:firstLineChars="0"/>
                    <w:jc w:val="left"/>
                    <w:rPr>
                      <w:sz w:val="21"/>
                    </w:rPr>
                  </w:pPr>
                  <w:r>
                    <w:rPr>
                      <w:rFonts w:hint="eastAsia"/>
                      <w:sz w:val="21"/>
                    </w:rPr>
                    <w:t>事故应急救援关闭程序与恢复措施</w:t>
                  </w:r>
                </w:p>
              </w:tc>
              <w:tc>
                <w:tcPr>
                  <w:tcW w:w="3295" w:type="pct"/>
                  <w:tcBorders>
                    <w:tl2br w:val="nil"/>
                    <w:tr2bl w:val="nil"/>
                  </w:tcBorders>
                  <w:vAlign w:val="center"/>
                </w:tcPr>
                <w:p>
                  <w:pPr>
                    <w:spacing w:line="240" w:lineRule="auto"/>
                    <w:ind w:firstLine="0" w:firstLineChars="0"/>
                    <w:jc w:val="left"/>
                    <w:rPr>
                      <w:sz w:val="21"/>
                    </w:rPr>
                  </w:pPr>
                  <w:r>
                    <w:rPr>
                      <w:rFonts w:hint="eastAsia"/>
                      <w:sz w:val="21"/>
                    </w:rPr>
                    <w:t>规定应急状态终止程序；</w:t>
                  </w:r>
                </w:p>
                <w:p>
                  <w:pPr>
                    <w:spacing w:line="240" w:lineRule="auto"/>
                    <w:ind w:firstLine="0" w:firstLineChars="0"/>
                    <w:jc w:val="left"/>
                    <w:rPr>
                      <w:sz w:val="21"/>
                    </w:rPr>
                  </w:pPr>
                  <w:r>
                    <w:rPr>
                      <w:rFonts w:hint="eastAsia"/>
                      <w:sz w:val="21"/>
                    </w:rPr>
                    <w:t>事故现场善后处理，恢复措施；</w:t>
                  </w:r>
                </w:p>
                <w:p>
                  <w:pPr>
                    <w:spacing w:line="240" w:lineRule="auto"/>
                    <w:ind w:firstLine="0" w:firstLineChars="0"/>
                    <w:jc w:val="left"/>
                    <w:rPr>
                      <w:sz w:val="21"/>
                    </w:rPr>
                  </w:pPr>
                  <w:r>
                    <w:rPr>
                      <w:rFonts w:hint="eastAsia"/>
                      <w:sz w:val="21"/>
                    </w:rPr>
                    <w:t>临近区域解除事故警戒及善后恢复措施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vAlign w:val="center"/>
                </w:tcPr>
                <w:p>
                  <w:pPr>
                    <w:spacing w:line="240" w:lineRule="auto"/>
                    <w:ind w:firstLine="0" w:firstLineChars="0"/>
                    <w:jc w:val="center"/>
                    <w:rPr>
                      <w:sz w:val="21"/>
                    </w:rPr>
                  </w:pPr>
                  <w:r>
                    <w:rPr>
                      <w:rFonts w:hint="eastAsia"/>
                      <w:sz w:val="21"/>
                    </w:rPr>
                    <w:t>10</w:t>
                  </w:r>
                </w:p>
              </w:tc>
              <w:tc>
                <w:tcPr>
                  <w:tcW w:w="1282" w:type="pct"/>
                  <w:tcBorders>
                    <w:tl2br w:val="nil"/>
                    <w:tr2bl w:val="nil"/>
                  </w:tcBorders>
                  <w:vAlign w:val="center"/>
                </w:tcPr>
                <w:p>
                  <w:pPr>
                    <w:spacing w:line="240" w:lineRule="auto"/>
                    <w:ind w:firstLine="0" w:firstLineChars="0"/>
                    <w:jc w:val="left"/>
                    <w:rPr>
                      <w:sz w:val="21"/>
                    </w:rPr>
                  </w:pPr>
                  <w:r>
                    <w:rPr>
                      <w:rFonts w:hint="eastAsia"/>
                      <w:sz w:val="21"/>
                    </w:rPr>
                    <w:t>应急培训计划</w:t>
                  </w:r>
                </w:p>
              </w:tc>
              <w:tc>
                <w:tcPr>
                  <w:tcW w:w="3295" w:type="pct"/>
                  <w:tcBorders>
                    <w:tl2br w:val="nil"/>
                    <w:tr2bl w:val="nil"/>
                  </w:tcBorders>
                  <w:vAlign w:val="center"/>
                </w:tcPr>
                <w:p>
                  <w:pPr>
                    <w:spacing w:line="240" w:lineRule="auto"/>
                    <w:ind w:firstLine="0" w:firstLineChars="0"/>
                    <w:jc w:val="left"/>
                    <w:rPr>
                      <w:sz w:val="21"/>
                    </w:rPr>
                  </w:pPr>
                  <w:r>
                    <w:rPr>
                      <w:rFonts w:hint="eastAsia"/>
                      <w:sz w:val="21"/>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vAlign w:val="center"/>
                </w:tcPr>
                <w:p>
                  <w:pPr>
                    <w:spacing w:line="240" w:lineRule="auto"/>
                    <w:ind w:firstLine="0" w:firstLineChars="0"/>
                    <w:jc w:val="center"/>
                    <w:rPr>
                      <w:sz w:val="21"/>
                    </w:rPr>
                  </w:pPr>
                  <w:r>
                    <w:rPr>
                      <w:rFonts w:hint="eastAsia"/>
                      <w:sz w:val="21"/>
                    </w:rPr>
                    <w:t>11</w:t>
                  </w:r>
                </w:p>
              </w:tc>
              <w:tc>
                <w:tcPr>
                  <w:tcW w:w="1282" w:type="pct"/>
                  <w:tcBorders>
                    <w:tl2br w:val="nil"/>
                    <w:tr2bl w:val="nil"/>
                  </w:tcBorders>
                  <w:vAlign w:val="center"/>
                </w:tcPr>
                <w:p>
                  <w:pPr>
                    <w:spacing w:line="240" w:lineRule="auto"/>
                    <w:ind w:firstLine="0" w:firstLineChars="0"/>
                    <w:jc w:val="left"/>
                    <w:rPr>
                      <w:sz w:val="21"/>
                    </w:rPr>
                  </w:pPr>
                  <w:r>
                    <w:rPr>
                      <w:rFonts w:hint="eastAsia"/>
                      <w:sz w:val="21"/>
                    </w:rPr>
                    <w:t>公众教育和信息</w:t>
                  </w:r>
                </w:p>
              </w:tc>
              <w:tc>
                <w:tcPr>
                  <w:tcW w:w="3295" w:type="pct"/>
                  <w:tcBorders>
                    <w:tl2br w:val="nil"/>
                    <w:tr2bl w:val="nil"/>
                  </w:tcBorders>
                  <w:vAlign w:val="center"/>
                </w:tcPr>
                <w:p>
                  <w:pPr>
                    <w:spacing w:line="240" w:lineRule="auto"/>
                    <w:ind w:firstLine="0" w:firstLineChars="0"/>
                    <w:jc w:val="left"/>
                    <w:rPr>
                      <w:sz w:val="21"/>
                    </w:rPr>
                  </w:pPr>
                  <w:r>
                    <w:rPr>
                      <w:rFonts w:hint="eastAsia"/>
                      <w:sz w:val="21"/>
                    </w:rPr>
                    <w:t>对临近地区开展公众教育、培训和发布有关信息</w:t>
                  </w:r>
                </w:p>
              </w:tc>
            </w:tr>
          </w:tbl>
          <w:p>
            <w:pPr>
              <w:pStyle w:val="4"/>
              <w:pageBreakBefore w:val="0"/>
              <w:widowControl w:val="0"/>
              <w:kinsoku/>
              <w:wordWrap/>
              <w:overflowPunct/>
              <w:topLinePunct w:val="0"/>
              <w:autoSpaceDE/>
              <w:autoSpaceDN/>
              <w:bidi w:val="0"/>
              <w:adjustRightInd/>
              <w:snapToGrid w:val="0"/>
              <w:spacing w:before="0" w:after="0"/>
              <w:jc w:val="left"/>
              <w:textAlignment w:val="auto"/>
            </w:pPr>
            <w:r>
              <w:rPr>
                <w:rFonts w:hint="eastAsia"/>
              </w:rPr>
              <w:t>4.</w:t>
            </w:r>
            <w:r>
              <w:rPr>
                <w:rFonts w:hint="eastAsia"/>
                <w:lang w:val="en-US" w:eastAsia="zh-CN"/>
              </w:rPr>
              <w:t>6</w:t>
            </w:r>
            <w:r>
              <w:rPr>
                <w:rFonts w:hint="eastAsia"/>
              </w:rPr>
              <w:t>.8环境风险评价结论</w:t>
            </w:r>
          </w:p>
          <w:p>
            <w:pPr>
              <w:pageBreakBefore w:val="0"/>
              <w:widowControl w:val="0"/>
              <w:kinsoku/>
              <w:wordWrap/>
              <w:overflowPunct/>
              <w:topLinePunct w:val="0"/>
              <w:autoSpaceDE/>
              <w:autoSpaceDN/>
              <w:bidi w:val="0"/>
              <w:adjustRightInd/>
              <w:snapToGrid w:val="0"/>
              <w:ind w:firstLine="480"/>
              <w:jc w:val="left"/>
              <w:textAlignment w:val="auto"/>
            </w:pPr>
            <w:r>
              <w:rPr>
                <w:rFonts w:hint="eastAsia"/>
              </w:rPr>
              <w:t>落实上述风险防范措施后，尽管风险事故发生的可能性依然存在，但是通过有效组织，严格管理控制，以及严密的事故应急预案，可将项目事故发生的环境风险降至最低，环境风险可接受。</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48</w:t>
            </w:r>
            <w:r>
              <w:rPr>
                <w:rFonts w:hint="eastAsia" w:asciiTheme="minorEastAsia" w:hAnsiTheme="minorEastAsia" w:eastAsiaTheme="minorEastAsia" w:cstheme="minorEastAsia"/>
                <w:sz w:val="21"/>
                <w:szCs w:val="21"/>
              </w:rPr>
              <w:t xml:space="preserve">  建设项目环境风险简单分析内容表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951"/>
              <w:gridCol w:w="1979"/>
              <w:gridCol w:w="991"/>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 w:val="21"/>
                    </w:rPr>
                  </w:pPr>
                  <w:r>
                    <w:rPr>
                      <w:rFonts w:hint="eastAsia"/>
                      <w:sz w:val="21"/>
                    </w:rPr>
                    <w:t>建设项目名称</w:t>
                  </w:r>
                </w:p>
              </w:tc>
              <w:tc>
                <w:tcPr>
                  <w:tcW w:w="4064"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 w:val="21"/>
                    </w:rPr>
                  </w:pPr>
                  <w:r>
                    <w:rPr>
                      <w:rFonts w:hint="eastAsia" w:cs="宋体"/>
                      <w:szCs w:val="21"/>
                      <w:lang w:eastAsia="zh-CN"/>
                    </w:rPr>
                    <w:t>年产</w:t>
                  </w:r>
                  <w:r>
                    <w:rPr>
                      <w:rFonts w:hint="eastAsia" w:cs="宋体"/>
                      <w:szCs w:val="21"/>
                      <w:lang w:val="en-US" w:eastAsia="zh-CN"/>
                    </w:rPr>
                    <w:t>2万平米聚氨酯封边岩棉夹芯板加工生产线项目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pct"/>
                  <w:tcBorders>
                    <w:tl2br w:val="nil"/>
                    <w:tr2bl w:val="nil"/>
                  </w:tcBorders>
                  <w:vAlign w:val="center"/>
                </w:tcPr>
                <w:p>
                  <w:pPr>
                    <w:spacing w:line="240" w:lineRule="auto"/>
                    <w:ind w:firstLine="0" w:firstLineChars="0"/>
                    <w:jc w:val="center"/>
                    <w:rPr>
                      <w:sz w:val="21"/>
                    </w:rPr>
                  </w:pPr>
                  <w:r>
                    <w:rPr>
                      <w:rFonts w:hint="eastAsia"/>
                      <w:sz w:val="21"/>
                    </w:rPr>
                    <w:t>建设地点</w:t>
                  </w:r>
                </w:p>
              </w:tc>
              <w:tc>
                <w:tcPr>
                  <w:tcW w:w="599" w:type="pct"/>
                  <w:tcBorders>
                    <w:tl2br w:val="nil"/>
                    <w:tr2bl w:val="nil"/>
                  </w:tcBorders>
                  <w:vAlign w:val="center"/>
                </w:tcPr>
                <w:p>
                  <w:pPr>
                    <w:spacing w:line="240" w:lineRule="auto"/>
                    <w:ind w:firstLine="0" w:firstLineChars="0"/>
                    <w:jc w:val="center"/>
                    <w:rPr>
                      <w:sz w:val="21"/>
                    </w:rPr>
                  </w:pPr>
                  <w:r>
                    <w:rPr>
                      <w:rFonts w:hint="eastAsia"/>
                      <w:sz w:val="21"/>
                    </w:rPr>
                    <w:t>新疆</w:t>
                  </w:r>
                </w:p>
              </w:tc>
              <w:tc>
                <w:tcPr>
                  <w:tcW w:w="1246" w:type="pct"/>
                  <w:tcBorders>
                    <w:tl2br w:val="nil"/>
                    <w:tr2bl w:val="nil"/>
                  </w:tcBorders>
                  <w:vAlign w:val="center"/>
                </w:tcPr>
                <w:p>
                  <w:pPr>
                    <w:spacing w:line="240" w:lineRule="auto"/>
                    <w:ind w:firstLine="0" w:firstLineChars="0"/>
                    <w:jc w:val="center"/>
                    <w:rPr>
                      <w:sz w:val="21"/>
                    </w:rPr>
                  </w:pPr>
                  <w:r>
                    <w:rPr>
                      <w:rFonts w:hint="eastAsia"/>
                      <w:sz w:val="21"/>
                    </w:rPr>
                    <w:t>昌吉回族自治州</w:t>
                  </w:r>
                </w:p>
              </w:tc>
              <w:tc>
                <w:tcPr>
                  <w:tcW w:w="624" w:type="pct"/>
                  <w:tcBorders>
                    <w:tl2br w:val="nil"/>
                    <w:tr2bl w:val="nil"/>
                  </w:tcBorders>
                  <w:vAlign w:val="center"/>
                </w:tcPr>
                <w:p>
                  <w:pPr>
                    <w:spacing w:line="240" w:lineRule="auto"/>
                    <w:ind w:firstLine="0" w:firstLineChars="0"/>
                    <w:jc w:val="center"/>
                    <w:rPr>
                      <w:sz w:val="21"/>
                    </w:rPr>
                  </w:pPr>
                  <w:r>
                    <w:rPr>
                      <w:rFonts w:hint="eastAsia"/>
                      <w:sz w:val="21"/>
                    </w:rPr>
                    <w:t>昌吉市</w:t>
                  </w:r>
                </w:p>
              </w:tc>
              <w:tc>
                <w:tcPr>
                  <w:tcW w:w="1593" w:type="pct"/>
                  <w:tcBorders>
                    <w:tl2br w:val="nil"/>
                    <w:tr2bl w:val="nil"/>
                  </w:tcBorders>
                  <w:vAlign w:val="center"/>
                </w:tcPr>
                <w:p>
                  <w:pPr>
                    <w:spacing w:line="240" w:lineRule="auto"/>
                    <w:ind w:firstLine="0" w:firstLineChars="0"/>
                    <w:jc w:val="center"/>
                    <w:rPr>
                      <w:sz w:val="21"/>
                    </w:rPr>
                  </w:pPr>
                  <w:r>
                    <w:rPr>
                      <w:rFonts w:hint="eastAsia"/>
                      <w:sz w:val="21"/>
                    </w:rPr>
                    <w:t>昌吉高新技术产业开发区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tcBorders>
                    <w:tl2br w:val="nil"/>
                    <w:tr2bl w:val="nil"/>
                  </w:tcBorders>
                  <w:vAlign w:val="center"/>
                </w:tcPr>
                <w:p>
                  <w:pPr>
                    <w:spacing w:line="240" w:lineRule="auto"/>
                    <w:ind w:firstLine="0" w:firstLineChars="0"/>
                    <w:jc w:val="center"/>
                    <w:rPr>
                      <w:sz w:val="21"/>
                    </w:rPr>
                  </w:pPr>
                  <w:r>
                    <w:rPr>
                      <w:rFonts w:hint="eastAsia"/>
                      <w:sz w:val="21"/>
                    </w:rPr>
                    <w:t>主要危险物质及分布</w:t>
                  </w:r>
                </w:p>
              </w:tc>
              <w:tc>
                <w:tcPr>
                  <w:tcW w:w="4064" w:type="pct"/>
                  <w:gridSpan w:val="4"/>
                  <w:tcBorders>
                    <w:tl2br w:val="nil"/>
                    <w:tr2bl w:val="nil"/>
                  </w:tcBorders>
                  <w:vAlign w:val="center"/>
                </w:tcPr>
                <w:p>
                  <w:pPr>
                    <w:spacing w:line="240" w:lineRule="auto"/>
                    <w:ind w:firstLine="0" w:firstLineChars="0"/>
                    <w:jc w:val="center"/>
                    <w:rPr>
                      <w:sz w:val="21"/>
                    </w:rPr>
                  </w:pPr>
                  <w:r>
                    <w:rPr>
                      <w:rFonts w:hint="eastAsia"/>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tcBorders>
                    <w:tl2br w:val="nil"/>
                    <w:tr2bl w:val="nil"/>
                  </w:tcBorders>
                  <w:vAlign w:val="center"/>
                </w:tcPr>
                <w:p>
                  <w:pPr>
                    <w:spacing w:line="240" w:lineRule="auto"/>
                    <w:ind w:firstLine="0" w:firstLineChars="0"/>
                    <w:jc w:val="center"/>
                    <w:rPr>
                      <w:sz w:val="21"/>
                    </w:rPr>
                  </w:pPr>
                  <w:r>
                    <w:rPr>
                      <w:rFonts w:hint="eastAsia"/>
                      <w:sz w:val="21"/>
                    </w:rPr>
                    <w:t>环境影响途径及危害后果</w:t>
                  </w:r>
                </w:p>
              </w:tc>
              <w:tc>
                <w:tcPr>
                  <w:tcW w:w="4064" w:type="pct"/>
                  <w:gridSpan w:val="4"/>
                  <w:tcBorders>
                    <w:tl2br w:val="nil"/>
                    <w:tr2bl w:val="nil"/>
                  </w:tcBorders>
                  <w:vAlign w:val="center"/>
                </w:tcPr>
                <w:p>
                  <w:pPr>
                    <w:spacing w:line="240" w:lineRule="auto"/>
                    <w:ind w:firstLine="0" w:firstLineChars="0"/>
                    <w:jc w:val="left"/>
                    <w:rPr>
                      <w:sz w:val="21"/>
                    </w:rPr>
                  </w:pPr>
                  <w:r>
                    <w:rPr>
                      <w:rFonts w:hint="eastAsia"/>
                      <w:sz w:val="21"/>
                    </w:rPr>
                    <w:t>本项目可能的风险事故为原辅材料</w:t>
                  </w:r>
                  <w:r>
                    <w:rPr>
                      <w:rFonts w:hint="eastAsia"/>
                      <w:sz w:val="21"/>
                      <w:lang w:eastAsia="zh-CN"/>
                    </w:rPr>
                    <w:t>、</w:t>
                  </w:r>
                  <w:r>
                    <w:rPr>
                      <w:rFonts w:hint="eastAsia"/>
                      <w:sz w:val="21"/>
                    </w:rPr>
                    <w:t>成品</w:t>
                  </w:r>
                  <w:r>
                    <w:rPr>
                      <w:rFonts w:hint="eastAsia"/>
                      <w:sz w:val="21"/>
                      <w:lang w:eastAsia="zh-CN"/>
                    </w:rPr>
                    <w:t>聚氨酯封边岩棉夹芯</w:t>
                  </w:r>
                  <w:r>
                    <w:rPr>
                      <w:rFonts w:hint="eastAsia"/>
                      <w:sz w:val="21"/>
                    </w:rPr>
                    <w:t>板由于存放、管理不当遇明火引发火灾，火灾事故次生、伴生灾害主要为产生的烟雾对周围人群和环境的影响，不会对地表水和底下水产生影响。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tcBorders>
                    <w:tl2br w:val="nil"/>
                    <w:tr2bl w:val="nil"/>
                  </w:tcBorders>
                  <w:vAlign w:val="center"/>
                </w:tcPr>
                <w:p>
                  <w:pPr>
                    <w:spacing w:line="240" w:lineRule="auto"/>
                    <w:ind w:firstLine="0" w:firstLineChars="0"/>
                    <w:jc w:val="center"/>
                    <w:rPr>
                      <w:sz w:val="21"/>
                    </w:rPr>
                  </w:pPr>
                  <w:r>
                    <w:rPr>
                      <w:rFonts w:hint="eastAsia"/>
                      <w:sz w:val="21"/>
                    </w:rPr>
                    <w:t>风险防范措施要求</w:t>
                  </w:r>
                </w:p>
              </w:tc>
              <w:tc>
                <w:tcPr>
                  <w:tcW w:w="4064" w:type="pct"/>
                  <w:gridSpan w:val="4"/>
                  <w:tcBorders>
                    <w:tl2br w:val="nil"/>
                    <w:tr2bl w:val="nil"/>
                  </w:tcBorders>
                  <w:vAlign w:val="center"/>
                </w:tcPr>
                <w:p>
                  <w:pPr>
                    <w:spacing w:line="240" w:lineRule="auto"/>
                    <w:ind w:firstLine="0" w:firstLineChars="0"/>
                    <w:jc w:val="left"/>
                    <w:rPr>
                      <w:sz w:val="21"/>
                    </w:rPr>
                  </w:pPr>
                  <w:r>
                    <w:rPr>
                      <w:rFonts w:hint="eastAsia"/>
                      <w:sz w:val="21"/>
                    </w:rPr>
                    <w:t>（1）建立完善的安全生产管理制度和消防安全规定，制定设备操作规程并严格遵照执行；</w:t>
                  </w:r>
                </w:p>
                <w:p>
                  <w:pPr>
                    <w:spacing w:line="240" w:lineRule="auto"/>
                    <w:ind w:firstLine="0" w:firstLineChars="0"/>
                    <w:jc w:val="left"/>
                    <w:rPr>
                      <w:sz w:val="21"/>
                    </w:rPr>
                  </w:pPr>
                  <w:r>
                    <w:rPr>
                      <w:rFonts w:hint="eastAsia"/>
                      <w:sz w:val="21"/>
                    </w:rPr>
                    <w:t>（2）生产车间等应按照《建筑设计防火规范》等文件的要求设置消防给水和灭火设施、火灾探测及火灾报警系统。生产车间、库房配备灭火器、消防栓等消防器材；</w:t>
                  </w:r>
                </w:p>
                <w:p>
                  <w:pPr>
                    <w:spacing w:line="240" w:lineRule="auto"/>
                    <w:ind w:firstLine="0" w:firstLineChars="0"/>
                    <w:jc w:val="left"/>
                    <w:rPr>
                      <w:rFonts w:hint="eastAsia" w:eastAsia="宋体"/>
                      <w:sz w:val="21"/>
                      <w:lang w:eastAsia="zh-CN"/>
                    </w:rPr>
                  </w:pPr>
                  <w:r>
                    <w:rPr>
                      <w:rFonts w:hint="eastAsia"/>
                      <w:sz w:val="21"/>
                    </w:rPr>
                    <w:t>（3）在有较大危险因素的有关设施、设备上，如压力容器、变压器等处均应设置明显的安全警示标志</w:t>
                  </w:r>
                  <w:r>
                    <w:rPr>
                      <w:rFonts w:hint="eastAsia"/>
                      <w:sz w:val="21"/>
                      <w:lang w:eastAsia="zh-CN"/>
                    </w:rPr>
                    <w:t>；</w:t>
                  </w:r>
                </w:p>
                <w:p>
                  <w:pPr>
                    <w:spacing w:line="240" w:lineRule="auto"/>
                    <w:ind w:firstLine="0" w:firstLineChars="0"/>
                    <w:jc w:val="left"/>
                    <w:rPr>
                      <w:rFonts w:hint="eastAsia" w:eastAsia="宋体"/>
                      <w:sz w:val="21"/>
                      <w:lang w:eastAsia="zh-CN"/>
                    </w:rPr>
                  </w:pPr>
                  <w:r>
                    <w:rPr>
                      <w:rFonts w:hint="eastAsia"/>
                      <w:sz w:val="21"/>
                    </w:rPr>
                    <w:t>（4）生产区域应加强管理，避免和及时消除各种激发能源的产生和积累，杜绝火种及违章违纪现象，进入车辆必须装阻火器</w:t>
                  </w:r>
                  <w:r>
                    <w:rPr>
                      <w:rFonts w:hint="eastAsia"/>
                      <w:sz w:val="21"/>
                      <w:lang w:eastAsia="zh-CN"/>
                    </w:rPr>
                    <w:t>；</w:t>
                  </w:r>
                </w:p>
                <w:p>
                  <w:pPr>
                    <w:spacing w:line="240" w:lineRule="auto"/>
                    <w:ind w:firstLine="0" w:firstLineChars="0"/>
                    <w:jc w:val="left"/>
                    <w:rPr>
                      <w:sz w:val="21"/>
                    </w:rPr>
                  </w:pPr>
                  <w:r>
                    <w:rPr>
                      <w:rFonts w:hint="eastAsia"/>
                      <w:sz w:val="21"/>
                    </w:rPr>
                    <w:t>（5）加强员工的思想、道德教育，提高员工的责任心和主观能动性</w:t>
                  </w:r>
                  <w:r>
                    <w:rPr>
                      <w:rFonts w:hint="eastAsia"/>
                      <w:sz w:val="21"/>
                      <w:lang w:eastAsia="zh-CN"/>
                    </w:rPr>
                    <w:t>；</w:t>
                  </w:r>
                  <w:r>
                    <w:rPr>
                      <w:rFonts w:hint="eastAsia"/>
                      <w:sz w:val="21"/>
                    </w:rPr>
                    <w:t>完善并严格遵守相关的操作规程，加强岗位培训，落实岗位责任制，加强设备管理。</w:t>
                  </w:r>
                </w:p>
                <w:p>
                  <w:pPr>
                    <w:spacing w:line="240" w:lineRule="auto"/>
                    <w:ind w:firstLine="0" w:firstLineChars="0"/>
                    <w:jc w:val="left"/>
                    <w:rPr>
                      <w:sz w:val="21"/>
                    </w:rPr>
                  </w:pPr>
                  <w:r>
                    <w:rPr>
                      <w:rFonts w:hint="eastAsia"/>
                      <w:sz w:val="21"/>
                    </w:rPr>
                    <w:t>（6）加强事故管理，在生产过程中注意对其它单位相关事故的研究，充分吸取经验和教训。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tcBorders>
                    <w:tl2br w:val="nil"/>
                    <w:tr2bl w:val="nil"/>
                  </w:tcBorders>
                  <w:vAlign w:val="center"/>
                </w:tcPr>
                <w:p>
                  <w:pPr>
                    <w:spacing w:line="240" w:lineRule="auto"/>
                    <w:ind w:firstLine="0" w:firstLineChars="0"/>
                    <w:jc w:val="center"/>
                    <w:rPr>
                      <w:sz w:val="21"/>
                    </w:rPr>
                  </w:pPr>
                  <w:r>
                    <w:rPr>
                      <w:rFonts w:hint="eastAsia"/>
                      <w:sz w:val="21"/>
                    </w:rPr>
                    <w:t>填表说明</w:t>
                  </w:r>
                </w:p>
              </w:tc>
              <w:tc>
                <w:tcPr>
                  <w:tcW w:w="4064" w:type="pct"/>
                  <w:gridSpan w:val="4"/>
                  <w:tcBorders>
                    <w:tl2br w:val="nil"/>
                    <w:tr2bl w:val="nil"/>
                  </w:tcBorders>
                  <w:vAlign w:val="center"/>
                </w:tcPr>
                <w:p>
                  <w:pPr>
                    <w:spacing w:line="240" w:lineRule="auto"/>
                    <w:ind w:firstLine="0" w:firstLineChars="0"/>
                    <w:jc w:val="left"/>
                    <w:rPr>
                      <w:sz w:val="21"/>
                    </w:rPr>
                  </w:pPr>
                  <w:r>
                    <w:rPr>
                      <w:rFonts w:hint="eastAsia"/>
                      <w:sz w:val="21"/>
                    </w:rPr>
                    <w:t>本项目风险潜势为Ⅰ，仅进行简单分析，在采取有效的防范措施、制定相应的应急预案的前提下，建设单位可将事故风险的影响减至最小。本项目在落实上述提出的存储过程中的风险防范及应急措施、生产过程中的风险防范及应急措施、环境影响途径的风险防范及应急措施后，可做到环境风险可防控要求，本项目环境风险防范措施有效可行，环境风险可防控。</w:t>
                  </w:r>
                </w:p>
              </w:tc>
            </w:tr>
          </w:tbl>
          <w:p>
            <w:pPr>
              <w:pStyle w:val="3"/>
              <w:keepLines w:val="0"/>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4.</w:t>
            </w:r>
            <w:r>
              <w:rPr>
                <w:rFonts w:hint="eastAsia"/>
                <w:color w:val="auto"/>
                <w:lang w:val="en-US" w:eastAsia="zh-CN"/>
              </w:rPr>
              <w:t>7</w:t>
            </w:r>
            <w:r>
              <w:rPr>
                <w:rFonts w:hint="eastAsia"/>
                <w:color w:val="auto"/>
              </w:rPr>
              <w:t>地下水、土壤</w:t>
            </w:r>
          </w:p>
          <w:p>
            <w:pPr>
              <w:keepLines w:val="0"/>
              <w:pageBreakBefore w:val="0"/>
              <w:widowControl w:val="0"/>
              <w:kinsoku/>
              <w:wordWrap/>
              <w:topLinePunct w:val="0"/>
              <w:autoSpaceDE/>
              <w:autoSpaceDN/>
              <w:bidi w:val="0"/>
              <w:adjustRightInd/>
              <w:snapToGrid w:val="0"/>
              <w:ind w:firstLine="480"/>
              <w:jc w:val="left"/>
              <w:textAlignment w:val="auto"/>
            </w:pPr>
            <w:r>
              <w:rPr>
                <w:rFonts w:hint="eastAsia"/>
              </w:rPr>
              <w:t>无地下水、土壤污染途径。</w:t>
            </w:r>
          </w:p>
          <w:p>
            <w:pPr>
              <w:pStyle w:val="3"/>
              <w:keepLines w:val="0"/>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4.</w:t>
            </w:r>
            <w:r>
              <w:rPr>
                <w:rFonts w:hint="eastAsia"/>
                <w:color w:val="auto"/>
                <w:lang w:val="en-US" w:eastAsia="zh-CN"/>
              </w:rPr>
              <w:t>7</w:t>
            </w:r>
            <w:r>
              <w:rPr>
                <w:rFonts w:hint="eastAsia"/>
                <w:color w:val="auto"/>
              </w:rPr>
              <w:t>生态</w:t>
            </w:r>
          </w:p>
          <w:p>
            <w:pPr>
              <w:keepLines w:val="0"/>
              <w:pageBreakBefore w:val="0"/>
              <w:widowControl w:val="0"/>
              <w:kinsoku/>
              <w:wordWrap/>
              <w:topLinePunct w:val="0"/>
              <w:autoSpaceDE/>
              <w:autoSpaceDN/>
              <w:bidi w:val="0"/>
              <w:adjustRightInd/>
              <w:snapToGrid w:val="0"/>
              <w:ind w:firstLine="480"/>
              <w:jc w:val="left"/>
              <w:textAlignment w:val="auto"/>
            </w:pPr>
            <w:r>
              <w:rPr>
                <w:rFonts w:hint="eastAsia"/>
              </w:rPr>
              <w:t>本项目位于昌吉高新技术产业开发区</w:t>
            </w:r>
            <w:r>
              <w:rPr>
                <w:rFonts w:hint="eastAsia"/>
                <w:lang w:eastAsia="zh-CN"/>
              </w:rPr>
              <w:t>建材区建设路</w:t>
            </w:r>
            <w:r>
              <w:rPr>
                <w:rFonts w:hint="eastAsia"/>
              </w:rPr>
              <w:t>5号，项目区内不存在生态环境保护目标且不新增用地，故本项目可不开展生态环境现状调查。</w:t>
            </w:r>
          </w:p>
          <w:p>
            <w:pPr>
              <w:pStyle w:val="3"/>
              <w:keepLines w:val="0"/>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4.</w:t>
            </w:r>
            <w:r>
              <w:rPr>
                <w:rFonts w:hint="eastAsia"/>
                <w:color w:val="auto"/>
                <w:lang w:val="en-US" w:eastAsia="zh-CN"/>
              </w:rPr>
              <w:t>9</w:t>
            </w:r>
            <w:r>
              <w:rPr>
                <w:rFonts w:hint="eastAsia"/>
                <w:color w:val="auto"/>
              </w:rPr>
              <w:t>电磁辐射</w:t>
            </w:r>
          </w:p>
          <w:p>
            <w:pPr>
              <w:keepLines w:val="0"/>
              <w:pageBreakBefore w:val="0"/>
              <w:widowControl w:val="0"/>
              <w:kinsoku/>
              <w:wordWrap/>
              <w:topLinePunct w:val="0"/>
              <w:autoSpaceDE/>
              <w:autoSpaceDN/>
              <w:bidi w:val="0"/>
              <w:adjustRightInd/>
              <w:snapToGrid w:val="0"/>
              <w:ind w:firstLine="480"/>
              <w:jc w:val="left"/>
              <w:textAlignment w:val="auto"/>
              <w:rPr>
                <w:rFonts w:hint="eastAsia"/>
                <w:color w:val="auto"/>
              </w:rPr>
            </w:pPr>
            <w:r>
              <w:rPr>
                <w:rFonts w:hint="eastAsia"/>
              </w:rPr>
              <w:t>无。</w:t>
            </w:r>
          </w:p>
          <w:p>
            <w:pPr>
              <w:pStyle w:val="3"/>
              <w:keepLines w:val="0"/>
              <w:pageBreakBefore w:val="0"/>
              <w:widowControl w:val="0"/>
              <w:kinsoku/>
              <w:wordWrap/>
              <w:topLinePunct w:val="0"/>
              <w:autoSpaceDE/>
              <w:autoSpaceDN/>
              <w:bidi w:val="0"/>
              <w:adjustRightInd/>
              <w:snapToGrid w:val="0"/>
              <w:spacing w:before="0" w:after="0"/>
              <w:jc w:val="left"/>
              <w:textAlignment w:val="auto"/>
              <w:rPr>
                <w:rFonts w:hint="default" w:eastAsia="宋体"/>
                <w:color w:val="auto"/>
                <w:highlight w:val="none"/>
                <w:lang w:val="en-US" w:eastAsia="zh-CN"/>
              </w:rPr>
            </w:pPr>
            <w:r>
              <w:rPr>
                <w:rFonts w:hint="eastAsia"/>
                <w:color w:val="auto"/>
                <w:highlight w:val="none"/>
                <w:lang w:val="en-US" w:eastAsia="zh-CN"/>
              </w:rPr>
              <w:t>4.10环境管理与环境监测计划</w:t>
            </w:r>
          </w:p>
          <w:p>
            <w:pPr>
              <w:pStyle w:val="3"/>
              <w:keepLines w:val="0"/>
              <w:pageBreakBefore w:val="0"/>
              <w:widowControl w:val="0"/>
              <w:kinsoku/>
              <w:wordWrap/>
              <w:topLinePunct w:val="0"/>
              <w:autoSpaceDE/>
              <w:autoSpaceDN/>
              <w:bidi w:val="0"/>
              <w:adjustRightInd/>
              <w:snapToGrid w:val="0"/>
              <w:spacing w:before="0" w:after="0"/>
              <w:jc w:val="left"/>
              <w:textAlignment w:val="auto"/>
              <w:rPr>
                <w:rFonts w:hint="default" w:eastAsia="宋体"/>
                <w:color w:val="auto"/>
                <w:sz w:val="24"/>
                <w:szCs w:val="24"/>
                <w:lang w:val="en-US" w:eastAsia="zh-CN"/>
              </w:rPr>
            </w:pPr>
            <w:r>
              <w:rPr>
                <w:rFonts w:hint="eastAsia"/>
                <w:color w:val="auto"/>
                <w:sz w:val="24"/>
                <w:szCs w:val="24"/>
                <w:lang w:val="en-US" w:eastAsia="zh-CN"/>
              </w:rPr>
              <w:t>4.10.1环境管理体制</w:t>
            </w:r>
          </w:p>
          <w:p>
            <w:pPr>
              <w:pStyle w:val="43"/>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环境管理是环境保护工作的重要内容之一，也是企业管理的主要组成部分。环境管理的核心是把环境保护融于企业经营管理的过程之中，使环境保护成为工业企业的重要决策因素，重视研究本企业的环境对策。采用新技术、新工艺，减少有害废物的排放。对废旧产品进行回收处理及循环利用，变普通产品为</w:t>
            </w:r>
            <w:r>
              <w:rPr>
                <w:rFonts w:hint="eastAsia" w:ascii="Times New Roman" w:hAnsi="Times New Roman" w:eastAsia="宋体"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绿色</w:t>
            </w:r>
            <w:r>
              <w:rPr>
                <w:rFonts w:hint="eastAsia" w:ascii="Times New Roman" w:hAnsi="Times New Roman" w:eastAsia="宋体"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产品，努力通过环境认证，推动员工和公众的环保宣传和引导，树立</w:t>
            </w:r>
            <w:r>
              <w:rPr>
                <w:rFonts w:hint="eastAsia" w:ascii="Times New Roman" w:hAnsi="Times New Roman" w:eastAsia="宋体"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绿色企业</w:t>
            </w:r>
            <w:r>
              <w:rPr>
                <w:rFonts w:hint="eastAsia" w:ascii="Times New Roman" w:hAnsi="Times New Roman" w:eastAsia="宋体"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的良好形象。</w:t>
            </w:r>
          </w:p>
          <w:p>
            <w:pPr>
              <w:pStyle w:val="3"/>
              <w:keepLines w:val="0"/>
              <w:pageBreakBefore w:val="0"/>
              <w:widowControl w:val="0"/>
              <w:kinsoku/>
              <w:wordWrap/>
              <w:topLinePunct w:val="0"/>
              <w:autoSpaceDE/>
              <w:autoSpaceDN/>
              <w:bidi w:val="0"/>
              <w:adjustRightInd/>
              <w:snapToGrid w:val="0"/>
              <w:spacing w:before="0" w:after="0"/>
              <w:ind w:firstLine="480" w:firstLineChars="200"/>
              <w:jc w:val="left"/>
              <w:textAlignment w:val="auto"/>
              <w:rPr>
                <w:rFonts w:hint="eastAsia"/>
                <w:b w:val="0"/>
                <w:bCs w:val="0"/>
                <w:color w:val="auto"/>
                <w:sz w:val="24"/>
                <w:szCs w:val="24"/>
              </w:rPr>
            </w:pPr>
            <w:r>
              <w:rPr>
                <w:rFonts w:hint="default" w:ascii="Times New Roman" w:hAnsi="Times New Roman" w:eastAsia="宋体" w:cs="Times New Roman"/>
                <w:b w:val="0"/>
                <w:bCs w:val="0"/>
                <w:color w:val="000000"/>
                <w:sz w:val="24"/>
                <w:szCs w:val="24"/>
              </w:rPr>
              <w:t>为了贯彻和执行国家和地方环境保护法律、法规、政策与标准，及时掌握和了解污染控制措施的效果，以及项目所在区域环境质量的变化情况，更好地监控环保设施的运行情况，协调与地方环保职能部门和其它有关部门的工作，同时保证企业生产管理和环境管理的正常运作，建立环境管理体系与监测制度是非常必要。环境管理体系与监测机构的建立能够帮助企业及早发现问题，使企业在发展生产的同时节约能源、降低原材料的消耗，控制污染物排放量，减轻污染物排放对环境产生的影响，为企业创造更好的经济效益和环境效益，树立良好的社会形象。</w:t>
            </w:r>
          </w:p>
          <w:p>
            <w:pPr>
              <w:pStyle w:val="3"/>
              <w:keepNext/>
              <w:keepLines w:val="0"/>
              <w:pageBreakBefore w:val="0"/>
              <w:widowControl w:val="0"/>
              <w:kinsoku/>
              <w:wordWrap/>
              <w:overflowPunct w:val="0"/>
              <w:topLinePunct w:val="0"/>
              <w:autoSpaceDE/>
              <w:autoSpaceDN/>
              <w:bidi w:val="0"/>
              <w:adjustRightInd/>
              <w:snapToGrid w:val="0"/>
              <w:spacing w:before="0" w:after="0"/>
              <w:ind w:firstLine="480" w:firstLineChars="200"/>
              <w:jc w:val="left"/>
              <w:textAlignment w:val="auto"/>
              <w:rPr>
                <w:rFonts w:hint="default" w:eastAsia="宋体"/>
                <w:color w:val="auto"/>
                <w:lang w:val="en-US" w:eastAsia="zh-CN"/>
              </w:rPr>
            </w:pPr>
            <w:r>
              <w:rPr>
                <w:rFonts w:hint="default" w:ascii="Times New Roman" w:hAnsi="Times New Roman" w:cs="Times New Roman"/>
                <w:b w:val="0"/>
                <w:bCs w:val="0"/>
                <w:color w:val="auto"/>
                <w:sz w:val="24"/>
                <w:szCs w:val="24"/>
                <w:lang w:val="en-US" w:eastAsia="zh-CN"/>
              </w:rPr>
              <w:t>4.</w:t>
            </w:r>
            <w:r>
              <w:rPr>
                <w:rFonts w:hint="eastAsia" w:cs="Times New Roman"/>
                <w:b w:val="0"/>
                <w:bCs w:val="0"/>
                <w:color w:val="auto"/>
                <w:sz w:val="24"/>
                <w:szCs w:val="24"/>
                <w:lang w:val="en-US" w:eastAsia="zh-CN"/>
              </w:rPr>
              <w:t>10</w:t>
            </w:r>
            <w:r>
              <w:rPr>
                <w:rFonts w:hint="default" w:ascii="Times New Roman" w:hAnsi="Times New Roman" w:cs="Times New Roman"/>
                <w:b w:val="0"/>
                <w:bCs w:val="0"/>
                <w:color w:val="auto"/>
                <w:sz w:val="24"/>
                <w:szCs w:val="24"/>
                <w:lang w:val="en-US" w:eastAsia="zh-CN"/>
              </w:rPr>
              <w:t>.1.1环境管理机构设置及职责</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eastAsia="宋体" w:cs="Times New Roman"/>
                <w:color w:val="000000"/>
                <w:lang w:val="en-US" w:eastAsia="zh-CN"/>
              </w:rPr>
            </w:pPr>
            <w:r>
              <w:rPr>
                <w:rFonts w:ascii="Times New Roman" w:hAnsi="Times New Roman" w:eastAsia="宋体" w:cs="Times New Roman"/>
                <w:color w:val="000000"/>
              </w:rPr>
              <w:t>根据项目实际情况，项目应设置专门的环境管理机构，管理有关环保事宜，统筹厂区的环境管理工作，实行监督管理。环境管理机构设置示意见图</w:t>
            </w:r>
            <w:r>
              <w:rPr>
                <w:rFonts w:hint="eastAsia" w:eastAsia="宋体" w:cs="Times New Roman"/>
                <w:color w:val="000000"/>
                <w:lang w:val="en-US" w:eastAsia="zh-CN"/>
              </w:rPr>
              <w:t>20。</w:t>
            </w:r>
          </w:p>
          <w:p>
            <w:pPr>
              <w:pStyle w:val="3"/>
              <w:keepNext/>
              <w:keepLines w:val="0"/>
              <w:pageBreakBefore w:val="0"/>
              <w:widowControl w:val="0"/>
              <w:kinsoku/>
              <w:wordWrap/>
              <w:overflowPunct w:val="0"/>
              <w:topLinePunct w:val="0"/>
              <w:autoSpaceDE/>
              <w:autoSpaceDN/>
              <w:bidi w:val="0"/>
              <w:adjustRightInd/>
              <w:snapToGrid w:val="0"/>
              <w:spacing w:before="0" w:after="0"/>
              <w:ind w:firstLine="480" w:firstLineChars="200"/>
              <w:jc w:val="left"/>
              <w:textAlignment w:val="auto"/>
              <w:rPr>
                <w:rFonts w:hint="eastAsia" w:eastAsia="宋体" w:cs="Times New Roman"/>
                <w:color w:val="000000"/>
                <w:lang w:val="en-US" w:eastAsia="zh-CN"/>
              </w:rPr>
            </w:pPr>
            <w:r>
              <w:rPr>
                <w:rFonts w:hint="default" w:ascii="Times New Roman" w:hAnsi="Times New Roman" w:eastAsia="宋体" w:cs="Times New Roman"/>
                <w:b w:val="0"/>
                <w:bCs w:val="0"/>
                <w:color w:val="000000"/>
                <w:sz w:val="24"/>
                <w:szCs w:val="24"/>
              </w:rPr>
              <w:t>生产装置建成投产后，本项目共有工作人员</w:t>
            </w:r>
            <w:r>
              <w:rPr>
                <w:rFonts w:hint="eastAsia" w:cs="Times New Roman"/>
                <w:b w:val="0"/>
                <w:bCs w:val="0"/>
                <w:color w:val="000000"/>
                <w:sz w:val="24"/>
                <w:szCs w:val="24"/>
                <w:lang w:val="en-US" w:eastAsia="zh-CN"/>
              </w:rPr>
              <w:t>11</w:t>
            </w:r>
            <w:r>
              <w:rPr>
                <w:rFonts w:hint="default" w:ascii="Times New Roman" w:hAnsi="Times New Roman" w:eastAsia="宋体" w:cs="Times New Roman"/>
                <w:b w:val="0"/>
                <w:bCs w:val="0"/>
                <w:color w:val="000000"/>
                <w:sz w:val="24"/>
                <w:szCs w:val="24"/>
              </w:rPr>
              <w:t>人，企业需设置专门的环境管理机构，该机构包括1名</w:t>
            </w:r>
            <w:r>
              <w:rPr>
                <w:rFonts w:hint="default" w:ascii="Times New Roman" w:hAnsi="Times New Roman" w:eastAsia="宋体" w:cs="Times New Roman"/>
                <w:b w:val="0"/>
                <w:bCs w:val="0"/>
                <w:color w:val="000000"/>
                <w:sz w:val="24"/>
                <w:szCs w:val="24"/>
                <w:lang w:val="en-US" w:eastAsia="zh-CN"/>
              </w:rPr>
              <w:t>兼</w:t>
            </w:r>
            <w:r>
              <w:rPr>
                <w:rFonts w:hint="default" w:ascii="Times New Roman" w:hAnsi="Times New Roman" w:eastAsia="宋体" w:cs="Times New Roman"/>
                <w:b w:val="0"/>
                <w:bCs w:val="0"/>
                <w:color w:val="000000"/>
                <w:sz w:val="24"/>
                <w:szCs w:val="24"/>
              </w:rPr>
              <w:t>职环保人员，接受上级各级环保部门的指导和监督，确保各项环保措施、环保制度的贯彻落实，在公司的领导下开展工作，并接受上级环保管理部门的业务领导和指导。</w:t>
            </w:r>
          </w:p>
          <w:p>
            <w:pPr>
              <w:pStyle w:val="4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eastAsia="宋体" w:cs="Times New Roman"/>
                <w:b/>
                <w:bCs/>
                <w:color w:val="000000"/>
                <w:lang w:eastAsia="zh-CN"/>
              </w:rPr>
            </w:pPr>
            <w:r>
              <w:rPr>
                <w:rFonts w:hint="default" w:ascii="Times New Roman" w:hAnsi="Times New Roman" w:eastAsia="宋体" w:cs="Times New Roman"/>
                <w:color w:val="000000"/>
              </w:rPr>
              <w:object>
                <v:shape id="_x0000_i1030" o:spt="75" type="#_x0000_t75" style="height:218.3pt;width:296pt;" o:ole="t" filled="f" o:preferrelative="t" stroked="f" coordsize="21600,21600">
                  <v:path/>
                  <v:fill on="f" focussize="0,0"/>
                  <v:stroke on="f"/>
                  <v:imagedata r:id="rId31" o:title=""/>
                  <o:lock v:ext="edit" aspectratio="t"/>
                  <w10:wrap type="none"/>
                  <w10:anchorlock/>
                </v:shape>
                <o:OLEObject Type="Embed" ProgID="Visio.Drawing.11" ShapeID="_x0000_i1030" DrawAspect="Content" ObjectID="_1468075730" r:id="rId30">
                  <o:LockedField>false</o:LockedField>
                </o:OLEObject>
              </w:object>
            </w:r>
          </w:p>
          <w:p>
            <w:pPr>
              <w:pStyle w:val="4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eastAsia="宋体" w:cs="Times New Roman"/>
                <w:b/>
                <w:bCs/>
                <w:color w:val="000000"/>
                <w:lang w:val="en-US" w:eastAsia="zh-CN"/>
              </w:rPr>
            </w:pPr>
            <w:r>
              <w:rPr>
                <w:rFonts w:hint="eastAsia" w:eastAsia="宋体" w:cs="Times New Roman"/>
                <w:b/>
                <w:bCs/>
                <w:color w:val="000000"/>
                <w:lang w:eastAsia="zh-CN"/>
              </w:rPr>
              <w:t>图</w:t>
            </w:r>
            <w:r>
              <w:rPr>
                <w:rFonts w:hint="eastAsia" w:eastAsia="宋体" w:cs="Times New Roman"/>
                <w:b/>
                <w:bCs/>
                <w:color w:val="000000"/>
                <w:lang w:val="en-US" w:eastAsia="zh-CN"/>
              </w:rPr>
              <w:t>20  环境管理机构设置示意图</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eastAsia="宋体" w:cs="Times New Roman"/>
                <w:b w:val="0"/>
                <w:bCs w:val="0"/>
                <w:color w:val="000000"/>
                <w:lang w:val="en-US" w:eastAsia="zh-CN"/>
              </w:rPr>
            </w:pPr>
            <w:r>
              <w:rPr>
                <w:rFonts w:hint="eastAsia" w:eastAsia="宋体" w:cs="Times New Roman"/>
                <w:b w:val="0"/>
                <w:bCs w:val="0"/>
                <w:color w:val="000000"/>
                <w:lang w:val="en-US" w:eastAsia="zh-CN"/>
              </w:rPr>
              <w:t>环境管理机构在管理中应担当的主要工作职责见表49。</w:t>
            </w:r>
          </w:p>
          <w:p>
            <w:pPr>
              <w:pStyle w:val="4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eastAsia="宋体" w:cs="Times New Roman"/>
                <w:b w:val="0"/>
                <w:bCs w:val="0"/>
                <w:color w:val="000000"/>
                <w:lang w:val="en-US" w:eastAsia="zh-CN"/>
              </w:rPr>
            </w:pPr>
            <w:r>
              <w:rPr>
                <w:rFonts w:hint="default" w:ascii="Times New Roman" w:hAnsi="Times New Roman" w:eastAsia="宋体" w:cs="Times New Roman"/>
                <w:b/>
                <w:bCs/>
                <w:color w:val="000000"/>
                <w:sz w:val="21"/>
                <w:szCs w:val="21"/>
                <w:lang w:val="en-US" w:eastAsia="zh-CN"/>
              </w:rPr>
              <w:t>表</w:t>
            </w:r>
            <w:r>
              <w:rPr>
                <w:rFonts w:hint="eastAsia" w:eastAsia="宋体" w:cs="Times New Roman"/>
                <w:b/>
                <w:bCs/>
                <w:color w:val="000000"/>
                <w:sz w:val="21"/>
                <w:szCs w:val="21"/>
                <w:lang w:val="en-US" w:eastAsia="zh-CN"/>
              </w:rPr>
              <w:t>49</w:t>
            </w:r>
            <w:r>
              <w:rPr>
                <w:rFonts w:hint="default" w:ascii="Times New Roman" w:hAnsi="Times New Roman" w:eastAsia="宋体" w:cs="Times New Roman"/>
                <w:b/>
                <w:bCs/>
                <w:color w:val="000000"/>
                <w:sz w:val="21"/>
                <w:szCs w:val="21"/>
                <w:lang w:val="en-US" w:eastAsia="zh-CN"/>
              </w:rPr>
              <w:t xml:space="preserve">  环境管理机构的主要工作职责表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08"/>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3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实施部</w:t>
                  </w:r>
                </w:p>
              </w:tc>
              <w:tc>
                <w:tcPr>
                  <w:tcW w:w="4364"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35" w:type="pct"/>
                  <w:vMerge w:val="restar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eastAsia="zh-CN"/>
                    </w:rPr>
                    <w:t>新疆众力建材有限公司</w:t>
                  </w:r>
                  <w:r>
                    <w:rPr>
                      <w:rFonts w:hint="default" w:ascii="Times New Roman" w:hAnsi="Times New Roman" w:cs="Times New Roman"/>
                      <w:color w:val="000000"/>
                      <w:sz w:val="21"/>
                      <w:szCs w:val="21"/>
                    </w:rPr>
                    <w:t>环境管理机构</w:t>
                  </w:r>
                </w:p>
              </w:tc>
              <w:tc>
                <w:tcPr>
                  <w:tcW w:w="4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1、组织宣传贯彻国家环保方针政策，按照国家、地方和行业环保法律法规标准要求，制定环境管理制度，明确各部门环保职责，监督、检查各产物环节污染防治措施落实及环保设施运行情况；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35"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000000"/>
                      <w:sz w:val="21"/>
                      <w:szCs w:val="21"/>
                    </w:rPr>
                  </w:pPr>
                </w:p>
              </w:tc>
              <w:tc>
                <w:tcPr>
                  <w:tcW w:w="4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2、编制制定环保管理制度、年度实施计划和长远环保规划，并监督贯彻执行；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35"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000000"/>
                      <w:sz w:val="21"/>
                      <w:szCs w:val="21"/>
                    </w:rPr>
                  </w:pPr>
                </w:p>
              </w:tc>
              <w:tc>
                <w:tcPr>
                  <w:tcW w:w="4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3、组织、配合有资质的环境监测部门开展污染源监测，组织对工程进行竣工验收；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35"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000000"/>
                      <w:sz w:val="21"/>
                      <w:szCs w:val="21"/>
                    </w:rPr>
                  </w:pPr>
                </w:p>
              </w:tc>
              <w:tc>
                <w:tcPr>
                  <w:tcW w:w="4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4、对可能造成的环境污染及时向上级环保部门汇报并提出防治、应急措施；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35"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000000"/>
                      <w:sz w:val="21"/>
                      <w:szCs w:val="21"/>
                    </w:rPr>
                  </w:pPr>
                </w:p>
              </w:tc>
              <w:tc>
                <w:tcPr>
                  <w:tcW w:w="4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5、参加本厂环保设施工程质量的检查、竣工验收以及污染事故的调查；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35"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000000"/>
                      <w:sz w:val="21"/>
                      <w:szCs w:val="21"/>
                    </w:rPr>
                  </w:pPr>
                </w:p>
              </w:tc>
              <w:tc>
                <w:tcPr>
                  <w:tcW w:w="4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6、每季度对全厂各环保设施运行情况进行全面检查；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35"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000000"/>
                      <w:sz w:val="21"/>
                      <w:szCs w:val="21"/>
                    </w:rPr>
                  </w:pPr>
                </w:p>
              </w:tc>
              <w:tc>
                <w:tcPr>
                  <w:tcW w:w="4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7、处理与群众环境纠纷，组织对突发性污染事故善后处理，追查原因并及时解决；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35"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000000"/>
                      <w:sz w:val="21"/>
                      <w:szCs w:val="21"/>
                    </w:rPr>
                  </w:pPr>
                </w:p>
              </w:tc>
              <w:tc>
                <w:tcPr>
                  <w:tcW w:w="4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8、负上责报环保宣传和员工培训，提高环保意识。</w:t>
                  </w:r>
                </w:p>
              </w:tc>
            </w:tr>
          </w:tbl>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eastAsia="宋体" w:cs="Times New Roman"/>
                <w:b w:val="0"/>
                <w:bCs w:val="0"/>
                <w:color w:val="000000"/>
                <w:lang w:val="en-US" w:eastAsia="zh-CN"/>
              </w:rPr>
            </w:pPr>
            <w:r>
              <w:rPr>
                <w:rFonts w:hint="eastAsia" w:eastAsia="宋体" w:cs="Times New Roman"/>
                <w:b w:val="0"/>
                <w:bCs w:val="0"/>
                <w:color w:val="000000"/>
                <w:lang w:val="en-US" w:eastAsia="zh-CN"/>
              </w:rPr>
              <w:t>4.10.1.2环境管理依据</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本项目在日常生产管理中，要依照国家有关环境管理要求进行日常管理：</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color w:val="000000"/>
                <w:lang w:eastAsia="zh-CN"/>
              </w:rPr>
            </w:pPr>
            <w:r>
              <w:rPr>
                <w:rFonts w:hint="default" w:ascii="Times New Roman" w:hAnsi="Times New Roman" w:eastAsia="宋体" w:cs="Times New Roman"/>
                <w:color w:val="000000"/>
              </w:rPr>
              <w:t>（1）落实国家、地方政府颁布的有关法律、法规</w:t>
            </w:r>
            <w:r>
              <w:rPr>
                <w:rFonts w:hint="eastAsia" w:eastAsia="宋体" w:cs="Times New Roman"/>
                <w:color w:val="000000"/>
                <w:lang w:eastAsia="zh-CN"/>
              </w:rPr>
              <w:t>；</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color w:val="000000"/>
                <w:lang w:eastAsia="zh-CN"/>
              </w:rPr>
            </w:pPr>
            <w:r>
              <w:rPr>
                <w:rFonts w:hint="default" w:ascii="Times New Roman" w:hAnsi="Times New Roman" w:eastAsia="宋体" w:cs="Times New Roman"/>
                <w:color w:val="000000"/>
              </w:rPr>
              <w:t>（2）遵守环境质量标准</w:t>
            </w:r>
            <w:r>
              <w:rPr>
                <w:rFonts w:hint="eastAsia" w:eastAsia="宋体" w:cs="Times New Roman"/>
                <w:color w:val="000000"/>
                <w:lang w:eastAsia="zh-CN"/>
              </w:rPr>
              <w:t>；</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color w:val="000000"/>
                <w:lang w:eastAsia="zh-CN"/>
              </w:rPr>
            </w:pPr>
            <w:r>
              <w:rPr>
                <w:rFonts w:hint="default" w:ascii="Times New Roman" w:hAnsi="Times New Roman" w:eastAsia="宋体" w:cs="Times New Roman"/>
                <w:color w:val="000000"/>
              </w:rPr>
              <w:t>（3）满足污染物排放标准</w:t>
            </w:r>
            <w:r>
              <w:rPr>
                <w:rFonts w:hint="eastAsia" w:eastAsia="宋体" w:cs="Times New Roman"/>
                <w:color w:val="000000"/>
                <w:lang w:eastAsia="zh-CN"/>
              </w:rPr>
              <w:t>；</w:t>
            </w:r>
          </w:p>
          <w:p>
            <w:pPr>
              <w:pStyle w:val="43"/>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eastAsia="宋体" w:cs="Times New Roman"/>
                <w:b w:val="0"/>
                <w:bCs w:val="0"/>
                <w:color w:val="000000"/>
                <w:lang w:val="en-US" w:eastAsia="zh-CN"/>
              </w:rPr>
            </w:pPr>
            <w:r>
              <w:rPr>
                <w:rFonts w:hint="default" w:ascii="Times New Roman" w:hAnsi="Times New Roman" w:eastAsia="宋体" w:cs="Times New Roman"/>
                <w:color w:val="000000"/>
              </w:rPr>
              <w:t>（4）遵守其他标准或控制要求</w:t>
            </w:r>
            <w:r>
              <w:rPr>
                <w:rFonts w:hint="eastAsia" w:eastAsia="宋体" w:cs="Times New Roman"/>
                <w:color w:val="000000"/>
                <w:lang w:eastAsia="zh-CN"/>
              </w:rPr>
              <w:t>。</w:t>
            </w:r>
          </w:p>
          <w:p>
            <w:pPr>
              <w:pStyle w:val="43"/>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eastAsia="宋体" w:cs="Times New Roman"/>
                <w:b w:val="0"/>
                <w:bCs w:val="0"/>
                <w:color w:val="000000"/>
                <w:lang w:val="en-US" w:eastAsia="zh-CN"/>
              </w:rPr>
            </w:pPr>
            <w:r>
              <w:rPr>
                <w:rFonts w:hint="eastAsia" w:eastAsia="宋体" w:cs="Times New Roman"/>
                <w:b w:val="0"/>
                <w:bCs w:val="0"/>
                <w:color w:val="000000"/>
                <w:lang w:val="en-US" w:eastAsia="zh-CN"/>
              </w:rPr>
              <w:t>4.10.1.3环境管理手段和措施</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为了使环境管理工作科学化、规范化、合理化，确保各项环保措施落实到位，企业在环境管理方面采取以下措施：</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（1）建立ISO14000环境管理体系，建议同时进行QHSE（质量、健康、安全、环保）审核；</w:t>
            </w:r>
          </w:p>
          <w:p>
            <w:pPr>
              <w:pStyle w:val="45"/>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（2）制订环境保护岗位目标责任制，将环境管理纳入生产管理体系，环保评估与经济效益评估相结合，建立严格的奖惩机制；</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（3）加强环境保护宣传教育工作，进行岗位培训，使全体职工能够意识到环境保护的重要意义，包括与企业生产、生存和发展的关系，全公司应有危机感和责任感，把环保工作落实到实处，落实到每一位员工；</w:t>
            </w:r>
          </w:p>
          <w:p>
            <w:pPr>
              <w:pStyle w:val="45"/>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（4）加强环境监测数据的统计工作，建立全厂完善的污染源及物料流失档案，严格控制污染物排放总量，确保污染物排放指标达到设计要求；</w:t>
            </w:r>
          </w:p>
          <w:p>
            <w:pPr>
              <w:pStyle w:val="45"/>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（5）强化对环保设施运行监督、管理的职能，建立全厂完善的环保设施运行、维护、维修等技术档案，以及加强对环保设施操作人员的技术培训，确保环境设施处于正常运行情况，污染物排放连续达标；</w:t>
            </w:r>
          </w:p>
          <w:p>
            <w:pPr>
              <w:pStyle w:val="45"/>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（6）制订应急预案。</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eastAsia="宋体" w:cs="Times New Roman"/>
                <w:b w:val="0"/>
                <w:bCs w:val="0"/>
                <w:color w:val="000000"/>
                <w:lang w:val="en-US" w:eastAsia="zh-CN"/>
              </w:rPr>
            </w:pPr>
            <w:r>
              <w:rPr>
                <w:rFonts w:hint="eastAsia" w:eastAsia="宋体" w:cs="Times New Roman"/>
                <w:b w:val="0"/>
                <w:bCs w:val="0"/>
                <w:color w:val="000000"/>
                <w:lang w:val="en-US" w:eastAsia="zh-CN"/>
              </w:rPr>
              <w:t>4.10.1.4环境管理计划</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eastAsia="宋体" w:cs="Times New Roman"/>
                <w:b w:val="0"/>
                <w:bCs w:val="0"/>
                <w:color w:val="000000"/>
                <w:lang w:val="en-US" w:eastAsia="zh-CN"/>
              </w:rPr>
            </w:pPr>
            <w:r>
              <w:rPr>
                <w:rFonts w:hint="eastAsia" w:ascii="Times New Roman" w:hAnsi="Times New Roman" w:eastAsia="宋体" w:cs="Times New Roman"/>
                <w:color w:val="000000"/>
              </w:rPr>
              <w:t>环境管理计划应贯穿于项目运营全过程，如运营阶段环保设施管理、信息反馈和群众监督等方面，形成网络一体化管理，对环境管理工作计划，其工作重点应放在指定环境管理规章制度，减少污染物排放，降低对环境影响等方面，根据本项目建设特点，其环境管理计划见表</w:t>
            </w:r>
            <w:r>
              <w:rPr>
                <w:rFonts w:hint="eastAsia" w:eastAsia="宋体" w:cs="Times New Roman"/>
                <w:color w:val="000000"/>
                <w:lang w:val="en-US" w:eastAsia="zh-CN"/>
              </w:rPr>
              <w:t>50。</w:t>
            </w:r>
          </w:p>
          <w:p>
            <w:pPr>
              <w:pStyle w:val="4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表</w:t>
            </w:r>
            <w:r>
              <w:rPr>
                <w:rFonts w:hint="eastAsia" w:eastAsia="宋体" w:cs="Times New Roman"/>
                <w:b/>
                <w:bCs/>
                <w:color w:val="000000"/>
                <w:sz w:val="21"/>
                <w:szCs w:val="21"/>
                <w:lang w:val="en-US" w:eastAsia="zh-CN"/>
              </w:rPr>
              <w:t>50</w:t>
            </w:r>
            <w:r>
              <w:rPr>
                <w:rFonts w:hint="default" w:ascii="Times New Roman" w:hAnsi="Times New Roman" w:eastAsia="宋体" w:cs="Times New Roman"/>
                <w:b/>
                <w:bCs/>
                <w:color w:val="000000"/>
                <w:sz w:val="21"/>
                <w:szCs w:val="21"/>
                <w:lang w:val="en-US" w:eastAsia="zh-CN"/>
              </w:rPr>
              <w:t xml:space="preserve">  环境管理计划表</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08"/>
              <w:gridCol w:w="6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3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实施部</w:t>
                  </w:r>
                </w:p>
              </w:tc>
              <w:tc>
                <w:tcPr>
                  <w:tcW w:w="4364"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3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环境管理要求</w:t>
                  </w:r>
                </w:p>
              </w:tc>
              <w:tc>
                <w:tcPr>
                  <w:tcW w:w="4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（1）委托评价单位进行环境影响评价工作，并根据报告书提出要求，自查是否履行了“三同时”手续。</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（2）根据国家建设项目的环境保护管理规定，认真落实各项环保手续、完善环保设施，并请当地环保部门监督、检查环保设施运行情况和治理效果。</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（3）配合地方环境监测站搞好监测工作。</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（4）做好排污统计工作。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3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生产运营阶段</w:t>
                  </w:r>
                </w:p>
              </w:tc>
              <w:tc>
                <w:tcPr>
                  <w:tcW w:w="4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保证环保设施正常运行，主动接受环保部门监督，备有事故应急措施。</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（1）应向当地环境保护部门申请排污许可证，经环保部门调查核实达标排放和符合总量指标，发给排污许可证；对超标排放或未符合总量指标，应限期治理，治理期间发给临时排污许可证。</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（2）根据环保部门对环保设施验收报告的批复意见进行补充完善。</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（3）贯彻执行环保工作机构和工作制度以及监视性监测制度，并不断总结经验。</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（4）加强对环保设施的运行管理，制定定期维修制度，如环保设施出现故障，应立即停产检修，严禁非正常排放。</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（5）加强环境监测工作，重点是各污染的监测，并注意做好记录，不得弄虚作假。监测中如发现异常情况应及时向有关部门通报，及时采取应及措施，防止事故排放。</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（6）定期向环保部门汇报工作情况及污染治理设施运行情况和监视性监测结果。</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7）建立本公司的环境保护档案。档案包括：a、污染物排放情况；b、污染物治理设施的运行、操作和管理情况；c、监测仪器、设备的型号和规格以及校验情况；d、采用监测分析方法和监测记录；e、限期治理执行情况；f、事故情况及有关记录；g、与污染有关的生产工艺、原材料使用方面的资料；h、其它与污染防治有关的情况和资料等。</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rPr>
                    <w:t>（8）建立污染事故报告制度。当污染事故发生时，必须在事故发生四十八小时内，向环保部门作出事故发生的时间、地点、类型和排放污染物的数量、经济损失等情况的初步报告，事故查清后，向环保部门书面报告事故原因，采取的措施，处理结果，并附有关证明，若发生污染事故，则有责任排除危害，同时对直接受到损害的单位或个人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3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信息反馈和群众监督</w:t>
                  </w:r>
                </w:p>
              </w:tc>
              <w:tc>
                <w:tcPr>
                  <w:tcW w:w="4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反馈常规监测数据，加强群众监督，改进污染治理工作。</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（1）建立奖惩制度，保证环保设施正常运作，并配合环保部门的检查验收。</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（2）归纳整理监测数据，及时反馈给有关环保部门。</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（3）聘请附近村民为监督员，收集附近村民的意见。</w:t>
                  </w:r>
                </w:p>
              </w:tc>
            </w:tr>
          </w:tbl>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b w:val="0"/>
                <w:bCs w:val="0"/>
                <w:color w:val="000000"/>
                <w:lang w:val="en-US" w:eastAsia="zh-CN"/>
              </w:rPr>
            </w:pPr>
            <w:r>
              <w:rPr>
                <w:rFonts w:hint="default" w:ascii="Times New Roman" w:hAnsi="Times New Roman" w:eastAsia="宋体" w:cs="Times New Roman"/>
                <w:b w:val="0"/>
                <w:bCs w:val="0"/>
                <w:color w:val="000000"/>
                <w:lang w:val="en-US" w:eastAsia="zh-CN"/>
              </w:rPr>
              <w:t>根据</w:t>
            </w:r>
            <w:r>
              <w:rPr>
                <w:rFonts w:hint="default" w:ascii="Times New Roman" w:hAnsi="Times New Roman" w:eastAsia="宋体" w:cs="Times New Roman"/>
                <w:color w:val="000000"/>
                <w:highlight w:val="none"/>
              </w:rPr>
              <w:t xml:space="preserve">《排污许可证申请与核发技术规范 </w:t>
            </w:r>
            <w:r>
              <w:rPr>
                <w:rFonts w:hint="eastAsia" w:eastAsia="宋体" w:cs="Times New Roman"/>
                <w:color w:val="000000"/>
                <w:highlight w:val="none"/>
                <w:lang w:eastAsia="zh-CN"/>
              </w:rPr>
              <w:t>工业固体废物（试行）</w:t>
            </w:r>
            <w:r>
              <w:rPr>
                <w:rFonts w:hint="default" w:ascii="Times New Roman" w:hAnsi="Times New Roman" w:eastAsia="宋体" w:cs="Times New Roman"/>
                <w:color w:val="000000"/>
                <w:highlight w:val="none"/>
              </w:rPr>
              <w:t>》（HJ</w:t>
            </w:r>
            <w:r>
              <w:rPr>
                <w:rFonts w:hint="eastAsia" w:eastAsia="宋体" w:cs="Times New Roman"/>
                <w:color w:val="000000"/>
                <w:highlight w:val="none"/>
                <w:lang w:val="en-US" w:eastAsia="zh-CN"/>
              </w:rPr>
              <w:t>1200-2021</w:t>
            </w:r>
            <w:r>
              <w:rPr>
                <w:rFonts w:hint="default" w:ascii="Times New Roman" w:hAnsi="Times New Roman" w:eastAsia="宋体" w:cs="Times New Roman"/>
                <w:color w:val="000000"/>
                <w:highlight w:val="none"/>
              </w:rPr>
              <w:t>）</w:t>
            </w:r>
            <w:r>
              <w:rPr>
                <w:rFonts w:hint="default" w:ascii="Times New Roman" w:hAnsi="Times New Roman" w:eastAsia="宋体" w:cs="Times New Roman"/>
                <w:b w:val="0"/>
                <w:bCs w:val="0"/>
                <w:color w:val="000000"/>
                <w:lang w:val="en-US" w:eastAsia="zh-CN"/>
              </w:rPr>
              <w:t>，本项目运营期环境管理要求见下表：</w:t>
            </w:r>
          </w:p>
          <w:p>
            <w:pPr>
              <w:pStyle w:val="4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eastAsia="宋体" w:cs="Times New Roman"/>
                <w:b w:val="0"/>
                <w:bCs w:val="0"/>
                <w:color w:val="000000"/>
                <w:lang w:val="en-US" w:eastAsia="zh-CN"/>
              </w:rPr>
            </w:pPr>
            <w:r>
              <w:rPr>
                <w:rFonts w:hint="default" w:ascii="Times New Roman" w:hAnsi="Times New Roman" w:eastAsia="宋体" w:cs="Times New Roman"/>
                <w:b/>
                <w:bCs/>
                <w:color w:val="000000"/>
                <w:sz w:val="21"/>
                <w:szCs w:val="21"/>
                <w:lang w:val="en-US" w:eastAsia="zh-CN"/>
              </w:rPr>
              <w:t>表</w:t>
            </w:r>
            <w:r>
              <w:rPr>
                <w:rFonts w:hint="eastAsia" w:eastAsia="宋体" w:cs="Times New Roman"/>
                <w:b/>
                <w:bCs/>
                <w:color w:val="000000"/>
                <w:sz w:val="21"/>
                <w:szCs w:val="21"/>
                <w:lang w:val="en-US" w:eastAsia="zh-CN"/>
              </w:rPr>
              <w:t>51</w:t>
            </w:r>
            <w:r>
              <w:rPr>
                <w:rFonts w:hint="default" w:ascii="Times New Roman" w:hAnsi="Times New Roman" w:eastAsia="宋体" w:cs="Times New Roman"/>
                <w:b/>
                <w:bCs/>
                <w:color w:val="000000"/>
                <w:sz w:val="21"/>
                <w:szCs w:val="21"/>
                <w:lang w:val="en-US" w:eastAsia="zh-CN"/>
              </w:rPr>
              <w:t xml:space="preserve">  运营期环境管理要求</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291"/>
              <w:gridCol w:w="5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实施时期</w:t>
                  </w:r>
                </w:p>
              </w:tc>
              <w:tc>
                <w:tcPr>
                  <w:tcW w:w="8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污染物类别</w:t>
                  </w:r>
                </w:p>
              </w:tc>
              <w:tc>
                <w:tcPr>
                  <w:tcW w:w="3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运行管理要求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运营期</w:t>
                  </w:r>
                </w:p>
              </w:tc>
              <w:tc>
                <w:tcPr>
                  <w:tcW w:w="8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废气</w:t>
                  </w:r>
                </w:p>
              </w:tc>
              <w:tc>
                <w:tcPr>
                  <w:tcW w:w="3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有组织：污染防治设施应与其对应的生产工艺设备同步运转，保证在生产工艺设备运行波动情况下仍能正常运转，实现达标排放。</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无组织：</w:t>
                  </w:r>
                  <w:r>
                    <w:rPr>
                      <w:rFonts w:hint="default" w:ascii="Times New Roman" w:hAnsi="Times New Roman" w:cs="Times New Roman"/>
                      <w:color w:val="000000"/>
                      <w:sz w:val="21"/>
                      <w:szCs w:val="21"/>
                    </w:rPr>
                    <w:fldChar w:fldCharType="begin"/>
                  </w:r>
                  <w:r>
                    <w:rPr>
                      <w:rFonts w:hint="default" w:ascii="Times New Roman" w:hAnsi="Times New Roman" w:cs="Times New Roman"/>
                      <w:color w:val="000000"/>
                      <w:sz w:val="21"/>
                      <w:szCs w:val="21"/>
                    </w:rPr>
                    <w:instrText xml:space="preserve"> = 1 \* GB3 \* MERGEFORMAT </w:instrText>
                  </w:r>
                  <w:r>
                    <w:rPr>
                      <w:rFonts w:hint="default" w:ascii="Times New Roman" w:hAnsi="Times New Roman" w:cs="Times New Roman"/>
                      <w:color w:val="000000"/>
                      <w:sz w:val="21"/>
                      <w:szCs w:val="21"/>
                    </w:rPr>
                    <w:fldChar w:fldCharType="separate"/>
                  </w:r>
                  <w:r>
                    <w:rPr>
                      <w:rFonts w:hint="default" w:ascii="Times New Roman" w:hAnsi="Times New Roman" w:cs="Times New Roman"/>
                      <w:color w:val="000000"/>
                      <w:sz w:val="21"/>
                      <w:szCs w:val="21"/>
                    </w:rPr>
                    <w:t>①</w:t>
                  </w:r>
                  <w:r>
                    <w:rPr>
                      <w:rFonts w:hint="default" w:ascii="Times New Roman" w:hAnsi="Times New Roman" w:cs="Times New Roman"/>
                      <w:color w:val="000000"/>
                      <w:sz w:val="21"/>
                      <w:szCs w:val="21"/>
                    </w:rPr>
                    <w:fldChar w:fldCharType="end"/>
                  </w:r>
                  <w:r>
                    <w:rPr>
                      <w:rFonts w:hint="default" w:ascii="Times New Roman" w:hAnsi="Times New Roman" w:cs="Times New Roman"/>
                      <w:color w:val="000000"/>
                      <w:sz w:val="21"/>
                      <w:szCs w:val="21"/>
                    </w:rPr>
                    <w:t>控制场内运输、贮存过程中粉尘无组织排放。运输产生粉尘的物料，其车辆应采取密闭、苫盖等措施。厂区道路应硬化，并采取洒水、喷雾等降尘措施。产生粉尘的物料应储存在由硬化地面的料棚或仓库中。产生粉尘的物料转运点、落料点应设置收集罩，并配备除尘设施。</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fldChar w:fldCharType="begin"/>
                  </w:r>
                  <w:r>
                    <w:rPr>
                      <w:rFonts w:hint="default" w:ascii="Times New Roman" w:hAnsi="Times New Roman" w:cs="Times New Roman"/>
                      <w:color w:val="000000"/>
                      <w:sz w:val="21"/>
                      <w:szCs w:val="21"/>
                    </w:rPr>
                    <w:instrText xml:space="preserve"> = 2 \* GB3 \* MERGEFORMAT </w:instrText>
                  </w:r>
                  <w:r>
                    <w:rPr>
                      <w:rFonts w:hint="default" w:ascii="Times New Roman" w:hAnsi="Times New Roman" w:cs="Times New Roman"/>
                      <w:color w:val="000000"/>
                      <w:sz w:val="21"/>
                      <w:szCs w:val="21"/>
                    </w:rPr>
                    <w:fldChar w:fldCharType="separate"/>
                  </w:r>
                  <w:r>
                    <w:rPr>
                      <w:rFonts w:hint="default" w:ascii="Times New Roman" w:hAnsi="Times New Roman" w:cs="Times New Roman"/>
                      <w:color w:val="000000"/>
                      <w:sz w:val="21"/>
                      <w:szCs w:val="21"/>
                    </w:rPr>
                    <w:t>②</w:t>
                  </w:r>
                  <w:r>
                    <w:rPr>
                      <w:rFonts w:hint="default" w:ascii="Times New Roman" w:hAnsi="Times New Roman" w:cs="Times New Roman"/>
                      <w:color w:val="000000"/>
                      <w:sz w:val="21"/>
                      <w:szCs w:val="21"/>
                    </w:rPr>
                    <w:fldChar w:fldCharType="end"/>
                  </w:r>
                  <w:r>
                    <w:rPr>
                      <w:rFonts w:hint="eastAsia" w:cs="Times New Roman"/>
                      <w:color w:val="000000"/>
                      <w:sz w:val="21"/>
                      <w:szCs w:val="21"/>
                      <w:lang w:eastAsia="zh-CN"/>
                    </w:rPr>
                    <w:t>切割</w:t>
                  </w:r>
                  <w:r>
                    <w:rPr>
                      <w:rFonts w:hint="default" w:ascii="Times New Roman" w:hAnsi="Times New Roman" w:cs="Times New Roman"/>
                      <w:color w:val="000000"/>
                      <w:sz w:val="21"/>
                      <w:szCs w:val="21"/>
                    </w:rPr>
                    <w:t>工序应当配备粉尘收集和处理设施。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c>
                <w:tcPr>
                  <w:tcW w:w="8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污水</w:t>
                  </w:r>
                </w:p>
              </w:tc>
              <w:tc>
                <w:tcPr>
                  <w:tcW w:w="3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fldChar w:fldCharType="begin"/>
                  </w:r>
                  <w:r>
                    <w:rPr>
                      <w:rFonts w:hint="default" w:ascii="Times New Roman" w:hAnsi="Times New Roman" w:cs="Times New Roman"/>
                      <w:color w:val="000000"/>
                      <w:sz w:val="21"/>
                      <w:szCs w:val="21"/>
                    </w:rPr>
                    <w:instrText xml:space="preserve"> = 1 \* GB3 \* MERGEFORMAT </w:instrText>
                  </w:r>
                  <w:r>
                    <w:rPr>
                      <w:rFonts w:hint="default" w:ascii="Times New Roman" w:hAnsi="Times New Roman" w:cs="Times New Roman"/>
                      <w:color w:val="000000"/>
                      <w:sz w:val="21"/>
                      <w:szCs w:val="21"/>
                    </w:rPr>
                    <w:fldChar w:fldCharType="separate"/>
                  </w:r>
                  <w:r>
                    <w:rPr>
                      <w:rFonts w:hint="default" w:ascii="Times New Roman" w:hAnsi="Times New Roman" w:cs="Times New Roman"/>
                      <w:color w:val="000000"/>
                      <w:sz w:val="21"/>
                      <w:szCs w:val="21"/>
                    </w:rPr>
                    <w:t>①</w:t>
                  </w:r>
                  <w:r>
                    <w:rPr>
                      <w:rFonts w:hint="default" w:ascii="Times New Roman" w:hAnsi="Times New Roman" w:cs="Times New Roman"/>
                      <w:color w:val="000000"/>
                      <w:sz w:val="21"/>
                      <w:szCs w:val="21"/>
                    </w:rPr>
                    <w:fldChar w:fldCharType="end"/>
                  </w:r>
                  <w:r>
                    <w:rPr>
                      <w:rFonts w:hint="default" w:ascii="Times New Roman" w:hAnsi="Times New Roman" w:cs="Times New Roman"/>
                      <w:color w:val="000000"/>
                      <w:sz w:val="21"/>
                      <w:szCs w:val="21"/>
                    </w:rPr>
                    <w:t>应按照国家和地方规范进行设计，采取有效措施避免废水“跑、冒、滴、漏”造成土壤、地下水污染，生产废水应集中收集处置后达标排放。</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fldChar w:fldCharType="begin"/>
                  </w:r>
                  <w:r>
                    <w:rPr>
                      <w:rFonts w:hint="default" w:ascii="Times New Roman" w:hAnsi="Times New Roman" w:cs="Times New Roman"/>
                      <w:color w:val="000000"/>
                      <w:sz w:val="21"/>
                      <w:szCs w:val="21"/>
                    </w:rPr>
                    <w:instrText xml:space="preserve"> = 2 \* GB3 \* MERGEFORMAT </w:instrText>
                  </w:r>
                  <w:r>
                    <w:rPr>
                      <w:rFonts w:hint="default" w:ascii="Times New Roman" w:hAnsi="Times New Roman" w:cs="Times New Roman"/>
                      <w:color w:val="000000"/>
                      <w:sz w:val="21"/>
                      <w:szCs w:val="21"/>
                    </w:rPr>
                    <w:fldChar w:fldCharType="separate"/>
                  </w:r>
                  <w:r>
                    <w:rPr>
                      <w:rFonts w:hint="default" w:ascii="Times New Roman" w:hAnsi="Times New Roman" w:cs="Times New Roman"/>
                      <w:color w:val="000000"/>
                      <w:sz w:val="21"/>
                      <w:szCs w:val="21"/>
                    </w:rPr>
                    <w:t>②</w:t>
                  </w:r>
                  <w:r>
                    <w:rPr>
                      <w:rFonts w:hint="default" w:ascii="Times New Roman" w:hAnsi="Times New Roman" w:cs="Times New Roman"/>
                      <w:color w:val="000000"/>
                      <w:sz w:val="21"/>
                      <w:szCs w:val="21"/>
                    </w:rPr>
                    <w:fldChar w:fldCharType="end"/>
                  </w:r>
                  <w:r>
                    <w:rPr>
                      <w:rFonts w:hint="default" w:ascii="Times New Roman" w:hAnsi="Times New Roman" w:cs="Times New Roman"/>
                      <w:color w:val="000000"/>
                      <w:sz w:val="21"/>
                      <w:szCs w:val="21"/>
                    </w:rPr>
                    <w:t>由于事故或设备维修等原因造成污染防治设施停止运行时，应立即报告当地生态环境主管部门。</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fldChar w:fldCharType="begin"/>
                  </w:r>
                  <w:r>
                    <w:rPr>
                      <w:rFonts w:hint="default" w:ascii="Times New Roman" w:hAnsi="Times New Roman" w:cs="Times New Roman"/>
                      <w:color w:val="000000"/>
                      <w:sz w:val="21"/>
                      <w:szCs w:val="21"/>
                    </w:rPr>
                    <w:instrText xml:space="preserve"> = 3 \* GB3 \* MERGEFORMAT </w:instrText>
                  </w:r>
                  <w:r>
                    <w:rPr>
                      <w:rFonts w:hint="default" w:ascii="Times New Roman" w:hAnsi="Times New Roman" w:cs="Times New Roman"/>
                      <w:color w:val="000000"/>
                      <w:sz w:val="21"/>
                      <w:szCs w:val="21"/>
                    </w:rPr>
                    <w:fldChar w:fldCharType="separate"/>
                  </w:r>
                  <w:r>
                    <w:rPr>
                      <w:rFonts w:hint="default" w:ascii="Times New Roman" w:hAnsi="Times New Roman" w:cs="Times New Roman"/>
                      <w:color w:val="000000"/>
                      <w:sz w:val="21"/>
                      <w:szCs w:val="21"/>
                    </w:rPr>
                    <w:t>③</w:t>
                  </w:r>
                  <w:r>
                    <w:rPr>
                      <w:rFonts w:hint="default" w:ascii="Times New Roman" w:hAnsi="Times New Roman" w:cs="Times New Roman"/>
                      <w:color w:val="000000"/>
                      <w:sz w:val="21"/>
                      <w:szCs w:val="21"/>
                    </w:rPr>
                    <w:fldChar w:fldCharType="end"/>
                  </w:r>
                  <w:r>
                    <w:rPr>
                      <w:rFonts w:hint="default" w:ascii="Times New Roman" w:hAnsi="Times New Roman" w:cs="Times New Roman"/>
                      <w:color w:val="000000"/>
                      <w:sz w:val="21"/>
                      <w:szCs w:val="21"/>
                    </w:rPr>
                    <w:t>污染防治设施应在满足设计工况的条件下运行，并根据工艺要求，定期对设备、电气、自控仪表及构筑物进行检查维护，确保污染防治设施可靠运行。</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fldChar w:fldCharType="begin"/>
                  </w:r>
                  <w:r>
                    <w:rPr>
                      <w:rFonts w:hint="default" w:ascii="Times New Roman" w:hAnsi="Times New Roman" w:cs="Times New Roman"/>
                      <w:color w:val="000000"/>
                      <w:sz w:val="21"/>
                      <w:szCs w:val="21"/>
                    </w:rPr>
                    <w:instrText xml:space="preserve"> = 4 \* GB3 \* MERGEFORMAT </w:instrText>
                  </w:r>
                  <w:r>
                    <w:rPr>
                      <w:rFonts w:hint="default" w:ascii="Times New Roman" w:hAnsi="Times New Roman" w:cs="Times New Roman"/>
                      <w:color w:val="000000"/>
                      <w:sz w:val="21"/>
                      <w:szCs w:val="21"/>
                    </w:rPr>
                    <w:fldChar w:fldCharType="separate"/>
                  </w:r>
                  <w:r>
                    <w:rPr>
                      <w:rFonts w:hint="default" w:ascii="Times New Roman" w:hAnsi="Times New Roman" w:cs="Times New Roman"/>
                      <w:color w:val="000000"/>
                      <w:sz w:val="21"/>
                      <w:szCs w:val="21"/>
                    </w:rPr>
                    <w:t>④</w:t>
                  </w:r>
                  <w:r>
                    <w:rPr>
                      <w:rFonts w:hint="default" w:ascii="Times New Roman" w:hAnsi="Times New Roman" w:cs="Times New Roman"/>
                      <w:color w:val="000000"/>
                      <w:sz w:val="21"/>
                      <w:szCs w:val="21"/>
                    </w:rPr>
                    <w:fldChar w:fldCharType="end"/>
                  </w:r>
                  <w:r>
                    <w:rPr>
                      <w:rFonts w:hint="default" w:ascii="Times New Roman" w:hAnsi="Times New Roman" w:cs="Times New Roman"/>
                      <w:color w:val="000000"/>
                      <w:sz w:val="21"/>
                      <w:szCs w:val="21"/>
                    </w:rPr>
                    <w:t>废水处理后回用需满足相应回用水质要求。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c>
                <w:tcPr>
                  <w:tcW w:w="8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土壤</w:t>
                  </w:r>
                </w:p>
              </w:tc>
              <w:tc>
                <w:tcPr>
                  <w:tcW w:w="3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sz w:val="21"/>
                      <w:szCs w:val="21"/>
                    </w:rPr>
                  </w:pPr>
                  <w:r>
                    <w:rPr>
                      <w:rFonts w:hint="eastAsia" w:cs="Times New Roman"/>
                      <w:color w:val="000000"/>
                      <w:sz w:val="21"/>
                      <w:szCs w:val="21"/>
                      <w:lang w:val="en-US" w:eastAsia="zh-CN"/>
                    </w:rPr>
                    <w:t>工业固体废物</w:t>
                  </w:r>
                  <w:r>
                    <w:rPr>
                      <w:rFonts w:hint="default" w:ascii="Times New Roman" w:hAnsi="Times New Roman" w:cs="Times New Roman"/>
                      <w:color w:val="000000"/>
                      <w:sz w:val="21"/>
                      <w:szCs w:val="21"/>
                    </w:rPr>
                    <w:t>排污单位应当采取有效措施，防止有毒有害物质渗漏、流失、扬散，避免土壤收到污染。</w:t>
                  </w:r>
                </w:p>
              </w:tc>
            </w:tr>
          </w:tbl>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b w:val="0"/>
                <w:bCs w:val="0"/>
                <w:color w:val="000000"/>
                <w:lang w:val="en-US" w:eastAsia="zh-CN"/>
              </w:rPr>
            </w:pPr>
            <w:r>
              <w:rPr>
                <w:rFonts w:hint="default" w:ascii="Times New Roman" w:hAnsi="Times New Roman" w:eastAsia="宋体" w:cs="Times New Roman"/>
                <w:b w:val="0"/>
                <w:bCs w:val="0"/>
                <w:color w:val="000000"/>
                <w:lang w:val="en-US" w:eastAsia="zh-CN"/>
              </w:rPr>
              <w:t>4.</w:t>
            </w:r>
            <w:r>
              <w:rPr>
                <w:rFonts w:hint="eastAsia" w:eastAsia="宋体" w:cs="Times New Roman"/>
                <w:b w:val="0"/>
                <w:bCs w:val="0"/>
                <w:color w:val="000000"/>
                <w:lang w:val="en-US" w:eastAsia="zh-CN"/>
              </w:rPr>
              <w:t>10</w:t>
            </w:r>
            <w:r>
              <w:rPr>
                <w:rFonts w:hint="default" w:ascii="Times New Roman" w:hAnsi="Times New Roman" w:eastAsia="宋体" w:cs="Times New Roman"/>
                <w:b w:val="0"/>
                <w:bCs w:val="0"/>
                <w:color w:val="000000"/>
                <w:lang w:val="en-US" w:eastAsia="zh-CN"/>
              </w:rPr>
              <w:t>.1.5环境管理台账</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highlight w:val="none"/>
              </w:rPr>
              <w:t xml:space="preserve">本项目根据《排污许可证申请与核发技术规范 </w:t>
            </w:r>
            <w:r>
              <w:rPr>
                <w:rFonts w:hint="eastAsia" w:eastAsia="宋体" w:cs="Times New Roman"/>
                <w:color w:val="000000"/>
                <w:highlight w:val="none"/>
                <w:lang w:eastAsia="zh-CN"/>
              </w:rPr>
              <w:t>工业固体废物（试行）</w:t>
            </w:r>
            <w:r>
              <w:rPr>
                <w:rFonts w:hint="default" w:ascii="Times New Roman" w:hAnsi="Times New Roman" w:eastAsia="宋体" w:cs="Times New Roman"/>
                <w:color w:val="000000"/>
                <w:highlight w:val="none"/>
              </w:rPr>
              <w:t>》（HJ</w:t>
            </w:r>
            <w:r>
              <w:rPr>
                <w:rFonts w:hint="eastAsia" w:eastAsia="宋体" w:cs="Times New Roman"/>
                <w:color w:val="000000"/>
                <w:highlight w:val="none"/>
                <w:lang w:val="en-US" w:eastAsia="zh-CN"/>
              </w:rPr>
              <w:t>1200-2021</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rPr>
              <w:t>要求，项目运营期间建设环境管理台账，落实环境管理台账记录的责任部门和责任人，明确工作职责，包括台账的记录、整理、维护和管理等，并对台账的真实性、完整性和规范性负责。一般按日或按批次进行记录，异常情况应按次记录。</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b w:val="0"/>
                <w:bCs w:val="0"/>
                <w:color w:val="000000"/>
                <w:lang w:val="en-US" w:eastAsia="zh-CN"/>
              </w:rPr>
            </w:pPr>
            <w:r>
              <w:rPr>
                <w:rFonts w:hint="default" w:ascii="Times New Roman" w:hAnsi="Times New Roman" w:eastAsia="宋体" w:cs="Times New Roman"/>
                <w:color w:val="000000"/>
              </w:rPr>
              <w:t>环境管理台账按照电子台账和纸质台账两种记录形式同步管理。</w:t>
            </w:r>
            <w:r>
              <w:rPr>
                <w:rFonts w:hint="eastAsia" w:eastAsia="宋体" w:cs="Times New Roman"/>
                <w:color w:val="000000"/>
                <w:lang w:eastAsia="zh-CN"/>
              </w:rPr>
              <w:t>工业固体废物</w:t>
            </w:r>
            <w:r>
              <w:rPr>
                <w:rFonts w:hint="default" w:ascii="Times New Roman" w:hAnsi="Times New Roman" w:eastAsia="宋体" w:cs="Times New Roman"/>
                <w:color w:val="000000"/>
              </w:rPr>
              <w:t>排污单位环境管理台账应真实记录基本信息、产污设施运行管理信息、污染防治设施运行管理信息、监测记录信息及其他环境管理信息等，产污设施、污染防治设施、排放口编码应与排污许可证副本中载明的编码一致。</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b w:val="0"/>
                <w:bCs w:val="0"/>
                <w:color w:val="000000"/>
                <w:lang w:val="en-US" w:eastAsia="zh-CN"/>
              </w:rPr>
            </w:pPr>
            <w:r>
              <w:rPr>
                <w:rFonts w:hint="default" w:ascii="Times New Roman" w:hAnsi="Times New Roman" w:eastAsia="宋体" w:cs="Times New Roman"/>
                <w:b w:val="0"/>
                <w:bCs w:val="0"/>
                <w:color w:val="000000"/>
                <w:lang w:val="en-US" w:eastAsia="zh-CN"/>
              </w:rPr>
              <w:t>4.</w:t>
            </w:r>
            <w:r>
              <w:rPr>
                <w:rFonts w:hint="eastAsia" w:eastAsia="宋体" w:cs="Times New Roman"/>
                <w:b w:val="0"/>
                <w:bCs w:val="0"/>
                <w:color w:val="000000"/>
                <w:lang w:val="en-US" w:eastAsia="zh-CN"/>
              </w:rPr>
              <w:t>10</w:t>
            </w:r>
            <w:r>
              <w:rPr>
                <w:rFonts w:hint="default" w:ascii="Times New Roman" w:hAnsi="Times New Roman" w:eastAsia="宋体" w:cs="Times New Roman"/>
                <w:b w:val="0"/>
                <w:bCs w:val="0"/>
                <w:color w:val="000000"/>
                <w:lang w:val="en-US" w:eastAsia="zh-CN"/>
              </w:rPr>
              <w:t>.1.6非正常工况及风险状况下环境应急管理</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综合考虑企业污染治理状况、周边环境敏感点、区域自然条件因素，客观准确识别企业存在的环境风险，按照有关规定编制突发环境事件应急预案，并报当地环境保护主管部门备案。</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环境应急预案坚持预防为主的原则，实施动态管理，并定期开展应急演练，查找预案的缺陷和不足并及时进行修订。企业应配备必要的应急物资，并定期检查和更新。</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发生下列情形时，企业应提前向当地环境保护主管部门做书面报告：</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（1）废弃、停用、更改污染治理和环境风险防范设施的；</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b w:val="0"/>
                <w:bCs w:val="0"/>
                <w:color w:val="000000"/>
                <w:lang w:val="en-US" w:eastAsia="zh-CN"/>
              </w:rPr>
            </w:pPr>
            <w:r>
              <w:rPr>
                <w:rFonts w:hint="default" w:ascii="Times New Roman" w:hAnsi="Times New Roman" w:eastAsia="宋体" w:cs="Times New Roman"/>
                <w:color w:val="000000"/>
              </w:rPr>
              <w:t>（2）环境风险源种类或数量发生较大变更的。企业应积极配合政府和有关部门开展突发环境污染事件调查工作。</w:t>
            </w:r>
          </w:p>
          <w:p>
            <w:pPr>
              <w:pStyle w:val="4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Times New Roman" w:hAnsi="Times New Roman" w:eastAsia="宋体" w:cs="Times New Roman"/>
                <w:b/>
                <w:bCs/>
                <w:color w:val="000000"/>
                <w:lang w:val="en-US" w:eastAsia="zh-CN"/>
              </w:rPr>
            </w:pPr>
            <w:r>
              <w:rPr>
                <w:rFonts w:hint="default" w:ascii="Times New Roman" w:hAnsi="Times New Roman" w:eastAsia="宋体" w:cs="Times New Roman"/>
                <w:b/>
                <w:bCs/>
                <w:color w:val="000000"/>
                <w:lang w:val="en-US" w:eastAsia="zh-CN"/>
              </w:rPr>
              <w:t>4.</w:t>
            </w:r>
            <w:r>
              <w:rPr>
                <w:rFonts w:hint="eastAsia" w:eastAsia="宋体" w:cs="Times New Roman"/>
                <w:b/>
                <w:bCs/>
                <w:color w:val="000000"/>
                <w:lang w:val="en-US" w:eastAsia="zh-CN"/>
              </w:rPr>
              <w:t>10</w:t>
            </w:r>
            <w:r>
              <w:rPr>
                <w:rFonts w:hint="default" w:ascii="Times New Roman" w:hAnsi="Times New Roman" w:eastAsia="宋体" w:cs="Times New Roman"/>
                <w:b/>
                <w:bCs/>
                <w:color w:val="000000"/>
                <w:lang w:val="en-US" w:eastAsia="zh-CN"/>
              </w:rPr>
              <w:t>.2</w:t>
            </w:r>
            <w:r>
              <w:rPr>
                <w:rFonts w:hint="eastAsia" w:ascii="Times New Roman" w:hAnsi="Times New Roman" w:eastAsia="宋体" w:cs="Times New Roman"/>
                <w:b/>
                <w:bCs/>
                <w:color w:val="000000"/>
                <w:lang w:val="en-US" w:eastAsia="zh-CN"/>
              </w:rPr>
              <w:t>排污许可制度</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color w:val="000000"/>
              </w:rPr>
            </w:pPr>
            <w:r>
              <w:rPr>
                <w:rFonts w:hint="eastAsia" w:ascii="Times New Roman" w:hAnsi="Times New Roman" w:eastAsia="宋体" w:cs="Times New Roman"/>
                <w:color w:val="000000"/>
              </w:rPr>
              <w:t>2016年11月，国务院办公厅发布了《控制污染物排放许可制实施方案》，方案指出：“环境影响评价制度是建设项目的环境准入门槛，排污许可制是企事业单位生产运营期排污的法律依据，必须做好充分衔接，实现从污染预防到污染治理和排放控制的全过程监管。新建项目必须在发生实际排污行为之前申领排污许可证，环境影响评价文件及批复中与污染物排放相关的主要内容应当纳入排污许可证，其排污许可证执行情况应作为环境影响后评价的重要依据。”本项目在报批环评报告后、项目实际运行前，应尽快申领排污许可证，作为本项目合法运行的前提。排污许可证申请及核发按《排污许可证管理暂行规定》填报执行。</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eastAsia="宋体" w:cs="Times New Roman"/>
                <w:b w:val="0"/>
                <w:bCs w:val="0"/>
                <w:color w:val="000000"/>
                <w:lang w:val="en-US" w:eastAsia="zh-CN"/>
              </w:rPr>
            </w:pPr>
            <w:r>
              <w:rPr>
                <w:rFonts w:hint="eastAsia" w:ascii="Times New Roman" w:hAnsi="Times New Roman" w:eastAsia="宋体" w:cs="Times New Roman"/>
                <w:color w:val="000000"/>
                <w:highlight w:val="none"/>
              </w:rPr>
              <w:t>20</w:t>
            </w:r>
            <w:r>
              <w:rPr>
                <w:rFonts w:hint="eastAsia" w:eastAsia="宋体" w:cs="Times New Roman"/>
                <w:color w:val="000000"/>
                <w:highlight w:val="none"/>
                <w:lang w:val="en-US" w:eastAsia="zh-CN"/>
              </w:rPr>
              <w:t>21</w:t>
            </w:r>
            <w:r>
              <w:rPr>
                <w:rFonts w:hint="eastAsia" w:ascii="Times New Roman" w:hAnsi="Times New Roman" w:eastAsia="宋体" w:cs="Times New Roman"/>
                <w:color w:val="000000"/>
                <w:highlight w:val="none"/>
              </w:rPr>
              <w:t>年</w:t>
            </w:r>
            <w:r>
              <w:rPr>
                <w:rFonts w:hint="eastAsia" w:eastAsia="宋体" w:cs="Times New Roman"/>
                <w:color w:val="000000"/>
                <w:highlight w:val="none"/>
                <w:lang w:val="en-US" w:eastAsia="zh-CN"/>
              </w:rPr>
              <w:t>11</w:t>
            </w:r>
            <w:r>
              <w:rPr>
                <w:rFonts w:hint="eastAsia" w:ascii="Times New Roman" w:hAnsi="Times New Roman" w:eastAsia="宋体" w:cs="Times New Roman"/>
                <w:color w:val="000000"/>
                <w:highlight w:val="none"/>
              </w:rPr>
              <w:t>月，环境部发布了</w:t>
            </w:r>
            <w:r>
              <w:rPr>
                <w:rFonts w:hint="default" w:ascii="Times New Roman" w:hAnsi="Times New Roman" w:eastAsia="宋体" w:cs="Times New Roman"/>
                <w:color w:val="000000"/>
                <w:highlight w:val="none"/>
              </w:rPr>
              <w:t xml:space="preserve">《排污许可证申请与核发技术规范 </w:t>
            </w:r>
            <w:r>
              <w:rPr>
                <w:rFonts w:hint="eastAsia" w:eastAsia="宋体" w:cs="Times New Roman"/>
                <w:color w:val="000000"/>
                <w:highlight w:val="none"/>
                <w:lang w:eastAsia="zh-CN"/>
              </w:rPr>
              <w:t>工业固体废物（试行）</w:t>
            </w:r>
            <w:r>
              <w:rPr>
                <w:rFonts w:hint="default" w:ascii="Times New Roman" w:hAnsi="Times New Roman" w:eastAsia="宋体" w:cs="Times New Roman"/>
                <w:color w:val="000000"/>
                <w:highlight w:val="none"/>
              </w:rPr>
              <w:t>》（HJ</w:t>
            </w:r>
            <w:r>
              <w:rPr>
                <w:rFonts w:hint="eastAsia" w:eastAsia="宋体" w:cs="Times New Roman"/>
                <w:color w:val="000000"/>
                <w:highlight w:val="none"/>
                <w:lang w:val="en-US" w:eastAsia="zh-CN"/>
              </w:rPr>
              <w:t>1200-2021</w:t>
            </w:r>
            <w:r>
              <w:rPr>
                <w:rFonts w:hint="default" w:ascii="Times New Roman" w:hAnsi="Times New Roman" w:eastAsia="宋体" w:cs="Times New Roman"/>
                <w:color w:val="000000"/>
                <w:highlight w:val="none"/>
              </w:rPr>
              <w:t>）</w:t>
            </w:r>
            <w:r>
              <w:rPr>
                <w:rFonts w:hint="eastAsia" w:ascii="Times New Roman" w:hAnsi="Times New Roman" w:eastAsia="宋体" w:cs="Times New Roman"/>
                <w:color w:val="000000"/>
              </w:rPr>
              <w:t>，该技术规范规定了</w:t>
            </w:r>
            <w:r>
              <w:rPr>
                <w:rFonts w:hint="eastAsia" w:eastAsia="宋体" w:cs="Times New Roman"/>
                <w:color w:val="000000"/>
                <w:lang w:eastAsia="zh-CN"/>
              </w:rPr>
              <w:t>工业固体废物</w:t>
            </w:r>
            <w:r>
              <w:rPr>
                <w:rFonts w:hint="eastAsia" w:ascii="Times New Roman" w:hAnsi="Times New Roman" w:eastAsia="宋体" w:cs="Times New Roman"/>
                <w:color w:val="000000"/>
              </w:rPr>
              <w:t>排污单位排污许可证申请与核发的基本情况申报要求、许可排放限值确定，提出了</w:t>
            </w:r>
            <w:r>
              <w:rPr>
                <w:rFonts w:hint="eastAsia" w:eastAsia="宋体" w:cs="Times New Roman"/>
                <w:color w:val="000000"/>
                <w:lang w:eastAsia="zh-CN"/>
              </w:rPr>
              <w:t>工业固体废物</w:t>
            </w:r>
            <w:r>
              <w:rPr>
                <w:rFonts w:hint="eastAsia" w:ascii="Times New Roman" w:hAnsi="Times New Roman" w:eastAsia="宋体" w:cs="Times New Roman"/>
                <w:color w:val="000000"/>
              </w:rPr>
              <w:t>排污单位污染防治可行技术要求，本项目属于</w:t>
            </w:r>
            <w:r>
              <w:rPr>
                <w:rFonts w:hint="eastAsia" w:eastAsia="宋体" w:cs="Times New Roman"/>
                <w:color w:val="000000"/>
                <w:lang w:eastAsia="zh-CN"/>
              </w:rPr>
              <w:t>其它建筑材料</w:t>
            </w:r>
            <w:r>
              <w:rPr>
                <w:rFonts w:hint="eastAsia" w:ascii="Times New Roman" w:hAnsi="Times New Roman" w:eastAsia="宋体" w:cs="Times New Roman"/>
                <w:color w:val="000000"/>
              </w:rPr>
              <w:t>加工，应根据该规范申请排污许可证。</w:t>
            </w:r>
          </w:p>
          <w:p>
            <w:pPr>
              <w:pStyle w:val="4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eastAsia="宋体" w:cs="Times New Roman"/>
                <w:b w:val="0"/>
                <w:bCs w:val="0"/>
                <w:color w:val="000000"/>
                <w:lang w:val="en-US" w:eastAsia="zh-CN"/>
              </w:rPr>
            </w:pPr>
            <w:r>
              <w:rPr>
                <w:rFonts w:hint="default" w:ascii="Times New Roman" w:hAnsi="Times New Roman" w:eastAsia="宋体" w:cs="Times New Roman"/>
                <w:b/>
                <w:bCs/>
                <w:color w:val="000000"/>
                <w:lang w:val="en-US" w:eastAsia="zh-CN"/>
              </w:rPr>
              <w:t>4.</w:t>
            </w:r>
            <w:r>
              <w:rPr>
                <w:rFonts w:hint="eastAsia" w:eastAsia="宋体" w:cs="Times New Roman"/>
                <w:b/>
                <w:bCs/>
                <w:color w:val="000000"/>
                <w:lang w:val="en-US" w:eastAsia="zh-CN"/>
              </w:rPr>
              <w:t>10</w:t>
            </w:r>
            <w:r>
              <w:rPr>
                <w:rFonts w:hint="default" w:ascii="Times New Roman" w:hAnsi="Times New Roman" w:eastAsia="宋体" w:cs="Times New Roman"/>
                <w:b/>
                <w:bCs/>
                <w:color w:val="000000"/>
                <w:lang w:val="en-US" w:eastAsia="zh-CN"/>
              </w:rPr>
              <w:t>.3环境监测计划</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环境监测是保证环境管理措施落实的一个基本手段。环境监测能及时、准确地提供环境质量、污染源状况及发展趋势、环保设施运行效果的信息。及时发现环境管理措施的不足而及时修正，使环境质量和环境资源维持在期望值之内。</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eastAsia="宋体" w:cs="Times New Roman"/>
                <w:b w:val="0"/>
                <w:bCs w:val="0"/>
                <w:color w:val="000000"/>
                <w:lang w:val="en-US" w:eastAsia="zh-CN"/>
              </w:rPr>
            </w:pPr>
            <w:r>
              <w:rPr>
                <w:rFonts w:hint="default" w:ascii="Times New Roman" w:hAnsi="Times New Roman" w:eastAsia="宋体" w:cs="Times New Roman"/>
                <w:color w:val="000000"/>
              </w:rPr>
              <w:t>环境监测工作可委托有资质监测机构负责进行，定期对项目区环境质量和污染源排放情况监测监测，并定期接受</w:t>
            </w:r>
            <w:r>
              <w:rPr>
                <w:rFonts w:hint="eastAsia" w:eastAsia="宋体" w:cs="Times New Roman"/>
                <w:color w:val="000000"/>
                <w:lang w:val="en-US" w:eastAsia="zh-CN"/>
              </w:rPr>
              <w:t>昌吉州</w:t>
            </w:r>
            <w:r>
              <w:rPr>
                <w:rFonts w:hint="default" w:ascii="Times New Roman" w:hAnsi="Times New Roman" w:eastAsia="宋体" w:cs="Times New Roman"/>
                <w:color w:val="000000"/>
              </w:rPr>
              <w:t>生态环境局的监督、检查、考核和指导。</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eastAsia="宋体" w:cs="Times New Roman"/>
                <w:b w:val="0"/>
                <w:bCs w:val="0"/>
                <w:color w:val="000000"/>
                <w:lang w:val="en-US" w:eastAsia="zh-CN"/>
              </w:rPr>
            </w:pPr>
            <w:r>
              <w:rPr>
                <w:rFonts w:hint="eastAsia" w:eastAsia="宋体" w:cs="Times New Roman"/>
                <w:b w:val="0"/>
                <w:bCs w:val="0"/>
                <w:color w:val="000000"/>
                <w:lang w:val="en-US" w:eastAsia="zh-CN"/>
              </w:rPr>
              <w:t>4.10.3.1监测计划</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eastAsia="宋体" w:cs="Times New Roman"/>
                <w:b w:val="0"/>
                <w:bCs w:val="0"/>
                <w:color w:val="000000"/>
                <w:lang w:val="en-US" w:eastAsia="zh-CN"/>
              </w:rPr>
            </w:pPr>
            <w:r>
              <w:rPr>
                <w:rFonts w:ascii="Times New Roman" w:hAnsi="Times New Roman" w:eastAsia="宋体" w:cs="Times New Roman"/>
                <w:color w:val="000000"/>
              </w:rPr>
              <w:t>根据生产特征和污染物的排放特征，依据国家颁布的环境质量标准，污染物排放标准及地方环保部门的要求，</w:t>
            </w:r>
            <w:r>
              <w:rPr>
                <w:rFonts w:ascii="Times New Roman" w:hAnsi="Times New Roman" w:eastAsia="宋体" w:cs="Times New Roman"/>
                <w:color w:val="000000"/>
                <w:highlight w:val="none"/>
              </w:rPr>
              <w:t>根据《</w:t>
            </w:r>
            <w:r>
              <w:rPr>
                <w:rFonts w:hint="default" w:ascii="Times New Roman" w:hAnsi="Times New Roman" w:eastAsia="宋体" w:cs="Times New Roman"/>
                <w:color w:val="000000"/>
                <w:highlight w:val="none"/>
              </w:rPr>
              <w:t xml:space="preserve">《排污许可证申请与核发技术规范 </w:t>
            </w:r>
            <w:r>
              <w:rPr>
                <w:rFonts w:hint="eastAsia" w:eastAsia="宋体" w:cs="Times New Roman"/>
                <w:color w:val="000000"/>
                <w:highlight w:val="none"/>
                <w:lang w:eastAsia="zh-CN"/>
              </w:rPr>
              <w:t>工业固体废物（试行）</w:t>
            </w:r>
            <w:r>
              <w:rPr>
                <w:rFonts w:hint="default" w:ascii="Times New Roman" w:hAnsi="Times New Roman" w:eastAsia="宋体" w:cs="Times New Roman"/>
                <w:color w:val="000000"/>
                <w:highlight w:val="none"/>
              </w:rPr>
              <w:t>》（HJ</w:t>
            </w:r>
            <w:r>
              <w:rPr>
                <w:rFonts w:hint="eastAsia" w:eastAsia="宋体" w:cs="Times New Roman"/>
                <w:color w:val="000000"/>
                <w:highlight w:val="none"/>
                <w:lang w:val="en-US" w:eastAsia="zh-CN"/>
              </w:rPr>
              <w:t>1200-2021</w:t>
            </w:r>
            <w:r>
              <w:rPr>
                <w:rFonts w:hint="default" w:ascii="Times New Roman" w:hAnsi="Times New Roman" w:eastAsia="宋体" w:cs="Times New Roman"/>
                <w:color w:val="000000"/>
                <w:highlight w:val="none"/>
              </w:rPr>
              <w:t>）</w:t>
            </w:r>
            <w:r>
              <w:rPr>
                <w:rFonts w:ascii="Times New Roman" w:hAnsi="Times New Roman" w:eastAsia="宋体" w:cs="Times New Roman"/>
                <w:color w:val="000000"/>
                <w:highlight w:val="none"/>
              </w:rPr>
              <w:t>中</w:t>
            </w:r>
            <w:r>
              <w:rPr>
                <w:rFonts w:hint="eastAsia" w:eastAsia="宋体" w:cs="Times New Roman"/>
                <w:color w:val="000000"/>
                <w:highlight w:val="none"/>
                <w:lang w:eastAsia="zh-CN"/>
              </w:rPr>
              <w:t>的</w:t>
            </w:r>
            <w:r>
              <w:rPr>
                <w:rFonts w:ascii="Times New Roman" w:hAnsi="Times New Roman" w:eastAsia="宋体" w:cs="Times New Roman"/>
                <w:color w:val="000000"/>
                <w:highlight w:val="none"/>
              </w:rPr>
              <w:t>相关要求</w:t>
            </w:r>
            <w:r>
              <w:rPr>
                <w:rFonts w:ascii="Times New Roman" w:hAnsi="Times New Roman" w:eastAsia="宋体" w:cs="Times New Roman"/>
                <w:color w:val="000000"/>
              </w:rPr>
              <w:t>，制定拟建工程的监测计划和工作方案，监测工作可委托有资质的检（监）测机构承担。</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eastAsia="宋体" w:cs="Times New Roman"/>
                <w:b w:val="0"/>
                <w:bCs w:val="0"/>
                <w:color w:val="000000"/>
                <w:lang w:val="en-US" w:eastAsia="zh-CN"/>
              </w:rPr>
            </w:pPr>
            <w:r>
              <w:rPr>
                <w:rFonts w:hint="eastAsia" w:eastAsia="宋体" w:cs="Times New Roman"/>
                <w:b w:val="0"/>
                <w:bCs w:val="0"/>
                <w:color w:val="000000"/>
                <w:lang w:val="en-US" w:eastAsia="zh-CN"/>
              </w:rPr>
              <w:t>针对本项目所排污染物情况，制度详细监测计划见表52。</w:t>
            </w:r>
          </w:p>
          <w:p>
            <w:pPr>
              <w:pStyle w:val="4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eastAsia="宋体" w:cs="Times New Roman"/>
                <w:b w:val="0"/>
                <w:bCs w:val="0"/>
                <w:color w:val="000000"/>
                <w:lang w:val="en-US" w:eastAsia="zh-CN"/>
              </w:rPr>
            </w:pPr>
            <w:r>
              <w:rPr>
                <w:rFonts w:hint="default" w:ascii="Times New Roman" w:hAnsi="Times New Roman" w:eastAsia="宋体" w:cs="Times New Roman"/>
                <w:b/>
                <w:bCs/>
                <w:color w:val="000000"/>
                <w:sz w:val="21"/>
                <w:szCs w:val="21"/>
                <w:lang w:val="en-US" w:eastAsia="zh-CN"/>
              </w:rPr>
              <w:t>表5</w:t>
            </w:r>
            <w:r>
              <w:rPr>
                <w:rFonts w:hint="eastAsia" w:eastAsia="宋体" w:cs="Times New Roman"/>
                <w:b/>
                <w:bCs/>
                <w:color w:val="000000"/>
                <w:sz w:val="21"/>
                <w:szCs w:val="21"/>
                <w:lang w:val="en-US" w:eastAsia="zh-CN"/>
              </w:rPr>
              <w:t>2</w:t>
            </w:r>
            <w:r>
              <w:rPr>
                <w:rFonts w:hint="default" w:ascii="Times New Roman" w:hAnsi="Times New Roman" w:eastAsia="宋体" w:cs="Times New Roman"/>
                <w:b/>
                <w:bCs/>
                <w:color w:val="000000"/>
                <w:sz w:val="21"/>
                <w:szCs w:val="21"/>
                <w:lang w:val="en-US" w:eastAsia="zh-CN"/>
              </w:rPr>
              <w:t xml:space="preserve">  建设项目环境监测计划一览表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fixed"/>
              <w:tblCellMar>
                <w:top w:w="0" w:type="dxa"/>
                <w:left w:w="0" w:type="dxa"/>
                <w:bottom w:w="0" w:type="dxa"/>
                <w:right w:w="0" w:type="dxa"/>
              </w:tblCellMar>
            </w:tblPr>
            <w:tblGrid>
              <w:gridCol w:w="827"/>
              <w:gridCol w:w="1340"/>
              <w:gridCol w:w="2015"/>
              <w:gridCol w:w="2516"/>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1"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分类</w:t>
                  </w:r>
                </w:p>
              </w:tc>
              <w:tc>
                <w:tcPr>
                  <w:tcW w:w="844" w:type="pct"/>
                  <w:tcBorders>
                    <w:tl2br w:val="nil"/>
                    <w:tr2bl w:val="nil"/>
                  </w:tcBorders>
                  <w:shd w:val="clear" w:color="000000"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检测对象</w:t>
                  </w:r>
                </w:p>
              </w:tc>
              <w:tc>
                <w:tcPr>
                  <w:tcW w:w="1269"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监测点位</w:t>
                  </w:r>
                </w:p>
              </w:tc>
              <w:tc>
                <w:tcPr>
                  <w:tcW w:w="1584"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监测项目</w:t>
                  </w:r>
                </w:p>
              </w:tc>
              <w:tc>
                <w:tcPr>
                  <w:tcW w:w="780"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0" w:type="dxa"/>
                  <w:bottom w:w="0" w:type="dxa"/>
                  <w:right w:w="0" w:type="dxa"/>
                </w:tblCellMar>
              </w:tblPrEx>
              <w:trPr>
                <w:trHeight w:val="340" w:hRule="atLeast"/>
                <w:jc w:val="center"/>
              </w:trPr>
              <w:tc>
                <w:tcPr>
                  <w:tcW w:w="521" w:type="pct"/>
                  <w:vMerge w:val="restar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废气</w:t>
                  </w:r>
                </w:p>
              </w:tc>
              <w:tc>
                <w:tcPr>
                  <w:tcW w:w="844" w:type="pct"/>
                  <w:tcBorders>
                    <w:tl2br w:val="nil"/>
                    <w:tr2bl w:val="nil"/>
                  </w:tcBorders>
                  <w:shd w:val="clear" w:color="000000"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有组织排放</w:t>
                  </w:r>
                </w:p>
              </w:tc>
              <w:tc>
                <w:tcPr>
                  <w:tcW w:w="1269"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sz w:val="21"/>
                      <w:szCs w:val="21"/>
                      <w:lang w:val="en-US" w:eastAsia="zh-CN"/>
                    </w:rPr>
                    <w:t>1号</w:t>
                  </w:r>
                  <w:r>
                    <w:rPr>
                      <w:rFonts w:hint="default" w:ascii="Times New Roman" w:hAnsi="Times New Roman" w:cs="Times New Roman"/>
                      <w:color w:val="000000"/>
                      <w:sz w:val="21"/>
                      <w:szCs w:val="21"/>
                    </w:rPr>
                    <w:t>车间排气筒</w:t>
                  </w:r>
                </w:p>
              </w:tc>
              <w:tc>
                <w:tcPr>
                  <w:tcW w:w="1584"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sz w:val="21"/>
                      <w:szCs w:val="21"/>
                    </w:rPr>
                    <w:t>非甲烷总烃、</w:t>
                  </w:r>
                  <w:r>
                    <w:rPr>
                      <w:rFonts w:hint="default" w:ascii="Times New Roman" w:hAnsi="Times New Roman" w:cs="Times New Roman"/>
                      <w:color w:val="000000"/>
                      <w:sz w:val="21"/>
                      <w:szCs w:val="21"/>
                      <w:lang w:val="en-US" w:eastAsia="zh-CN"/>
                    </w:rPr>
                    <w:t>颗粒物</w:t>
                  </w:r>
                </w:p>
              </w:tc>
              <w:tc>
                <w:tcPr>
                  <w:tcW w:w="780"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sz w:val="21"/>
                      <w:szCs w:val="21"/>
                    </w:rPr>
                    <w:t>1次/</w:t>
                  </w:r>
                  <w:r>
                    <w:rPr>
                      <w:rFonts w:hint="eastAsia" w:ascii="Times New Roman" w:hAnsi="Times New Roman" w:cs="Times New Roman"/>
                      <w:color w:val="000000"/>
                      <w:sz w:val="21"/>
                      <w:szCs w:val="21"/>
                      <w:lang w:eastAsia="zh-CN"/>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0" w:type="dxa"/>
                  <w:bottom w:w="0" w:type="dxa"/>
                  <w:right w:w="0" w:type="dxa"/>
                </w:tblCellMar>
              </w:tblPrEx>
              <w:trPr>
                <w:trHeight w:val="340" w:hRule="atLeast"/>
                <w:jc w:val="center"/>
              </w:trPr>
              <w:tc>
                <w:tcPr>
                  <w:tcW w:w="521" w:type="pct"/>
                  <w:vMerge w:val="continue"/>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c>
                <w:tcPr>
                  <w:tcW w:w="844" w:type="pct"/>
                  <w:vMerge w:val="restart"/>
                  <w:tcBorders>
                    <w:tl2br w:val="nil"/>
                    <w:tr2bl w:val="nil"/>
                  </w:tcBorders>
                  <w:shd w:val="clear" w:color="000000"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无组织排放</w:t>
                  </w:r>
                </w:p>
              </w:tc>
              <w:tc>
                <w:tcPr>
                  <w:tcW w:w="1269"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厂界上风向1个点，下风向3个点</w:t>
                  </w:r>
                </w:p>
              </w:tc>
              <w:tc>
                <w:tcPr>
                  <w:tcW w:w="1584"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vertAlign w:val="subscript"/>
                    </w:rPr>
                  </w:pPr>
                  <w:r>
                    <w:rPr>
                      <w:rFonts w:hint="default" w:ascii="Times New Roman" w:hAnsi="Times New Roman" w:cs="Times New Roman"/>
                      <w:color w:val="000000"/>
                      <w:sz w:val="21"/>
                      <w:szCs w:val="21"/>
                    </w:rPr>
                    <w:t>非甲烷总烃、颗粒物</w:t>
                  </w:r>
                </w:p>
              </w:tc>
              <w:tc>
                <w:tcPr>
                  <w:tcW w:w="780"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1次/</w:t>
                  </w:r>
                  <w:r>
                    <w:rPr>
                      <w:rFonts w:hint="eastAsia" w:ascii="Times New Roman" w:hAnsi="Times New Roman" w:cs="Times New Roman"/>
                      <w:color w:val="000000"/>
                      <w:sz w:val="21"/>
                      <w:szCs w:val="21"/>
                      <w:lang w:eastAsia="zh-CN"/>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0" w:type="dxa"/>
                  <w:bottom w:w="0" w:type="dxa"/>
                  <w:right w:w="0" w:type="dxa"/>
                </w:tblCellMar>
              </w:tblPrEx>
              <w:trPr>
                <w:trHeight w:val="340" w:hRule="atLeast"/>
                <w:jc w:val="center"/>
              </w:trPr>
              <w:tc>
                <w:tcPr>
                  <w:tcW w:w="521" w:type="pct"/>
                  <w:vMerge w:val="continue"/>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c>
                <w:tcPr>
                  <w:tcW w:w="844" w:type="pct"/>
                  <w:vMerge w:val="continue"/>
                  <w:tcBorders>
                    <w:tl2br w:val="nil"/>
                    <w:tr2bl w:val="nil"/>
                  </w:tcBorders>
                  <w:shd w:val="clear" w:color="000000"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c>
                <w:tcPr>
                  <w:tcW w:w="1269"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厂房外设置监控点</w:t>
                  </w:r>
                </w:p>
              </w:tc>
              <w:tc>
                <w:tcPr>
                  <w:tcW w:w="1584"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非甲烷总烃</w:t>
                  </w:r>
                </w:p>
              </w:tc>
              <w:tc>
                <w:tcPr>
                  <w:tcW w:w="780"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1次/</w:t>
                  </w:r>
                  <w:r>
                    <w:rPr>
                      <w:rFonts w:hint="eastAsia" w:ascii="Times New Roman" w:hAnsi="Times New Roman" w:cs="Times New Roman"/>
                      <w:color w:val="000000"/>
                      <w:sz w:val="21"/>
                      <w:szCs w:val="21"/>
                      <w:lang w:eastAsia="zh-CN"/>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0" w:type="dxa"/>
                  <w:bottom w:w="0" w:type="dxa"/>
                  <w:right w:w="0" w:type="dxa"/>
                </w:tblCellMar>
              </w:tblPrEx>
              <w:trPr>
                <w:trHeight w:val="340" w:hRule="atLeast"/>
                <w:jc w:val="center"/>
              </w:trPr>
              <w:tc>
                <w:tcPr>
                  <w:tcW w:w="521"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废水</w:t>
                  </w:r>
                </w:p>
              </w:tc>
              <w:tc>
                <w:tcPr>
                  <w:tcW w:w="844" w:type="pct"/>
                  <w:tcBorders>
                    <w:tl2br w:val="nil"/>
                    <w:tr2bl w:val="nil"/>
                  </w:tcBorders>
                  <w:shd w:val="clear" w:color="000000"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生活污水</w:t>
                  </w:r>
                </w:p>
              </w:tc>
              <w:tc>
                <w:tcPr>
                  <w:tcW w:w="1269"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废水排放口</w:t>
                  </w:r>
                </w:p>
              </w:tc>
              <w:tc>
                <w:tcPr>
                  <w:tcW w:w="1584"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COD</w:t>
                  </w:r>
                  <w:r>
                    <w:rPr>
                      <w:rFonts w:hint="default" w:ascii="Times New Roman" w:hAnsi="Times New Roman" w:cs="Times New Roman"/>
                      <w:color w:val="000000"/>
                      <w:sz w:val="21"/>
                      <w:szCs w:val="21"/>
                      <w:vertAlign w:val="subscript"/>
                      <w:lang w:val="en-US" w:eastAsia="zh-CN"/>
                    </w:rPr>
                    <w:t>cr</w:t>
                  </w:r>
                  <w:r>
                    <w:rPr>
                      <w:rFonts w:hint="default" w:ascii="Times New Roman" w:hAnsi="Times New Roman" w:cs="Times New Roman"/>
                      <w:color w:val="000000"/>
                      <w:sz w:val="21"/>
                      <w:szCs w:val="21"/>
                      <w:lang w:val="en-US" w:eastAsia="zh-CN"/>
                    </w:rPr>
                    <w:t>、BOD</w:t>
                  </w:r>
                  <w:r>
                    <w:rPr>
                      <w:rFonts w:hint="default" w:ascii="Times New Roman" w:hAnsi="Times New Roman" w:cs="Times New Roman"/>
                      <w:color w:val="000000"/>
                      <w:sz w:val="21"/>
                      <w:szCs w:val="21"/>
                      <w:vertAlign w:val="subscript"/>
                      <w:lang w:val="en-US" w:eastAsia="zh-CN"/>
                    </w:rPr>
                    <w:t>5</w:t>
                  </w:r>
                  <w:r>
                    <w:rPr>
                      <w:rFonts w:hint="default" w:ascii="Times New Roman" w:hAnsi="Times New Roman" w:cs="Times New Roman"/>
                      <w:color w:val="000000"/>
                      <w:sz w:val="21"/>
                      <w:szCs w:val="21"/>
                      <w:lang w:val="en-US" w:eastAsia="zh-CN"/>
                    </w:rPr>
                    <w:t>、NH</w:t>
                  </w:r>
                  <w:r>
                    <w:rPr>
                      <w:rFonts w:hint="default" w:ascii="Times New Roman" w:hAnsi="Times New Roman" w:cs="Times New Roman"/>
                      <w:color w:val="000000"/>
                      <w:sz w:val="21"/>
                      <w:szCs w:val="21"/>
                      <w:vertAlign w:val="subscript"/>
                      <w:lang w:val="en-US" w:eastAsia="zh-CN"/>
                    </w:rPr>
                    <w:t>3</w:t>
                  </w:r>
                  <w:r>
                    <w:rPr>
                      <w:rFonts w:hint="default" w:ascii="Times New Roman" w:hAnsi="Times New Roman" w:cs="Times New Roman"/>
                      <w:color w:val="000000"/>
                      <w:sz w:val="21"/>
                      <w:szCs w:val="21"/>
                      <w:lang w:val="en-US" w:eastAsia="zh-CN"/>
                    </w:rPr>
                    <w:t>-N、SS</w:t>
                  </w:r>
                </w:p>
              </w:tc>
              <w:tc>
                <w:tcPr>
                  <w:tcW w:w="780"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1次/</w:t>
                  </w:r>
                  <w:r>
                    <w:rPr>
                      <w:rFonts w:hint="default" w:ascii="Times New Roman" w:hAnsi="Times New Roman" w:cs="Times New Roman"/>
                      <w:color w:val="000000"/>
                      <w:sz w:val="21"/>
                      <w:szCs w:val="21"/>
                      <w:lang w:eastAsia="zh-CN"/>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1"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噪声</w:t>
                  </w:r>
                </w:p>
              </w:tc>
              <w:tc>
                <w:tcPr>
                  <w:tcW w:w="844" w:type="pct"/>
                  <w:tcBorders>
                    <w:tl2br w:val="nil"/>
                    <w:tr2bl w:val="nil"/>
                  </w:tcBorders>
                  <w:shd w:val="clear" w:color="000000"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厂界</w:t>
                  </w:r>
                </w:p>
              </w:tc>
              <w:tc>
                <w:tcPr>
                  <w:tcW w:w="1269"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厂界四周外1m</w:t>
                  </w:r>
                </w:p>
              </w:tc>
              <w:tc>
                <w:tcPr>
                  <w:tcW w:w="1584"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连续等效A声级</w:t>
                  </w:r>
                </w:p>
              </w:tc>
              <w:tc>
                <w:tcPr>
                  <w:tcW w:w="780"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1次/</w:t>
                  </w:r>
                  <w:r>
                    <w:rPr>
                      <w:rFonts w:hint="default" w:ascii="Times New Roman" w:hAnsi="Times New Roman" w:cs="Times New Roman"/>
                      <w:color w:val="000000"/>
                      <w:sz w:val="21"/>
                      <w:szCs w:val="21"/>
                      <w:lang w:val="en-US" w:eastAsia="zh-CN"/>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21"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固废</w:t>
                  </w:r>
                </w:p>
              </w:tc>
              <w:tc>
                <w:tcPr>
                  <w:tcW w:w="844" w:type="pct"/>
                  <w:tcBorders>
                    <w:tl2br w:val="nil"/>
                    <w:tr2bl w:val="nil"/>
                  </w:tcBorders>
                  <w:shd w:val="clear" w:color="000000"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项目区</w:t>
                  </w:r>
                </w:p>
              </w:tc>
              <w:tc>
                <w:tcPr>
                  <w:tcW w:w="1269"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各类固废</w:t>
                  </w:r>
                </w:p>
              </w:tc>
              <w:tc>
                <w:tcPr>
                  <w:tcW w:w="1584"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种类、产生量、处理方式、去向</w:t>
                  </w:r>
                </w:p>
              </w:tc>
              <w:tc>
                <w:tcPr>
                  <w:tcW w:w="780" w:type="pct"/>
                  <w:tcBorders>
                    <w:tl2br w:val="nil"/>
                    <w:tr2bl w:val="nil"/>
                  </w:tcBorders>
                  <w:shd w:val="clear" w:color="auto" w:fill="auto"/>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自检1次/季</w:t>
                  </w:r>
                </w:p>
              </w:tc>
            </w:tr>
          </w:tbl>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eastAsia="宋体" w:cs="Times New Roman"/>
                <w:b w:val="0"/>
                <w:bCs w:val="0"/>
                <w:color w:val="000000"/>
                <w:lang w:val="en-US" w:eastAsia="zh-CN"/>
              </w:rPr>
            </w:pPr>
            <w:r>
              <w:rPr>
                <w:rFonts w:ascii="Times New Roman" w:hAnsi="Times New Roman" w:eastAsia="宋体" w:cs="Times New Roman"/>
                <w:color w:val="000000"/>
              </w:rPr>
              <w:t>上述各监测项目的监测计划应严格按照国家有关监测技术规范执行。本项目建成投产验收时污染监测和正常运营期间定期污染监测工作可委托相应环境监测部门定期进行，并将监测结果上报</w:t>
            </w:r>
            <w:r>
              <w:rPr>
                <w:rFonts w:hint="eastAsia" w:ascii="Times New Roman" w:hAnsi="Times New Roman" w:eastAsia="宋体" w:cs="Times New Roman"/>
                <w:color w:val="000000"/>
                <w:lang w:val="en-US" w:eastAsia="zh-CN"/>
              </w:rPr>
              <w:t>昌吉州</w:t>
            </w:r>
            <w:r>
              <w:rPr>
                <w:rFonts w:ascii="Times New Roman" w:hAnsi="Times New Roman" w:eastAsia="宋体" w:cs="Times New Roman"/>
                <w:color w:val="000000"/>
              </w:rPr>
              <w:t>生态环境局。</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eastAsia="宋体" w:cs="Times New Roman"/>
                <w:b w:val="0"/>
                <w:bCs w:val="0"/>
                <w:color w:val="000000"/>
                <w:lang w:val="en-US" w:eastAsia="zh-CN"/>
              </w:rPr>
            </w:pPr>
            <w:r>
              <w:rPr>
                <w:rFonts w:hint="eastAsia" w:eastAsia="宋体" w:cs="Times New Roman"/>
                <w:b w:val="0"/>
                <w:bCs w:val="0"/>
                <w:color w:val="000000"/>
                <w:lang w:val="en-US" w:eastAsia="zh-CN"/>
              </w:rPr>
              <w:t>4.10.3.2事故应急调查监测方案</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color w:val="000000"/>
              </w:rPr>
            </w:pPr>
            <w:r>
              <w:rPr>
                <w:rFonts w:hint="eastAsia" w:ascii="Times New Roman" w:hAnsi="Times New Roman" w:eastAsia="宋体" w:cs="Times New Roman"/>
                <w:color w:val="000000"/>
              </w:rPr>
              <w:t>对企业环保处理设施运行情况要严格监视，及时监测，当发现环保处理设施发生故障或运行不正常时，应及时向上级报告，并必须即时取样监测，分析污染物排放量，对事故发生原因、事故造成的后果和损失等进行调查统计，并建档、上报。</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eastAsia="宋体" w:cs="Times New Roman"/>
                <w:b w:val="0"/>
                <w:bCs w:val="0"/>
                <w:color w:val="000000"/>
                <w:lang w:val="en-US" w:eastAsia="zh-CN"/>
              </w:rPr>
            </w:pPr>
            <w:r>
              <w:rPr>
                <w:rFonts w:hint="eastAsia" w:ascii="Times New Roman" w:hAnsi="Times New Roman" w:eastAsia="宋体" w:cs="Times New Roman"/>
                <w:color w:val="000000"/>
              </w:rPr>
              <w:t>项目事故预案中需包括应急监测程序，项目运行过程中一旦发生事故，应立即启动应急监测程序，并跟踪监测污染物的迁移情况，直到事故影响根本消除。事故应急监测方案应与当地环境监测站或监测机构共同制订和实施，环境监测人员在60min内要到达事故现场，需实验室分析测试的项目，在采样后24h内必须报出，应急监测专题报告在48h内要报出。根据事故发生源，污染物泄漏种类的分析成果，监测事故的特征因子，监测范围应对事故附近的辐射圈周界进行采样监测。</w:t>
            </w:r>
          </w:p>
          <w:p>
            <w:pPr>
              <w:pStyle w:val="4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Times New Roman" w:hAnsi="Times New Roman" w:eastAsia="宋体" w:cs="Times New Roman"/>
                <w:b/>
                <w:bCs/>
                <w:color w:val="000000"/>
                <w:lang w:val="en-US" w:eastAsia="zh-CN"/>
              </w:rPr>
            </w:pPr>
            <w:r>
              <w:rPr>
                <w:rFonts w:hint="default" w:ascii="Times New Roman" w:hAnsi="Times New Roman" w:eastAsia="宋体" w:cs="Times New Roman"/>
                <w:b/>
                <w:bCs/>
                <w:color w:val="000000"/>
                <w:lang w:val="en-US" w:eastAsia="zh-CN"/>
              </w:rPr>
              <w:t>4.</w:t>
            </w:r>
            <w:r>
              <w:rPr>
                <w:rFonts w:hint="eastAsia" w:eastAsia="宋体" w:cs="Times New Roman"/>
                <w:b/>
                <w:bCs/>
                <w:color w:val="000000"/>
                <w:lang w:val="en-US" w:eastAsia="zh-CN"/>
              </w:rPr>
              <w:t>10</w:t>
            </w:r>
            <w:r>
              <w:rPr>
                <w:rFonts w:hint="default" w:ascii="Times New Roman" w:hAnsi="Times New Roman" w:eastAsia="宋体" w:cs="Times New Roman"/>
                <w:b/>
                <w:bCs/>
                <w:color w:val="000000"/>
                <w:lang w:val="en-US" w:eastAsia="zh-CN"/>
              </w:rPr>
              <w:t>.4竣工验收管理</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eastAsiaTheme="minorEastAsia"/>
                <w:b w:val="0"/>
                <w:bCs w:val="0"/>
                <w:color w:val="000000"/>
                <w:lang w:val="en-US" w:eastAsia="zh-CN"/>
              </w:rPr>
              <w:t>4.</w:t>
            </w:r>
            <w:r>
              <w:rPr>
                <w:rFonts w:hint="eastAsia" w:cs="Times New Roman" w:eastAsiaTheme="minorEastAsia"/>
                <w:b w:val="0"/>
                <w:bCs w:val="0"/>
                <w:color w:val="000000"/>
                <w:lang w:val="en-US" w:eastAsia="zh-CN"/>
              </w:rPr>
              <w:t>10</w:t>
            </w:r>
            <w:r>
              <w:rPr>
                <w:rFonts w:hint="default" w:ascii="Times New Roman" w:hAnsi="Times New Roman" w:cs="Times New Roman" w:eastAsiaTheme="minorEastAsia"/>
                <w:b w:val="0"/>
                <w:bCs w:val="0"/>
                <w:color w:val="000000"/>
                <w:lang w:val="en-US" w:eastAsia="zh-CN"/>
              </w:rPr>
              <w:t>.4.1竣工验收管理及要求</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eastAsiaTheme="minorEastAsia"/>
                <w:color w:val="000000"/>
                <w:sz w:val="24"/>
              </w:rPr>
              <w:t>根据《建设项目环境保护管理条例》、《建设项目竣工环境保护验收暂行办法》及《建设项目竣工环境保护验收技术规范》的规定，在建设项目正式投入生产或使用之前，建设单位必须组织环境保护竣工验收，提交环境保护验收监测报告。</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heme="minorEastAsia" w:hAnsiTheme="minorEastAsia" w:eastAsiaTheme="minorEastAsia" w:cstheme="minorEastAsia"/>
                <w:b w:val="0"/>
                <w:bCs w:val="0"/>
                <w:color w:val="000000"/>
                <w:lang w:val="en-US" w:eastAsia="zh-CN"/>
              </w:rPr>
            </w:pPr>
            <w:r>
              <w:rPr>
                <w:rFonts w:hint="eastAsia" w:asciiTheme="minorEastAsia" w:hAnsiTheme="minorEastAsia" w:eastAsiaTheme="minorEastAsia" w:cstheme="minorEastAsia"/>
                <w:b w:val="0"/>
                <w:bCs w:val="0"/>
                <w:color w:val="000000"/>
                <w:lang w:val="en-US" w:eastAsia="zh-CN"/>
              </w:rPr>
              <w:t>4.10.4.2环境保护“三同时”验收</w:t>
            </w:r>
          </w:p>
          <w:p>
            <w:pPr>
              <w:pStyle w:val="4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eastAsia="宋体" w:asciiTheme="minorEastAsia" w:hAnsiTheme="minorEastAsia" w:cstheme="minorEastAsia"/>
                <w:b w:val="0"/>
                <w:bCs w:val="0"/>
                <w:color w:val="000000"/>
                <w:lang w:val="en-US" w:eastAsia="zh-CN"/>
              </w:rPr>
            </w:pPr>
            <w:r>
              <w:rPr>
                <w:rFonts w:hint="eastAsia" w:ascii="Times New Roman" w:hAnsi="Times New Roman" w:eastAsia="宋体" w:cs="Times New Roman"/>
                <w:color w:val="000000"/>
              </w:rPr>
              <w:t>根据《中华人民共和国环境保护法》规定，项目建成后，应全面检查项目对周围环境的改变及环保设施“三同时”情况。项目试运行一段时间，达到生产正常、稳定后，由建设单位成立验收组进行自主验收。项目环保设施“三同时”竣工验收内容见表</w:t>
            </w:r>
            <w:r>
              <w:rPr>
                <w:rFonts w:hint="eastAsia" w:eastAsia="宋体" w:cs="Times New Roman"/>
                <w:color w:val="000000"/>
                <w:lang w:val="en-US" w:eastAsia="zh-CN"/>
              </w:rPr>
              <w:t>53。</w:t>
            </w:r>
          </w:p>
          <w:p>
            <w:pPr>
              <w:pStyle w:val="4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heme="minorEastAsia" w:hAnsiTheme="minorEastAsia" w:eastAsiaTheme="minorEastAsia" w:cstheme="minorEastAsia"/>
                <w:b w:val="0"/>
                <w:bCs w:val="0"/>
                <w:color w:val="000000"/>
                <w:lang w:val="en-US" w:eastAsia="zh-CN"/>
              </w:rPr>
            </w:pPr>
            <w:r>
              <w:rPr>
                <w:rFonts w:hint="default" w:ascii="Times New Roman" w:hAnsi="Times New Roman" w:cs="Times New Roman" w:eastAsiaTheme="minorEastAsia"/>
                <w:b/>
                <w:bCs/>
                <w:color w:val="000000"/>
                <w:sz w:val="21"/>
                <w:szCs w:val="21"/>
                <w:lang w:val="en-US" w:eastAsia="zh-CN"/>
              </w:rPr>
              <w:t>表5</w:t>
            </w:r>
            <w:r>
              <w:rPr>
                <w:rFonts w:hint="eastAsia" w:cs="Times New Roman" w:eastAsiaTheme="minorEastAsia"/>
                <w:b/>
                <w:bCs/>
                <w:color w:val="000000"/>
                <w:sz w:val="21"/>
                <w:szCs w:val="21"/>
                <w:lang w:val="en-US" w:eastAsia="zh-CN"/>
              </w:rPr>
              <w:t>3</w:t>
            </w:r>
            <w:r>
              <w:rPr>
                <w:rFonts w:hint="default" w:ascii="Times New Roman" w:hAnsi="Times New Roman" w:cs="Times New Roman" w:eastAsiaTheme="minorEastAsia"/>
                <w:b/>
                <w:bCs/>
                <w:color w:val="000000"/>
                <w:sz w:val="21"/>
                <w:szCs w:val="21"/>
                <w:lang w:val="en-US" w:eastAsia="zh-CN"/>
              </w:rPr>
              <w:t xml:space="preserve">  本项目环保设施“三同时”验收一览表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1"/>
              <w:gridCol w:w="791"/>
              <w:gridCol w:w="1120"/>
              <w:gridCol w:w="2933"/>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423"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类别</w:t>
                  </w:r>
                </w:p>
              </w:tc>
              <w:tc>
                <w:tcPr>
                  <w:tcW w:w="498"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污染源</w:t>
                  </w:r>
                </w:p>
              </w:tc>
              <w:tc>
                <w:tcPr>
                  <w:tcW w:w="70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污染因子</w:t>
                  </w:r>
                </w:p>
              </w:tc>
              <w:tc>
                <w:tcPr>
                  <w:tcW w:w="1846"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主要环保措施</w:t>
                  </w:r>
                </w:p>
              </w:tc>
              <w:tc>
                <w:tcPr>
                  <w:tcW w:w="152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423" w:type="pct"/>
                  <w:vMerge w:val="restar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废</w:t>
                  </w:r>
                </w:p>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气</w:t>
                  </w:r>
                </w:p>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处</w:t>
                  </w:r>
                </w:p>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理</w:t>
                  </w:r>
                </w:p>
              </w:tc>
              <w:tc>
                <w:tcPr>
                  <w:tcW w:w="498" w:type="pct"/>
                  <w:vMerge w:val="restar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1号车间</w:t>
                  </w:r>
                </w:p>
              </w:tc>
              <w:tc>
                <w:tcPr>
                  <w:tcW w:w="70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sz w:val="21"/>
                      <w:szCs w:val="21"/>
                    </w:rPr>
                    <w:t>非甲烷总烃</w:t>
                  </w:r>
                </w:p>
              </w:tc>
              <w:tc>
                <w:tcPr>
                  <w:tcW w:w="1846"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eastAsiaTheme="minorEastAsia"/>
                      <w:bCs/>
                      <w:sz w:val="21"/>
                      <w:szCs w:val="21"/>
                      <w:vertAlign w:val="baseline"/>
                      <w:lang w:val="en-US" w:eastAsia="zh-CN"/>
                    </w:rPr>
                    <w:t>工位上方集气罩、汇集管道</w:t>
                  </w:r>
                  <w:r>
                    <w:rPr>
                      <w:rFonts w:hint="default" w:ascii="Times New Roman" w:hAnsi="Times New Roman" w:cs="Times New Roman"/>
                      <w:snapToGrid w:val="0"/>
                      <w:color w:val="000000"/>
                      <w:sz w:val="21"/>
                      <w:szCs w:val="21"/>
                    </w:rPr>
                    <w:t>，设置引风机将收集的废气引至1套</w:t>
                  </w:r>
                  <w:r>
                    <w:rPr>
                      <w:rFonts w:hint="default" w:ascii="Times New Roman" w:hAnsi="Times New Roman" w:cs="Times New Roman"/>
                      <w:snapToGrid w:val="0"/>
                      <w:color w:val="000000"/>
                      <w:sz w:val="21"/>
                      <w:szCs w:val="21"/>
                      <w:lang w:val="en-US" w:eastAsia="zh-CN"/>
                    </w:rPr>
                    <w:t>UV</w:t>
                  </w:r>
                  <w:r>
                    <w:rPr>
                      <w:rFonts w:hint="default" w:ascii="Times New Roman" w:hAnsi="Times New Roman" w:cs="Times New Roman"/>
                      <w:snapToGrid w:val="0"/>
                      <w:color w:val="000000"/>
                      <w:sz w:val="21"/>
                      <w:szCs w:val="21"/>
                    </w:rPr>
                    <w:t>光氧+活性炭吸附装置处理后通过1根15m高排气筒排放</w:t>
                  </w:r>
                </w:p>
              </w:tc>
              <w:tc>
                <w:tcPr>
                  <w:tcW w:w="1525" w:type="pct"/>
                  <w:vMerge w:val="restart"/>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napToGrid w:val="0"/>
                      <w:color w:val="000000"/>
                      <w:sz w:val="21"/>
                      <w:szCs w:val="21"/>
                    </w:rPr>
                  </w:pPr>
                  <w:r>
                    <w:rPr>
                      <w:rFonts w:hint="default" w:ascii="Times New Roman" w:hAnsi="Times New Roman" w:eastAsia="宋体" w:cs="Times New Roman"/>
                      <w:snapToGrid w:val="0"/>
                      <w:color w:val="000000"/>
                      <w:sz w:val="21"/>
                      <w:szCs w:val="21"/>
                    </w:rPr>
                    <w:t>有组织废气满足《合成树脂工业污染物排放标准》（GB31572-2015）中表</w:t>
                  </w:r>
                  <w:r>
                    <w:rPr>
                      <w:rFonts w:hint="default" w:ascii="Times New Roman" w:hAnsi="Times New Roman" w:eastAsia="宋体" w:cs="Times New Roman"/>
                      <w:snapToGrid w:val="0"/>
                      <w:color w:val="000000"/>
                      <w:sz w:val="21"/>
                      <w:szCs w:val="21"/>
                      <w:lang w:val="en-US" w:eastAsia="zh-CN"/>
                    </w:rPr>
                    <w:t>5</w:t>
                  </w:r>
                  <w:r>
                    <w:rPr>
                      <w:rFonts w:hint="default" w:ascii="Times New Roman" w:hAnsi="Times New Roman" w:eastAsia="宋体" w:cs="Times New Roman"/>
                      <w:snapToGrid w:val="0"/>
                      <w:color w:val="000000"/>
                      <w:sz w:val="21"/>
                      <w:szCs w:val="21"/>
                    </w:rPr>
                    <w:t>大气污染物</w:t>
                  </w:r>
                  <w:r>
                    <w:rPr>
                      <w:rFonts w:hint="default" w:ascii="Times New Roman" w:hAnsi="Times New Roman" w:eastAsia="宋体" w:cs="Times New Roman"/>
                      <w:snapToGrid w:val="0"/>
                      <w:color w:val="000000"/>
                      <w:sz w:val="21"/>
                      <w:szCs w:val="21"/>
                      <w:lang w:val="en-US" w:eastAsia="zh-CN"/>
                    </w:rPr>
                    <w:t>特别</w:t>
                  </w:r>
                  <w:r>
                    <w:rPr>
                      <w:rFonts w:hint="default" w:ascii="Times New Roman" w:hAnsi="Times New Roman" w:eastAsia="宋体" w:cs="Times New Roman"/>
                      <w:snapToGrid w:val="0"/>
                      <w:color w:val="000000"/>
                      <w:sz w:val="21"/>
                      <w:szCs w:val="21"/>
                    </w:rPr>
                    <w:t>排放限值；</w:t>
                  </w:r>
                </w:p>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kern w:val="2"/>
                      <w:sz w:val="21"/>
                      <w:szCs w:val="21"/>
                    </w:rPr>
                  </w:pPr>
                  <w:r>
                    <w:rPr>
                      <w:rFonts w:hint="default" w:ascii="Times New Roman" w:hAnsi="Times New Roman" w:cs="Times New Roman"/>
                      <w:snapToGrid w:val="0"/>
                      <w:color w:val="000000"/>
                      <w:kern w:val="2"/>
                      <w:sz w:val="21"/>
                      <w:szCs w:val="21"/>
                    </w:rPr>
                    <w:t>无组织废气满足《合成树脂工业污染物排放标准》（GB-31572-2015）表9企业边界大气污染物浓度限值要求、《挥发性有机物无组织排放控制标准》（GB37822-2019）附录A；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trPr>
              <w:tc>
                <w:tcPr>
                  <w:tcW w:w="423"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p>
              </w:tc>
              <w:tc>
                <w:tcPr>
                  <w:tcW w:w="498"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c>
                <w:tcPr>
                  <w:tcW w:w="70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切割粉尘</w:t>
                  </w:r>
                </w:p>
              </w:tc>
              <w:tc>
                <w:tcPr>
                  <w:tcW w:w="1846"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eastAsiaTheme="minorEastAsia"/>
                      <w:bCs/>
                      <w:sz w:val="21"/>
                      <w:szCs w:val="21"/>
                      <w:vertAlign w:val="baseline"/>
                      <w:lang w:val="en-US" w:eastAsia="zh-CN"/>
                    </w:rPr>
                    <w:t>工位上方集气罩、汇集管道</w:t>
                  </w:r>
                  <w:r>
                    <w:rPr>
                      <w:rFonts w:hint="default" w:ascii="Times New Roman" w:hAnsi="Times New Roman" w:cs="Times New Roman"/>
                      <w:snapToGrid w:val="0"/>
                      <w:color w:val="000000"/>
                      <w:sz w:val="21"/>
                      <w:szCs w:val="21"/>
                    </w:rPr>
                    <w:t>，设置引风机将收集的废气引至1套</w:t>
                  </w:r>
                  <w:r>
                    <w:rPr>
                      <w:rFonts w:hint="default" w:ascii="Times New Roman" w:hAnsi="Times New Roman" w:cs="Times New Roman"/>
                      <w:snapToGrid w:val="0"/>
                      <w:color w:val="000000"/>
                      <w:sz w:val="21"/>
                      <w:szCs w:val="21"/>
                      <w:lang w:val="en-US" w:eastAsia="zh-CN"/>
                    </w:rPr>
                    <w:t>布袋除尘器</w:t>
                  </w:r>
                  <w:r>
                    <w:rPr>
                      <w:rFonts w:hint="default" w:ascii="Times New Roman" w:hAnsi="Times New Roman" w:cs="Times New Roman"/>
                      <w:snapToGrid w:val="0"/>
                      <w:color w:val="000000"/>
                      <w:sz w:val="21"/>
                      <w:szCs w:val="21"/>
                    </w:rPr>
                    <w:t>处理后通过1根15m高排气筒排放</w:t>
                  </w:r>
                </w:p>
              </w:tc>
              <w:tc>
                <w:tcPr>
                  <w:tcW w:w="1525"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423"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水污染防治</w:t>
                  </w:r>
                </w:p>
              </w:tc>
              <w:tc>
                <w:tcPr>
                  <w:tcW w:w="498"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生活</w:t>
                  </w:r>
                </w:p>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废水</w:t>
                  </w:r>
                </w:p>
              </w:tc>
              <w:tc>
                <w:tcPr>
                  <w:tcW w:w="70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COD</w:t>
                  </w:r>
                  <w:r>
                    <w:rPr>
                      <w:rFonts w:hint="default" w:ascii="Times New Roman" w:hAnsi="Times New Roman" w:cs="Times New Roman"/>
                      <w:color w:val="000000"/>
                      <w:sz w:val="21"/>
                      <w:szCs w:val="21"/>
                      <w:vertAlign w:val="subscript"/>
                    </w:rPr>
                    <w:t>cr</w:t>
                  </w:r>
                  <w:r>
                    <w:rPr>
                      <w:rFonts w:hint="default" w:ascii="Times New Roman" w:hAnsi="Times New Roman" w:cs="Times New Roman"/>
                      <w:color w:val="000000"/>
                      <w:sz w:val="21"/>
                      <w:szCs w:val="21"/>
                    </w:rPr>
                    <w:t>、SS、NH</w:t>
                  </w:r>
                  <w:r>
                    <w:rPr>
                      <w:rFonts w:hint="default" w:ascii="Times New Roman" w:hAnsi="Times New Roman" w:cs="Times New Roman"/>
                      <w:color w:val="000000"/>
                      <w:sz w:val="21"/>
                      <w:szCs w:val="21"/>
                      <w:vertAlign w:val="subscript"/>
                    </w:rPr>
                    <w:t>3</w:t>
                  </w:r>
                  <w:r>
                    <w:rPr>
                      <w:rFonts w:hint="default" w:ascii="Times New Roman" w:hAnsi="Times New Roman" w:cs="Times New Roman"/>
                      <w:color w:val="000000"/>
                      <w:sz w:val="21"/>
                      <w:szCs w:val="21"/>
                    </w:rPr>
                    <w:t>-N、BOD</w:t>
                  </w:r>
                  <w:r>
                    <w:rPr>
                      <w:rFonts w:hint="default" w:ascii="Times New Roman" w:hAnsi="Times New Roman" w:cs="Times New Roman"/>
                      <w:color w:val="000000"/>
                      <w:sz w:val="21"/>
                      <w:szCs w:val="21"/>
                      <w:vertAlign w:val="subscript"/>
                    </w:rPr>
                    <w:t>5</w:t>
                  </w:r>
                </w:p>
              </w:tc>
              <w:tc>
                <w:tcPr>
                  <w:tcW w:w="1846"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lang w:val="en-US" w:eastAsia="zh-CN"/>
                    </w:rPr>
                  </w:pPr>
                  <w:r>
                    <w:rPr>
                      <w:rFonts w:hint="eastAsia" w:cs="Times New Roman" w:eastAsiaTheme="minorEastAsia"/>
                      <w:bCs/>
                      <w:color w:val="000000"/>
                      <w:sz w:val="21"/>
                      <w:szCs w:val="21"/>
                      <w:vertAlign w:val="baseline"/>
                      <w:lang w:val="en-US" w:eastAsia="zh-CN"/>
                    </w:rPr>
                    <w:t>进入园区管网，最终进入昌吉高新区</w:t>
                  </w:r>
                  <w:r>
                    <w:rPr>
                      <w:rFonts w:hint="default" w:ascii="Times New Roman" w:hAnsi="Times New Roman" w:cs="Times New Roman" w:eastAsiaTheme="minorEastAsia"/>
                      <w:bCs/>
                      <w:color w:val="000000"/>
                      <w:sz w:val="21"/>
                      <w:szCs w:val="21"/>
                      <w:vertAlign w:val="baseline"/>
                      <w:lang w:val="en-US" w:eastAsia="zh-CN"/>
                    </w:rPr>
                    <w:t>污水管网统一处理</w:t>
                  </w:r>
                </w:p>
              </w:tc>
              <w:tc>
                <w:tcPr>
                  <w:tcW w:w="152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《污水综合排放标准》（GB8978-1996）中的三级标准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423"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噪声</w:t>
                  </w:r>
                </w:p>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控制</w:t>
                  </w:r>
                </w:p>
              </w:tc>
              <w:tc>
                <w:tcPr>
                  <w:tcW w:w="498"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生产</w:t>
                  </w:r>
                </w:p>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设备</w:t>
                  </w:r>
                </w:p>
              </w:tc>
              <w:tc>
                <w:tcPr>
                  <w:tcW w:w="70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机械噪声</w:t>
                  </w:r>
                </w:p>
              </w:tc>
              <w:tc>
                <w:tcPr>
                  <w:tcW w:w="1846"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采用厂房隔音</w:t>
                  </w:r>
                  <w:r>
                    <w:rPr>
                      <w:rFonts w:hint="default" w:ascii="Times New Roman" w:hAnsi="Times New Roman" w:cs="Times New Roman"/>
                      <w:snapToGrid w:val="0"/>
                      <w:color w:val="000000"/>
                      <w:sz w:val="21"/>
                      <w:szCs w:val="21"/>
                    </w:rPr>
                    <w:t>、基础减震、消声器等</w:t>
                  </w:r>
                  <w:r>
                    <w:rPr>
                      <w:rFonts w:hint="default" w:ascii="Times New Roman" w:hAnsi="Times New Roman" w:cs="Times New Roman"/>
                      <w:color w:val="000000"/>
                      <w:sz w:val="21"/>
                      <w:szCs w:val="21"/>
                    </w:rPr>
                    <w:t>降噪设施</w:t>
                  </w:r>
                </w:p>
              </w:tc>
              <w:tc>
                <w:tcPr>
                  <w:tcW w:w="152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满足《工业企业厂界环境噪声排放标准》（GB12348-2008）中</w:t>
                  </w:r>
                  <w:r>
                    <w:rPr>
                      <w:rFonts w:hint="default" w:ascii="Times New Roman" w:hAnsi="Times New Roman" w:cs="Times New Roman"/>
                      <w:color w:val="000000"/>
                      <w:sz w:val="21"/>
                      <w:szCs w:val="21"/>
                      <w:lang w:val="en-US" w:eastAsia="zh-CN"/>
                    </w:rPr>
                    <w:t>3</w:t>
                  </w:r>
                  <w:r>
                    <w:rPr>
                      <w:rFonts w:hint="default" w:ascii="Times New Roman" w:hAnsi="Times New Roman" w:cs="Times New Roman"/>
                      <w:color w:val="000000"/>
                      <w:sz w:val="21"/>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423" w:type="pct"/>
                  <w:vMerge w:val="restar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固体</w:t>
                  </w:r>
                </w:p>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废物</w:t>
                  </w:r>
                </w:p>
              </w:tc>
              <w:tc>
                <w:tcPr>
                  <w:tcW w:w="498"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生活</w:t>
                  </w:r>
                </w:p>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垃圾</w:t>
                  </w:r>
                </w:p>
              </w:tc>
              <w:tc>
                <w:tcPr>
                  <w:tcW w:w="70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生活垃圾</w:t>
                  </w:r>
                </w:p>
              </w:tc>
              <w:tc>
                <w:tcPr>
                  <w:tcW w:w="1846" w:type="pct"/>
                  <w:vMerge w:val="restar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外运至垃圾填埋场处置</w:t>
                  </w:r>
                </w:p>
              </w:tc>
              <w:tc>
                <w:tcPr>
                  <w:tcW w:w="1525" w:type="pct"/>
                  <w:vMerge w:val="restar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满足《一般工业固体废物贮存和填埋污染控制标准》（GB18599-2020）中的有关规定</w:t>
                  </w:r>
                  <w:r>
                    <w:rPr>
                      <w:rFonts w:hint="eastAsia" w:cs="Times New Roman"/>
                      <w:color w:val="000000"/>
                      <w:sz w:val="21"/>
                      <w:szCs w:val="21"/>
                      <w:lang w:eastAsia="zh-CN"/>
                    </w:rPr>
                    <w:t>；生活垃圾满足</w:t>
                  </w:r>
                  <w:r>
                    <w:rPr>
                      <w:rFonts w:hint="eastAsia"/>
                      <w:sz w:val="21"/>
                      <w:szCs w:val="21"/>
                    </w:rPr>
                    <w:t>《城市生活垃圾管理办法》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423"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c>
                <w:tcPr>
                  <w:tcW w:w="498" w:type="pct"/>
                  <w:vMerge w:val="restar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一般工业固废</w:t>
                  </w:r>
                </w:p>
              </w:tc>
              <w:tc>
                <w:tcPr>
                  <w:tcW w:w="70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分拣废物废过滤网</w:t>
                  </w:r>
                </w:p>
              </w:tc>
              <w:tc>
                <w:tcPr>
                  <w:tcW w:w="1846"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c>
                <w:tcPr>
                  <w:tcW w:w="1525"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423"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c>
                <w:tcPr>
                  <w:tcW w:w="498"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c>
                <w:tcPr>
                  <w:tcW w:w="70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沉渣、布袋收集尘、废包装材料</w:t>
                  </w:r>
                  <w:r>
                    <w:rPr>
                      <w:rFonts w:hint="eastAsia" w:ascii="Times New Roman" w:hAnsi="Times New Roman" w:cs="Times New Roman"/>
                      <w:color w:val="000000"/>
                      <w:sz w:val="21"/>
                      <w:szCs w:val="21"/>
                      <w:lang w:val="en-US" w:eastAsia="zh-CN"/>
                    </w:rPr>
                    <w:t>、残次品及边角料</w:t>
                  </w:r>
                </w:p>
              </w:tc>
              <w:tc>
                <w:tcPr>
                  <w:tcW w:w="1846"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c>
                <w:tcPr>
                  <w:tcW w:w="1525"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423" w:type="pct"/>
                  <w:vMerge w:val="continue"/>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sz w:val="21"/>
                      <w:szCs w:val="21"/>
                    </w:rPr>
                  </w:pPr>
                </w:p>
              </w:tc>
              <w:tc>
                <w:tcPr>
                  <w:tcW w:w="498"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危险废物</w:t>
                  </w:r>
                </w:p>
              </w:tc>
              <w:tc>
                <w:tcPr>
                  <w:tcW w:w="70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废活性炭、废</w:t>
                  </w:r>
                  <w:r>
                    <w:rPr>
                      <w:rFonts w:hint="default" w:ascii="Times New Roman" w:hAnsi="Times New Roman" w:cs="Times New Roman"/>
                      <w:color w:val="000000"/>
                      <w:sz w:val="21"/>
                      <w:szCs w:val="21"/>
                      <w:lang w:val="en-US" w:eastAsia="zh-CN"/>
                    </w:rPr>
                    <w:t>UV</w:t>
                  </w:r>
                  <w:r>
                    <w:rPr>
                      <w:rFonts w:hint="default" w:ascii="Times New Roman" w:hAnsi="Times New Roman" w:cs="Times New Roman"/>
                      <w:color w:val="000000"/>
                      <w:sz w:val="21"/>
                      <w:szCs w:val="21"/>
                    </w:rPr>
                    <w:t>灯管</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废机油</w:t>
                  </w:r>
                </w:p>
              </w:tc>
              <w:tc>
                <w:tcPr>
                  <w:tcW w:w="1846"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设置危废暂存间，集中</w:t>
                  </w:r>
                  <w:r>
                    <w:rPr>
                      <w:rFonts w:hint="eastAsia" w:cs="Times New Roman"/>
                      <w:color w:val="000000"/>
                      <w:sz w:val="21"/>
                      <w:szCs w:val="21"/>
                      <w:lang w:eastAsia="zh-CN"/>
                    </w:rPr>
                    <w:t>收集</w:t>
                  </w:r>
                  <w:r>
                    <w:rPr>
                      <w:rFonts w:hint="default" w:ascii="Times New Roman" w:hAnsi="Times New Roman" w:cs="Times New Roman"/>
                      <w:color w:val="000000"/>
                      <w:sz w:val="21"/>
                      <w:szCs w:val="21"/>
                    </w:rPr>
                    <w:t>后暂存，定期交由有资质单位处置</w:t>
                  </w:r>
                </w:p>
              </w:tc>
              <w:tc>
                <w:tcPr>
                  <w:tcW w:w="152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《危险废物贮存污染控制标准》（GB18597-2001）及其2013年修改单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423"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地下水</w:t>
                  </w:r>
                </w:p>
              </w:tc>
              <w:tc>
                <w:tcPr>
                  <w:tcW w:w="498"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2551" w:type="pct"/>
                  <w:gridSpan w:val="2"/>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分区防渗，危废暂存间采取重点防渗防腐</w:t>
                  </w:r>
                </w:p>
              </w:tc>
              <w:tc>
                <w:tcPr>
                  <w:tcW w:w="1525" w:type="pct"/>
                  <w:tcBorders>
                    <w:tl2br w:val="nil"/>
                    <w:tr2bl w:val="nil"/>
                  </w:tcBorders>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有效防止地下水污染</w:t>
                  </w:r>
                </w:p>
              </w:tc>
            </w:tr>
          </w:tbl>
          <w:p>
            <w:pPr>
              <w:pStyle w:val="3"/>
              <w:keepLines w:val="0"/>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4.</w:t>
            </w:r>
            <w:r>
              <w:rPr>
                <w:rFonts w:hint="eastAsia"/>
                <w:color w:val="auto"/>
                <w:lang w:val="en-US" w:eastAsia="zh-CN"/>
              </w:rPr>
              <w:t>11</w:t>
            </w:r>
            <w:r>
              <w:rPr>
                <w:rFonts w:hint="eastAsia"/>
                <w:color w:val="auto"/>
              </w:rPr>
              <w:t>环保投资估算</w:t>
            </w:r>
          </w:p>
          <w:p>
            <w:pPr>
              <w:keepLines w:val="0"/>
              <w:pageBreakBefore w:val="0"/>
              <w:widowControl w:val="0"/>
              <w:kinsoku/>
              <w:wordWrap/>
              <w:topLinePunct w:val="0"/>
              <w:autoSpaceDE/>
              <w:autoSpaceDN/>
              <w:bidi w:val="0"/>
              <w:adjustRightInd/>
              <w:snapToGrid w:val="0"/>
              <w:ind w:firstLine="480"/>
              <w:jc w:val="left"/>
              <w:textAlignment w:val="auto"/>
            </w:pPr>
            <w:r>
              <w:rPr>
                <w:rFonts w:hint="eastAsia"/>
              </w:rPr>
              <w:t>通过本项目各类污染源分析，本项目环保投资为</w:t>
            </w:r>
            <w:r>
              <w:rPr>
                <w:rFonts w:hint="eastAsia"/>
                <w:lang w:val="en-US" w:eastAsia="zh-CN"/>
              </w:rPr>
              <w:t>40</w:t>
            </w:r>
            <w:r>
              <w:rPr>
                <w:rFonts w:hint="eastAsia"/>
              </w:rPr>
              <w:t>万元，占总投资的</w:t>
            </w:r>
            <w:r>
              <w:rPr>
                <w:rFonts w:hint="eastAsia"/>
                <w:lang w:val="en-US" w:eastAsia="zh-CN"/>
              </w:rPr>
              <w:t>7.69</w:t>
            </w:r>
            <w:r>
              <w:rPr>
                <w:rFonts w:hint="eastAsia"/>
              </w:rPr>
              <w:t>%。环保投资明细见表</w:t>
            </w:r>
            <w:r>
              <w:rPr>
                <w:rFonts w:hint="eastAsia"/>
                <w:lang w:val="en-US" w:eastAsia="zh-CN"/>
              </w:rPr>
              <w:t>54</w:t>
            </w:r>
            <w:r>
              <w:rPr>
                <w:rFonts w:hint="eastAsia"/>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sz w:val="21"/>
                <w:szCs w:val="21"/>
              </w:rPr>
              <w:t>表</w:t>
            </w:r>
            <w:r>
              <w:rPr>
                <w:rFonts w:hint="eastAsia"/>
                <w:sz w:val="21"/>
                <w:szCs w:val="21"/>
                <w:lang w:val="en-US" w:eastAsia="zh-CN"/>
              </w:rPr>
              <w:t>54</w:t>
            </w:r>
            <w:r>
              <w:rPr>
                <w:rFonts w:hint="eastAsia"/>
                <w:sz w:val="21"/>
                <w:szCs w:val="21"/>
              </w:rPr>
              <w:t xml:space="preserve">  环境保护投资估算一览表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672"/>
              <w:gridCol w:w="4154"/>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kern w:val="0"/>
                      <w:sz w:val="21"/>
                    </w:rPr>
                  </w:pPr>
                  <w:r>
                    <w:rPr>
                      <w:kern w:val="0"/>
                      <w:sz w:val="21"/>
                    </w:rPr>
                    <w:t>项目</w:t>
                  </w:r>
                </w:p>
              </w:tc>
              <w:tc>
                <w:tcPr>
                  <w:tcW w:w="105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kern w:val="0"/>
                      <w:sz w:val="21"/>
                    </w:rPr>
                  </w:pPr>
                  <w:r>
                    <w:rPr>
                      <w:kern w:val="0"/>
                      <w:sz w:val="21"/>
                    </w:rPr>
                    <w:t>污染控制类型</w:t>
                  </w:r>
                </w:p>
              </w:tc>
              <w:tc>
                <w:tcPr>
                  <w:tcW w:w="261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kern w:val="0"/>
                      <w:sz w:val="21"/>
                    </w:rPr>
                  </w:pPr>
                  <w:r>
                    <w:rPr>
                      <w:kern w:val="0"/>
                      <w:sz w:val="21"/>
                    </w:rPr>
                    <w:t>控制措施</w:t>
                  </w:r>
                </w:p>
              </w:tc>
              <w:tc>
                <w:tcPr>
                  <w:tcW w:w="9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kern w:val="0"/>
                      <w:sz w:val="21"/>
                    </w:rPr>
                  </w:pPr>
                  <w:r>
                    <w:rPr>
                      <w:kern w:val="0"/>
                      <w:sz w:val="21"/>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22" w:type="pct"/>
                  <w:vMerge w:val="restart"/>
                  <w:tcBorders>
                    <w:tl2br w:val="nil"/>
                    <w:tr2bl w:val="nil"/>
                  </w:tcBorders>
                  <w:vAlign w:val="center"/>
                </w:tcPr>
                <w:p>
                  <w:pPr>
                    <w:spacing w:line="240" w:lineRule="auto"/>
                    <w:ind w:firstLine="0" w:firstLineChars="0"/>
                    <w:jc w:val="center"/>
                    <w:rPr>
                      <w:kern w:val="0"/>
                      <w:sz w:val="21"/>
                    </w:rPr>
                  </w:pPr>
                  <w:r>
                    <w:rPr>
                      <w:rFonts w:hint="eastAsia"/>
                      <w:kern w:val="0"/>
                      <w:sz w:val="21"/>
                    </w:rPr>
                    <w:t>废气</w:t>
                  </w:r>
                </w:p>
              </w:tc>
              <w:tc>
                <w:tcPr>
                  <w:tcW w:w="1053" w:type="pct"/>
                  <w:tcBorders>
                    <w:tl2br w:val="nil"/>
                    <w:tr2bl w:val="nil"/>
                  </w:tcBorders>
                  <w:vAlign w:val="center"/>
                </w:tcPr>
                <w:p>
                  <w:pPr>
                    <w:spacing w:line="240" w:lineRule="auto"/>
                    <w:ind w:firstLine="0" w:firstLineChars="0"/>
                    <w:jc w:val="center"/>
                    <w:rPr>
                      <w:rFonts w:hint="eastAsia"/>
                      <w:kern w:val="0"/>
                      <w:sz w:val="21"/>
                    </w:rPr>
                  </w:pPr>
                  <w:r>
                    <w:rPr>
                      <w:rFonts w:hint="eastAsia"/>
                      <w:kern w:val="0"/>
                      <w:sz w:val="21"/>
                    </w:rPr>
                    <w:t>有机废气</w:t>
                  </w:r>
                </w:p>
                <w:p>
                  <w:pPr>
                    <w:spacing w:line="240" w:lineRule="auto"/>
                    <w:ind w:firstLine="0" w:firstLineChars="0"/>
                    <w:jc w:val="center"/>
                    <w:rPr>
                      <w:kern w:val="0"/>
                      <w:sz w:val="21"/>
                    </w:rPr>
                  </w:pPr>
                  <w:r>
                    <w:rPr>
                      <w:rFonts w:hint="eastAsia"/>
                      <w:kern w:val="0"/>
                      <w:sz w:val="21"/>
                    </w:rPr>
                    <w:t>（非甲烷总烃）</w:t>
                  </w:r>
                </w:p>
              </w:tc>
              <w:tc>
                <w:tcPr>
                  <w:tcW w:w="2615" w:type="pct"/>
                  <w:tcBorders>
                    <w:tl2br w:val="nil"/>
                    <w:tr2bl w:val="nil"/>
                  </w:tcBorders>
                  <w:vAlign w:val="center"/>
                </w:tcPr>
                <w:p>
                  <w:pPr>
                    <w:spacing w:line="240" w:lineRule="auto"/>
                    <w:ind w:firstLine="0" w:firstLineChars="0"/>
                    <w:rPr>
                      <w:kern w:val="0"/>
                      <w:sz w:val="21"/>
                    </w:rPr>
                  </w:pPr>
                  <w:r>
                    <w:rPr>
                      <w:rFonts w:hint="default" w:ascii="Times New Roman" w:hAnsi="Times New Roman" w:cs="Times New Roman" w:eastAsiaTheme="minorEastAsia"/>
                      <w:bCs/>
                      <w:sz w:val="21"/>
                      <w:szCs w:val="21"/>
                      <w:vertAlign w:val="baseline"/>
                      <w:lang w:val="en-US" w:eastAsia="zh-CN"/>
                    </w:rPr>
                    <w:t>工位上方集气罩、汇集管道</w:t>
                  </w:r>
                  <w:r>
                    <w:rPr>
                      <w:rFonts w:hint="eastAsia" w:cs="Times New Roman" w:eastAsiaTheme="minorEastAsia"/>
                      <w:bCs/>
                      <w:sz w:val="21"/>
                      <w:szCs w:val="21"/>
                      <w:vertAlign w:val="baseline"/>
                      <w:lang w:val="en-US" w:eastAsia="zh-CN"/>
                    </w:rPr>
                    <w:t>，通过</w:t>
                  </w:r>
                  <w:r>
                    <w:rPr>
                      <w:rFonts w:hint="eastAsia"/>
                      <w:kern w:val="0"/>
                      <w:sz w:val="21"/>
                    </w:rPr>
                    <w:t>UV光氧催化+活性炭吸附装置，15</w:t>
                  </w:r>
                  <w:r>
                    <w:rPr>
                      <w:rFonts w:hint="eastAsia"/>
                      <w:kern w:val="0"/>
                      <w:sz w:val="21"/>
                      <w:lang w:val="en-US" w:eastAsia="zh-CN"/>
                    </w:rPr>
                    <w:t>m</w:t>
                  </w:r>
                  <w:r>
                    <w:rPr>
                      <w:rFonts w:hint="eastAsia"/>
                      <w:kern w:val="0"/>
                      <w:sz w:val="21"/>
                    </w:rPr>
                    <w:t>排气筒排放，厂房内设置换气扇用于加强通风</w:t>
                  </w:r>
                </w:p>
              </w:tc>
              <w:tc>
                <w:tcPr>
                  <w:tcW w:w="908" w:type="pct"/>
                  <w:tcBorders>
                    <w:tl2br w:val="nil"/>
                    <w:tr2bl w:val="nil"/>
                  </w:tcBorders>
                  <w:vAlign w:val="center"/>
                </w:tcPr>
                <w:p>
                  <w:pPr>
                    <w:spacing w:line="240" w:lineRule="auto"/>
                    <w:ind w:firstLine="0" w:firstLineChars="0"/>
                    <w:jc w:val="center"/>
                    <w:rPr>
                      <w:rFonts w:hint="default" w:eastAsia="宋体"/>
                      <w:kern w:val="0"/>
                      <w:sz w:val="21"/>
                      <w:lang w:val="en-US" w:eastAsia="zh-CN"/>
                    </w:rPr>
                  </w:pPr>
                  <w:r>
                    <w:rPr>
                      <w:rFonts w:hint="eastAsia"/>
                      <w:kern w:val="0"/>
                      <w:sz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22" w:type="pct"/>
                  <w:vMerge w:val="continue"/>
                  <w:tcBorders>
                    <w:tl2br w:val="nil"/>
                    <w:tr2bl w:val="nil"/>
                  </w:tcBorders>
                  <w:vAlign w:val="center"/>
                </w:tcPr>
                <w:p>
                  <w:pPr>
                    <w:spacing w:line="240" w:lineRule="auto"/>
                    <w:ind w:firstLine="0" w:firstLineChars="0"/>
                    <w:jc w:val="center"/>
                    <w:rPr>
                      <w:kern w:val="0"/>
                      <w:sz w:val="21"/>
                    </w:rPr>
                  </w:pPr>
                </w:p>
              </w:tc>
              <w:tc>
                <w:tcPr>
                  <w:tcW w:w="1053" w:type="pct"/>
                  <w:tcBorders>
                    <w:tl2br w:val="nil"/>
                    <w:tr2bl w:val="nil"/>
                  </w:tcBorders>
                  <w:vAlign w:val="center"/>
                </w:tcPr>
                <w:p>
                  <w:pPr>
                    <w:spacing w:line="240" w:lineRule="auto"/>
                    <w:ind w:firstLine="0" w:firstLineChars="0"/>
                    <w:jc w:val="center"/>
                    <w:rPr>
                      <w:kern w:val="0"/>
                      <w:sz w:val="21"/>
                    </w:rPr>
                  </w:pPr>
                  <w:r>
                    <w:rPr>
                      <w:rFonts w:hint="eastAsia"/>
                      <w:kern w:val="0"/>
                      <w:sz w:val="21"/>
                    </w:rPr>
                    <w:t>切割粉尘</w:t>
                  </w:r>
                </w:p>
              </w:tc>
              <w:tc>
                <w:tcPr>
                  <w:tcW w:w="2615" w:type="pct"/>
                  <w:tcBorders>
                    <w:tl2br w:val="nil"/>
                    <w:tr2bl w:val="nil"/>
                  </w:tcBorders>
                  <w:vAlign w:val="center"/>
                </w:tcPr>
                <w:p>
                  <w:pPr>
                    <w:spacing w:line="240" w:lineRule="auto"/>
                    <w:ind w:firstLine="0" w:firstLineChars="0"/>
                    <w:rPr>
                      <w:rFonts w:hint="default" w:eastAsia="宋体"/>
                      <w:kern w:val="0"/>
                      <w:sz w:val="21"/>
                      <w:lang w:val="en-US" w:eastAsia="zh-CN"/>
                    </w:rPr>
                  </w:pPr>
                  <w:r>
                    <w:rPr>
                      <w:rFonts w:hint="default" w:ascii="Times New Roman" w:hAnsi="Times New Roman" w:cs="Times New Roman" w:eastAsiaTheme="minorEastAsia"/>
                      <w:bCs/>
                      <w:sz w:val="21"/>
                      <w:szCs w:val="21"/>
                      <w:vertAlign w:val="baseline"/>
                      <w:lang w:val="en-US" w:eastAsia="zh-CN"/>
                    </w:rPr>
                    <w:t>工位上方集气罩、汇集管道</w:t>
                  </w:r>
                  <w:r>
                    <w:rPr>
                      <w:rFonts w:hint="eastAsia" w:cs="Times New Roman" w:eastAsiaTheme="minorEastAsia"/>
                      <w:bCs/>
                      <w:sz w:val="21"/>
                      <w:szCs w:val="21"/>
                      <w:vertAlign w:val="baseline"/>
                      <w:lang w:val="en-US" w:eastAsia="zh-CN"/>
                    </w:rPr>
                    <w:t>，</w:t>
                  </w:r>
                  <w:r>
                    <w:rPr>
                      <w:rFonts w:hint="eastAsia"/>
                      <w:kern w:val="0"/>
                      <w:sz w:val="21"/>
                      <w:highlight w:val="none"/>
                      <w:lang w:eastAsia="zh-CN"/>
                    </w:rPr>
                    <w:t>通过布袋</w:t>
                  </w:r>
                  <w:r>
                    <w:rPr>
                      <w:rFonts w:hint="eastAsia"/>
                      <w:kern w:val="0"/>
                      <w:sz w:val="21"/>
                      <w:highlight w:val="none"/>
                    </w:rPr>
                    <w:t>除尘器</w:t>
                  </w:r>
                  <w:r>
                    <w:rPr>
                      <w:rFonts w:hint="eastAsia"/>
                      <w:kern w:val="0"/>
                      <w:sz w:val="21"/>
                      <w:highlight w:val="none"/>
                      <w:lang w:eastAsia="zh-CN"/>
                    </w:rPr>
                    <w:t>收集，最终经</w:t>
                  </w:r>
                  <w:r>
                    <w:rPr>
                      <w:rFonts w:hint="eastAsia"/>
                      <w:kern w:val="0"/>
                      <w:sz w:val="21"/>
                      <w:highlight w:val="none"/>
                      <w:lang w:val="en-US" w:eastAsia="zh-CN"/>
                    </w:rPr>
                    <w:t>15m排气筒排放</w:t>
                  </w:r>
                </w:p>
              </w:tc>
              <w:tc>
                <w:tcPr>
                  <w:tcW w:w="908" w:type="pct"/>
                  <w:tcBorders>
                    <w:tl2br w:val="nil"/>
                    <w:tr2bl w:val="nil"/>
                  </w:tcBorders>
                  <w:vAlign w:val="center"/>
                </w:tcPr>
                <w:p>
                  <w:pPr>
                    <w:spacing w:line="240" w:lineRule="auto"/>
                    <w:ind w:firstLine="0" w:firstLineChars="0"/>
                    <w:jc w:val="center"/>
                    <w:rPr>
                      <w:rFonts w:hint="default" w:eastAsia="宋体"/>
                      <w:kern w:val="0"/>
                      <w:sz w:val="21"/>
                      <w:lang w:val="en-US" w:eastAsia="zh-CN"/>
                    </w:rPr>
                  </w:pPr>
                  <w:r>
                    <w:rPr>
                      <w:rFonts w:hint="eastAsia"/>
                      <w:kern w:val="0"/>
                      <w:sz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22" w:type="pct"/>
                  <w:tcBorders>
                    <w:tl2br w:val="nil"/>
                    <w:tr2bl w:val="nil"/>
                  </w:tcBorders>
                  <w:vAlign w:val="center"/>
                </w:tcPr>
                <w:p>
                  <w:pPr>
                    <w:spacing w:line="240" w:lineRule="auto"/>
                    <w:ind w:firstLine="0" w:firstLineChars="0"/>
                    <w:jc w:val="center"/>
                    <w:rPr>
                      <w:kern w:val="0"/>
                      <w:sz w:val="21"/>
                    </w:rPr>
                  </w:pPr>
                  <w:r>
                    <w:rPr>
                      <w:kern w:val="0"/>
                      <w:sz w:val="21"/>
                    </w:rPr>
                    <w:t>废水</w:t>
                  </w:r>
                </w:p>
              </w:tc>
              <w:tc>
                <w:tcPr>
                  <w:tcW w:w="1053" w:type="pct"/>
                  <w:tcBorders>
                    <w:tl2br w:val="nil"/>
                    <w:tr2bl w:val="nil"/>
                  </w:tcBorders>
                  <w:vAlign w:val="center"/>
                </w:tcPr>
                <w:p>
                  <w:pPr>
                    <w:spacing w:line="240" w:lineRule="auto"/>
                    <w:ind w:firstLine="0" w:firstLineChars="0"/>
                    <w:jc w:val="center"/>
                    <w:rPr>
                      <w:kern w:val="0"/>
                      <w:sz w:val="21"/>
                    </w:rPr>
                  </w:pPr>
                  <w:r>
                    <w:rPr>
                      <w:kern w:val="0"/>
                      <w:sz w:val="21"/>
                    </w:rPr>
                    <w:t>生活污水</w:t>
                  </w:r>
                </w:p>
              </w:tc>
              <w:tc>
                <w:tcPr>
                  <w:tcW w:w="2615" w:type="pct"/>
                  <w:tcBorders>
                    <w:tl2br w:val="nil"/>
                    <w:tr2bl w:val="nil"/>
                  </w:tcBorders>
                  <w:vAlign w:val="center"/>
                </w:tcPr>
                <w:p>
                  <w:pPr>
                    <w:spacing w:line="240" w:lineRule="auto"/>
                    <w:ind w:firstLine="0" w:firstLineChars="0"/>
                    <w:rPr>
                      <w:rFonts w:hint="eastAsia" w:eastAsia="宋体"/>
                      <w:sz w:val="21"/>
                      <w:lang w:eastAsia="zh-CN"/>
                    </w:rPr>
                  </w:pPr>
                  <w:r>
                    <w:rPr>
                      <w:rFonts w:hint="eastAsia" w:cs="Times New Roman" w:eastAsiaTheme="minorEastAsia"/>
                      <w:bCs/>
                      <w:color w:val="000000"/>
                      <w:sz w:val="21"/>
                      <w:szCs w:val="21"/>
                      <w:vertAlign w:val="baseline"/>
                      <w:lang w:val="en-US" w:eastAsia="zh-CN"/>
                    </w:rPr>
                    <w:t>排入园区管网，最终排入昌吉高新区</w:t>
                  </w:r>
                  <w:r>
                    <w:rPr>
                      <w:rFonts w:hint="default" w:ascii="Times New Roman" w:hAnsi="Times New Roman" w:cs="Times New Roman" w:eastAsiaTheme="minorEastAsia"/>
                      <w:bCs/>
                      <w:color w:val="000000"/>
                      <w:sz w:val="21"/>
                      <w:szCs w:val="21"/>
                      <w:vertAlign w:val="baseline"/>
                      <w:lang w:val="en-US" w:eastAsia="zh-CN"/>
                    </w:rPr>
                    <w:t>污水管网统一处理</w:t>
                  </w:r>
                </w:p>
              </w:tc>
              <w:tc>
                <w:tcPr>
                  <w:tcW w:w="908" w:type="pct"/>
                  <w:tcBorders>
                    <w:tl2br w:val="nil"/>
                    <w:tr2bl w:val="nil"/>
                  </w:tcBorders>
                  <w:vAlign w:val="center"/>
                </w:tcPr>
                <w:p>
                  <w:pPr>
                    <w:spacing w:line="240" w:lineRule="auto"/>
                    <w:ind w:firstLine="0" w:firstLineChars="0"/>
                    <w:jc w:val="center"/>
                    <w:rPr>
                      <w:rFonts w:hint="default" w:eastAsia="宋体"/>
                      <w:kern w:val="0"/>
                      <w:sz w:val="21"/>
                      <w:lang w:val="en-US" w:eastAsia="zh-CN"/>
                    </w:rPr>
                  </w:pPr>
                  <w:r>
                    <w:rPr>
                      <w:rFonts w:hint="eastAsia"/>
                      <w:kern w:val="0"/>
                      <w:sz w:val="21"/>
                    </w:rPr>
                    <w:t>3</w:t>
                  </w:r>
                  <w:r>
                    <w:rPr>
                      <w:rFonts w:hint="eastAsia"/>
                      <w:kern w:val="0"/>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22" w:type="pct"/>
                  <w:tcBorders>
                    <w:tl2br w:val="nil"/>
                    <w:tr2bl w:val="nil"/>
                  </w:tcBorders>
                  <w:vAlign w:val="center"/>
                </w:tcPr>
                <w:p>
                  <w:pPr>
                    <w:spacing w:line="240" w:lineRule="auto"/>
                    <w:ind w:firstLine="0" w:firstLineChars="0"/>
                    <w:jc w:val="center"/>
                    <w:rPr>
                      <w:kern w:val="0"/>
                      <w:sz w:val="21"/>
                    </w:rPr>
                  </w:pPr>
                  <w:r>
                    <w:rPr>
                      <w:kern w:val="0"/>
                      <w:sz w:val="21"/>
                    </w:rPr>
                    <w:t>噪声</w:t>
                  </w:r>
                </w:p>
              </w:tc>
              <w:tc>
                <w:tcPr>
                  <w:tcW w:w="1053" w:type="pct"/>
                  <w:tcBorders>
                    <w:tl2br w:val="nil"/>
                    <w:tr2bl w:val="nil"/>
                  </w:tcBorders>
                  <w:vAlign w:val="center"/>
                </w:tcPr>
                <w:p>
                  <w:pPr>
                    <w:spacing w:line="240" w:lineRule="auto"/>
                    <w:ind w:firstLine="0" w:firstLineChars="0"/>
                    <w:jc w:val="center"/>
                    <w:rPr>
                      <w:kern w:val="0"/>
                      <w:sz w:val="21"/>
                    </w:rPr>
                  </w:pPr>
                  <w:r>
                    <w:rPr>
                      <w:kern w:val="0"/>
                      <w:sz w:val="21"/>
                    </w:rPr>
                    <w:t>设备噪声</w:t>
                  </w:r>
                </w:p>
              </w:tc>
              <w:tc>
                <w:tcPr>
                  <w:tcW w:w="2615" w:type="pct"/>
                  <w:tcBorders>
                    <w:tl2br w:val="nil"/>
                    <w:tr2bl w:val="nil"/>
                  </w:tcBorders>
                  <w:vAlign w:val="center"/>
                </w:tcPr>
                <w:p>
                  <w:pPr>
                    <w:spacing w:line="240" w:lineRule="auto"/>
                    <w:ind w:firstLine="0" w:firstLineChars="0"/>
                    <w:rPr>
                      <w:sz w:val="21"/>
                    </w:rPr>
                  </w:pPr>
                  <w:r>
                    <w:rPr>
                      <w:sz w:val="21"/>
                    </w:rPr>
                    <w:t>选用低噪声设备</w:t>
                  </w:r>
                  <w:r>
                    <w:rPr>
                      <w:rFonts w:hint="eastAsia"/>
                      <w:sz w:val="21"/>
                    </w:rPr>
                    <w:t>、</w:t>
                  </w:r>
                  <w:r>
                    <w:rPr>
                      <w:sz w:val="21"/>
                    </w:rPr>
                    <w:t>合理布局</w:t>
                  </w:r>
                  <w:r>
                    <w:rPr>
                      <w:rFonts w:hint="eastAsia"/>
                      <w:sz w:val="21"/>
                    </w:rPr>
                    <w:t>、</w:t>
                  </w:r>
                  <w:r>
                    <w:rPr>
                      <w:sz w:val="21"/>
                    </w:rPr>
                    <w:t>基础减振</w:t>
                  </w:r>
                  <w:r>
                    <w:rPr>
                      <w:rFonts w:hint="eastAsia"/>
                      <w:sz w:val="21"/>
                    </w:rPr>
                    <w:t>、</w:t>
                  </w:r>
                  <w:r>
                    <w:rPr>
                      <w:sz w:val="21"/>
                    </w:rPr>
                    <w:t>厂房隔音</w:t>
                  </w:r>
                  <w:r>
                    <w:rPr>
                      <w:rFonts w:hint="eastAsia"/>
                      <w:sz w:val="21"/>
                    </w:rPr>
                    <w:t>、</w:t>
                  </w:r>
                  <w:r>
                    <w:rPr>
                      <w:sz w:val="21"/>
                    </w:rPr>
                    <w:t>距离衰减</w:t>
                  </w:r>
                </w:p>
              </w:tc>
              <w:tc>
                <w:tcPr>
                  <w:tcW w:w="908" w:type="pct"/>
                  <w:tcBorders>
                    <w:tl2br w:val="nil"/>
                    <w:tr2bl w:val="nil"/>
                  </w:tcBorders>
                  <w:vAlign w:val="center"/>
                </w:tcPr>
                <w:p>
                  <w:pPr>
                    <w:spacing w:line="240" w:lineRule="auto"/>
                    <w:ind w:firstLine="0" w:firstLineChars="0"/>
                    <w:jc w:val="center"/>
                    <w:rPr>
                      <w:rFonts w:hint="default" w:eastAsia="宋体"/>
                      <w:kern w:val="0"/>
                      <w:sz w:val="21"/>
                      <w:lang w:val="en-US" w:eastAsia="zh-CN"/>
                    </w:rPr>
                  </w:pPr>
                  <w:r>
                    <w:rPr>
                      <w:rFonts w:hint="eastAsia"/>
                      <w:kern w:val="0"/>
                      <w:sz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22" w:type="pct"/>
                  <w:vMerge w:val="restart"/>
                  <w:tcBorders>
                    <w:tl2br w:val="nil"/>
                    <w:tr2bl w:val="nil"/>
                  </w:tcBorders>
                  <w:vAlign w:val="center"/>
                </w:tcPr>
                <w:p>
                  <w:pPr>
                    <w:spacing w:line="240" w:lineRule="auto"/>
                    <w:ind w:firstLine="0" w:firstLineChars="0"/>
                    <w:jc w:val="center"/>
                    <w:rPr>
                      <w:kern w:val="0"/>
                      <w:sz w:val="21"/>
                    </w:rPr>
                  </w:pPr>
                  <w:r>
                    <w:rPr>
                      <w:kern w:val="0"/>
                      <w:sz w:val="21"/>
                    </w:rPr>
                    <w:t>固体废物</w:t>
                  </w:r>
                </w:p>
              </w:tc>
              <w:tc>
                <w:tcPr>
                  <w:tcW w:w="1053" w:type="pct"/>
                  <w:tcBorders>
                    <w:tl2br w:val="nil"/>
                    <w:tr2bl w:val="nil"/>
                  </w:tcBorders>
                  <w:vAlign w:val="center"/>
                </w:tcPr>
                <w:p>
                  <w:pPr>
                    <w:spacing w:line="240" w:lineRule="auto"/>
                    <w:ind w:firstLine="0" w:firstLineChars="0"/>
                    <w:jc w:val="center"/>
                    <w:rPr>
                      <w:kern w:val="0"/>
                      <w:sz w:val="21"/>
                    </w:rPr>
                  </w:pPr>
                  <w:r>
                    <w:rPr>
                      <w:rFonts w:hint="eastAsia"/>
                      <w:kern w:val="0"/>
                      <w:sz w:val="21"/>
                    </w:rPr>
                    <w:t>一般固废</w:t>
                  </w:r>
                </w:p>
              </w:tc>
              <w:tc>
                <w:tcPr>
                  <w:tcW w:w="2615" w:type="pct"/>
                  <w:tcBorders>
                    <w:tl2br w:val="nil"/>
                    <w:tr2bl w:val="nil"/>
                  </w:tcBorders>
                  <w:vAlign w:val="center"/>
                </w:tcPr>
                <w:p>
                  <w:pPr>
                    <w:spacing w:line="240" w:lineRule="auto"/>
                    <w:ind w:firstLine="0" w:firstLineChars="0"/>
                    <w:rPr>
                      <w:kern w:val="0"/>
                      <w:sz w:val="21"/>
                    </w:rPr>
                  </w:pPr>
                  <w:r>
                    <w:rPr>
                      <w:rFonts w:hint="eastAsia"/>
                      <w:kern w:val="0"/>
                      <w:sz w:val="21"/>
                    </w:rPr>
                    <w:t>收集后外售至废品回收站</w:t>
                  </w:r>
                </w:p>
              </w:tc>
              <w:tc>
                <w:tcPr>
                  <w:tcW w:w="908" w:type="pct"/>
                  <w:tcBorders>
                    <w:tl2br w:val="nil"/>
                    <w:tr2bl w:val="nil"/>
                  </w:tcBorders>
                  <w:vAlign w:val="center"/>
                </w:tcPr>
                <w:p>
                  <w:pPr>
                    <w:spacing w:line="240" w:lineRule="auto"/>
                    <w:ind w:firstLine="0" w:firstLineChars="0"/>
                    <w:jc w:val="center"/>
                    <w:rPr>
                      <w:rFonts w:hint="default" w:eastAsia="宋体"/>
                      <w:kern w:val="0"/>
                      <w:sz w:val="21"/>
                      <w:lang w:val="en-US" w:eastAsia="zh-CN"/>
                    </w:rPr>
                  </w:pPr>
                  <w:r>
                    <w:rPr>
                      <w:rFonts w:hint="eastAsia"/>
                      <w:kern w:val="0"/>
                      <w:sz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22" w:type="pct"/>
                  <w:vMerge w:val="continue"/>
                  <w:tcBorders>
                    <w:tl2br w:val="nil"/>
                    <w:tr2bl w:val="nil"/>
                  </w:tcBorders>
                  <w:vAlign w:val="center"/>
                </w:tcPr>
                <w:p>
                  <w:pPr>
                    <w:spacing w:line="240" w:lineRule="auto"/>
                    <w:ind w:firstLine="0" w:firstLineChars="0"/>
                    <w:jc w:val="center"/>
                    <w:rPr>
                      <w:kern w:val="0"/>
                      <w:sz w:val="21"/>
                    </w:rPr>
                  </w:pPr>
                </w:p>
              </w:tc>
              <w:tc>
                <w:tcPr>
                  <w:tcW w:w="1053" w:type="pct"/>
                  <w:tcBorders>
                    <w:tl2br w:val="nil"/>
                    <w:tr2bl w:val="nil"/>
                  </w:tcBorders>
                  <w:vAlign w:val="center"/>
                </w:tcPr>
                <w:p>
                  <w:pPr>
                    <w:spacing w:line="240" w:lineRule="auto"/>
                    <w:ind w:firstLine="0" w:firstLineChars="0"/>
                    <w:jc w:val="center"/>
                    <w:rPr>
                      <w:kern w:val="0"/>
                      <w:sz w:val="21"/>
                    </w:rPr>
                  </w:pPr>
                  <w:r>
                    <w:rPr>
                      <w:kern w:val="0"/>
                      <w:sz w:val="21"/>
                    </w:rPr>
                    <w:t>员工生活垃圾</w:t>
                  </w:r>
                </w:p>
              </w:tc>
              <w:tc>
                <w:tcPr>
                  <w:tcW w:w="2615" w:type="pct"/>
                  <w:tcBorders>
                    <w:tl2br w:val="nil"/>
                    <w:tr2bl w:val="nil"/>
                  </w:tcBorders>
                </w:tcPr>
                <w:p>
                  <w:pPr>
                    <w:spacing w:line="240" w:lineRule="auto"/>
                    <w:ind w:firstLine="0" w:firstLineChars="0"/>
                    <w:rPr>
                      <w:kern w:val="0"/>
                      <w:sz w:val="21"/>
                    </w:rPr>
                  </w:pPr>
                  <w:r>
                    <w:rPr>
                      <w:rFonts w:hint="eastAsia"/>
                      <w:kern w:val="0"/>
                      <w:sz w:val="21"/>
                    </w:rPr>
                    <w:t>生活垃圾集中收集在园区垃圾设施中，由环卫部门统一处理</w:t>
                  </w:r>
                </w:p>
              </w:tc>
              <w:tc>
                <w:tcPr>
                  <w:tcW w:w="908" w:type="pct"/>
                  <w:tcBorders>
                    <w:tl2br w:val="nil"/>
                    <w:tr2bl w:val="nil"/>
                  </w:tcBorders>
                  <w:vAlign w:val="center"/>
                </w:tcPr>
                <w:p>
                  <w:pPr>
                    <w:spacing w:line="240" w:lineRule="auto"/>
                    <w:ind w:firstLine="0" w:firstLineChars="0"/>
                    <w:jc w:val="center"/>
                    <w:rPr>
                      <w:rFonts w:hint="default" w:eastAsia="宋体"/>
                      <w:kern w:val="0"/>
                      <w:sz w:val="21"/>
                      <w:lang w:val="en-US" w:eastAsia="zh-CN"/>
                    </w:rPr>
                  </w:pPr>
                  <w:r>
                    <w:rPr>
                      <w:rFonts w:hint="eastAsia"/>
                      <w:kern w:val="0"/>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22" w:type="pct"/>
                  <w:vMerge w:val="continue"/>
                  <w:tcBorders>
                    <w:tl2br w:val="nil"/>
                    <w:tr2bl w:val="nil"/>
                  </w:tcBorders>
                  <w:vAlign w:val="center"/>
                </w:tcPr>
                <w:p>
                  <w:pPr>
                    <w:spacing w:line="240" w:lineRule="auto"/>
                    <w:ind w:firstLine="0" w:firstLineChars="0"/>
                    <w:jc w:val="center"/>
                    <w:rPr>
                      <w:kern w:val="0"/>
                      <w:sz w:val="21"/>
                    </w:rPr>
                  </w:pPr>
                </w:p>
              </w:tc>
              <w:tc>
                <w:tcPr>
                  <w:tcW w:w="1053" w:type="pct"/>
                  <w:tcBorders>
                    <w:tl2br w:val="nil"/>
                    <w:tr2bl w:val="nil"/>
                  </w:tcBorders>
                  <w:vAlign w:val="center"/>
                </w:tcPr>
                <w:p>
                  <w:pPr>
                    <w:spacing w:line="240" w:lineRule="auto"/>
                    <w:ind w:firstLine="0" w:firstLineChars="0"/>
                    <w:jc w:val="center"/>
                    <w:rPr>
                      <w:kern w:val="0"/>
                      <w:sz w:val="21"/>
                    </w:rPr>
                  </w:pPr>
                  <w:r>
                    <w:rPr>
                      <w:rFonts w:hint="eastAsia"/>
                      <w:kern w:val="0"/>
                      <w:sz w:val="21"/>
                    </w:rPr>
                    <w:t>危险废物</w:t>
                  </w:r>
                </w:p>
              </w:tc>
              <w:tc>
                <w:tcPr>
                  <w:tcW w:w="2615" w:type="pct"/>
                  <w:tcBorders>
                    <w:tl2br w:val="nil"/>
                    <w:tr2bl w:val="nil"/>
                  </w:tcBorders>
                </w:tcPr>
                <w:p>
                  <w:pPr>
                    <w:spacing w:line="240" w:lineRule="auto"/>
                    <w:ind w:firstLine="0" w:firstLineChars="0"/>
                    <w:rPr>
                      <w:kern w:val="0"/>
                      <w:sz w:val="21"/>
                    </w:rPr>
                  </w:pPr>
                  <w:r>
                    <w:rPr>
                      <w:rFonts w:hint="eastAsia"/>
                      <w:kern w:val="0"/>
                      <w:sz w:val="21"/>
                    </w:rPr>
                    <w:t>在厂区内设置危险废物暂存间，危险废物集中收集后交由有危险废物处理资质的单位进行处理</w:t>
                  </w:r>
                </w:p>
              </w:tc>
              <w:tc>
                <w:tcPr>
                  <w:tcW w:w="908" w:type="pct"/>
                  <w:tcBorders>
                    <w:tl2br w:val="nil"/>
                    <w:tr2bl w:val="nil"/>
                  </w:tcBorders>
                  <w:vAlign w:val="center"/>
                </w:tcPr>
                <w:p>
                  <w:pPr>
                    <w:spacing w:line="240" w:lineRule="auto"/>
                    <w:ind w:firstLine="0" w:firstLineChars="0"/>
                    <w:jc w:val="center"/>
                    <w:rPr>
                      <w:rFonts w:hint="default" w:eastAsia="宋体"/>
                      <w:kern w:val="0"/>
                      <w:sz w:val="21"/>
                      <w:lang w:val="en-US" w:eastAsia="zh-CN"/>
                    </w:rPr>
                  </w:pPr>
                  <w:r>
                    <w:rPr>
                      <w:rFonts w:hint="eastAsia"/>
                      <w:kern w:val="0"/>
                      <w:sz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91" w:type="pct"/>
                  <w:gridSpan w:val="3"/>
                  <w:tcBorders>
                    <w:tl2br w:val="nil"/>
                    <w:tr2bl w:val="nil"/>
                  </w:tcBorders>
                  <w:vAlign w:val="center"/>
                </w:tcPr>
                <w:p>
                  <w:pPr>
                    <w:spacing w:line="240" w:lineRule="auto"/>
                    <w:ind w:firstLine="0" w:firstLineChars="0"/>
                    <w:jc w:val="center"/>
                    <w:rPr>
                      <w:kern w:val="0"/>
                      <w:sz w:val="21"/>
                    </w:rPr>
                  </w:pPr>
                  <w:r>
                    <w:rPr>
                      <w:kern w:val="0"/>
                      <w:sz w:val="21"/>
                    </w:rPr>
                    <w:t>合计</w:t>
                  </w:r>
                </w:p>
              </w:tc>
              <w:tc>
                <w:tcPr>
                  <w:tcW w:w="908" w:type="pct"/>
                  <w:tcBorders>
                    <w:tl2br w:val="nil"/>
                    <w:tr2bl w:val="nil"/>
                  </w:tcBorders>
                  <w:vAlign w:val="center"/>
                </w:tcPr>
                <w:p>
                  <w:pPr>
                    <w:spacing w:line="240" w:lineRule="auto"/>
                    <w:ind w:firstLine="0" w:firstLineChars="0"/>
                    <w:jc w:val="center"/>
                    <w:rPr>
                      <w:rFonts w:hint="default" w:eastAsia="宋体"/>
                      <w:kern w:val="0"/>
                      <w:sz w:val="21"/>
                      <w:lang w:val="en-US" w:eastAsia="zh-CN"/>
                    </w:rPr>
                  </w:pPr>
                  <w:r>
                    <w:rPr>
                      <w:rFonts w:hint="eastAsia"/>
                      <w:kern w:val="0"/>
                      <w:sz w:val="21"/>
                      <w:lang w:val="en-US" w:eastAsia="zh-CN"/>
                    </w:rPr>
                    <w:t>40.0</w:t>
                  </w:r>
                </w:p>
              </w:tc>
            </w:tr>
          </w:tbl>
          <w:p>
            <w:pPr>
              <w:ind w:left="0" w:leftChars="0" w:firstLine="0" w:firstLineChars="0"/>
            </w:pPr>
          </w:p>
        </w:tc>
      </w:tr>
    </w:tbl>
    <w:p>
      <w:pPr>
        <w:adjustRightInd w:val="0"/>
        <w:snapToGrid w:val="0"/>
        <w:ind w:firstLine="562"/>
        <w:rPr>
          <w:rFonts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15"/>
        <w:spacing w:line="240" w:lineRule="auto"/>
        <w:ind w:firstLine="0" w:firstLineChars="0"/>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highlight w:val="none"/>
        </w:rPr>
        <w:t>五、</w:t>
      </w:r>
      <w:bookmarkStart w:id="2" w:name="_Hlk54167917"/>
      <w:r>
        <w:rPr>
          <w:rFonts w:hint="eastAsia" w:ascii="Times New Roman" w:hAnsi="Times New Roman" w:eastAsia="黑体"/>
          <w:snapToGrid w:val="0"/>
          <w:sz w:val="30"/>
          <w:szCs w:val="30"/>
          <w:highlight w:val="none"/>
        </w:rPr>
        <w:t>环境保护措施监督检查清单</w:t>
      </w:r>
      <w:bookmarkEnd w:id="2"/>
    </w:p>
    <w:tbl>
      <w:tblPr>
        <w:tblStyle w:val="18"/>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574"/>
        <w:gridCol w:w="1455"/>
        <w:gridCol w:w="2322"/>
        <w:gridCol w:w="2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2" w:type="pct"/>
            <w:tcBorders>
              <w:tl2br w:val="single" w:color="auto" w:sz="4" w:space="0"/>
            </w:tcBorders>
          </w:tcPr>
          <w:p>
            <w:pPr>
              <w:adjustRightInd w:val="0"/>
              <w:snapToGrid w:val="0"/>
              <w:spacing w:line="240" w:lineRule="auto"/>
              <w:ind w:firstLine="0" w:firstLineChars="0"/>
              <w:jc w:val="right"/>
              <w:rPr>
                <w:rFonts w:hint="default" w:ascii="Times New Roman" w:hAnsi="Times New Roman" w:cs="Times New Roman"/>
                <w:sz w:val="21"/>
                <w:szCs w:val="21"/>
              </w:rPr>
            </w:pPr>
            <w:r>
              <w:rPr>
                <w:rFonts w:hint="default" w:ascii="Times New Roman" w:hAnsi="Times New Roman" w:cs="Times New Roman"/>
                <w:sz w:val="21"/>
                <w:szCs w:val="21"/>
              </w:rPr>
              <w:t>内容</w:t>
            </w:r>
          </w:p>
          <w:p>
            <w:pPr>
              <w:adjustRightInd w:val="0"/>
              <w:snapToGrid w:val="0"/>
              <w:spacing w:line="240" w:lineRule="auto"/>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要素</w:t>
            </w:r>
          </w:p>
        </w:tc>
        <w:tc>
          <w:tcPr>
            <w:tcW w:w="869"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排放口(编号、</w:t>
            </w:r>
          </w:p>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名称)/污染源</w:t>
            </w:r>
          </w:p>
        </w:tc>
        <w:tc>
          <w:tcPr>
            <w:tcW w:w="803"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污染物项目</w:t>
            </w:r>
          </w:p>
        </w:tc>
        <w:tc>
          <w:tcPr>
            <w:tcW w:w="1282"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环境保护措施</w:t>
            </w:r>
          </w:p>
        </w:tc>
        <w:tc>
          <w:tcPr>
            <w:tcW w:w="1482"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562" w:type="pct"/>
            <w:vMerge w:val="restar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大</w:t>
            </w:r>
          </w:p>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气</w:t>
            </w:r>
          </w:p>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环</w:t>
            </w:r>
          </w:p>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境</w:t>
            </w:r>
          </w:p>
        </w:tc>
        <w:tc>
          <w:tcPr>
            <w:tcW w:w="869" w:type="pct"/>
            <w:vAlign w:val="center"/>
          </w:tcPr>
          <w:p>
            <w:pPr>
              <w:adjustRightInd w:val="0"/>
              <w:snapToGrid w:val="0"/>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排气筒</w:t>
            </w:r>
            <w:r>
              <w:rPr>
                <w:rFonts w:hint="eastAsia" w:cs="Times New Roman"/>
                <w:sz w:val="21"/>
                <w:szCs w:val="21"/>
                <w:lang w:val="en-US" w:eastAsia="zh-CN"/>
              </w:rPr>
              <w:t>P1</w:t>
            </w:r>
            <w:r>
              <w:rPr>
                <w:rFonts w:hint="default" w:ascii="Times New Roman" w:hAnsi="Times New Roman" w:cs="Times New Roman"/>
                <w:sz w:val="21"/>
                <w:szCs w:val="21"/>
                <w:lang w:eastAsia="zh-CN"/>
              </w:rPr>
              <w:t>：喷胶、发泡、连续固化</w:t>
            </w:r>
          </w:p>
        </w:tc>
        <w:tc>
          <w:tcPr>
            <w:tcW w:w="803" w:type="pct"/>
            <w:vAlign w:val="center"/>
          </w:tcPr>
          <w:p>
            <w:pPr>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VOCs</w:t>
            </w:r>
          </w:p>
        </w:tc>
        <w:tc>
          <w:tcPr>
            <w:tcW w:w="1282" w:type="pct"/>
            <w:vAlign w:val="center"/>
          </w:tcPr>
          <w:p>
            <w:pPr>
              <w:adjustRightInd w:val="0"/>
              <w:snapToGrid w:val="0"/>
              <w:spacing w:line="240" w:lineRule="auto"/>
              <w:ind w:firstLine="0" w:firstLineChars="0"/>
              <w:jc w:val="left"/>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eastAsia="zh-CN"/>
              </w:rPr>
              <w:t>在喷胶、注胶发泡连续固化工序上方采用密闭集气罩（收集效率按</w:t>
            </w:r>
            <w:r>
              <w:rPr>
                <w:rFonts w:hint="default" w:ascii="Times New Roman" w:hAnsi="Times New Roman" w:cs="Times New Roman"/>
                <w:sz w:val="21"/>
                <w:szCs w:val="21"/>
                <w:lang w:val="en-US" w:eastAsia="zh-CN"/>
              </w:rPr>
              <w:t>90%计</w:t>
            </w:r>
            <w:r>
              <w:rPr>
                <w:rFonts w:hint="default" w:ascii="Times New Roman" w:hAnsi="Times New Roman" w:cs="Times New Roman"/>
                <w:sz w:val="21"/>
                <w:szCs w:val="21"/>
                <w:lang w:eastAsia="zh-CN"/>
              </w:rPr>
              <w:t>）收集，</w:t>
            </w:r>
            <w:r>
              <w:rPr>
                <w:rFonts w:hint="eastAsia" w:ascii="Times New Roman" w:hAnsi="Times New Roman" w:cs="Times New Roman"/>
                <w:sz w:val="21"/>
                <w:szCs w:val="21"/>
                <w:lang w:eastAsia="zh-CN"/>
              </w:rPr>
              <w:t>有机废气经管道汇集后通过</w:t>
            </w:r>
            <w:r>
              <w:rPr>
                <w:rFonts w:hint="eastAsia" w:cs="Times New Roman"/>
                <w:sz w:val="21"/>
                <w:szCs w:val="21"/>
                <w:lang w:val="en-US" w:eastAsia="zh-CN"/>
              </w:rPr>
              <w:t>UV光氧+</w:t>
            </w:r>
            <w:r>
              <w:rPr>
                <w:rFonts w:hint="eastAsia" w:ascii="Times New Roman" w:hAnsi="Times New Roman" w:cs="Times New Roman"/>
                <w:sz w:val="21"/>
                <w:szCs w:val="21"/>
                <w:lang w:eastAsia="zh-CN"/>
              </w:rPr>
              <w:t>活性炭吸附装置进行吸附净化（净化效率可达</w:t>
            </w:r>
            <w:r>
              <w:rPr>
                <w:rFonts w:hint="eastAsia" w:cs="Times New Roman"/>
                <w:sz w:val="21"/>
                <w:szCs w:val="21"/>
                <w:lang w:val="en-US" w:eastAsia="zh-CN"/>
              </w:rPr>
              <w:t>80</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eastAsia="zh-CN"/>
              </w:rPr>
              <w:t>），净化后的尾气通过</w:t>
            </w:r>
            <w:r>
              <w:rPr>
                <w:rFonts w:hint="eastAsia" w:ascii="Times New Roman" w:hAnsi="Times New Roman" w:cs="Times New Roman"/>
                <w:sz w:val="21"/>
                <w:szCs w:val="21"/>
                <w:lang w:val="en-US" w:eastAsia="zh-CN"/>
              </w:rPr>
              <w:t>15m高排气筒高空达标排放</w:t>
            </w:r>
          </w:p>
        </w:tc>
        <w:tc>
          <w:tcPr>
            <w:tcW w:w="1482" w:type="pct"/>
            <w:vMerge w:val="restart"/>
            <w:vAlign w:val="center"/>
          </w:tcPr>
          <w:p>
            <w:pPr>
              <w:adjustRightInd w:val="0"/>
              <w:snapToGrid w:val="0"/>
              <w:spacing w:line="240" w:lineRule="auto"/>
              <w:ind w:firstLine="0" w:firstLineChars="0"/>
              <w:jc w:val="left"/>
              <w:rPr>
                <w:rFonts w:hint="default" w:ascii="Times New Roman" w:hAnsi="Times New Roman" w:cs="Times New Roman"/>
                <w:sz w:val="21"/>
                <w:szCs w:val="21"/>
              </w:rPr>
            </w:pPr>
            <w:r>
              <w:rPr>
                <w:rFonts w:hint="eastAsia" w:ascii="Times New Roman" w:hAnsi="Times New Roman" w:cs="Times New Roman"/>
                <w:sz w:val="21"/>
                <w:szCs w:val="21"/>
                <w:highlight w:val="none"/>
                <w:lang w:eastAsia="zh-CN"/>
              </w:rPr>
              <w:t>本项目为聚氨酯封边岩棉夹芯板加工生产线项目，</w:t>
            </w:r>
            <w:r>
              <w:rPr>
                <w:rFonts w:hint="eastAsia" w:ascii="Times New Roman" w:hAnsi="Times New Roman" w:cs="Times New Roman"/>
                <w:sz w:val="21"/>
                <w:szCs w:val="21"/>
                <w:lang w:eastAsia="zh-CN"/>
              </w:rPr>
              <w:t>项目产生的有机废气（以</w:t>
            </w:r>
            <w:r>
              <w:rPr>
                <w:rFonts w:hint="eastAsia" w:ascii="Times New Roman" w:hAnsi="Times New Roman" w:cs="Times New Roman"/>
                <w:sz w:val="21"/>
                <w:szCs w:val="21"/>
                <w:lang w:val="en-US" w:eastAsia="zh-CN"/>
              </w:rPr>
              <w:t>VOCs计</w:t>
            </w:r>
            <w:r>
              <w:rPr>
                <w:rFonts w:hint="eastAsia" w:ascii="Times New Roman" w:hAnsi="Times New Roman" w:cs="Times New Roman"/>
                <w:sz w:val="21"/>
                <w:szCs w:val="21"/>
                <w:lang w:eastAsia="zh-CN"/>
              </w:rPr>
              <w:t>）执行</w:t>
            </w:r>
            <w:r>
              <w:rPr>
                <w:rFonts w:hint="default" w:ascii="Times New Roman" w:hAnsi="Times New Roman" w:cs="Times New Roman"/>
                <w:sz w:val="21"/>
                <w:szCs w:val="21"/>
              </w:rPr>
              <w:t>《合成树脂工业污染物排放标准》（GB31572-2015）表5中非甲烷总烃和颗粒物特别排放限值、表9中企业边界大气污染物浓度限值中非甲烷总烃和颗粒物排放限值和《挥发性有机物无组织排放控制标准》（GB37822-2019）附录A中表A.1厂区内VOCs无组织特别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2" w:type="pct"/>
            <w:vMerge w:val="continue"/>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869" w:type="pct"/>
            <w:vAlign w:val="center"/>
          </w:tcPr>
          <w:p>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排气筒</w:t>
            </w:r>
            <w:r>
              <w:rPr>
                <w:rFonts w:hint="eastAsia" w:cs="Times New Roman"/>
                <w:sz w:val="21"/>
                <w:szCs w:val="21"/>
                <w:highlight w:val="none"/>
                <w:lang w:val="en-US" w:eastAsia="zh-CN"/>
              </w:rPr>
              <w:t>P</w:t>
            </w:r>
            <w:r>
              <w:rPr>
                <w:rFonts w:hint="eastAsia" w:ascii="Times New Roman" w:hAnsi="Times New Roman" w:cs="Times New Roman"/>
                <w:sz w:val="21"/>
                <w:szCs w:val="21"/>
                <w:highlight w:val="none"/>
                <w:lang w:val="en-US" w:eastAsia="zh-CN"/>
              </w:rPr>
              <w:t>2</w:t>
            </w:r>
            <w:r>
              <w:rPr>
                <w:rFonts w:hint="eastAsia" w:ascii="Times New Roman" w:hAnsi="Times New Roman" w:cs="Times New Roman"/>
                <w:sz w:val="21"/>
                <w:szCs w:val="21"/>
                <w:highlight w:val="none"/>
                <w:lang w:eastAsia="zh-CN"/>
              </w:rPr>
              <w:t>：修整切割</w:t>
            </w:r>
          </w:p>
        </w:tc>
        <w:tc>
          <w:tcPr>
            <w:tcW w:w="803" w:type="pct"/>
            <w:vAlign w:val="center"/>
          </w:tcPr>
          <w:p>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eastAsia="zh-CN"/>
              </w:rPr>
            </w:pPr>
            <w:r>
              <w:rPr>
                <w:rFonts w:hint="eastAsia" w:ascii="Times New Roman" w:hAnsi="Times New Roman" w:cs="Times New Roman"/>
                <w:sz w:val="21"/>
                <w:szCs w:val="21"/>
                <w:highlight w:val="none"/>
                <w:lang w:eastAsia="zh-CN"/>
              </w:rPr>
              <w:t>颗粒物</w:t>
            </w:r>
          </w:p>
        </w:tc>
        <w:tc>
          <w:tcPr>
            <w:tcW w:w="1282" w:type="pct"/>
            <w:vAlign w:val="center"/>
          </w:tcPr>
          <w:p>
            <w:pPr>
              <w:adjustRightInd w:val="0"/>
              <w:snapToGrid w:val="0"/>
              <w:spacing w:line="240" w:lineRule="auto"/>
              <w:ind w:firstLine="0" w:firstLineChars="0"/>
              <w:jc w:val="left"/>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修整切割项目配套除尘风道和布袋除尘装置（</w:t>
            </w:r>
            <w:r>
              <w:rPr>
                <w:rFonts w:hint="eastAsia" w:cs="Times New Roman"/>
                <w:sz w:val="21"/>
                <w:szCs w:val="21"/>
                <w:highlight w:val="none"/>
                <w:lang w:val="en-US" w:eastAsia="zh-CN"/>
              </w:rPr>
              <w:t>收集</w:t>
            </w:r>
            <w:r>
              <w:rPr>
                <w:rFonts w:hint="eastAsia" w:ascii="Times New Roman" w:hAnsi="Times New Roman" w:cs="Times New Roman"/>
                <w:sz w:val="21"/>
                <w:szCs w:val="21"/>
                <w:highlight w:val="none"/>
                <w:lang w:val="en-US" w:eastAsia="zh-CN"/>
              </w:rPr>
              <w:t>效率按90%计）收集，经布袋除尘装置（</w:t>
            </w:r>
            <w:r>
              <w:rPr>
                <w:rFonts w:hint="eastAsia" w:cs="Times New Roman"/>
                <w:sz w:val="21"/>
                <w:szCs w:val="21"/>
                <w:highlight w:val="none"/>
                <w:lang w:val="en-US" w:eastAsia="zh-CN"/>
              </w:rPr>
              <w:t>去除</w:t>
            </w:r>
            <w:r>
              <w:rPr>
                <w:rFonts w:hint="eastAsia" w:ascii="Times New Roman" w:hAnsi="Times New Roman" w:cs="Times New Roman"/>
                <w:sz w:val="21"/>
                <w:szCs w:val="21"/>
                <w:highlight w:val="none"/>
                <w:lang w:val="en-US" w:eastAsia="zh-CN"/>
              </w:rPr>
              <w:t>效率可达9</w:t>
            </w:r>
            <w:r>
              <w:rPr>
                <w:rFonts w:hint="eastAsia" w:cs="Times New Roman"/>
                <w:sz w:val="21"/>
                <w:szCs w:val="21"/>
                <w:highlight w:val="none"/>
                <w:lang w:val="en-US" w:eastAsia="zh-CN"/>
              </w:rPr>
              <w:t>8</w:t>
            </w:r>
            <w:r>
              <w:rPr>
                <w:rFonts w:hint="eastAsia" w:ascii="Times New Roman" w:hAnsi="Times New Roman" w:cs="Times New Roman"/>
                <w:sz w:val="21"/>
                <w:szCs w:val="21"/>
                <w:highlight w:val="none"/>
                <w:lang w:val="en-US" w:eastAsia="zh-CN"/>
              </w:rPr>
              <w:t>%）净化后的颗粒物通过15m高排气筒高空排放</w:t>
            </w:r>
          </w:p>
        </w:tc>
        <w:tc>
          <w:tcPr>
            <w:tcW w:w="1482" w:type="pct"/>
            <w:vMerge w:val="continue"/>
            <w:vAlign w:val="center"/>
          </w:tcPr>
          <w:p>
            <w:pPr>
              <w:adjustRightInd w:val="0"/>
              <w:snapToGrid w:val="0"/>
              <w:spacing w:line="240" w:lineRule="auto"/>
              <w:ind w:firstLine="0" w:firstLineChars="0"/>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2" w:type="pct"/>
            <w:vMerge w:val="continue"/>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869" w:type="pct"/>
            <w:vAlign w:val="center"/>
          </w:tcPr>
          <w:p>
            <w:pPr>
              <w:adjustRightInd w:val="0"/>
              <w:snapToGrid w:val="0"/>
              <w:spacing w:line="240" w:lineRule="auto"/>
              <w:ind w:firstLine="0" w:firstLineChars="0"/>
              <w:jc w:val="center"/>
              <w:rPr>
                <w:rFonts w:hint="eastAsia" w:ascii="Times New Roman" w:hAnsi="Times New Roman" w:eastAsia="宋体" w:cs="Times New Roman"/>
                <w:sz w:val="21"/>
                <w:szCs w:val="21"/>
                <w:highlight w:val="none"/>
                <w:lang w:eastAsia="zh-CN"/>
              </w:rPr>
            </w:pPr>
            <w:r>
              <w:rPr>
                <w:rFonts w:hint="eastAsia" w:ascii="Times New Roman" w:hAnsi="Times New Roman" w:cs="Times New Roman"/>
                <w:sz w:val="21"/>
                <w:szCs w:val="21"/>
                <w:highlight w:val="none"/>
                <w:lang w:eastAsia="zh-CN"/>
              </w:rPr>
              <w:t>无组织废气</w:t>
            </w:r>
          </w:p>
        </w:tc>
        <w:tc>
          <w:tcPr>
            <w:tcW w:w="803" w:type="pct"/>
            <w:vAlign w:val="center"/>
          </w:tcPr>
          <w:p>
            <w:pPr>
              <w:adjustRightInd w:val="0"/>
              <w:snapToGrid w:val="0"/>
              <w:spacing w:line="240" w:lineRule="auto"/>
              <w:ind w:firstLine="0" w:firstLineChars="0"/>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VOCs、颗粒物</w:t>
            </w:r>
          </w:p>
        </w:tc>
        <w:tc>
          <w:tcPr>
            <w:tcW w:w="1282" w:type="pct"/>
            <w:vAlign w:val="center"/>
          </w:tcPr>
          <w:p>
            <w:pPr>
              <w:adjustRightInd w:val="0"/>
              <w:snapToGrid w:val="0"/>
              <w:spacing w:line="240" w:lineRule="auto"/>
              <w:ind w:firstLine="0" w:firstLineChars="0"/>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w:t>
            </w:r>
          </w:p>
        </w:tc>
        <w:tc>
          <w:tcPr>
            <w:tcW w:w="1482" w:type="pct"/>
            <w:vMerge w:val="continue"/>
            <w:vAlign w:val="center"/>
          </w:tcPr>
          <w:p>
            <w:pPr>
              <w:adjustRightInd w:val="0"/>
              <w:snapToGrid w:val="0"/>
              <w:spacing w:line="240" w:lineRule="auto"/>
              <w:ind w:firstLine="0" w:firstLineChars="0"/>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562"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地表水环境</w:t>
            </w:r>
          </w:p>
        </w:tc>
        <w:tc>
          <w:tcPr>
            <w:tcW w:w="869"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生活污水</w:t>
            </w:r>
          </w:p>
        </w:tc>
        <w:tc>
          <w:tcPr>
            <w:tcW w:w="803"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COD、BOD</w:t>
            </w:r>
            <w:r>
              <w:rPr>
                <w:rFonts w:hint="default" w:ascii="Times New Roman" w:hAnsi="Times New Roman" w:cs="Times New Roman"/>
                <w:sz w:val="21"/>
                <w:szCs w:val="21"/>
                <w:vertAlign w:val="subscript"/>
              </w:rPr>
              <w:t>5</w:t>
            </w:r>
            <w:r>
              <w:rPr>
                <w:rFonts w:hint="default" w:ascii="Times New Roman" w:hAnsi="Times New Roman" w:cs="Times New Roman"/>
                <w:sz w:val="21"/>
                <w:szCs w:val="21"/>
              </w:rPr>
              <w:t>、SS、NH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p>
        </w:tc>
        <w:tc>
          <w:tcPr>
            <w:tcW w:w="1282" w:type="pct"/>
            <w:vAlign w:val="center"/>
          </w:tcPr>
          <w:p>
            <w:pPr>
              <w:adjustRightInd w:val="0"/>
              <w:snapToGrid w:val="0"/>
              <w:spacing w:line="240" w:lineRule="auto"/>
              <w:ind w:firstLine="0" w:firstLineChars="0"/>
              <w:jc w:val="left"/>
              <w:rPr>
                <w:rFonts w:hint="default" w:ascii="Times New Roman" w:hAnsi="Times New Roman" w:eastAsia="宋体" w:cs="Times New Roman"/>
                <w:sz w:val="21"/>
                <w:szCs w:val="21"/>
                <w:lang w:eastAsia="zh-CN"/>
              </w:rPr>
            </w:pPr>
            <w:r>
              <w:rPr>
                <w:rFonts w:hint="eastAsia" w:cs="Times New Roman" w:eastAsiaTheme="minorEastAsia"/>
                <w:bCs/>
                <w:color w:val="000000"/>
                <w:sz w:val="21"/>
                <w:szCs w:val="21"/>
                <w:vertAlign w:val="baseline"/>
                <w:lang w:val="en-US" w:eastAsia="zh-CN"/>
              </w:rPr>
              <w:t>排入园区管网，最终排入昌吉高新区</w:t>
            </w:r>
            <w:r>
              <w:rPr>
                <w:rFonts w:hint="default" w:ascii="Times New Roman" w:hAnsi="Times New Roman" w:cs="Times New Roman" w:eastAsiaTheme="minorEastAsia"/>
                <w:bCs/>
                <w:color w:val="000000"/>
                <w:sz w:val="21"/>
                <w:szCs w:val="21"/>
                <w:vertAlign w:val="baseline"/>
                <w:lang w:val="en-US" w:eastAsia="zh-CN"/>
              </w:rPr>
              <w:t>污水管网统一处理</w:t>
            </w:r>
          </w:p>
        </w:tc>
        <w:tc>
          <w:tcPr>
            <w:tcW w:w="1482" w:type="pct"/>
            <w:vAlign w:val="center"/>
          </w:tcPr>
          <w:p>
            <w:pPr>
              <w:adjustRightInd w:val="0"/>
              <w:snapToGrid w:val="0"/>
              <w:spacing w:line="240" w:lineRule="auto"/>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《污水综合排放标准》（GB8978-1996）三级标准和《污水排入城镇下水道水质标准》（GB/T31962-2015）中NH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-N最高允许值中B级标准45mg/L的规定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声环境</w:t>
            </w:r>
          </w:p>
        </w:tc>
        <w:tc>
          <w:tcPr>
            <w:tcW w:w="869" w:type="pct"/>
            <w:vAlign w:val="center"/>
          </w:tcPr>
          <w:p>
            <w:pPr>
              <w:adjustRightInd w:val="0"/>
              <w:snapToGrid w:val="0"/>
              <w:spacing w:line="240" w:lineRule="auto"/>
              <w:ind w:firstLine="0" w:firstLineChars="0"/>
              <w:jc w:val="cente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设备</w:t>
            </w:r>
            <w:r>
              <w:rPr>
                <w:rFonts w:hint="eastAsia" w:ascii="Times New Roman" w:hAnsi="Times New Roman" w:cs="Times New Roman"/>
                <w:sz w:val="21"/>
                <w:szCs w:val="21"/>
                <w:lang w:eastAsia="zh-CN"/>
              </w:rPr>
              <w:t>运行</w:t>
            </w:r>
          </w:p>
        </w:tc>
        <w:tc>
          <w:tcPr>
            <w:tcW w:w="803" w:type="pct"/>
            <w:vAlign w:val="center"/>
          </w:tcPr>
          <w:p>
            <w:pPr>
              <w:adjustRightInd w:val="0"/>
              <w:snapToGrid w:val="0"/>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噪声</w:t>
            </w:r>
          </w:p>
        </w:tc>
        <w:tc>
          <w:tcPr>
            <w:tcW w:w="1282" w:type="pct"/>
            <w:vAlign w:val="center"/>
          </w:tcPr>
          <w:p>
            <w:pPr>
              <w:adjustRightInd w:val="0"/>
              <w:snapToGrid w:val="0"/>
              <w:spacing w:line="240" w:lineRule="auto"/>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基础减震，厂房隔声、距离衰减</w:t>
            </w:r>
          </w:p>
        </w:tc>
        <w:tc>
          <w:tcPr>
            <w:tcW w:w="1482" w:type="pct"/>
            <w:vAlign w:val="center"/>
          </w:tcPr>
          <w:p>
            <w:pPr>
              <w:adjustRightInd w:val="0"/>
              <w:snapToGrid w:val="0"/>
              <w:spacing w:line="240" w:lineRule="auto"/>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《工业企业厂界环境噪声排放标准》(GB12348-2008）中3类标准：昼间≤65dB(A)，夜间不生产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62"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电磁</w:t>
            </w:r>
          </w:p>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辐射</w:t>
            </w:r>
          </w:p>
        </w:tc>
        <w:tc>
          <w:tcPr>
            <w:tcW w:w="4437" w:type="pct"/>
            <w:gridSpan w:val="4"/>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62" w:type="pct"/>
            <w:vMerge w:val="restar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固体</w:t>
            </w:r>
          </w:p>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废物</w:t>
            </w:r>
          </w:p>
        </w:tc>
        <w:tc>
          <w:tcPr>
            <w:tcW w:w="869"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废原材料包装袋</w:t>
            </w:r>
          </w:p>
        </w:tc>
        <w:tc>
          <w:tcPr>
            <w:tcW w:w="803"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废原材料包装袋</w:t>
            </w:r>
          </w:p>
        </w:tc>
        <w:tc>
          <w:tcPr>
            <w:tcW w:w="1282" w:type="pct"/>
            <w:vMerge w:val="restart"/>
            <w:vAlign w:val="center"/>
          </w:tcPr>
          <w:p>
            <w:pPr>
              <w:adjustRightInd w:val="0"/>
              <w:snapToGrid w:val="0"/>
              <w:spacing w:line="240" w:lineRule="auto"/>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设置1个固废暂存间，分类收集，定期综合外销</w:t>
            </w:r>
          </w:p>
        </w:tc>
        <w:tc>
          <w:tcPr>
            <w:tcW w:w="1482" w:type="pct"/>
            <w:vMerge w:val="restart"/>
            <w:vAlign w:val="center"/>
          </w:tcPr>
          <w:p>
            <w:pPr>
              <w:adjustRightInd w:val="0"/>
              <w:snapToGrid w:val="0"/>
              <w:spacing w:line="240" w:lineRule="auto"/>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满足《一般工业固体废物贮存和填埋污染控制标准》（GB18599-2020）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pct"/>
            <w:vMerge w:val="continue"/>
            <w:vAlign w:val="center"/>
          </w:tcPr>
          <w:p>
            <w:pPr>
              <w:adjustRightInd w:val="0"/>
              <w:snapToGrid w:val="0"/>
              <w:spacing w:line="240" w:lineRule="auto"/>
              <w:ind w:firstLine="480"/>
              <w:jc w:val="center"/>
              <w:rPr>
                <w:rFonts w:hint="default" w:ascii="Times New Roman" w:hAnsi="Times New Roman" w:cs="Times New Roman"/>
                <w:sz w:val="21"/>
                <w:szCs w:val="21"/>
              </w:rPr>
            </w:pPr>
          </w:p>
        </w:tc>
        <w:tc>
          <w:tcPr>
            <w:tcW w:w="869" w:type="pct"/>
            <w:vAlign w:val="center"/>
          </w:tcPr>
          <w:p>
            <w:pPr>
              <w:adjustRightInd w:val="0"/>
              <w:snapToGrid w:val="0"/>
              <w:spacing w:line="240" w:lineRule="auto"/>
              <w:ind w:firstLine="0" w:firstLineChars="0"/>
              <w:jc w:val="center"/>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lang w:eastAsia="zh-CN"/>
              </w:rPr>
              <w:t>布袋除尘</w:t>
            </w:r>
          </w:p>
        </w:tc>
        <w:tc>
          <w:tcPr>
            <w:tcW w:w="803" w:type="pct"/>
            <w:vAlign w:val="center"/>
          </w:tcPr>
          <w:p>
            <w:pPr>
              <w:adjustRightInd w:val="0"/>
              <w:snapToGrid w:val="0"/>
              <w:spacing w:line="240" w:lineRule="auto"/>
              <w:ind w:firstLine="0" w:firstLineChars="0"/>
              <w:jc w:val="center"/>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颗粒物</w:t>
            </w:r>
          </w:p>
        </w:tc>
        <w:tc>
          <w:tcPr>
            <w:tcW w:w="1282" w:type="pct"/>
            <w:vMerge w:val="continue"/>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1482" w:type="pct"/>
            <w:vMerge w:val="continue"/>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2" w:type="pct"/>
            <w:vMerge w:val="continue"/>
            <w:vAlign w:val="center"/>
          </w:tcPr>
          <w:p>
            <w:pPr>
              <w:adjustRightInd w:val="0"/>
              <w:snapToGrid w:val="0"/>
              <w:spacing w:line="240" w:lineRule="auto"/>
              <w:ind w:firstLine="480"/>
              <w:jc w:val="center"/>
              <w:rPr>
                <w:rFonts w:hint="default" w:ascii="Times New Roman" w:hAnsi="Times New Roman" w:cs="Times New Roman"/>
                <w:sz w:val="21"/>
                <w:szCs w:val="21"/>
              </w:rPr>
            </w:pPr>
          </w:p>
        </w:tc>
        <w:tc>
          <w:tcPr>
            <w:tcW w:w="869"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裁剪机</w:t>
            </w:r>
          </w:p>
        </w:tc>
        <w:tc>
          <w:tcPr>
            <w:tcW w:w="803"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残次品</w:t>
            </w:r>
          </w:p>
        </w:tc>
        <w:tc>
          <w:tcPr>
            <w:tcW w:w="1282" w:type="pct"/>
            <w:vMerge w:val="continue"/>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1482" w:type="pct"/>
            <w:vMerge w:val="continue"/>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562" w:type="pct"/>
            <w:vMerge w:val="continue"/>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869"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设备维修、维护</w:t>
            </w:r>
          </w:p>
        </w:tc>
        <w:tc>
          <w:tcPr>
            <w:tcW w:w="803"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废活性炭、废弃灯管</w:t>
            </w:r>
          </w:p>
        </w:tc>
        <w:tc>
          <w:tcPr>
            <w:tcW w:w="1282" w:type="pct"/>
            <w:vAlign w:val="center"/>
          </w:tcPr>
          <w:p>
            <w:pPr>
              <w:adjustRightInd w:val="0"/>
              <w:snapToGrid w:val="0"/>
              <w:spacing w:line="240" w:lineRule="auto"/>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设置1个危废暂存间，危险废物收集后，在危废暂存间内分开存放，定期交危废资质单位处理。危废暂存间应按要求采取“四防”措施。</w:t>
            </w:r>
          </w:p>
        </w:tc>
        <w:tc>
          <w:tcPr>
            <w:tcW w:w="1482" w:type="pct"/>
            <w:vAlign w:val="center"/>
          </w:tcPr>
          <w:p>
            <w:pPr>
              <w:adjustRightInd w:val="0"/>
              <w:snapToGrid w:val="0"/>
              <w:spacing w:line="240" w:lineRule="auto"/>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满足《危险废物贮存污染控制标准》（GB 18597-2001），检查统计表（详细记录台账）及危废转移联单记录，实现厂区危险废物100%交由有资质的单位进行处理。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62" w:type="pct"/>
            <w:vMerge w:val="continue"/>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869"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职工生活</w:t>
            </w:r>
          </w:p>
        </w:tc>
        <w:tc>
          <w:tcPr>
            <w:tcW w:w="803"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生活垃圾</w:t>
            </w:r>
          </w:p>
        </w:tc>
        <w:tc>
          <w:tcPr>
            <w:tcW w:w="1282" w:type="pct"/>
            <w:vAlign w:val="center"/>
          </w:tcPr>
          <w:p>
            <w:pPr>
              <w:adjustRightInd w:val="0"/>
              <w:snapToGrid w:val="0"/>
              <w:spacing w:line="240" w:lineRule="auto"/>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生活垃圾集中收集在园区垃圾设施中，由环卫部门统一处理。</w:t>
            </w:r>
          </w:p>
        </w:tc>
        <w:tc>
          <w:tcPr>
            <w:tcW w:w="1482" w:type="pct"/>
            <w:vAlign w:val="center"/>
          </w:tcPr>
          <w:p>
            <w:pPr>
              <w:adjustRightInd w:val="0"/>
              <w:snapToGrid w:val="0"/>
              <w:spacing w:line="240" w:lineRule="auto"/>
              <w:ind w:firstLine="0" w:firstLineChars="0"/>
              <w:jc w:val="left"/>
              <w:rPr>
                <w:rFonts w:hint="default" w:ascii="Times New Roman" w:hAnsi="Times New Roman" w:cs="Times New Roman"/>
                <w:sz w:val="21"/>
                <w:szCs w:val="21"/>
              </w:rPr>
            </w:pPr>
            <w:r>
              <w:rPr>
                <w:rFonts w:hint="eastAsia"/>
                <w:sz w:val="21"/>
                <w:szCs w:val="21"/>
              </w:rPr>
              <w:t>《城市生活垃圾管理办法》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62"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土壤及地下水污染防治措施</w:t>
            </w:r>
          </w:p>
        </w:tc>
        <w:tc>
          <w:tcPr>
            <w:tcW w:w="4437" w:type="pct"/>
            <w:gridSpan w:val="4"/>
            <w:vAlign w:val="center"/>
          </w:tcPr>
          <w:p>
            <w:pPr>
              <w:numPr>
                <w:ilvl w:val="0"/>
                <w:numId w:val="0"/>
              </w:numPr>
              <w:adjustRightInd w:val="0"/>
              <w:snapToGrid w:val="0"/>
              <w:spacing w:line="240" w:lineRule="auto"/>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2" w:type="pct"/>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生态保护措施</w:t>
            </w:r>
          </w:p>
        </w:tc>
        <w:tc>
          <w:tcPr>
            <w:tcW w:w="4437" w:type="pct"/>
            <w:gridSpan w:val="4"/>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62" w:type="pct"/>
            <w:vAlign w:val="center"/>
          </w:tcPr>
          <w:p>
            <w:pPr>
              <w:adjustRightInd w:val="0"/>
              <w:snapToGrid w:val="0"/>
              <w:spacing w:line="240" w:lineRule="auto"/>
              <w:ind w:firstLine="0" w:firstLineChars="0"/>
              <w:jc w:val="center"/>
              <w:rPr>
                <w:rFonts w:hint="default" w:ascii="Times New Roman" w:hAnsi="Times New Roman" w:cs="Times New Roman"/>
                <w:spacing w:val="-8"/>
                <w:sz w:val="21"/>
                <w:szCs w:val="21"/>
              </w:rPr>
            </w:pPr>
            <w:r>
              <w:rPr>
                <w:rFonts w:hint="default" w:ascii="Times New Roman" w:hAnsi="Times New Roman" w:cs="Times New Roman"/>
                <w:spacing w:val="-8"/>
                <w:sz w:val="21"/>
                <w:szCs w:val="21"/>
              </w:rPr>
              <w:t>环境风险</w:t>
            </w:r>
          </w:p>
          <w:p>
            <w:pPr>
              <w:adjustRightInd w:val="0"/>
              <w:snapToGrid w:val="0"/>
              <w:spacing w:line="240" w:lineRule="auto"/>
              <w:ind w:firstLine="0" w:firstLineChars="0"/>
              <w:jc w:val="center"/>
              <w:rPr>
                <w:rFonts w:hint="default" w:ascii="Times New Roman" w:hAnsi="Times New Roman" w:cs="Times New Roman"/>
                <w:spacing w:val="-8"/>
                <w:sz w:val="21"/>
                <w:szCs w:val="21"/>
              </w:rPr>
            </w:pPr>
            <w:r>
              <w:rPr>
                <w:rFonts w:hint="default" w:ascii="Times New Roman" w:hAnsi="Times New Roman" w:cs="Times New Roman"/>
                <w:spacing w:val="-8"/>
                <w:sz w:val="21"/>
                <w:szCs w:val="21"/>
              </w:rPr>
              <w:t>防范措施</w:t>
            </w:r>
          </w:p>
        </w:tc>
        <w:tc>
          <w:tcPr>
            <w:tcW w:w="4437" w:type="pct"/>
            <w:gridSpan w:val="4"/>
            <w:vAlign w:val="center"/>
          </w:tcPr>
          <w:p>
            <w:pPr>
              <w:spacing w:line="240" w:lineRule="auto"/>
              <w:ind w:firstLine="480"/>
              <w:jc w:val="left"/>
              <w:rPr>
                <w:rFonts w:hint="default" w:ascii="Times New Roman" w:hAnsi="Times New Roman" w:cs="Times New Roman"/>
                <w:sz w:val="21"/>
                <w:szCs w:val="21"/>
              </w:rPr>
            </w:pPr>
            <w:r>
              <w:rPr>
                <w:rFonts w:hint="default" w:ascii="Times New Roman" w:hAnsi="Times New Roman" w:cs="Times New Roman"/>
                <w:sz w:val="21"/>
                <w:szCs w:val="21"/>
              </w:rPr>
              <w:t>（1）建立完善的安全生产管理制度和消防安全规定，制定设备操作规程并严格遵照执行；</w:t>
            </w:r>
          </w:p>
          <w:p>
            <w:pPr>
              <w:spacing w:line="240" w:lineRule="auto"/>
              <w:ind w:firstLine="480"/>
              <w:jc w:val="left"/>
              <w:rPr>
                <w:rFonts w:hint="default" w:ascii="Times New Roman" w:hAnsi="Times New Roman" w:cs="Times New Roman"/>
                <w:sz w:val="21"/>
                <w:szCs w:val="21"/>
              </w:rPr>
            </w:pPr>
            <w:r>
              <w:rPr>
                <w:rFonts w:hint="default" w:ascii="Times New Roman" w:hAnsi="Times New Roman" w:cs="Times New Roman"/>
                <w:sz w:val="21"/>
                <w:szCs w:val="21"/>
              </w:rPr>
              <w:t>（2）生产车间等应按照《建筑设计防火规范》等文件的要求设置消防给水和灭火设施、火灾探测及火灾报警系统。生产车间、库房配备灭火器、消防栓等消防器材；</w:t>
            </w:r>
          </w:p>
          <w:p>
            <w:pPr>
              <w:spacing w:line="240" w:lineRule="auto"/>
              <w:ind w:firstLine="480"/>
              <w:jc w:val="left"/>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（3）在有较大危险因素的有关设施、设备上，如压力容器、变压器等处均应设置明显的安全警示标志</w:t>
            </w:r>
            <w:r>
              <w:rPr>
                <w:rFonts w:hint="eastAsia" w:cs="Times New Roman"/>
                <w:sz w:val="21"/>
                <w:szCs w:val="21"/>
                <w:lang w:eastAsia="zh-CN"/>
              </w:rPr>
              <w:t>；</w:t>
            </w:r>
          </w:p>
          <w:p>
            <w:pPr>
              <w:spacing w:line="240" w:lineRule="auto"/>
              <w:ind w:firstLine="480"/>
              <w:jc w:val="left"/>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（4）生产区域应加强管理，避免和及时消除各种激发能源的产生和积累，杜绝火种及违章违纪现象，进入车辆必须装阻火器</w:t>
            </w:r>
            <w:r>
              <w:rPr>
                <w:rFonts w:hint="eastAsia" w:cs="Times New Roman"/>
                <w:sz w:val="21"/>
                <w:szCs w:val="21"/>
                <w:lang w:eastAsia="zh-CN"/>
              </w:rPr>
              <w:t>；</w:t>
            </w:r>
          </w:p>
          <w:p>
            <w:pPr>
              <w:spacing w:line="240" w:lineRule="auto"/>
              <w:ind w:firstLine="480"/>
              <w:jc w:val="left"/>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（5）加强员工的思想、道德教育，提高员工的责任心和主观能动性</w:t>
            </w:r>
            <w:r>
              <w:rPr>
                <w:rFonts w:hint="eastAsia" w:cs="Times New Roman"/>
                <w:sz w:val="21"/>
                <w:szCs w:val="21"/>
                <w:lang w:eastAsia="zh-CN"/>
              </w:rPr>
              <w:t>；</w:t>
            </w:r>
            <w:r>
              <w:rPr>
                <w:rFonts w:hint="default" w:ascii="Times New Roman" w:hAnsi="Times New Roman" w:cs="Times New Roman"/>
                <w:sz w:val="21"/>
                <w:szCs w:val="21"/>
              </w:rPr>
              <w:t>完善并严格遵守相关的操作规程，加强岗位培训，落实岗位责任制，加强设备管理</w:t>
            </w:r>
            <w:r>
              <w:rPr>
                <w:rFonts w:hint="eastAsia" w:cs="Times New Roman"/>
                <w:sz w:val="21"/>
                <w:szCs w:val="21"/>
                <w:lang w:eastAsia="zh-CN"/>
              </w:rPr>
              <w:t>；</w:t>
            </w:r>
          </w:p>
          <w:p>
            <w:pPr>
              <w:spacing w:line="240" w:lineRule="auto"/>
              <w:ind w:firstLine="480"/>
              <w:jc w:val="left"/>
              <w:rPr>
                <w:rFonts w:hint="default" w:ascii="Times New Roman" w:hAnsi="Times New Roman" w:cs="Times New Roman"/>
                <w:sz w:val="21"/>
                <w:szCs w:val="21"/>
              </w:rPr>
            </w:pPr>
            <w:r>
              <w:rPr>
                <w:rFonts w:hint="default" w:ascii="Times New Roman" w:hAnsi="Times New Roman" w:cs="Times New Roman"/>
                <w:sz w:val="21"/>
                <w:szCs w:val="21"/>
              </w:rPr>
              <w:t>（6）加强事故管理，在生产过程中注意对其它单位相关事故的研究，充分吸取经验和教训。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62" w:type="pct"/>
            <w:vAlign w:val="center"/>
          </w:tcPr>
          <w:p>
            <w:pPr>
              <w:adjustRightInd w:val="0"/>
              <w:snapToGrid w:val="0"/>
              <w:spacing w:line="240" w:lineRule="auto"/>
              <w:ind w:firstLine="0" w:firstLineChars="0"/>
              <w:jc w:val="center"/>
              <w:rPr>
                <w:rFonts w:hint="default" w:ascii="Times New Roman" w:hAnsi="Times New Roman" w:cs="Times New Roman"/>
                <w:spacing w:val="-8"/>
                <w:sz w:val="21"/>
                <w:szCs w:val="21"/>
              </w:rPr>
            </w:pPr>
            <w:r>
              <w:rPr>
                <w:rFonts w:hint="default" w:ascii="Times New Roman" w:hAnsi="Times New Roman" w:cs="Times New Roman"/>
                <w:spacing w:val="-8"/>
                <w:sz w:val="21"/>
                <w:szCs w:val="21"/>
              </w:rPr>
              <w:t>其他环境</w:t>
            </w:r>
          </w:p>
          <w:p>
            <w:pPr>
              <w:adjustRightInd w:val="0"/>
              <w:snapToGrid w:val="0"/>
              <w:spacing w:line="240" w:lineRule="auto"/>
              <w:ind w:firstLine="0" w:firstLineChars="0"/>
              <w:jc w:val="center"/>
              <w:rPr>
                <w:rFonts w:hint="default" w:ascii="Times New Roman" w:hAnsi="Times New Roman" w:cs="Times New Roman"/>
                <w:spacing w:val="-8"/>
                <w:sz w:val="21"/>
                <w:szCs w:val="21"/>
              </w:rPr>
            </w:pPr>
            <w:r>
              <w:rPr>
                <w:rFonts w:hint="default" w:ascii="Times New Roman" w:hAnsi="Times New Roman" w:cs="Times New Roman"/>
                <w:spacing w:val="-8"/>
                <w:sz w:val="21"/>
                <w:szCs w:val="21"/>
              </w:rPr>
              <w:t>管理要求</w:t>
            </w:r>
          </w:p>
        </w:tc>
        <w:tc>
          <w:tcPr>
            <w:tcW w:w="4437" w:type="pct"/>
            <w:gridSpan w:val="4"/>
            <w:vAlign w:val="center"/>
          </w:tcPr>
          <w:p>
            <w:pPr>
              <w:spacing w:line="240" w:lineRule="auto"/>
              <w:ind w:firstLine="480"/>
              <w:jc w:val="left"/>
              <w:rPr>
                <w:rFonts w:hint="default" w:ascii="Times New Roman" w:hAnsi="Times New Roman" w:cs="Times New Roman"/>
                <w:sz w:val="21"/>
                <w:szCs w:val="21"/>
              </w:rPr>
            </w:pPr>
            <w:r>
              <w:rPr>
                <w:rFonts w:hint="default" w:ascii="Times New Roman" w:hAnsi="Times New Roman" w:cs="Times New Roman"/>
                <w:sz w:val="21"/>
                <w:szCs w:val="21"/>
              </w:rPr>
              <w:t>根据国务院令第682号《建设项目环境保护管理条例》（2017年修订），编制环境影响报告书、环境影响报告表的建设项目竣工后，建设单位应当按照国务院环境保护行政主管部门规定的标准和程序，对配套建设的环境保护设施进行验收，编制竣工验收报告，除按照国家规定需要保密的情形外，建设单位应依法向社会公开竣工验收报告和竣工验收意见；配套建设的环境保护设施经验收合格，方可投入生产或者使用。</w:t>
            </w:r>
          </w:p>
          <w:p>
            <w:pPr>
              <w:spacing w:line="240" w:lineRule="auto"/>
              <w:ind w:firstLine="480"/>
              <w:jc w:val="left"/>
              <w:rPr>
                <w:rFonts w:hint="default" w:ascii="Times New Roman" w:hAnsi="Times New Roman" w:cs="Times New Roman"/>
                <w:sz w:val="21"/>
                <w:szCs w:val="21"/>
              </w:rPr>
            </w:pPr>
            <w:r>
              <w:rPr>
                <w:rFonts w:hint="default" w:ascii="Times New Roman" w:hAnsi="Times New Roman" w:cs="Times New Roman"/>
                <w:sz w:val="21"/>
                <w:szCs w:val="21"/>
              </w:rPr>
              <w:t>本项目竣工环保验收内容及要求按本节环境保护措施监督检查清单验收。</w:t>
            </w:r>
          </w:p>
        </w:tc>
      </w:tr>
    </w:tbl>
    <w:p>
      <w:pPr>
        <w:pStyle w:val="15"/>
        <w:spacing w:line="240" w:lineRule="auto"/>
        <w:ind w:firstLine="0" w:firstLineChars="0"/>
        <w:jc w:val="center"/>
        <w:outlineLvl w:val="0"/>
        <w:rPr>
          <w:rFonts w:ascii="Times New Roman" w:hAnsi="Times New Roman" w:eastAsia="黑体"/>
          <w:snapToGrid w:val="0"/>
          <w:sz w:val="30"/>
          <w:szCs w:val="30"/>
        </w:rPr>
      </w:pPr>
      <w:r>
        <w:rPr>
          <w:rFonts w:ascii="Times New Roman" w:hAnsi="Times New Roman"/>
          <w:snapToGrid w:val="0"/>
        </w:rPr>
        <w:br w:type="page"/>
      </w:r>
      <w:r>
        <w:rPr>
          <w:rFonts w:hint="eastAsia" w:ascii="Times New Roman" w:hAnsi="Times New Roman" w:eastAsia="黑体"/>
          <w:snapToGrid w:val="0"/>
          <w:sz w:val="30"/>
          <w:szCs w:val="30"/>
        </w:rPr>
        <w:t>六、结论</w:t>
      </w:r>
    </w:p>
    <w:tbl>
      <w:tblPr>
        <w:tblStyle w:val="18"/>
        <w:tblpPr w:leftFromText="180" w:rightFromText="180" w:vertAnchor="text" w:horzAnchor="margin" w:tblpY="25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47" w:hRule="atLeast"/>
        </w:trPr>
        <w:tc>
          <w:tcPr>
            <w:tcW w:w="8865" w:type="dxa"/>
          </w:tcPr>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eastAsia="宋体"/>
                <w:lang w:eastAsia="zh-CN"/>
              </w:rPr>
            </w:pPr>
            <w:r>
              <w:rPr>
                <w:rFonts w:hint="eastAsia"/>
                <w:lang w:eastAsia="zh-CN"/>
              </w:rPr>
              <w:t>项目建设符合国家产业政策，选址合理，污染治理措施可行。项目产生的废气、废水、噪声、固体废物在采取妥善的污染防治措施后，可以达标排放，对环境影响较小。在严格执行环保“三同时”制度的基础上，在各种污染防治措施落实的条件下，各项污染物达标排放，其对周围环境的影响可满足环境保护的要求。因此，从环保的角度分析，本项目的建设是可行的。</w:t>
            </w:r>
          </w:p>
        </w:tc>
      </w:tr>
    </w:tbl>
    <w:p>
      <w:pPr>
        <w:pStyle w:val="15"/>
        <w:ind w:firstLine="0" w:firstLineChars="0"/>
        <w:jc w:val="center"/>
        <w:outlineLvl w:val="0"/>
        <w:rPr>
          <w:rFonts w:ascii="Times New Roman" w:hAnsi="Times New Roman" w:eastAsia="黑体"/>
          <w:snapToGrid w:val="0"/>
          <w:sz w:val="30"/>
          <w:szCs w:val="30"/>
        </w:rPr>
      </w:pPr>
    </w:p>
    <w:p>
      <w:pPr>
        <w:ind w:firstLine="480"/>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5"/>
        <w:adjustRightInd w:val="0"/>
        <w:snapToGrid w:val="0"/>
        <w:spacing w:before="0" w:beforeAutospacing="0" w:after="0" w:afterAutospacing="0" w:line="648" w:lineRule="auto"/>
        <w:ind w:firstLine="0" w:firstLineChars="0"/>
        <w:outlineLvl w:val="0"/>
        <w:rPr>
          <w:rFonts w:ascii="Times New Roman" w:hAnsi="Times New Roman" w:eastAsia="黑体"/>
          <w:snapToGrid w:val="0"/>
          <w:sz w:val="32"/>
          <w:szCs w:val="32"/>
        </w:rPr>
      </w:pPr>
      <w:r>
        <w:rPr>
          <w:rFonts w:hint="eastAsia" w:ascii="Times New Roman" w:hAnsi="Times New Roman" w:eastAsia="黑体"/>
          <w:snapToGrid w:val="0"/>
          <w:sz w:val="32"/>
          <w:szCs w:val="32"/>
        </w:rPr>
        <w:t>附表</w:t>
      </w:r>
    </w:p>
    <w:p>
      <w:pPr>
        <w:pStyle w:val="15"/>
        <w:adjustRightInd w:val="0"/>
        <w:snapToGrid w:val="0"/>
        <w:spacing w:before="0" w:beforeAutospacing="0" w:after="0" w:afterAutospacing="0" w:line="552" w:lineRule="auto"/>
        <w:ind w:firstLine="0" w:firstLineChars="0"/>
        <w:jc w:val="center"/>
        <w:outlineLvl w:val="0"/>
        <w:rPr>
          <w:rFonts w:ascii="Times New Roman" w:hAnsi="Times New Roman" w:eastAsia="方正小标宋_GBK"/>
          <w:snapToGrid w:val="0"/>
          <w:sz w:val="38"/>
          <w:szCs w:val="38"/>
        </w:rPr>
      </w:pPr>
      <w:r>
        <w:rPr>
          <w:rFonts w:hint="eastAsia" w:ascii="Times New Roman" w:hAnsi="Times New Roman" w:eastAsia="方正小标宋_GBK"/>
          <w:snapToGrid w:val="0"/>
          <w:sz w:val="38"/>
          <w:szCs w:val="38"/>
        </w:rPr>
        <w:t>建设项目污染物排放量汇总表</w:t>
      </w:r>
    </w:p>
    <w:tbl>
      <w:tblPr>
        <w:tblStyle w:val="18"/>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1331"/>
        <w:gridCol w:w="1609"/>
        <w:gridCol w:w="1193"/>
        <w:gridCol w:w="1609"/>
        <w:gridCol w:w="1472"/>
        <w:gridCol w:w="1671"/>
        <w:gridCol w:w="1866"/>
        <w:gridCol w:w="12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55" w:type="pct"/>
            <w:tcBorders>
              <w:tl2br w:val="single" w:color="auto" w:sz="4" w:space="0"/>
            </w:tcBorders>
            <w:tcMar>
              <w:left w:w="28" w:type="dxa"/>
              <w:right w:w="28" w:type="dxa"/>
            </w:tcMar>
            <w:vAlign w:val="center"/>
          </w:tcPr>
          <w:p>
            <w:pPr>
              <w:pStyle w:val="39"/>
              <w:spacing w:beforeLines="0" w:afterLines="0" w:line="240" w:lineRule="auto"/>
              <w:ind w:firstLine="0" w:firstLineChars="0"/>
              <w:jc w:val="right"/>
              <w:rPr>
                <w:rFonts w:ascii="Times New Roman" w:eastAsia="黑体" w:cs="宋体"/>
                <w:snapToGrid w:val="0"/>
                <w:spacing w:val="-6"/>
                <w:kern w:val="21"/>
                <w:szCs w:val="21"/>
              </w:rPr>
            </w:pPr>
            <w:r>
              <w:rPr>
                <w:rFonts w:hint="eastAsia" w:ascii="Times New Roman" w:eastAsia="黑体" w:cs="宋体"/>
                <w:snapToGrid w:val="0"/>
                <w:spacing w:val="-6"/>
                <w:kern w:val="21"/>
                <w:szCs w:val="21"/>
              </w:rPr>
              <w:t>项目</w:t>
            </w:r>
          </w:p>
          <w:p>
            <w:pPr>
              <w:pStyle w:val="39"/>
              <w:spacing w:beforeLines="0" w:afterLines="0" w:line="240" w:lineRule="auto"/>
              <w:ind w:firstLine="0" w:firstLineChars="0"/>
              <w:jc w:val="left"/>
              <w:rPr>
                <w:rFonts w:ascii="Times New Roman" w:eastAsia="黑体" w:cs="宋体"/>
                <w:snapToGrid w:val="0"/>
                <w:spacing w:val="-6"/>
                <w:kern w:val="21"/>
                <w:szCs w:val="21"/>
              </w:rPr>
            </w:pPr>
            <w:r>
              <w:rPr>
                <w:rFonts w:hint="eastAsia" w:ascii="Times New Roman" w:eastAsia="黑体" w:cs="宋体"/>
                <w:snapToGrid w:val="0"/>
                <w:spacing w:val="-6"/>
                <w:kern w:val="21"/>
                <w:szCs w:val="21"/>
              </w:rPr>
              <w:t>分类</w:t>
            </w:r>
          </w:p>
        </w:tc>
        <w:tc>
          <w:tcPr>
            <w:tcW w:w="493" w:type="pct"/>
            <w:tcMar>
              <w:left w:w="28" w:type="dxa"/>
              <w:right w:w="28" w:type="dxa"/>
            </w:tcMar>
            <w:vAlign w:val="center"/>
          </w:tcPr>
          <w:p>
            <w:pPr>
              <w:pStyle w:val="39"/>
              <w:spacing w:beforeLines="0" w:afterLines="0" w:line="240" w:lineRule="auto"/>
              <w:ind w:firstLine="0" w:firstLineChars="0"/>
              <w:rPr>
                <w:rFonts w:ascii="Times New Roman" w:eastAsia="黑体" w:cs="宋体"/>
                <w:snapToGrid w:val="0"/>
                <w:spacing w:val="-6"/>
                <w:kern w:val="21"/>
                <w:szCs w:val="21"/>
              </w:rPr>
            </w:pPr>
            <w:r>
              <w:rPr>
                <w:rFonts w:hint="eastAsia" w:ascii="Times New Roman" w:eastAsia="黑体" w:cs="宋体"/>
                <w:snapToGrid w:val="0"/>
                <w:spacing w:val="-6"/>
                <w:kern w:val="21"/>
                <w:szCs w:val="21"/>
              </w:rPr>
              <w:t>污染物名称</w:t>
            </w:r>
          </w:p>
        </w:tc>
        <w:tc>
          <w:tcPr>
            <w:tcW w:w="596" w:type="pct"/>
            <w:tcMar>
              <w:left w:w="28" w:type="dxa"/>
              <w:right w:w="28" w:type="dxa"/>
            </w:tcMar>
            <w:vAlign w:val="center"/>
          </w:tcPr>
          <w:p>
            <w:pPr>
              <w:pStyle w:val="39"/>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现有工程</w:t>
            </w:r>
          </w:p>
          <w:p>
            <w:pPr>
              <w:pStyle w:val="39"/>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排放量（固</w:t>
            </w:r>
            <w:r>
              <w:rPr>
                <w:rFonts w:hint="eastAsia" w:ascii="Times New Roman" w:eastAsia="黑体"/>
                <w:snapToGrid w:val="0"/>
                <w:spacing w:val="-6"/>
                <w:kern w:val="21"/>
                <w:szCs w:val="21"/>
              </w:rPr>
              <w:t>体</w:t>
            </w:r>
            <w:r>
              <w:rPr>
                <w:rFonts w:ascii="Times New Roman" w:eastAsia="黑体"/>
                <w:snapToGrid w:val="0"/>
                <w:spacing w:val="-6"/>
                <w:kern w:val="21"/>
                <w:szCs w:val="21"/>
              </w:rPr>
              <w:t>废</w:t>
            </w:r>
            <w:r>
              <w:rPr>
                <w:rFonts w:hint="eastAsia" w:ascii="Times New Roman" w:eastAsia="黑体"/>
                <w:snapToGrid w:val="0"/>
                <w:spacing w:val="-6"/>
                <w:kern w:val="21"/>
                <w:szCs w:val="21"/>
              </w:rPr>
              <w:t>物</w:t>
            </w:r>
            <w:r>
              <w:rPr>
                <w:rFonts w:ascii="Times New Roman" w:eastAsia="黑体"/>
                <w:snapToGrid w:val="0"/>
                <w:spacing w:val="-6"/>
                <w:kern w:val="21"/>
                <w:szCs w:val="21"/>
              </w:rPr>
              <w:t>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1 \* GB3 \* MERGEFORMAT </w:instrText>
            </w:r>
            <w:r>
              <w:rPr>
                <w:rFonts w:ascii="Times New Roman" w:eastAsia="黑体"/>
                <w:snapToGrid w:val="0"/>
                <w:spacing w:val="-6"/>
                <w:kern w:val="21"/>
                <w:szCs w:val="21"/>
              </w:rPr>
              <w:fldChar w:fldCharType="separate"/>
            </w:r>
            <w:r>
              <w:rPr>
                <w:rFonts w:hint="eastAsia" w:ascii="Times New Roman" w:eastAsia="黑体" w:cs="宋体"/>
                <w:kern w:val="2"/>
                <w:szCs w:val="21"/>
              </w:rPr>
              <w:t>①</w:t>
            </w:r>
            <w:r>
              <w:rPr>
                <w:rFonts w:ascii="Times New Roman" w:eastAsia="黑体"/>
                <w:snapToGrid w:val="0"/>
                <w:spacing w:val="-6"/>
                <w:kern w:val="21"/>
                <w:szCs w:val="21"/>
              </w:rPr>
              <w:fldChar w:fldCharType="end"/>
            </w:r>
          </w:p>
        </w:tc>
        <w:tc>
          <w:tcPr>
            <w:tcW w:w="442" w:type="pct"/>
            <w:tcMar>
              <w:left w:w="28" w:type="dxa"/>
              <w:right w:w="28" w:type="dxa"/>
            </w:tcMar>
            <w:vAlign w:val="center"/>
          </w:tcPr>
          <w:p>
            <w:pPr>
              <w:pStyle w:val="39"/>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现有工程</w:t>
            </w:r>
          </w:p>
          <w:p>
            <w:pPr>
              <w:pStyle w:val="39"/>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许可排放量</w:t>
            </w:r>
          </w:p>
          <w:p>
            <w:pPr>
              <w:pStyle w:val="39"/>
              <w:spacing w:beforeLines="0" w:afterLines="0"/>
              <w:ind w:firstLine="0" w:firstLineChars="0"/>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2 \* GB3 \* MERGEFORMAT </w:instrText>
            </w:r>
            <w:r>
              <w:rPr>
                <w:rFonts w:ascii="Times New Roman" w:eastAsia="黑体"/>
                <w:snapToGrid w:val="0"/>
                <w:spacing w:val="-6"/>
                <w:kern w:val="21"/>
                <w:szCs w:val="21"/>
              </w:rPr>
              <w:fldChar w:fldCharType="separate"/>
            </w:r>
            <w:r>
              <w:rPr>
                <w:rFonts w:hint="eastAsia" w:ascii="Times New Roman" w:eastAsia="黑体" w:cs="宋体"/>
                <w:snapToGrid w:val="0"/>
                <w:spacing w:val="-6"/>
                <w:kern w:val="21"/>
                <w:szCs w:val="21"/>
              </w:rPr>
              <w:t>②</w:t>
            </w:r>
            <w:r>
              <w:rPr>
                <w:rFonts w:ascii="Times New Roman" w:eastAsia="黑体"/>
                <w:snapToGrid w:val="0"/>
                <w:spacing w:val="-6"/>
                <w:kern w:val="21"/>
                <w:szCs w:val="21"/>
              </w:rPr>
              <w:fldChar w:fldCharType="end"/>
            </w:r>
          </w:p>
        </w:tc>
        <w:tc>
          <w:tcPr>
            <w:tcW w:w="596" w:type="pct"/>
            <w:tcMar>
              <w:left w:w="28" w:type="dxa"/>
              <w:right w:w="28" w:type="dxa"/>
            </w:tcMar>
            <w:vAlign w:val="center"/>
          </w:tcPr>
          <w:p>
            <w:pPr>
              <w:pStyle w:val="39"/>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在建工程</w:t>
            </w:r>
          </w:p>
          <w:p>
            <w:pPr>
              <w:pStyle w:val="39"/>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排放量（固</w:t>
            </w:r>
            <w:r>
              <w:rPr>
                <w:rFonts w:hint="eastAsia" w:ascii="Times New Roman" w:eastAsia="黑体"/>
                <w:snapToGrid w:val="0"/>
                <w:spacing w:val="-6"/>
                <w:kern w:val="21"/>
                <w:szCs w:val="21"/>
              </w:rPr>
              <w:t>体</w:t>
            </w:r>
            <w:r>
              <w:rPr>
                <w:rFonts w:ascii="Times New Roman" w:eastAsia="黑体"/>
                <w:snapToGrid w:val="0"/>
                <w:spacing w:val="-6"/>
                <w:kern w:val="21"/>
                <w:szCs w:val="21"/>
              </w:rPr>
              <w:t>废</w:t>
            </w:r>
            <w:r>
              <w:rPr>
                <w:rFonts w:hint="eastAsia" w:ascii="Times New Roman" w:eastAsia="黑体"/>
                <w:snapToGrid w:val="0"/>
                <w:spacing w:val="-6"/>
                <w:kern w:val="21"/>
                <w:szCs w:val="21"/>
              </w:rPr>
              <w:t>物</w:t>
            </w:r>
            <w:r>
              <w:rPr>
                <w:rFonts w:ascii="Times New Roman" w:eastAsia="黑体"/>
                <w:snapToGrid w:val="0"/>
                <w:spacing w:val="-6"/>
                <w:kern w:val="21"/>
                <w:szCs w:val="21"/>
              </w:rPr>
              <w:t>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3 \* GB3 \* MERGEFORMAT </w:instrText>
            </w:r>
            <w:r>
              <w:rPr>
                <w:rFonts w:ascii="Times New Roman" w:eastAsia="黑体"/>
                <w:snapToGrid w:val="0"/>
                <w:spacing w:val="-6"/>
                <w:kern w:val="21"/>
                <w:szCs w:val="21"/>
              </w:rPr>
              <w:fldChar w:fldCharType="separate"/>
            </w:r>
            <w:r>
              <w:rPr>
                <w:rFonts w:hint="eastAsia" w:ascii="Times New Roman" w:eastAsia="黑体" w:cs="宋体"/>
                <w:kern w:val="2"/>
                <w:szCs w:val="21"/>
              </w:rPr>
              <w:t>③</w:t>
            </w:r>
            <w:r>
              <w:rPr>
                <w:rFonts w:ascii="Times New Roman" w:eastAsia="黑体"/>
                <w:snapToGrid w:val="0"/>
                <w:spacing w:val="-6"/>
                <w:kern w:val="21"/>
                <w:szCs w:val="21"/>
              </w:rPr>
              <w:fldChar w:fldCharType="end"/>
            </w:r>
          </w:p>
        </w:tc>
        <w:tc>
          <w:tcPr>
            <w:tcW w:w="545" w:type="pct"/>
            <w:tcMar>
              <w:left w:w="28" w:type="dxa"/>
              <w:right w:w="28" w:type="dxa"/>
            </w:tcMar>
            <w:vAlign w:val="center"/>
          </w:tcPr>
          <w:p>
            <w:pPr>
              <w:pStyle w:val="39"/>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本项目</w:t>
            </w:r>
          </w:p>
          <w:p>
            <w:pPr>
              <w:pStyle w:val="39"/>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排放量（固</w:t>
            </w:r>
            <w:r>
              <w:rPr>
                <w:rFonts w:hint="eastAsia" w:ascii="Times New Roman" w:eastAsia="黑体"/>
                <w:snapToGrid w:val="0"/>
                <w:spacing w:val="-6"/>
                <w:kern w:val="21"/>
                <w:szCs w:val="21"/>
              </w:rPr>
              <w:t>体</w:t>
            </w:r>
            <w:r>
              <w:rPr>
                <w:rFonts w:ascii="Times New Roman" w:eastAsia="黑体"/>
                <w:snapToGrid w:val="0"/>
                <w:spacing w:val="-6"/>
                <w:kern w:val="21"/>
                <w:szCs w:val="21"/>
              </w:rPr>
              <w:t>废</w:t>
            </w:r>
            <w:r>
              <w:rPr>
                <w:rFonts w:hint="eastAsia" w:ascii="Times New Roman" w:eastAsia="黑体"/>
                <w:snapToGrid w:val="0"/>
                <w:spacing w:val="-6"/>
                <w:kern w:val="21"/>
                <w:szCs w:val="21"/>
              </w:rPr>
              <w:t>物</w:t>
            </w:r>
            <w:r>
              <w:rPr>
                <w:rFonts w:ascii="Times New Roman" w:eastAsia="黑体"/>
                <w:snapToGrid w:val="0"/>
                <w:spacing w:val="-6"/>
                <w:kern w:val="21"/>
                <w:szCs w:val="21"/>
              </w:rPr>
              <w:t>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4 \* GB3 \* MERGEFORMAT </w:instrText>
            </w:r>
            <w:r>
              <w:rPr>
                <w:rFonts w:ascii="Times New Roman" w:eastAsia="黑体"/>
                <w:snapToGrid w:val="0"/>
                <w:spacing w:val="-6"/>
                <w:kern w:val="21"/>
                <w:szCs w:val="21"/>
              </w:rPr>
              <w:fldChar w:fldCharType="separate"/>
            </w:r>
            <w:r>
              <w:rPr>
                <w:rFonts w:hint="eastAsia" w:ascii="Times New Roman" w:eastAsia="黑体" w:cs="宋体"/>
                <w:kern w:val="2"/>
                <w:szCs w:val="21"/>
              </w:rPr>
              <w:t>④</w:t>
            </w:r>
            <w:r>
              <w:rPr>
                <w:rFonts w:ascii="Times New Roman" w:eastAsia="黑体"/>
                <w:snapToGrid w:val="0"/>
                <w:spacing w:val="-6"/>
                <w:kern w:val="21"/>
                <w:szCs w:val="21"/>
              </w:rPr>
              <w:fldChar w:fldCharType="end"/>
            </w:r>
          </w:p>
        </w:tc>
        <w:tc>
          <w:tcPr>
            <w:tcW w:w="619" w:type="pct"/>
            <w:tcMar>
              <w:left w:w="28" w:type="dxa"/>
              <w:right w:w="28" w:type="dxa"/>
            </w:tcMar>
            <w:vAlign w:val="center"/>
          </w:tcPr>
          <w:p>
            <w:pPr>
              <w:pStyle w:val="39"/>
              <w:spacing w:beforeLines="0" w:afterLines="0" w:line="240" w:lineRule="auto"/>
              <w:ind w:firstLine="0" w:firstLineChars="0"/>
              <w:rPr>
                <w:rFonts w:ascii="Times New Roman" w:eastAsia="黑体"/>
                <w:snapToGrid w:val="0"/>
                <w:spacing w:val="-16"/>
                <w:kern w:val="21"/>
                <w:szCs w:val="21"/>
              </w:rPr>
            </w:pPr>
            <w:r>
              <w:rPr>
                <w:rFonts w:ascii="Times New Roman" w:eastAsia="黑体"/>
                <w:snapToGrid w:val="0"/>
                <w:spacing w:val="-16"/>
                <w:kern w:val="21"/>
                <w:szCs w:val="21"/>
              </w:rPr>
              <w:t>以新带老削减量</w:t>
            </w:r>
          </w:p>
          <w:p>
            <w:pPr>
              <w:pStyle w:val="39"/>
              <w:spacing w:beforeLines="0" w:afterLines="0" w:line="240" w:lineRule="auto"/>
              <w:ind w:firstLine="0" w:firstLineChars="0"/>
              <w:rPr>
                <w:rFonts w:ascii="Times New Roman" w:eastAsia="黑体"/>
                <w:snapToGrid w:val="0"/>
                <w:spacing w:val="-16"/>
                <w:kern w:val="21"/>
                <w:szCs w:val="21"/>
              </w:rPr>
            </w:pPr>
            <w:r>
              <w:rPr>
                <w:rFonts w:ascii="Times New Roman" w:eastAsia="黑体"/>
                <w:snapToGrid w:val="0"/>
                <w:spacing w:val="-16"/>
                <w:kern w:val="21"/>
                <w:szCs w:val="21"/>
              </w:rPr>
              <w:t>（新建项目不填）</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5 \* GB3 \* MERGEFORMAT </w:instrText>
            </w:r>
            <w:r>
              <w:rPr>
                <w:rFonts w:ascii="Times New Roman" w:eastAsia="黑体"/>
                <w:snapToGrid w:val="0"/>
                <w:spacing w:val="-16"/>
                <w:kern w:val="21"/>
                <w:szCs w:val="21"/>
              </w:rPr>
              <w:fldChar w:fldCharType="separate"/>
            </w:r>
            <w:r>
              <w:rPr>
                <w:rFonts w:hint="eastAsia" w:ascii="Times New Roman" w:eastAsia="黑体" w:cs="宋体"/>
                <w:kern w:val="2"/>
                <w:szCs w:val="21"/>
              </w:rPr>
              <w:t>⑤</w:t>
            </w:r>
            <w:r>
              <w:rPr>
                <w:rFonts w:ascii="Times New Roman" w:eastAsia="黑体"/>
                <w:snapToGrid w:val="0"/>
                <w:spacing w:val="-16"/>
                <w:kern w:val="21"/>
                <w:szCs w:val="21"/>
              </w:rPr>
              <w:fldChar w:fldCharType="end"/>
            </w:r>
          </w:p>
        </w:tc>
        <w:tc>
          <w:tcPr>
            <w:tcW w:w="691" w:type="pct"/>
            <w:tcMar>
              <w:left w:w="28" w:type="dxa"/>
              <w:right w:w="28" w:type="dxa"/>
            </w:tcMar>
            <w:vAlign w:val="center"/>
          </w:tcPr>
          <w:p>
            <w:pPr>
              <w:pStyle w:val="39"/>
              <w:spacing w:beforeLines="0" w:afterLines="0" w:line="240" w:lineRule="auto"/>
              <w:ind w:firstLine="0" w:firstLineChars="0"/>
              <w:rPr>
                <w:rFonts w:ascii="Times New Roman" w:eastAsia="黑体"/>
                <w:snapToGrid w:val="0"/>
                <w:spacing w:val="-16"/>
                <w:kern w:val="21"/>
                <w:szCs w:val="21"/>
              </w:rPr>
            </w:pPr>
            <w:r>
              <w:rPr>
                <w:rFonts w:ascii="Times New Roman" w:eastAsia="黑体"/>
                <w:snapToGrid w:val="0"/>
                <w:spacing w:val="-16"/>
                <w:kern w:val="21"/>
                <w:szCs w:val="21"/>
              </w:rPr>
              <w:t>本项目建成后</w:t>
            </w:r>
          </w:p>
          <w:p>
            <w:pPr>
              <w:pStyle w:val="39"/>
              <w:spacing w:beforeLines="0" w:afterLines="0" w:line="240" w:lineRule="auto"/>
              <w:ind w:firstLine="0" w:firstLineChars="0"/>
              <w:rPr>
                <w:rFonts w:ascii="Times New Roman" w:eastAsia="黑体"/>
                <w:snapToGrid w:val="0"/>
                <w:spacing w:val="-16"/>
                <w:kern w:val="21"/>
                <w:szCs w:val="21"/>
              </w:rPr>
            </w:pPr>
            <w:r>
              <w:rPr>
                <w:rFonts w:hint="eastAsia" w:ascii="Times New Roman" w:eastAsia="黑体"/>
                <w:snapToGrid w:val="0"/>
                <w:spacing w:val="-16"/>
                <w:kern w:val="21"/>
                <w:szCs w:val="21"/>
              </w:rPr>
              <w:t>全厂</w:t>
            </w:r>
            <w:r>
              <w:rPr>
                <w:rFonts w:ascii="Times New Roman" w:eastAsia="黑体"/>
                <w:snapToGrid w:val="0"/>
                <w:spacing w:val="-16"/>
                <w:kern w:val="21"/>
                <w:szCs w:val="21"/>
              </w:rPr>
              <w:t>排放量（固</w:t>
            </w:r>
            <w:r>
              <w:rPr>
                <w:rFonts w:hint="eastAsia" w:ascii="Times New Roman" w:eastAsia="黑体"/>
                <w:snapToGrid w:val="0"/>
                <w:spacing w:val="-16"/>
                <w:kern w:val="21"/>
                <w:szCs w:val="21"/>
              </w:rPr>
              <w:t>体</w:t>
            </w:r>
            <w:r>
              <w:rPr>
                <w:rFonts w:ascii="Times New Roman" w:eastAsia="黑体"/>
                <w:snapToGrid w:val="0"/>
                <w:spacing w:val="-16"/>
                <w:kern w:val="21"/>
                <w:szCs w:val="21"/>
              </w:rPr>
              <w:t>废</w:t>
            </w:r>
            <w:r>
              <w:rPr>
                <w:rFonts w:hint="eastAsia" w:ascii="Times New Roman" w:eastAsia="黑体"/>
                <w:snapToGrid w:val="0"/>
                <w:spacing w:val="-16"/>
                <w:kern w:val="21"/>
                <w:szCs w:val="21"/>
              </w:rPr>
              <w:t>物</w:t>
            </w:r>
            <w:r>
              <w:rPr>
                <w:rFonts w:ascii="Times New Roman" w:eastAsia="黑体"/>
                <w:snapToGrid w:val="0"/>
                <w:spacing w:val="-16"/>
                <w:kern w:val="21"/>
                <w:szCs w:val="21"/>
              </w:rPr>
              <w:t>产生量）</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6 \* GB3 \* MERGEFORMAT </w:instrText>
            </w:r>
            <w:r>
              <w:rPr>
                <w:rFonts w:ascii="Times New Roman" w:eastAsia="黑体"/>
                <w:snapToGrid w:val="0"/>
                <w:spacing w:val="-16"/>
                <w:kern w:val="21"/>
                <w:szCs w:val="21"/>
              </w:rPr>
              <w:fldChar w:fldCharType="separate"/>
            </w:r>
            <w:r>
              <w:rPr>
                <w:rFonts w:hint="eastAsia" w:ascii="Times New Roman" w:eastAsia="黑体" w:cs="宋体"/>
                <w:kern w:val="2"/>
                <w:szCs w:val="21"/>
              </w:rPr>
              <w:t>⑥</w:t>
            </w:r>
            <w:r>
              <w:rPr>
                <w:rFonts w:ascii="Times New Roman" w:eastAsia="黑体"/>
                <w:snapToGrid w:val="0"/>
                <w:spacing w:val="-16"/>
                <w:kern w:val="21"/>
                <w:szCs w:val="21"/>
              </w:rPr>
              <w:fldChar w:fldCharType="end"/>
            </w:r>
          </w:p>
        </w:tc>
        <w:tc>
          <w:tcPr>
            <w:tcW w:w="458" w:type="pct"/>
            <w:tcMar>
              <w:left w:w="28" w:type="dxa"/>
              <w:right w:w="28" w:type="dxa"/>
            </w:tcMar>
            <w:vAlign w:val="center"/>
          </w:tcPr>
          <w:p>
            <w:pPr>
              <w:pStyle w:val="39"/>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变化量</w:t>
            </w:r>
          </w:p>
          <w:p>
            <w:pPr>
              <w:pStyle w:val="39"/>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7 \* GB3 \* MERGEFORMAT </w:instrText>
            </w:r>
            <w:r>
              <w:rPr>
                <w:rFonts w:ascii="Times New Roman" w:eastAsia="黑体"/>
                <w:snapToGrid w:val="0"/>
                <w:spacing w:val="-6"/>
                <w:kern w:val="21"/>
                <w:szCs w:val="21"/>
              </w:rPr>
              <w:fldChar w:fldCharType="separate"/>
            </w:r>
            <w:r>
              <w:rPr>
                <w:rFonts w:hint="eastAsia" w:ascii="Times New Roman" w:eastAsia="黑体" w:cs="宋体"/>
                <w:kern w:val="2"/>
                <w:szCs w:val="21"/>
              </w:rPr>
              <w:t>⑦</w:t>
            </w:r>
            <w:r>
              <w:rPr>
                <w:rFonts w:ascii="Times New Roman" w:eastAsia="黑体"/>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Merge w:val="restart"/>
            <w:vAlign w:val="center"/>
          </w:tcPr>
          <w:p>
            <w:pPr>
              <w:pStyle w:val="39"/>
              <w:spacing w:beforeLines="0" w:afterLines="0" w:line="240" w:lineRule="auto"/>
              <w:ind w:firstLine="0" w:firstLineChars="0"/>
              <w:rPr>
                <w:rFonts w:ascii="Times New Roman" w:cs="宋体"/>
                <w:snapToGrid w:val="0"/>
                <w:kern w:val="21"/>
                <w:szCs w:val="21"/>
              </w:rPr>
            </w:pPr>
            <w:r>
              <w:rPr>
                <w:rFonts w:hint="eastAsia" w:ascii="Times New Roman" w:cs="宋体"/>
                <w:snapToGrid w:val="0"/>
                <w:kern w:val="21"/>
                <w:szCs w:val="21"/>
              </w:rPr>
              <w:t>废气</w:t>
            </w:r>
          </w:p>
        </w:tc>
        <w:tc>
          <w:tcPr>
            <w:tcW w:w="493" w:type="pct"/>
            <w:vAlign w:val="center"/>
          </w:tcPr>
          <w:p>
            <w:pPr>
              <w:pStyle w:val="39"/>
              <w:spacing w:beforeLines="0" w:afterLines="0" w:line="240" w:lineRule="auto"/>
              <w:ind w:firstLine="0" w:firstLineChars="0"/>
              <w:rPr>
                <w:rFonts w:ascii="Times New Roman" w:cs="宋体"/>
                <w:snapToGrid w:val="0"/>
                <w:kern w:val="21"/>
                <w:szCs w:val="21"/>
              </w:rPr>
            </w:pPr>
            <w:r>
              <w:rPr>
                <w:rFonts w:hint="eastAsia" w:ascii="Times New Roman" w:cs="宋体"/>
                <w:snapToGrid w:val="0"/>
                <w:kern w:val="21"/>
                <w:szCs w:val="21"/>
              </w:rPr>
              <w:t>VOCs</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highlight w:val="none"/>
              </w:rPr>
            </w:pPr>
            <w:r>
              <w:rPr>
                <w:rFonts w:hint="default" w:ascii="Times New Roman" w:hAnsi="Times New Roman" w:cs="Times New Roman"/>
                <w:color w:val="FF0000"/>
                <w:highlight w:val="none"/>
              </w:rPr>
              <w:t>0.</w:t>
            </w:r>
            <w:r>
              <w:rPr>
                <w:rFonts w:hint="default" w:ascii="Times New Roman" w:hAnsi="Times New Roman" w:cs="Times New Roman"/>
                <w:color w:val="FF0000"/>
                <w:highlight w:val="none"/>
                <w:lang w:val="en-US" w:eastAsia="zh-CN"/>
              </w:rPr>
              <w:t>0</w:t>
            </w:r>
            <w:r>
              <w:rPr>
                <w:rFonts w:hint="eastAsia" w:ascii="Times New Roman" w:cs="Times New Roman"/>
                <w:color w:val="FF0000"/>
                <w:highlight w:val="none"/>
                <w:lang w:val="en-US" w:eastAsia="zh-CN"/>
              </w:rPr>
              <w:t>086</w:t>
            </w:r>
            <w:r>
              <w:rPr>
                <w:rFonts w:hint="default" w:ascii="Times New Roman" w:hAnsi="Times New Roman" w:cs="Times New Roman"/>
                <w:snapToGrid w:val="0"/>
                <w:color w:val="FF0000"/>
                <w:kern w:val="21"/>
                <w:szCs w:val="21"/>
                <w:highlight w:val="none"/>
              </w:rPr>
              <w:t>t/a</w:t>
            </w:r>
          </w:p>
        </w:tc>
        <w:tc>
          <w:tcPr>
            <w:tcW w:w="619" w:type="pct"/>
            <w:vAlign w:val="center"/>
          </w:tcPr>
          <w:p>
            <w:pPr>
              <w:pStyle w:val="39"/>
              <w:spacing w:beforeLines="0" w:afterLines="0" w:line="240" w:lineRule="auto"/>
              <w:ind w:firstLine="0" w:firstLineChars="0"/>
              <w:rPr>
                <w:rFonts w:hint="eastAsia" w:ascii="Times New Roman" w:eastAsia="宋体" w:cs="宋体"/>
                <w:snapToGrid w:val="0"/>
                <w:kern w:val="21"/>
                <w:szCs w:val="21"/>
                <w:highlight w:val="none"/>
                <w:lang w:val="en-US" w:eastAsia="zh-CN"/>
              </w:rPr>
            </w:pPr>
            <w:r>
              <w:rPr>
                <w:rFonts w:hint="eastAsia" w:ascii="Times New Roman" w:cs="宋体"/>
                <w:snapToGrid w:val="0"/>
                <w:kern w:val="21"/>
                <w:szCs w:val="21"/>
                <w:highlight w:val="none"/>
                <w:lang w:val="en-US" w:eastAsia="zh-CN"/>
              </w:rPr>
              <w:t>0</w:t>
            </w:r>
          </w:p>
        </w:tc>
        <w:tc>
          <w:tcPr>
            <w:tcW w:w="691"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highlight w:val="none"/>
              </w:rPr>
            </w:pPr>
            <w:r>
              <w:rPr>
                <w:rFonts w:hint="default" w:ascii="Times New Roman" w:hAnsi="Times New Roman" w:cs="Times New Roman"/>
                <w:color w:val="FF0000"/>
                <w:highlight w:val="none"/>
              </w:rPr>
              <w:t>0.</w:t>
            </w:r>
            <w:r>
              <w:rPr>
                <w:rFonts w:hint="default" w:ascii="Times New Roman" w:hAnsi="Times New Roman" w:cs="Times New Roman"/>
                <w:color w:val="FF0000"/>
                <w:highlight w:val="none"/>
                <w:lang w:val="en-US" w:eastAsia="zh-CN"/>
              </w:rPr>
              <w:t>0</w:t>
            </w:r>
            <w:r>
              <w:rPr>
                <w:rFonts w:hint="eastAsia" w:ascii="Times New Roman" w:cs="Times New Roman"/>
                <w:color w:val="FF0000"/>
                <w:highlight w:val="none"/>
                <w:lang w:val="en-US" w:eastAsia="zh-CN"/>
              </w:rPr>
              <w:t>086</w:t>
            </w:r>
            <w:r>
              <w:rPr>
                <w:rFonts w:hint="default" w:ascii="Times New Roman" w:hAnsi="Times New Roman" w:cs="Times New Roman"/>
                <w:snapToGrid w:val="0"/>
                <w:color w:val="FF0000"/>
                <w:kern w:val="21"/>
                <w:szCs w:val="21"/>
                <w:highlight w:val="none"/>
              </w:rPr>
              <w:t>t/a</w:t>
            </w:r>
          </w:p>
        </w:tc>
        <w:tc>
          <w:tcPr>
            <w:tcW w:w="458" w:type="pct"/>
            <w:vAlign w:val="center"/>
          </w:tcPr>
          <w:p>
            <w:pPr>
              <w:pStyle w:val="39"/>
              <w:spacing w:beforeLines="0" w:afterLines="0" w:line="240" w:lineRule="auto"/>
              <w:ind w:firstLine="0" w:firstLineChars="0"/>
              <w:rPr>
                <w:rFonts w:ascii="Times New Roman" w:cs="宋体"/>
                <w:snapToGrid w:val="0"/>
                <w:color w:val="FF0000"/>
                <w:kern w:val="21"/>
                <w:szCs w:val="21"/>
              </w:rPr>
            </w:pPr>
            <w:r>
              <w:rPr>
                <w:rFonts w:hint="default" w:ascii="Times New Roman" w:hAnsi="Times New Roman" w:cs="Times New Roman"/>
                <w:color w:val="FF0000"/>
                <w:highlight w:val="none"/>
              </w:rPr>
              <w:t>0.</w:t>
            </w:r>
            <w:r>
              <w:rPr>
                <w:rFonts w:hint="default" w:ascii="Times New Roman" w:hAnsi="Times New Roman" w:cs="Times New Roman"/>
                <w:color w:val="FF0000"/>
                <w:highlight w:val="none"/>
                <w:lang w:val="en-US" w:eastAsia="zh-CN"/>
              </w:rPr>
              <w:t>0</w:t>
            </w:r>
            <w:r>
              <w:rPr>
                <w:rFonts w:hint="eastAsia" w:ascii="Times New Roman" w:cs="Times New Roman"/>
                <w:color w:val="FF0000"/>
                <w:highlight w:val="none"/>
                <w:lang w:val="en-US" w:eastAsia="zh-CN"/>
              </w:rPr>
              <w:t>086</w:t>
            </w:r>
            <w:r>
              <w:rPr>
                <w:rFonts w:hint="default" w:ascii="Times New Roman" w:hAnsi="Times New Roman" w:cs="Times New Roman"/>
                <w:snapToGrid w:val="0"/>
                <w:color w:val="FF0000"/>
                <w:kern w:val="21"/>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Merge w:val="continue"/>
            <w:vAlign w:val="center"/>
          </w:tcPr>
          <w:p>
            <w:pPr>
              <w:pStyle w:val="39"/>
              <w:spacing w:beforeLines="0" w:afterLines="0" w:line="240" w:lineRule="auto"/>
              <w:ind w:firstLine="0" w:firstLineChars="0"/>
              <w:rPr>
                <w:rFonts w:ascii="Times New Roman" w:cs="宋体"/>
                <w:snapToGrid w:val="0"/>
                <w:kern w:val="21"/>
                <w:szCs w:val="21"/>
              </w:rPr>
            </w:pPr>
          </w:p>
        </w:tc>
        <w:tc>
          <w:tcPr>
            <w:tcW w:w="493" w:type="pct"/>
            <w:vAlign w:val="center"/>
          </w:tcPr>
          <w:p>
            <w:pPr>
              <w:pStyle w:val="39"/>
              <w:spacing w:beforeLines="0" w:afterLines="0" w:line="240" w:lineRule="auto"/>
              <w:ind w:firstLine="0" w:firstLineChars="0"/>
              <w:rPr>
                <w:rFonts w:hint="eastAsia" w:ascii="Times New Roman" w:eastAsia="宋体" w:cs="宋体"/>
                <w:snapToGrid w:val="0"/>
                <w:kern w:val="21"/>
                <w:szCs w:val="21"/>
                <w:lang w:eastAsia="zh-CN"/>
              </w:rPr>
            </w:pPr>
            <w:r>
              <w:rPr>
                <w:rFonts w:hint="eastAsia" w:ascii="Times New Roman" w:cs="宋体"/>
                <w:snapToGrid w:val="0"/>
                <w:kern w:val="21"/>
                <w:szCs w:val="21"/>
                <w:lang w:eastAsia="zh-CN"/>
              </w:rPr>
              <w:t>颗粒物</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color w:val="FF0000"/>
                <w:kern w:val="21"/>
                <w:szCs w:val="21"/>
                <w:lang w:val="en-US" w:eastAsia="zh-CN"/>
              </w:rPr>
              <w:t>0.0126</w:t>
            </w:r>
            <w:r>
              <w:rPr>
                <w:rFonts w:hint="default" w:ascii="Times New Roman" w:hAnsi="Times New Roman" w:cs="Times New Roman"/>
                <w:snapToGrid w:val="0"/>
                <w:color w:val="FF0000"/>
                <w:kern w:val="21"/>
                <w:szCs w:val="21"/>
              </w:rPr>
              <w:t>t/a</w:t>
            </w:r>
          </w:p>
        </w:tc>
        <w:tc>
          <w:tcPr>
            <w:tcW w:w="619"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691"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color w:val="FF0000"/>
                <w:kern w:val="21"/>
                <w:szCs w:val="21"/>
                <w:lang w:val="en-US" w:eastAsia="zh-CN"/>
              </w:rPr>
              <w:t>0.0126</w:t>
            </w:r>
            <w:r>
              <w:rPr>
                <w:rFonts w:hint="default" w:ascii="Times New Roman" w:hAnsi="Times New Roman" w:cs="Times New Roman"/>
                <w:snapToGrid w:val="0"/>
                <w:color w:val="FF0000"/>
                <w:kern w:val="21"/>
                <w:szCs w:val="21"/>
              </w:rPr>
              <w:t>t/a</w:t>
            </w:r>
          </w:p>
        </w:tc>
        <w:tc>
          <w:tcPr>
            <w:tcW w:w="458" w:type="pct"/>
            <w:vAlign w:val="center"/>
          </w:tcPr>
          <w:p>
            <w:pPr>
              <w:pStyle w:val="39"/>
              <w:spacing w:beforeLines="0" w:afterLines="0" w:line="240" w:lineRule="auto"/>
              <w:ind w:firstLine="0" w:firstLineChars="0"/>
              <w:rPr>
                <w:rFonts w:ascii="Times New Roman" w:cs="宋体"/>
                <w:snapToGrid w:val="0"/>
                <w:kern w:val="21"/>
                <w:szCs w:val="21"/>
              </w:rPr>
            </w:pPr>
            <w:r>
              <w:rPr>
                <w:rFonts w:hint="eastAsia" w:ascii="Times New Roman" w:cs="Times New Roman"/>
                <w:snapToGrid w:val="0"/>
                <w:color w:val="FF0000"/>
                <w:kern w:val="21"/>
                <w:szCs w:val="21"/>
                <w:lang w:val="en-US" w:eastAsia="zh-CN"/>
              </w:rPr>
              <w:t>0.0126t</w:t>
            </w:r>
            <w:r>
              <w:rPr>
                <w:rFonts w:hint="default" w:ascii="Times New Roman" w:hAnsi="Times New Roman" w:cs="Times New Roman"/>
                <w:snapToGrid w:val="0"/>
                <w:color w:val="FF0000"/>
                <w:kern w:val="21"/>
                <w:szCs w:val="21"/>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Merge w:val="restart"/>
            <w:vAlign w:val="center"/>
          </w:tcPr>
          <w:p>
            <w:pPr>
              <w:pStyle w:val="39"/>
              <w:spacing w:beforeLines="0" w:afterLines="0" w:line="240" w:lineRule="auto"/>
              <w:ind w:firstLine="0" w:firstLineChars="0"/>
              <w:rPr>
                <w:rFonts w:ascii="Times New Roman" w:cs="宋体"/>
                <w:snapToGrid w:val="0"/>
                <w:kern w:val="21"/>
                <w:szCs w:val="21"/>
              </w:rPr>
            </w:pPr>
            <w:r>
              <w:rPr>
                <w:rFonts w:hint="eastAsia" w:ascii="Times New Roman" w:cs="宋体"/>
                <w:snapToGrid w:val="0"/>
                <w:kern w:val="21"/>
                <w:szCs w:val="21"/>
              </w:rPr>
              <w:t>废水</w:t>
            </w:r>
          </w:p>
        </w:tc>
        <w:tc>
          <w:tcPr>
            <w:tcW w:w="493" w:type="pct"/>
            <w:vAlign w:val="center"/>
          </w:tcPr>
          <w:p>
            <w:pPr>
              <w:pStyle w:val="39"/>
              <w:spacing w:beforeLines="0" w:afterLines="0" w:line="240" w:lineRule="auto"/>
              <w:ind w:firstLine="0" w:firstLineChars="0"/>
              <w:rPr>
                <w:rFonts w:ascii="Times New Roman" w:cs="宋体"/>
                <w:snapToGrid w:val="0"/>
                <w:kern w:val="21"/>
                <w:szCs w:val="21"/>
              </w:rPr>
            </w:pPr>
            <w:r>
              <w:rPr>
                <w:rFonts w:ascii="Times New Roman" w:cs="宋体"/>
                <w:snapToGrid w:val="0"/>
                <w:kern w:val="21"/>
                <w:szCs w:val="21"/>
              </w:rPr>
              <w:t>COD</w:t>
            </w:r>
            <w:r>
              <w:rPr>
                <w:rFonts w:ascii="Times New Roman" w:cs="宋体"/>
                <w:snapToGrid w:val="0"/>
                <w:kern w:val="21"/>
                <w:szCs w:val="21"/>
                <w:vertAlign w:val="subscript"/>
              </w:rPr>
              <w:t>Cr</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0.0314</w:t>
            </w:r>
            <w:r>
              <w:rPr>
                <w:rFonts w:hint="default" w:ascii="Times New Roman" w:hAnsi="Times New Roman" w:cs="Times New Roman"/>
                <w:snapToGrid w:val="0"/>
                <w:kern w:val="21"/>
                <w:szCs w:val="21"/>
              </w:rPr>
              <w:t>t/a</w:t>
            </w:r>
          </w:p>
        </w:tc>
        <w:tc>
          <w:tcPr>
            <w:tcW w:w="619"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691"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0.0314</w:t>
            </w:r>
            <w:r>
              <w:rPr>
                <w:rFonts w:hint="default" w:ascii="Times New Roman" w:hAnsi="Times New Roman" w:cs="Times New Roman"/>
                <w:snapToGrid w:val="0"/>
                <w:kern w:val="21"/>
                <w:szCs w:val="21"/>
              </w:rPr>
              <w:t>t/a</w:t>
            </w:r>
          </w:p>
        </w:tc>
        <w:tc>
          <w:tcPr>
            <w:tcW w:w="458" w:type="pct"/>
            <w:vAlign w:val="center"/>
          </w:tcPr>
          <w:p>
            <w:pPr>
              <w:pStyle w:val="39"/>
              <w:spacing w:beforeLines="0" w:afterLines="0" w:line="240" w:lineRule="auto"/>
              <w:ind w:firstLine="0" w:firstLineChars="0"/>
              <w:rPr>
                <w:rFonts w:ascii="Times New Roman" w:cs="宋体"/>
                <w:snapToGrid w:val="0"/>
                <w:kern w:val="21"/>
                <w:szCs w:val="21"/>
              </w:rPr>
            </w:pPr>
            <w:r>
              <w:rPr>
                <w:rFonts w:hint="eastAsia" w:ascii="Times New Roman" w:cs="Times New Roman"/>
                <w:snapToGrid w:val="0"/>
                <w:kern w:val="21"/>
                <w:szCs w:val="21"/>
                <w:lang w:val="en-US" w:eastAsia="zh-CN"/>
              </w:rPr>
              <w:t>0.0314</w:t>
            </w:r>
            <w:r>
              <w:rPr>
                <w:rFonts w:hint="default" w:ascii="Times New Roman" w:hAnsi="Times New Roman" w:cs="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Merge w:val="continue"/>
            <w:vAlign w:val="center"/>
          </w:tcPr>
          <w:p>
            <w:pPr>
              <w:pStyle w:val="39"/>
              <w:spacing w:beforeLines="0" w:afterLines="0" w:line="240" w:lineRule="auto"/>
              <w:ind w:firstLine="0" w:firstLineChars="0"/>
              <w:rPr>
                <w:rFonts w:ascii="Times New Roman" w:cs="宋体"/>
                <w:snapToGrid w:val="0"/>
                <w:kern w:val="21"/>
                <w:szCs w:val="21"/>
              </w:rPr>
            </w:pPr>
          </w:p>
        </w:tc>
        <w:tc>
          <w:tcPr>
            <w:tcW w:w="493" w:type="pct"/>
            <w:vAlign w:val="center"/>
          </w:tcPr>
          <w:p>
            <w:pPr>
              <w:pStyle w:val="39"/>
              <w:spacing w:beforeLines="0" w:afterLines="0" w:line="240" w:lineRule="auto"/>
              <w:ind w:firstLine="0" w:firstLineChars="0"/>
              <w:rPr>
                <w:rFonts w:ascii="Times New Roman" w:cs="宋体"/>
                <w:snapToGrid w:val="0"/>
                <w:kern w:val="21"/>
                <w:szCs w:val="21"/>
              </w:rPr>
            </w:pPr>
            <w:r>
              <w:rPr>
                <w:rFonts w:ascii="Times New Roman" w:cs="宋体"/>
                <w:snapToGrid w:val="0"/>
                <w:kern w:val="21"/>
                <w:szCs w:val="21"/>
              </w:rPr>
              <w:t>BOD</w:t>
            </w:r>
            <w:r>
              <w:rPr>
                <w:rFonts w:ascii="Times New Roman" w:cs="宋体"/>
                <w:snapToGrid w:val="0"/>
                <w:kern w:val="21"/>
                <w:szCs w:val="21"/>
                <w:vertAlign w:val="subscript"/>
              </w:rPr>
              <w:t>5</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0.018</w:t>
            </w:r>
            <w:r>
              <w:rPr>
                <w:rFonts w:hint="default" w:ascii="Times New Roman" w:hAnsi="Times New Roman" w:cs="Times New Roman"/>
                <w:snapToGrid w:val="0"/>
                <w:kern w:val="21"/>
                <w:szCs w:val="21"/>
              </w:rPr>
              <w:t>t/a</w:t>
            </w:r>
          </w:p>
        </w:tc>
        <w:tc>
          <w:tcPr>
            <w:tcW w:w="619"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691"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0.018</w:t>
            </w:r>
            <w:r>
              <w:rPr>
                <w:rFonts w:hint="default" w:ascii="Times New Roman" w:hAnsi="Times New Roman" w:cs="Times New Roman"/>
                <w:snapToGrid w:val="0"/>
                <w:kern w:val="21"/>
                <w:szCs w:val="21"/>
              </w:rPr>
              <w:t>t/a</w:t>
            </w:r>
          </w:p>
        </w:tc>
        <w:tc>
          <w:tcPr>
            <w:tcW w:w="458" w:type="pct"/>
            <w:vAlign w:val="center"/>
          </w:tcPr>
          <w:p>
            <w:pPr>
              <w:pStyle w:val="39"/>
              <w:spacing w:beforeLines="0" w:afterLines="0" w:line="240" w:lineRule="auto"/>
              <w:ind w:firstLine="0" w:firstLineChars="0"/>
              <w:rPr>
                <w:rFonts w:ascii="Times New Roman" w:cs="宋体"/>
                <w:snapToGrid w:val="0"/>
                <w:kern w:val="21"/>
                <w:szCs w:val="21"/>
              </w:rPr>
            </w:pPr>
            <w:r>
              <w:rPr>
                <w:rFonts w:hint="eastAsia" w:ascii="Times New Roman" w:cs="Times New Roman"/>
                <w:snapToGrid w:val="0"/>
                <w:kern w:val="21"/>
                <w:szCs w:val="21"/>
                <w:lang w:val="en-US" w:eastAsia="zh-CN"/>
              </w:rPr>
              <w:t>0.018</w:t>
            </w:r>
            <w:r>
              <w:rPr>
                <w:rFonts w:hint="default" w:ascii="Times New Roman" w:hAnsi="Times New Roman" w:cs="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Merge w:val="continue"/>
            <w:vAlign w:val="center"/>
          </w:tcPr>
          <w:p>
            <w:pPr>
              <w:pStyle w:val="39"/>
              <w:spacing w:beforeLines="0" w:afterLines="0" w:line="240" w:lineRule="auto"/>
              <w:ind w:firstLine="0" w:firstLineChars="0"/>
              <w:rPr>
                <w:rFonts w:ascii="Times New Roman" w:cs="宋体"/>
                <w:snapToGrid w:val="0"/>
                <w:kern w:val="21"/>
                <w:szCs w:val="21"/>
              </w:rPr>
            </w:pPr>
          </w:p>
        </w:tc>
        <w:tc>
          <w:tcPr>
            <w:tcW w:w="493" w:type="pct"/>
            <w:vAlign w:val="center"/>
          </w:tcPr>
          <w:p>
            <w:pPr>
              <w:pStyle w:val="39"/>
              <w:spacing w:beforeLines="0" w:afterLines="0" w:line="240" w:lineRule="auto"/>
              <w:ind w:firstLine="0" w:firstLineChars="0"/>
              <w:rPr>
                <w:rFonts w:ascii="Times New Roman" w:cs="宋体"/>
                <w:snapToGrid w:val="0"/>
                <w:kern w:val="21"/>
                <w:szCs w:val="21"/>
              </w:rPr>
            </w:pPr>
            <w:r>
              <w:rPr>
                <w:rFonts w:ascii="Times New Roman" w:cs="宋体"/>
                <w:snapToGrid w:val="0"/>
                <w:kern w:val="21"/>
                <w:szCs w:val="21"/>
              </w:rPr>
              <w:t>SS</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0.0224</w:t>
            </w:r>
            <w:r>
              <w:rPr>
                <w:rFonts w:hint="default" w:ascii="Times New Roman" w:hAnsi="Times New Roman" w:cs="Times New Roman"/>
                <w:snapToGrid w:val="0"/>
                <w:kern w:val="21"/>
                <w:szCs w:val="21"/>
              </w:rPr>
              <w:t>t/a</w:t>
            </w:r>
          </w:p>
        </w:tc>
        <w:tc>
          <w:tcPr>
            <w:tcW w:w="619"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691"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0.0224</w:t>
            </w:r>
            <w:r>
              <w:rPr>
                <w:rFonts w:hint="default" w:ascii="Times New Roman" w:hAnsi="Times New Roman" w:cs="Times New Roman"/>
                <w:snapToGrid w:val="0"/>
                <w:kern w:val="21"/>
                <w:szCs w:val="21"/>
              </w:rPr>
              <w:t>t/a</w:t>
            </w:r>
          </w:p>
        </w:tc>
        <w:tc>
          <w:tcPr>
            <w:tcW w:w="458" w:type="pct"/>
            <w:vAlign w:val="center"/>
          </w:tcPr>
          <w:p>
            <w:pPr>
              <w:pStyle w:val="39"/>
              <w:spacing w:beforeLines="0" w:afterLines="0" w:line="240" w:lineRule="auto"/>
              <w:ind w:firstLine="0" w:firstLineChars="0"/>
              <w:rPr>
                <w:rFonts w:ascii="Times New Roman" w:cs="宋体"/>
                <w:snapToGrid w:val="0"/>
                <w:kern w:val="21"/>
                <w:szCs w:val="21"/>
              </w:rPr>
            </w:pPr>
            <w:r>
              <w:rPr>
                <w:rFonts w:hint="eastAsia" w:ascii="Times New Roman" w:cs="Times New Roman"/>
                <w:snapToGrid w:val="0"/>
                <w:kern w:val="21"/>
                <w:szCs w:val="21"/>
                <w:lang w:val="en-US" w:eastAsia="zh-CN"/>
              </w:rPr>
              <w:t>0.0224</w:t>
            </w:r>
            <w:r>
              <w:rPr>
                <w:rFonts w:hint="default" w:ascii="Times New Roman" w:hAnsi="Times New Roman" w:cs="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Merge w:val="continue"/>
            <w:vAlign w:val="center"/>
          </w:tcPr>
          <w:p>
            <w:pPr>
              <w:pStyle w:val="39"/>
              <w:spacing w:beforeLines="0" w:afterLines="0" w:line="240" w:lineRule="auto"/>
              <w:ind w:firstLine="0" w:firstLineChars="0"/>
              <w:rPr>
                <w:rFonts w:ascii="Times New Roman" w:cs="宋体"/>
                <w:snapToGrid w:val="0"/>
                <w:kern w:val="21"/>
                <w:szCs w:val="21"/>
              </w:rPr>
            </w:pPr>
          </w:p>
        </w:tc>
        <w:tc>
          <w:tcPr>
            <w:tcW w:w="493" w:type="pct"/>
            <w:vAlign w:val="center"/>
          </w:tcPr>
          <w:p>
            <w:pPr>
              <w:pStyle w:val="39"/>
              <w:spacing w:beforeLines="0" w:afterLines="0" w:line="240" w:lineRule="auto"/>
              <w:ind w:firstLine="0" w:firstLineChars="0"/>
              <w:rPr>
                <w:rFonts w:ascii="Times New Roman" w:cs="宋体"/>
                <w:snapToGrid w:val="0"/>
                <w:kern w:val="21"/>
                <w:szCs w:val="21"/>
              </w:rPr>
            </w:pPr>
            <w:r>
              <w:rPr>
                <w:rFonts w:ascii="Times New Roman" w:cs="宋体"/>
                <w:snapToGrid w:val="0"/>
                <w:kern w:val="21"/>
                <w:szCs w:val="21"/>
              </w:rPr>
              <w:t>NH</w:t>
            </w:r>
            <w:r>
              <w:rPr>
                <w:rFonts w:ascii="Times New Roman" w:cs="宋体"/>
                <w:snapToGrid w:val="0"/>
                <w:kern w:val="21"/>
                <w:szCs w:val="21"/>
                <w:vertAlign w:val="subscript"/>
              </w:rPr>
              <w:t>3</w:t>
            </w:r>
            <w:r>
              <w:rPr>
                <w:rFonts w:ascii="Times New Roman" w:cs="宋体"/>
                <w:snapToGrid w:val="0"/>
                <w:kern w:val="21"/>
                <w:szCs w:val="21"/>
              </w:rPr>
              <w:t>-N</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0.0031</w:t>
            </w:r>
            <w:r>
              <w:rPr>
                <w:rFonts w:hint="default" w:ascii="Times New Roman" w:hAnsi="Times New Roman" w:cs="Times New Roman"/>
                <w:snapToGrid w:val="0"/>
                <w:kern w:val="21"/>
                <w:szCs w:val="21"/>
              </w:rPr>
              <w:t>t/a</w:t>
            </w:r>
          </w:p>
        </w:tc>
        <w:tc>
          <w:tcPr>
            <w:tcW w:w="619"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691"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0.0031</w:t>
            </w:r>
            <w:r>
              <w:rPr>
                <w:rFonts w:hint="default" w:ascii="Times New Roman" w:hAnsi="Times New Roman" w:cs="Times New Roman"/>
                <w:snapToGrid w:val="0"/>
                <w:kern w:val="21"/>
                <w:szCs w:val="21"/>
              </w:rPr>
              <w:t>t/a</w:t>
            </w:r>
          </w:p>
        </w:tc>
        <w:tc>
          <w:tcPr>
            <w:tcW w:w="458" w:type="pct"/>
            <w:vAlign w:val="center"/>
          </w:tcPr>
          <w:p>
            <w:pPr>
              <w:pStyle w:val="39"/>
              <w:spacing w:beforeLines="0" w:afterLines="0" w:line="240" w:lineRule="auto"/>
              <w:ind w:firstLine="0" w:firstLineChars="0"/>
              <w:rPr>
                <w:rFonts w:ascii="Times New Roman" w:cs="宋体"/>
                <w:snapToGrid w:val="0"/>
                <w:kern w:val="21"/>
                <w:szCs w:val="21"/>
              </w:rPr>
            </w:pPr>
            <w:r>
              <w:rPr>
                <w:rFonts w:hint="eastAsia" w:ascii="Times New Roman" w:cs="Times New Roman"/>
                <w:snapToGrid w:val="0"/>
                <w:kern w:val="21"/>
                <w:szCs w:val="21"/>
                <w:lang w:val="en-US" w:eastAsia="zh-CN"/>
              </w:rPr>
              <w:t>0.0031</w:t>
            </w:r>
            <w:r>
              <w:rPr>
                <w:rFonts w:hint="default" w:ascii="Times New Roman" w:hAnsi="Times New Roman" w:cs="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5" w:type="pct"/>
            <w:vMerge w:val="restart"/>
            <w:vAlign w:val="center"/>
          </w:tcPr>
          <w:p>
            <w:pPr>
              <w:pStyle w:val="39"/>
              <w:spacing w:beforeLines="0" w:afterLines="0" w:line="240" w:lineRule="auto"/>
              <w:ind w:firstLine="0" w:firstLineChars="0"/>
              <w:rPr>
                <w:rFonts w:ascii="Times New Roman" w:cs="宋体"/>
                <w:snapToGrid w:val="0"/>
                <w:kern w:val="21"/>
                <w:szCs w:val="21"/>
              </w:rPr>
            </w:pPr>
            <w:r>
              <w:rPr>
                <w:rFonts w:hint="eastAsia" w:ascii="Times New Roman" w:cs="宋体"/>
                <w:snapToGrid w:val="0"/>
                <w:kern w:val="21"/>
                <w:szCs w:val="21"/>
              </w:rPr>
              <w:t>一般工业</w:t>
            </w:r>
          </w:p>
          <w:p>
            <w:pPr>
              <w:pStyle w:val="39"/>
              <w:spacing w:beforeLines="0" w:afterLines="0" w:line="240" w:lineRule="auto"/>
              <w:ind w:firstLine="0" w:firstLineChars="0"/>
              <w:rPr>
                <w:rFonts w:ascii="Times New Roman" w:cs="宋体"/>
                <w:snapToGrid w:val="0"/>
                <w:kern w:val="21"/>
                <w:szCs w:val="21"/>
              </w:rPr>
            </w:pPr>
            <w:r>
              <w:rPr>
                <w:rFonts w:hint="eastAsia" w:ascii="Times New Roman" w:cs="宋体"/>
                <w:snapToGrid w:val="0"/>
                <w:kern w:val="21"/>
                <w:szCs w:val="21"/>
              </w:rPr>
              <w:t>固体废物</w:t>
            </w:r>
          </w:p>
        </w:tc>
        <w:tc>
          <w:tcPr>
            <w:tcW w:w="493" w:type="pct"/>
            <w:vAlign w:val="center"/>
          </w:tcPr>
          <w:p>
            <w:pPr>
              <w:pStyle w:val="39"/>
              <w:spacing w:beforeLines="0" w:afterLines="0" w:line="240" w:lineRule="auto"/>
              <w:ind w:firstLine="0" w:firstLineChars="0"/>
              <w:rPr>
                <w:rFonts w:ascii="Times New Roman" w:cs="宋体"/>
                <w:snapToGrid w:val="0"/>
                <w:kern w:val="21"/>
                <w:szCs w:val="21"/>
              </w:rPr>
            </w:pPr>
            <w:r>
              <w:rPr>
                <w:rFonts w:hint="eastAsia" w:ascii="Times New Roman" w:cs="宋体"/>
                <w:snapToGrid w:val="0"/>
                <w:kern w:val="21"/>
                <w:szCs w:val="21"/>
              </w:rPr>
              <w:t>废原材料</w:t>
            </w:r>
            <w:r>
              <w:rPr>
                <w:rFonts w:hint="eastAsia" w:ascii="Times New Roman" w:cs="宋体"/>
                <w:snapToGrid w:val="0"/>
                <w:kern w:val="21"/>
                <w:szCs w:val="21"/>
                <w:lang w:eastAsia="zh-CN"/>
              </w:rPr>
              <w:t>及</w:t>
            </w:r>
            <w:r>
              <w:rPr>
                <w:rFonts w:hint="eastAsia" w:ascii="Times New Roman" w:cs="宋体"/>
                <w:snapToGrid w:val="0"/>
                <w:kern w:val="21"/>
                <w:szCs w:val="21"/>
              </w:rPr>
              <w:t>包装袋</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lang w:val="en-US" w:eastAsia="zh-CN"/>
              </w:rPr>
              <w:t>5</w:t>
            </w:r>
            <w:r>
              <w:rPr>
                <w:rFonts w:hint="default" w:ascii="Times New Roman" w:hAnsi="Times New Roman" w:cs="Times New Roman"/>
                <w:snapToGrid w:val="0"/>
                <w:kern w:val="21"/>
                <w:szCs w:val="21"/>
              </w:rPr>
              <w:t>t/a</w:t>
            </w:r>
          </w:p>
        </w:tc>
        <w:tc>
          <w:tcPr>
            <w:tcW w:w="619"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691"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lang w:val="en-US" w:eastAsia="zh-CN"/>
              </w:rPr>
              <w:t>5</w:t>
            </w:r>
            <w:r>
              <w:rPr>
                <w:rFonts w:hint="default" w:ascii="Times New Roman" w:hAnsi="Times New Roman" w:cs="Times New Roman"/>
                <w:snapToGrid w:val="0"/>
                <w:kern w:val="21"/>
                <w:szCs w:val="21"/>
              </w:rPr>
              <w:t>t/a</w:t>
            </w:r>
          </w:p>
        </w:tc>
        <w:tc>
          <w:tcPr>
            <w:tcW w:w="458" w:type="pct"/>
            <w:vAlign w:val="center"/>
          </w:tcPr>
          <w:p>
            <w:pPr>
              <w:pStyle w:val="39"/>
              <w:spacing w:beforeLines="0" w:afterLines="0" w:line="240" w:lineRule="auto"/>
              <w:ind w:firstLine="0" w:firstLineChars="0"/>
              <w:rPr>
                <w:rFonts w:ascii="Times New Roman" w:cs="宋体"/>
                <w:snapToGrid w:val="0"/>
                <w:kern w:val="21"/>
                <w:szCs w:val="21"/>
              </w:rPr>
            </w:pPr>
            <w:r>
              <w:rPr>
                <w:rFonts w:hint="default" w:ascii="Times New Roman" w:hAnsi="Times New Roman" w:cs="Times New Roman"/>
                <w:snapToGrid w:val="0"/>
                <w:kern w:val="21"/>
                <w:szCs w:val="21"/>
                <w:lang w:val="en-US" w:eastAsia="zh-CN"/>
              </w:rPr>
              <w:t>5</w:t>
            </w:r>
            <w:r>
              <w:rPr>
                <w:rFonts w:hint="default" w:ascii="Times New Roman" w:hAnsi="Times New Roman" w:cs="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Merge w:val="continue"/>
            <w:vAlign w:val="center"/>
          </w:tcPr>
          <w:p>
            <w:pPr>
              <w:pStyle w:val="39"/>
              <w:spacing w:beforeLines="0" w:afterLines="0" w:line="240" w:lineRule="auto"/>
              <w:ind w:firstLine="0" w:firstLineChars="0"/>
              <w:rPr>
                <w:rFonts w:ascii="Times New Roman" w:cs="宋体"/>
                <w:snapToGrid w:val="0"/>
                <w:kern w:val="21"/>
                <w:szCs w:val="21"/>
              </w:rPr>
            </w:pPr>
          </w:p>
        </w:tc>
        <w:tc>
          <w:tcPr>
            <w:tcW w:w="493" w:type="pct"/>
            <w:vAlign w:val="center"/>
          </w:tcPr>
          <w:p>
            <w:pPr>
              <w:pStyle w:val="39"/>
              <w:spacing w:beforeLines="0" w:afterLines="0" w:line="240" w:lineRule="auto"/>
              <w:ind w:firstLine="0" w:firstLineChars="0"/>
              <w:rPr>
                <w:rFonts w:ascii="Times New Roman" w:cs="宋体"/>
                <w:snapToGrid w:val="0"/>
                <w:kern w:val="21"/>
                <w:szCs w:val="21"/>
              </w:rPr>
            </w:pPr>
            <w:r>
              <w:rPr>
                <w:rFonts w:hint="eastAsia" w:ascii="Times New Roman" w:cs="宋体"/>
                <w:snapToGrid w:val="0"/>
                <w:kern w:val="21"/>
                <w:szCs w:val="21"/>
              </w:rPr>
              <w:t>残次品</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highlight w:val="red"/>
              </w:rPr>
            </w:pPr>
            <w:r>
              <w:rPr>
                <w:rFonts w:hint="default" w:ascii="Times New Roman" w:hAnsi="Times New Roman" w:cs="Times New Roman"/>
                <w:snapToGrid w:val="0"/>
                <w:kern w:val="21"/>
                <w:szCs w:val="21"/>
                <w:highlight w:val="none"/>
              </w:rPr>
              <w:t>1</w:t>
            </w:r>
            <w:r>
              <w:rPr>
                <w:rFonts w:hint="default" w:ascii="Times New Roman" w:hAnsi="Times New Roman" w:cs="Times New Roman"/>
                <w:snapToGrid w:val="0"/>
                <w:kern w:val="21"/>
                <w:szCs w:val="21"/>
                <w:highlight w:val="none"/>
                <w:lang w:val="en-US" w:eastAsia="zh-CN"/>
              </w:rPr>
              <w:t>.1</w:t>
            </w:r>
            <w:r>
              <w:rPr>
                <w:rFonts w:hint="default" w:ascii="Times New Roman" w:hAnsi="Times New Roman" w:cs="Times New Roman"/>
                <w:snapToGrid w:val="0"/>
                <w:kern w:val="21"/>
                <w:szCs w:val="21"/>
                <w:highlight w:val="none"/>
              </w:rPr>
              <w:t>t/a</w:t>
            </w:r>
          </w:p>
        </w:tc>
        <w:tc>
          <w:tcPr>
            <w:tcW w:w="619" w:type="pct"/>
            <w:vAlign w:val="center"/>
          </w:tcPr>
          <w:p>
            <w:pPr>
              <w:pStyle w:val="39"/>
              <w:spacing w:beforeLines="0" w:afterLines="0" w:line="240" w:lineRule="auto"/>
              <w:ind w:firstLine="0" w:firstLineChars="0"/>
              <w:rPr>
                <w:rFonts w:hint="eastAsia" w:ascii="Times New Roman" w:eastAsia="宋体" w:cs="宋体"/>
                <w:snapToGrid w:val="0"/>
                <w:kern w:val="21"/>
                <w:szCs w:val="21"/>
                <w:highlight w:val="red"/>
                <w:lang w:val="en-US" w:eastAsia="zh-CN"/>
              </w:rPr>
            </w:pPr>
            <w:r>
              <w:rPr>
                <w:rFonts w:hint="eastAsia" w:ascii="Times New Roman" w:cs="宋体"/>
                <w:snapToGrid w:val="0"/>
                <w:kern w:val="21"/>
                <w:szCs w:val="21"/>
                <w:highlight w:val="none"/>
                <w:lang w:val="en-US" w:eastAsia="zh-CN"/>
              </w:rPr>
              <w:t>0</w:t>
            </w:r>
          </w:p>
        </w:tc>
        <w:tc>
          <w:tcPr>
            <w:tcW w:w="691" w:type="pct"/>
            <w:vAlign w:val="center"/>
          </w:tcPr>
          <w:p>
            <w:pPr>
              <w:pStyle w:val="39"/>
              <w:spacing w:beforeLines="0" w:afterLines="0" w:line="240" w:lineRule="auto"/>
              <w:ind w:firstLine="0" w:firstLineChars="0"/>
              <w:rPr>
                <w:rFonts w:hint="default" w:ascii="Times New Roman" w:hAnsi="Times New Roman" w:cs="Times New Roman"/>
                <w:snapToGrid w:val="0"/>
                <w:kern w:val="21"/>
                <w:szCs w:val="21"/>
                <w:highlight w:val="red"/>
              </w:rPr>
            </w:pPr>
            <w:r>
              <w:rPr>
                <w:rFonts w:hint="default" w:ascii="Times New Roman" w:hAnsi="Times New Roman" w:cs="Times New Roman"/>
                <w:snapToGrid w:val="0"/>
                <w:kern w:val="21"/>
                <w:szCs w:val="21"/>
                <w:highlight w:val="none"/>
                <w:lang w:val="en-US" w:eastAsia="zh-CN"/>
              </w:rPr>
              <w:t>1.1</w:t>
            </w:r>
            <w:r>
              <w:rPr>
                <w:rFonts w:hint="default" w:ascii="Times New Roman" w:hAnsi="Times New Roman" w:cs="Times New Roman"/>
                <w:snapToGrid w:val="0"/>
                <w:kern w:val="21"/>
                <w:szCs w:val="21"/>
                <w:highlight w:val="none"/>
              </w:rPr>
              <w:t>t/a</w:t>
            </w:r>
          </w:p>
        </w:tc>
        <w:tc>
          <w:tcPr>
            <w:tcW w:w="458" w:type="pct"/>
            <w:vAlign w:val="center"/>
          </w:tcPr>
          <w:p>
            <w:pPr>
              <w:pStyle w:val="39"/>
              <w:spacing w:beforeLines="0" w:afterLines="0" w:line="240" w:lineRule="auto"/>
              <w:ind w:firstLine="0" w:firstLineChars="0"/>
              <w:rPr>
                <w:rFonts w:ascii="Times New Roman" w:cs="宋体"/>
                <w:snapToGrid w:val="0"/>
                <w:kern w:val="21"/>
                <w:szCs w:val="21"/>
              </w:rPr>
            </w:pPr>
            <w:r>
              <w:rPr>
                <w:rFonts w:hint="default" w:ascii="Times New Roman" w:hAnsi="Times New Roman" w:cs="Times New Roman"/>
                <w:snapToGrid w:val="0"/>
                <w:kern w:val="21"/>
                <w:szCs w:val="21"/>
                <w:highlight w:val="none"/>
                <w:lang w:val="en-US" w:eastAsia="zh-CN"/>
              </w:rPr>
              <w:t>1.1</w:t>
            </w:r>
            <w:r>
              <w:rPr>
                <w:rFonts w:hint="default" w:ascii="Times New Roman" w:hAnsi="Times New Roman" w:cs="Times New Roman"/>
                <w:snapToGrid w:val="0"/>
                <w:kern w:val="21"/>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Merge w:val="restart"/>
            <w:vAlign w:val="center"/>
          </w:tcPr>
          <w:p>
            <w:pPr>
              <w:pStyle w:val="39"/>
              <w:spacing w:beforeLines="0" w:afterLines="0" w:line="240" w:lineRule="auto"/>
              <w:ind w:firstLine="0" w:firstLineChars="0"/>
              <w:rPr>
                <w:rFonts w:ascii="Times New Roman" w:cs="宋体"/>
                <w:snapToGrid w:val="0"/>
                <w:kern w:val="21"/>
                <w:szCs w:val="21"/>
              </w:rPr>
            </w:pPr>
            <w:r>
              <w:rPr>
                <w:rFonts w:hint="eastAsia" w:ascii="Times New Roman" w:cs="宋体"/>
                <w:snapToGrid w:val="0"/>
                <w:kern w:val="21"/>
                <w:szCs w:val="21"/>
              </w:rPr>
              <w:t>危险废物</w:t>
            </w:r>
          </w:p>
        </w:tc>
        <w:tc>
          <w:tcPr>
            <w:tcW w:w="493" w:type="pct"/>
            <w:vAlign w:val="center"/>
          </w:tcPr>
          <w:p>
            <w:pPr>
              <w:pStyle w:val="39"/>
              <w:spacing w:beforeLines="0" w:afterLines="0" w:line="240" w:lineRule="auto"/>
              <w:ind w:firstLine="0" w:firstLineChars="0"/>
              <w:rPr>
                <w:rFonts w:ascii="Times New Roman" w:cs="宋体"/>
                <w:snapToGrid w:val="0"/>
                <w:kern w:val="21"/>
                <w:szCs w:val="21"/>
              </w:rPr>
            </w:pPr>
            <w:r>
              <w:rPr>
                <w:rFonts w:hint="eastAsia" w:ascii="Times New Roman" w:cs="宋体"/>
                <w:snapToGrid w:val="0"/>
                <w:kern w:val="21"/>
                <w:szCs w:val="21"/>
              </w:rPr>
              <w:t>废活性炭</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9"/>
              <w:spacing w:beforeLines="0" w:afterLines="0" w:line="240" w:lineRule="auto"/>
              <w:ind w:firstLine="0" w:firstLineChars="0"/>
              <w:rPr>
                <w:rFonts w:hint="default" w:ascii="Times New Roman" w:hAnsi="Times New Roman" w:cs="Times New Roman"/>
                <w:snapToGrid w:val="0"/>
                <w:color w:val="FF0000"/>
                <w:kern w:val="21"/>
                <w:szCs w:val="21"/>
                <w:highlight w:val="none"/>
              </w:rPr>
            </w:pPr>
            <w:r>
              <w:rPr>
                <w:rFonts w:hint="eastAsia" w:ascii="Times New Roman" w:cs="Times New Roman"/>
                <w:snapToGrid w:val="0"/>
                <w:color w:val="FF0000"/>
                <w:kern w:val="21"/>
                <w:szCs w:val="21"/>
                <w:highlight w:val="none"/>
                <w:lang w:val="en-US" w:eastAsia="zh-CN"/>
              </w:rPr>
              <w:t>0.1502</w:t>
            </w:r>
            <w:r>
              <w:rPr>
                <w:rFonts w:hint="default" w:ascii="Times New Roman" w:hAnsi="Times New Roman" w:cs="Times New Roman"/>
                <w:snapToGrid w:val="0"/>
                <w:color w:val="FF0000"/>
                <w:kern w:val="21"/>
                <w:szCs w:val="21"/>
                <w:highlight w:val="none"/>
              </w:rPr>
              <w:t>t/a</w:t>
            </w:r>
          </w:p>
        </w:tc>
        <w:tc>
          <w:tcPr>
            <w:tcW w:w="619" w:type="pct"/>
            <w:vAlign w:val="center"/>
          </w:tcPr>
          <w:p>
            <w:pPr>
              <w:pStyle w:val="39"/>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691" w:type="pct"/>
            <w:vAlign w:val="center"/>
          </w:tcPr>
          <w:p>
            <w:pPr>
              <w:pStyle w:val="39"/>
              <w:spacing w:beforeLines="0" w:afterLines="0" w:line="240" w:lineRule="auto"/>
              <w:ind w:firstLine="0" w:firstLineChars="0"/>
              <w:rPr>
                <w:rFonts w:hint="default" w:ascii="Times New Roman" w:hAnsi="Times New Roman" w:cs="Times New Roman"/>
                <w:snapToGrid w:val="0"/>
                <w:color w:val="FF0000"/>
                <w:kern w:val="21"/>
                <w:szCs w:val="21"/>
                <w:highlight w:val="none"/>
              </w:rPr>
            </w:pPr>
            <w:r>
              <w:rPr>
                <w:rFonts w:hint="eastAsia" w:ascii="Times New Roman" w:cs="Times New Roman"/>
                <w:snapToGrid w:val="0"/>
                <w:color w:val="FF0000"/>
                <w:kern w:val="21"/>
                <w:szCs w:val="21"/>
                <w:highlight w:val="none"/>
                <w:lang w:val="en-US" w:eastAsia="zh-CN"/>
              </w:rPr>
              <w:t>0.1502t</w:t>
            </w:r>
            <w:r>
              <w:rPr>
                <w:rFonts w:hint="default" w:ascii="Times New Roman" w:hAnsi="Times New Roman" w:cs="Times New Roman"/>
                <w:snapToGrid w:val="0"/>
                <w:color w:val="FF0000"/>
                <w:kern w:val="21"/>
                <w:szCs w:val="21"/>
                <w:highlight w:val="none"/>
              </w:rPr>
              <w:t>/a</w:t>
            </w:r>
          </w:p>
        </w:tc>
        <w:tc>
          <w:tcPr>
            <w:tcW w:w="458" w:type="pct"/>
            <w:vAlign w:val="center"/>
          </w:tcPr>
          <w:p>
            <w:pPr>
              <w:pStyle w:val="39"/>
              <w:spacing w:beforeLines="0" w:afterLines="0" w:line="240" w:lineRule="auto"/>
              <w:ind w:firstLine="0" w:firstLineChars="0"/>
              <w:rPr>
                <w:rFonts w:ascii="Times New Roman" w:cs="宋体"/>
                <w:snapToGrid w:val="0"/>
                <w:color w:val="FF0000"/>
                <w:kern w:val="21"/>
                <w:szCs w:val="21"/>
                <w:highlight w:val="none"/>
              </w:rPr>
            </w:pPr>
            <w:r>
              <w:rPr>
                <w:rFonts w:hint="eastAsia" w:ascii="Times New Roman" w:cs="Times New Roman"/>
                <w:snapToGrid w:val="0"/>
                <w:color w:val="FF0000"/>
                <w:kern w:val="21"/>
                <w:szCs w:val="21"/>
                <w:highlight w:val="none"/>
                <w:lang w:val="en-US" w:eastAsia="zh-CN"/>
              </w:rPr>
              <w:t>0.1502</w:t>
            </w:r>
            <w:r>
              <w:rPr>
                <w:rFonts w:hint="default" w:ascii="Times New Roman" w:hAnsi="Times New Roman" w:cs="Times New Roman"/>
                <w:snapToGrid w:val="0"/>
                <w:color w:val="FF0000"/>
                <w:kern w:val="21"/>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Merge w:val="continue"/>
            <w:vAlign w:val="center"/>
          </w:tcPr>
          <w:p>
            <w:pPr>
              <w:pStyle w:val="39"/>
              <w:spacing w:beforeLines="0" w:afterLines="0" w:line="240" w:lineRule="auto"/>
              <w:ind w:firstLine="0" w:firstLineChars="0"/>
              <w:rPr>
                <w:rFonts w:hint="eastAsia" w:ascii="Times New Roman" w:cs="宋体"/>
                <w:snapToGrid w:val="0"/>
                <w:kern w:val="21"/>
                <w:szCs w:val="21"/>
              </w:rPr>
            </w:pPr>
          </w:p>
        </w:tc>
        <w:tc>
          <w:tcPr>
            <w:tcW w:w="493" w:type="pct"/>
            <w:vAlign w:val="center"/>
          </w:tcPr>
          <w:p>
            <w:pPr>
              <w:pStyle w:val="39"/>
              <w:spacing w:beforeLines="0" w:afterLines="0" w:line="240" w:lineRule="auto"/>
              <w:ind w:firstLine="0" w:firstLineChars="0"/>
              <w:rPr>
                <w:rFonts w:hint="eastAsia" w:ascii="Times New Roman" w:eastAsia="宋体" w:cs="宋体"/>
                <w:snapToGrid w:val="0"/>
                <w:kern w:val="21"/>
                <w:szCs w:val="21"/>
                <w:lang w:eastAsia="zh-CN"/>
              </w:rPr>
            </w:pPr>
            <w:r>
              <w:rPr>
                <w:rFonts w:hint="eastAsia" w:ascii="Times New Roman" w:cs="宋体"/>
                <w:snapToGrid w:val="0"/>
                <w:kern w:val="21"/>
                <w:szCs w:val="21"/>
                <w:lang w:eastAsia="zh-CN"/>
              </w:rPr>
              <w:t>废气灯管</w:t>
            </w:r>
          </w:p>
        </w:tc>
        <w:tc>
          <w:tcPr>
            <w:tcW w:w="596" w:type="pct"/>
            <w:vAlign w:val="center"/>
          </w:tcPr>
          <w:p>
            <w:pPr>
              <w:pStyle w:val="39"/>
              <w:spacing w:beforeLines="0" w:afterLines="0" w:line="240" w:lineRule="auto"/>
              <w:ind w:firstLine="0" w:firstLineChars="0"/>
              <w:rPr>
                <w:rFonts w:hint="default" w:ascii="Times New Roman"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9"/>
              <w:spacing w:beforeLines="0" w:afterLines="0" w:line="240" w:lineRule="auto"/>
              <w:ind w:firstLine="0" w:firstLineChars="0"/>
              <w:rPr>
                <w:rFonts w:hint="default" w:ascii="Times New Roman"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9"/>
              <w:spacing w:beforeLines="0" w:afterLines="0" w:line="240" w:lineRule="auto"/>
              <w:ind w:firstLine="0" w:firstLineChars="0"/>
              <w:rPr>
                <w:rFonts w:hint="default" w:ascii="Times New Roman"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9"/>
              <w:spacing w:beforeLines="0" w:afterLines="0" w:line="240" w:lineRule="auto"/>
              <w:ind w:firstLine="0" w:firstLineChars="0"/>
              <w:rPr>
                <w:rFonts w:hint="default" w:ascii="Times New Roman" w:cs="Times New Roman"/>
                <w:snapToGrid w:val="0"/>
                <w:kern w:val="21"/>
                <w:szCs w:val="21"/>
                <w:lang w:val="en-US" w:eastAsia="zh-CN"/>
              </w:rPr>
            </w:pPr>
            <w:r>
              <w:rPr>
                <w:rFonts w:hint="eastAsia" w:ascii="Times New Roman" w:cs="Times New Roman"/>
                <w:snapToGrid w:val="0"/>
                <w:kern w:val="21"/>
                <w:szCs w:val="21"/>
                <w:lang w:val="en-US" w:eastAsia="zh-CN"/>
              </w:rPr>
              <w:t>1个/a</w:t>
            </w:r>
          </w:p>
        </w:tc>
        <w:tc>
          <w:tcPr>
            <w:tcW w:w="619" w:type="pct"/>
            <w:vAlign w:val="center"/>
          </w:tcPr>
          <w:p>
            <w:pPr>
              <w:pStyle w:val="39"/>
              <w:spacing w:beforeLines="0" w:afterLines="0" w:line="240" w:lineRule="auto"/>
              <w:ind w:firstLine="0" w:firstLineChars="0"/>
              <w:rPr>
                <w:rFonts w:hint="default" w:ascii="Times New Roman" w:cs="宋体"/>
                <w:snapToGrid w:val="0"/>
                <w:kern w:val="21"/>
                <w:szCs w:val="21"/>
                <w:lang w:val="en-US" w:eastAsia="zh-CN"/>
              </w:rPr>
            </w:pPr>
            <w:r>
              <w:rPr>
                <w:rFonts w:hint="eastAsia" w:ascii="Times New Roman" w:cs="宋体"/>
                <w:snapToGrid w:val="0"/>
                <w:kern w:val="21"/>
                <w:szCs w:val="21"/>
                <w:lang w:val="en-US" w:eastAsia="zh-CN"/>
              </w:rPr>
              <w:t>0</w:t>
            </w:r>
          </w:p>
        </w:tc>
        <w:tc>
          <w:tcPr>
            <w:tcW w:w="691" w:type="pct"/>
            <w:vAlign w:val="center"/>
          </w:tcPr>
          <w:p>
            <w:pPr>
              <w:pStyle w:val="39"/>
              <w:spacing w:beforeLines="0" w:afterLines="0" w:line="240" w:lineRule="auto"/>
              <w:ind w:firstLine="0" w:firstLineChars="0"/>
              <w:rPr>
                <w:rFonts w:hint="eastAsia" w:ascii="Times New Roman" w:cs="Times New Roman"/>
                <w:snapToGrid w:val="0"/>
                <w:kern w:val="21"/>
                <w:szCs w:val="21"/>
                <w:lang w:val="en-US" w:eastAsia="zh-CN"/>
              </w:rPr>
            </w:pPr>
            <w:r>
              <w:rPr>
                <w:rFonts w:hint="eastAsia" w:ascii="Times New Roman" w:cs="Times New Roman"/>
                <w:snapToGrid w:val="0"/>
                <w:kern w:val="21"/>
                <w:szCs w:val="21"/>
                <w:lang w:val="en-US" w:eastAsia="zh-CN"/>
              </w:rPr>
              <w:t>1个/a</w:t>
            </w:r>
          </w:p>
        </w:tc>
        <w:tc>
          <w:tcPr>
            <w:tcW w:w="458" w:type="pct"/>
            <w:vAlign w:val="center"/>
          </w:tcPr>
          <w:p>
            <w:pPr>
              <w:pStyle w:val="39"/>
              <w:spacing w:beforeLines="0" w:afterLines="0" w:line="240" w:lineRule="auto"/>
              <w:ind w:firstLine="0" w:firstLineChars="0"/>
              <w:rPr>
                <w:rFonts w:hint="eastAsia" w:ascii="Times New Roman" w:cs="Times New Roman"/>
                <w:snapToGrid w:val="0"/>
                <w:kern w:val="21"/>
                <w:szCs w:val="21"/>
                <w:lang w:val="en-US" w:eastAsia="zh-CN"/>
              </w:rPr>
            </w:pPr>
            <w:r>
              <w:rPr>
                <w:rFonts w:hint="eastAsia" w:ascii="Times New Roman" w:cs="Times New Roman"/>
                <w:snapToGrid w:val="0"/>
                <w:kern w:val="21"/>
                <w:szCs w:val="21"/>
                <w:lang w:val="en-US" w:eastAsia="zh-CN"/>
              </w:rPr>
              <w:t>1个/a</w:t>
            </w:r>
          </w:p>
        </w:tc>
      </w:tr>
    </w:tbl>
    <w:p>
      <w:pPr>
        <w:pStyle w:val="39"/>
        <w:spacing w:before="192" w:beforeLines="80" w:after="24"/>
        <w:ind w:firstLine="0" w:firstLineChars="0"/>
        <w:jc w:val="left"/>
        <w:rPr>
          <w:rFonts w:ascii="Times New Roman"/>
          <w:snapToGrid w:val="0"/>
          <w:spacing w:val="-6"/>
          <w:kern w:val="21"/>
          <w:szCs w:val="21"/>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ascii="Times New Roman"/>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ascii="Times New Roman"/>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ascii="Times New Roman"/>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ascii="Times New Roman"/>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ascii="Times New Roman"/>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ascii="Times New Roman"/>
          <w:szCs w:val="21"/>
        </w:rPr>
        <w:t>①</w:t>
      </w:r>
      <w:r>
        <w:rPr>
          <w:rFonts w:ascii="Times New Roman"/>
          <w:snapToGrid w:val="0"/>
          <w:spacing w:val="-6"/>
          <w:kern w:val="21"/>
          <w:szCs w:val="21"/>
        </w:rPr>
        <w:fldChar w:fldCharType="end"/>
      </w:r>
    </w:p>
    <w:p>
      <w:pPr>
        <w:pStyle w:val="39"/>
        <w:spacing w:before="192" w:beforeLines="80" w:after="24"/>
        <w:ind w:firstLine="0" w:firstLineChars="0"/>
        <w:jc w:val="left"/>
        <w:rPr>
          <w:rFonts w:ascii="Times New Roman"/>
          <w:snapToGrid w:val="0"/>
          <w:spacing w:val="-6"/>
          <w:kern w:val="21"/>
          <w:szCs w:val="21"/>
        </w:rPr>
      </w:pPr>
    </w:p>
    <w:p>
      <w:pPr>
        <w:ind w:left="0" w:leftChars="0" w:firstLine="0" w:firstLineChars="0"/>
        <w:rPr>
          <w:rFonts w:ascii="Times New Roman"/>
          <w:snapToGrid w:val="0"/>
          <w:spacing w:val="-6"/>
          <w:kern w:val="21"/>
          <w:szCs w:val="21"/>
        </w:rPr>
      </w:pPr>
    </w:p>
    <w:sectPr>
      <w:footerReference r:id="rId12"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firstLine="560"/>
      <w:rPr>
        <w:rStyle w:val="21"/>
        <w:rFonts w:ascii="宋体" w:hAnsi="宋体"/>
        <w:sz w:val="28"/>
        <w:szCs w:val="28"/>
      </w:rPr>
    </w:pPr>
    <w:r>
      <w:rPr>
        <w:rStyle w:val="21"/>
        <w:rFonts w:hint="eastAsia" w:ascii="宋体" w:hAnsi="宋体"/>
        <w:sz w:val="28"/>
        <w:szCs w:val="28"/>
      </w:rPr>
      <w:t>—</w:t>
    </w:r>
    <w:r>
      <w:rPr>
        <w:rStyle w:val="21"/>
        <w:rFonts w:hint="eastAsia" w:ascii="宋体" w:hAnsi="宋体"/>
        <w:sz w:val="20"/>
      </w:rPr>
      <w:t xml:space="preserve">  </w:t>
    </w:r>
    <w:r>
      <w:rPr>
        <w:rStyle w:val="21"/>
        <w:rFonts w:ascii="宋体" w:hAnsi="宋体"/>
        <w:sz w:val="26"/>
        <w:szCs w:val="26"/>
      </w:rPr>
      <w:fldChar w:fldCharType="begin"/>
    </w:r>
    <w:r>
      <w:rPr>
        <w:rStyle w:val="21"/>
        <w:rFonts w:ascii="宋体" w:hAnsi="宋体"/>
        <w:sz w:val="26"/>
        <w:szCs w:val="26"/>
      </w:rPr>
      <w:instrText xml:space="preserve">PAGE  </w:instrText>
    </w:r>
    <w:r>
      <w:rPr>
        <w:rStyle w:val="21"/>
        <w:rFonts w:ascii="宋体" w:hAnsi="宋体"/>
        <w:sz w:val="26"/>
        <w:szCs w:val="26"/>
      </w:rPr>
      <w:fldChar w:fldCharType="separate"/>
    </w:r>
    <w:r>
      <w:rPr>
        <w:rStyle w:val="21"/>
        <w:rFonts w:ascii="宋体" w:hAnsi="宋体"/>
        <w:sz w:val="26"/>
        <w:szCs w:val="26"/>
      </w:rPr>
      <w:t>1</w:t>
    </w:r>
    <w:r>
      <w:rPr>
        <w:rStyle w:val="21"/>
        <w:rFonts w:ascii="宋体" w:hAnsi="宋体"/>
        <w:sz w:val="26"/>
        <w:szCs w:val="26"/>
      </w:rPr>
      <w:fldChar w:fldCharType="end"/>
    </w:r>
    <w:r>
      <w:rPr>
        <w:rStyle w:val="21"/>
        <w:rFonts w:hint="eastAsia" w:ascii="宋体" w:hAnsi="宋体"/>
        <w:sz w:val="20"/>
      </w:rPr>
      <w:t xml:space="preserve">  </w:t>
    </w:r>
    <w:r>
      <w:rPr>
        <w:rStyle w:val="21"/>
        <w:rFonts w:hint="eastAsia" w:ascii="宋体" w:hAnsi="宋体"/>
        <w:sz w:val="28"/>
        <w:szCs w:val="28"/>
      </w:rPr>
      <w:t>—</w:t>
    </w:r>
  </w:p>
  <w:p>
    <w:pPr>
      <w:pStyle w:val="1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360"/>
      <w:rPr>
        <w:rStyle w:val="21"/>
      </w:rPr>
    </w:pPr>
    <w:r>
      <w:fldChar w:fldCharType="begin"/>
    </w:r>
    <w:r>
      <w:rPr>
        <w:rStyle w:val="21"/>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firstLine="560"/>
      <w:rPr>
        <w:rStyle w:val="21"/>
        <w:rFonts w:ascii="宋体" w:hAnsi="宋体"/>
        <w:sz w:val="28"/>
        <w:szCs w:val="28"/>
      </w:rPr>
    </w:pPr>
    <w:r>
      <w:rPr>
        <w:rStyle w:val="21"/>
        <w:rFonts w:hint="eastAsia" w:ascii="宋体" w:hAnsi="宋体"/>
        <w:sz w:val="28"/>
        <w:szCs w:val="28"/>
      </w:rPr>
      <w:t>—</w:t>
    </w:r>
    <w:r>
      <w:rPr>
        <w:rStyle w:val="21"/>
        <w:rFonts w:hint="eastAsia" w:ascii="宋体" w:hAnsi="宋体"/>
        <w:sz w:val="20"/>
      </w:rPr>
      <w:t xml:space="preserve">  </w:t>
    </w:r>
    <w:r>
      <w:rPr>
        <w:rStyle w:val="21"/>
        <w:rFonts w:ascii="宋体" w:hAnsi="宋体"/>
        <w:sz w:val="26"/>
        <w:szCs w:val="26"/>
      </w:rPr>
      <w:fldChar w:fldCharType="begin"/>
    </w:r>
    <w:r>
      <w:rPr>
        <w:rStyle w:val="21"/>
        <w:rFonts w:ascii="宋体" w:hAnsi="宋体"/>
        <w:sz w:val="26"/>
        <w:szCs w:val="26"/>
      </w:rPr>
      <w:instrText xml:space="preserve">PAGE  </w:instrText>
    </w:r>
    <w:r>
      <w:rPr>
        <w:rStyle w:val="21"/>
        <w:rFonts w:ascii="宋体" w:hAnsi="宋体"/>
        <w:sz w:val="26"/>
        <w:szCs w:val="26"/>
      </w:rPr>
      <w:fldChar w:fldCharType="separate"/>
    </w:r>
    <w:r>
      <w:rPr>
        <w:rStyle w:val="21"/>
        <w:rFonts w:ascii="宋体" w:hAnsi="宋体"/>
        <w:sz w:val="26"/>
        <w:szCs w:val="26"/>
      </w:rPr>
      <w:t>2</w:t>
    </w:r>
    <w:r>
      <w:rPr>
        <w:rStyle w:val="21"/>
        <w:rFonts w:ascii="宋体" w:hAnsi="宋体"/>
        <w:sz w:val="26"/>
        <w:szCs w:val="26"/>
      </w:rPr>
      <w:fldChar w:fldCharType="end"/>
    </w:r>
    <w:r>
      <w:rPr>
        <w:rStyle w:val="21"/>
        <w:rFonts w:hint="eastAsia" w:ascii="宋体" w:hAnsi="宋体"/>
        <w:sz w:val="20"/>
      </w:rPr>
      <w:t xml:space="preserve">  </w:t>
    </w:r>
    <w:r>
      <w:rPr>
        <w:rStyle w:val="21"/>
        <w:rFonts w:hint="eastAsia" w:ascii="宋体" w:hAnsi="宋体"/>
        <w:sz w:val="28"/>
        <w:szCs w:val="28"/>
      </w:rPr>
      <w:t>—</w:t>
    </w:r>
  </w:p>
  <w:p>
    <w:pPr>
      <w:pStyle w:val="1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firstLine="560"/>
      <w:rPr>
        <w:rStyle w:val="21"/>
        <w:rFonts w:ascii="宋体" w:hAnsi="宋体"/>
        <w:sz w:val="28"/>
        <w:szCs w:val="28"/>
      </w:rPr>
    </w:pPr>
    <w:r>
      <w:rPr>
        <w:rStyle w:val="21"/>
        <w:rFonts w:hint="eastAsia" w:ascii="宋体" w:hAnsi="宋体"/>
        <w:sz w:val="28"/>
        <w:szCs w:val="28"/>
      </w:rPr>
      <w:t>—</w:t>
    </w:r>
    <w:r>
      <w:rPr>
        <w:rStyle w:val="21"/>
        <w:rFonts w:hint="eastAsia" w:ascii="宋体" w:hAnsi="宋体"/>
        <w:sz w:val="20"/>
      </w:rPr>
      <w:t xml:space="preserve">  </w:t>
    </w:r>
    <w:r>
      <w:rPr>
        <w:rStyle w:val="21"/>
        <w:rFonts w:ascii="宋体" w:hAnsi="宋体"/>
        <w:sz w:val="26"/>
        <w:szCs w:val="26"/>
      </w:rPr>
      <w:fldChar w:fldCharType="begin"/>
    </w:r>
    <w:r>
      <w:rPr>
        <w:rStyle w:val="21"/>
        <w:rFonts w:ascii="宋体" w:hAnsi="宋体"/>
        <w:sz w:val="26"/>
        <w:szCs w:val="26"/>
      </w:rPr>
      <w:instrText xml:space="preserve">PAGE  </w:instrText>
    </w:r>
    <w:r>
      <w:rPr>
        <w:rStyle w:val="21"/>
        <w:rFonts w:ascii="宋体" w:hAnsi="宋体"/>
        <w:sz w:val="26"/>
        <w:szCs w:val="26"/>
      </w:rPr>
      <w:fldChar w:fldCharType="separate"/>
    </w:r>
    <w:r>
      <w:rPr>
        <w:rStyle w:val="21"/>
        <w:rFonts w:ascii="宋体" w:hAnsi="宋体"/>
        <w:sz w:val="26"/>
        <w:szCs w:val="26"/>
      </w:rPr>
      <w:t>51</w:t>
    </w:r>
    <w:r>
      <w:rPr>
        <w:rStyle w:val="21"/>
        <w:rFonts w:ascii="宋体" w:hAnsi="宋体"/>
        <w:sz w:val="26"/>
        <w:szCs w:val="26"/>
      </w:rPr>
      <w:fldChar w:fldCharType="end"/>
    </w:r>
    <w:r>
      <w:rPr>
        <w:rStyle w:val="21"/>
        <w:rFonts w:hint="eastAsia" w:ascii="宋体" w:hAnsi="宋体"/>
        <w:sz w:val="20"/>
      </w:rPr>
      <w:t xml:space="preserve">  </w:t>
    </w:r>
    <w:r>
      <w:rPr>
        <w:rStyle w:val="21"/>
        <w:rFonts w:hint="eastAsia" w:ascii="宋体" w:hAnsi="宋体"/>
        <w:sz w:val="28"/>
        <w:szCs w:val="28"/>
      </w:rPr>
      <w:t>—</w:t>
    </w:r>
  </w:p>
  <w:p>
    <w:pPr>
      <w:pStyle w:val="13"/>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349D"/>
    <w:rsid w:val="0000571F"/>
    <w:rsid w:val="00005C04"/>
    <w:rsid w:val="000060B3"/>
    <w:rsid w:val="00010D97"/>
    <w:rsid w:val="00011EDA"/>
    <w:rsid w:val="00013067"/>
    <w:rsid w:val="00025E7E"/>
    <w:rsid w:val="00026D1A"/>
    <w:rsid w:val="00030E68"/>
    <w:rsid w:val="00031A77"/>
    <w:rsid w:val="00031D97"/>
    <w:rsid w:val="0003261A"/>
    <w:rsid w:val="00033ACC"/>
    <w:rsid w:val="00033B05"/>
    <w:rsid w:val="00034249"/>
    <w:rsid w:val="00035BC8"/>
    <w:rsid w:val="0003639F"/>
    <w:rsid w:val="00040356"/>
    <w:rsid w:val="000422A8"/>
    <w:rsid w:val="0004364B"/>
    <w:rsid w:val="00044B11"/>
    <w:rsid w:val="00044F5E"/>
    <w:rsid w:val="00046737"/>
    <w:rsid w:val="00052437"/>
    <w:rsid w:val="00054367"/>
    <w:rsid w:val="00055D30"/>
    <w:rsid w:val="00060246"/>
    <w:rsid w:val="000608FC"/>
    <w:rsid w:val="00061B1F"/>
    <w:rsid w:val="000629E1"/>
    <w:rsid w:val="00064BA5"/>
    <w:rsid w:val="00072018"/>
    <w:rsid w:val="00072BCB"/>
    <w:rsid w:val="000733C4"/>
    <w:rsid w:val="00074783"/>
    <w:rsid w:val="00075B45"/>
    <w:rsid w:val="00077F33"/>
    <w:rsid w:val="0008070B"/>
    <w:rsid w:val="00080DBF"/>
    <w:rsid w:val="000810AC"/>
    <w:rsid w:val="00081A02"/>
    <w:rsid w:val="00082231"/>
    <w:rsid w:val="000847DB"/>
    <w:rsid w:val="00092D38"/>
    <w:rsid w:val="00093566"/>
    <w:rsid w:val="0009377B"/>
    <w:rsid w:val="00095D1E"/>
    <w:rsid w:val="0009601A"/>
    <w:rsid w:val="00097CDA"/>
    <w:rsid w:val="000A002F"/>
    <w:rsid w:val="000A1B2E"/>
    <w:rsid w:val="000A20C9"/>
    <w:rsid w:val="000A25BB"/>
    <w:rsid w:val="000A2AC0"/>
    <w:rsid w:val="000A418A"/>
    <w:rsid w:val="000A6A4B"/>
    <w:rsid w:val="000B058F"/>
    <w:rsid w:val="000B37DB"/>
    <w:rsid w:val="000B3E45"/>
    <w:rsid w:val="000B4467"/>
    <w:rsid w:val="000B4DB9"/>
    <w:rsid w:val="000B7A08"/>
    <w:rsid w:val="000C09AC"/>
    <w:rsid w:val="000C1300"/>
    <w:rsid w:val="000C4730"/>
    <w:rsid w:val="000C602E"/>
    <w:rsid w:val="000C61E6"/>
    <w:rsid w:val="000C767F"/>
    <w:rsid w:val="000C7CBA"/>
    <w:rsid w:val="000C7E0F"/>
    <w:rsid w:val="000C7F85"/>
    <w:rsid w:val="000D0C2E"/>
    <w:rsid w:val="000D3905"/>
    <w:rsid w:val="000D41AF"/>
    <w:rsid w:val="000D5A44"/>
    <w:rsid w:val="000E0EEB"/>
    <w:rsid w:val="000E1622"/>
    <w:rsid w:val="000E3A4B"/>
    <w:rsid w:val="000E3AC6"/>
    <w:rsid w:val="000E3ED2"/>
    <w:rsid w:val="000E4786"/>
    <w:rsid w:val="000E503E"/>
    <w:rsid w:val="000F21B0"/>
    <w:rsid w:val="000F56A9"/>
    <w:rsid w:val="000F77C7"/>
    <w:rsid w:val="00100519"/>
    <w:rsid w:val="00100AE6"/>
    <w:rsid w:val="0010239D"/>
    <w:rsid w:val="00102613"/>
    <w:rsid w:val="00102F3E"/>
    <w:rsid w:val="00103321"/>
    <w:rsid w:val="00103D6E"/>
    <w:rsid w:val="00105E93"/>
    <w:rsid w:val="001064C9"/>
    <w:rsid w:val="0011423E"/>
    <w:rsid w:val="00116A47"/>
    <w:rsid w:val="001209B2"/>
    <w:rsid w:val="00121434"/>
    <w:rsid w:val="00121514"/>
    <w:rsid w:val="001264F6"/>
    <w:rsid w:val="0012670B"/>
    <w:rsid w:val="00127238"/>
    <w:rsid w:val="00130D4C"/>
    <w:rsid w:val="001311DE"/>
    <w:rsid w:val="00131F42"/>
    <w:rsid w:val="001324DA"/>
    <w:rsid w:val="001325DD"/>
    <w:rsid w:val="00133387"/>
    <w:rsid w:val="00134704"/>
    <w:rsid w:val="001357F1"/>
    <w:rsid w:val="001369BE"/>
    <w:rsid w:val="00137E35"/>
    <w:rsid w:val="00140F64"/>
    <w:rsid w:val="00140FA8"/>
    <w:rsid w:val="00142FEB"/>
    <w:rsid w:val="00143A2D"/>
    <w:rsid w:val="001453BD"/>
    <w:rsid w:val="00145A41"/>
    <w:rsid w:val="00151675"/>
    <w:rsid w:val="00156EAB"/>
    <w:rsid w:val="00157435"/>
    <w:rsid w:val="00157A3C"/>
    <w:rsid w:val="0016074A"/>
    <w:rsid w:val="00161B92"/>
    <w:rsid w:val="00162697"/>
    <w:rsid w:val="00162F3B"/>
    <w:rsid w:val="00164957"/>
    <w:rsid w:val="00167B52"/>
    <w:rsid w:val="00170428"/>
    <w:rsid w:val="001709B6"/>
    <w:rsid w:val="00174DEE"/>
    <w:rsid w:val="0017504D"/>
    <w:rsid w:val="0017671A"/>
    <w:rsid w:val="00176949"/>
    <w:rsid w:val="001773C3"/>
    <w:rsid w:val="00177422"/>
    <w:rsid w:val="00177784"/>
    <w:rsid w:val="0018068C"/>
    <w:rsid w:val="00184590"/>
    <w:rsid w:val="001870D1"/>
    <w:rsid w:val="0018781E"/>
    <w:rsid w:val="001924FF"/>
    <w:rsid w:val="0019262D"/>
    <w:rsid w:val="00195AC9"/>
    <w:rsid w:val="00195F42"/>
    <w:rsid w:val="001A029C"/>
    <w:rsid w:val="001A117F"/>
    <w:rsid w:val="001A1B35"/>
    <w:rsid w:val="001A353B"/>
    <w:rsid w:val="001A4194"/>
    <w:rsid w:val="001A455D"/>
    <w:rsid w:val="001A48A2"/>
    <w:rsid w:val="001A48EE"/>
    <w:rsid w:val="001A637D"/>
    <w:rsid w:val="001A6F61"/>
    <w:rsid w:val="001B07E2"/>
    <w:rsid w:val="001B0A89"/>
    <w:rsid w:val="001B1056"/>
    <w:rsid w:val="001B14E2"/>
    <w:rsid w:val="001B431B"/>
    <w:rsid w:val="001B6564"/>
    <w:rsid w:val="001B6794"/>
    <w:rsid w:val="001B72B8"/>
    <w:rsid w:val="001B73D6"/>
    <w:rsid w:val="001B79AA"/>
    <w:rsid w:val="001C18A3"/>
    <w:rsid w:val="001C5947"/>
    <w:rsid w:val="001C5EC8"/>
    <w:rsid w:val="001C69B3"/>
    <w:rsid w:val="001C6A72"/>
    <w:rsid w:val="001D08C2"/>
    <w:rsid w:val="001D4A5A"/>
    <w:rsid w:val="001D5595"/>
    <w:rsid w:val="001D5B37"/>
    <w:rsid w:val="001D60BC"/>
    <w:rsid w:val="001D7874"/>
    <w:rsid w:val="001D7F22"/>
    <w:rsid w:val="001E0612"/>
    <w:rsid w:val="001E44D3"/>
    <w:rsid w:val="001E44F0"/>
    <w:rsid w:val="001E5CEC"/>
    <w:rsid w:val="001F0F17"/>
    <w:rsid w:val="001F1490"/>
    <w:rsid w:val="001F3347"/>
    <w:rsid w:val="001F3A0D"/>
    <w:rsid w:val="001F5D88"/>
    <w:rsid w:val="001F68B0"/>
    <w:rsid w:val="001F69E4"/>
    <w:rsid w:val="001F7570"/>
    <w:rsid w:val="00201029"/>
    <w:rsid w:val="0020115B"/>
    <w:rsid w:val="00201176"/>
    <w:rsid w:val="002036E4"/>
    <w:rsid w:val="0020438D"/>
    <w:rsid w:val="00205A44"/>
    <w:rsid w:val="00206967"/>
    <w:rsid w:val="00207202"/>
    <w:rsid w:val="00211E60"/>
    <w:rsid w:val="002125B4"/>
    <w:rsid w:val="00212DE1"/>
    <w:rsid w:val="002139A8"/>
    <w:rsid w:val="002155B8"/>
    <w:rsid w:val="0021562E"/>
    <w:rsid w:val="00221081"/>
    <w:rsid w:val="0022232E"/>
    <w:rsid w:val="00222AC7"/>
    <w:rsid w:val="00224839"/>
    <w:rsid w:val="00224846"/>
    <w:rsid w:val="002249B2"/>
    <w:rsid w:val="00225C8A"/>
    <w:rsid w:val="00226574"/>
    <w:rsid w:val="002278EC"/>
    <w:rsid w:val="0023280E"/>
    <w:rsid w:val="00232891"/>
    <w:rsid w:val="00233D23"/>
    <w:rsid w:val="00236443"/>
    <w:rsid w:val="002377D1"/>
    <w:rsid w:val="00237CDA"/>
    <w:rsid w:val="00240739"/>
    <w:rsid w:val="00242B44"/>
    <w:rsid w:val="00242B5F"/>
    <w:rsid w:val="0024477D"/>
    <w:rsid w:val="00245170"/>
    <w:rsid w:val="00245929"/>
    <w:rsid w:val="002459E7"/>
    <w:rsid w:val="00247322"/>
    <w:rsid w:val="00250190"/>
    <w:rsid w:val="002506BC"/>
    <w:rsid w:val="00254345"/>
    <w:rsid w:val="00256919"/>
    <w:rsid w:val="00256B85"/>
    <w:rsid w:val="00263744"/>
    <w:rsid w:val="00263C33"/>
    <w:rsid w:val="00264557"/>
    <w:rsid w:val="0026665B"/>
    <w:rsid w:val="002677E2"/>
    <w:rsid w:val="00267FC0"/>
    <w:rsid w:val="00274FA8"/>
    <w:rsid w:val="00276ABF"/>
    <w:rsid w:val="0027733F"/>
    <w:rsid w:val="002805AB"/>
    <w:rsid w:val="00282BE0"/>
    <w:rsid w:val="00284204"/>
    <w:rsid w:val="00284AF4"/>
    <w:rsid w:val="00285E9D"/>
    <w:rsid w:val="00287754"/>
    <w:rsid w:val="00287CF7"/>
    <w:rsid w:val="00291773"/>
    <w:rsid w:val="0029361C"/>
    <w:rsid w:val="00295008"/>
    <w:rsid w:val="0029543F"/>
    <w:rsid w:val="00296092"/>
    <w:rsid w:val="0029609F"/>
    <w:rsid w:val="002A0FD7"/>
    <w:rsid w:val="002A168C"/>
    <w:rsid w:val="002A3C61"/>
    <w:rsid w:val="002A3DC7"/>
    <w:rsid w:val="002A46F4"/>
    <w:rsid w:val="002A4B59"/>
    <w:rsid w:val="002A588B"/>
    <w:rsid w:val="002A662E"/>
    <w:rsid w:val="002B039C"/>
    <w:rsid w:val="002B15C7"/>
    <w:rsid w:val="002B33D0"/>
    <w:rsid w:val="002B3665"/>
    <w:rsid w:val="002B49E2"/>
    <w:rsid w:val="002B7B00"/>
    <w:rsid w:val="002B7C44"/>
    <w:rsid w:val="002C2B17"/>
    <w:rsid w:val="002C45B6"/>
    <w:rsid w:val="002C56AB"/>
    <w:rsid w:val="002C69DF"/>
    <w:rsid w:val="002C6AC4"/>
    <w:rsid w:val="002C7124"/>
    <w:rsid w:val="002D3DD0"/>
    <w:rsid w:val="002D421E"/>
    <w:rsid w:val="002D4899"/>
    <w:rsid w:val="002D490E"/>
    <w:rsid w:val="002D5001"/>
    <w:rsid w:val="002D5A13"/>
    <w:rsid w:val="002E02CF"/>
    <w:rsid w:val="002E1F3A"/>
    <w:rsid w:val="002E298A"/>
    <w:rsid w:val="002E3144"/>
    <w:rsid w:val="002E6967"/>
    <w:rsid w:val="002F17A4"/>
    <w:rsid w:val="002F1A99"/>
    <w:rsid w:val="002F23E4"/>
    <w:rsid w:val="002F29A1"/>
    <w:rsid w:val="002F389C"/>
    <w:rsid w:val="002F403A"/>
    <w:rsid w:val="002F718A"/>
    <w:rsid w:val="00301978"/>
    <w:rsid w:val="00301B59"/>
    <w:rsid w:val="0030332C"/>
    <w:rsid w:val="003051C2"/>
    <w:rsid w:val="00305CE7"/>
    <w:rsid w:val="00305E65"/>
    <w:rsid w:val="003078DF"/>
    <w:rsid w:val="003101FD"/>
    <w:rsid w:val="00312296"/>
    <w:rsid w:val="00314F0E"/>
    <w:rsid w:val="00315C7F"/>
    <w:rsid w:val="00315DC7"/>
    <w:rsid w:val="00321249"/>
    <w:rsid w:val="00321D8E"/>
    <w:rsid w:val="00322048"/>
    <w:rsid w:val="00322510"/>
    <w:rsid w:val="00325928"/>
    <w:rsid w:val="003261E7"/>
    <w:rsid w:val="00327CB1"/>
    <w:rsid w:val="00327F52"/>
    <w:rsid w:val="00330834"/>
    <w:rsid w:val="0033227E"/>
    <w:rsid w:val="00332863"/>
    <w:rsid w:val="00336784"/>
    <w:rsid w:val="0033684D"/>
    <w:rsid w:val="00337B42"/>
    <w:rsid w:val="0034121D"/>
    <w:rsid w:val="00341B42"/>
    <w:rsid w:val="0034348F"/>
    <w:rsid w:val="00344C33"/>
    <w:rsid w:val="003471C9"/>
    <w:rsid w:val="003522AB"/>
    <w:rsid w:val="00353020"/>
    <w:rsid w:val="003530C5"/>
    <w:rsid w:val="00353FF8"/>
    <w:rsid w:val="00355ADA"/>
    <w:rsid w:val="00356653"/>
    <w:rsid w:val="00356709"/>
    <w:rsid w:val="0035743F"/>
    <w:rsid w:val="00357BE2"/>
    <w:rsid w:val="00360C1D"/>
    <w:rsid w:val="0036170C"/>
    <w:rsid w:val="00362EB8"/>
    <w:rsid w:val="003634E8"/>
    <w:rsid w:val="00365F9A"/>
    <w:rsid w:val="0036626C"/>
    <w:rsid w:val="00366A4D"/>
    <w:rsid w:val="00366E0F"/>
    <w:rsid w:val="003677E8"/>
    <w:rsid w:val="00370AA9"/>
    <w:rsid w:val="00372085"/>
    <w:rsid w:val="00372932"/>
    <w:rsid w:val="0037312D"/>
    <w:rsid w:val="00374BDB"/>
    <w:rsid w:val="003752C8"/>
    <w:rsid w:val="0038175E"/>
    <w:rsid w:val="00381A72"/>
    <w:rsid w:val="00382EFA"/>
    <w:rsid w:val="003834BF"/>
    <w:rsid w:val="00384676"/>
    <w:rsid w:val="00385ED6"/>
    <w:rsid w:val="00386300"/>
    <w:rsid w:val="00386ED9"/>
    <w:rsid w:val="00387553"/>
    <w:rsid w:val="00390857"/>
    <w:rsid w:val="00392EE6"/>
    <w:rsid w:val="003943F9"/>
    <w:rsid w:val="003957A9"/>
    <w:rsid w:val="00397923"/>
    <w:rsid w:val="003A2B23"/>
    <w:rsid w:val="003A4BF3"/>
    <w:rsid w:val="003A5FF6"/>
    <w:rsid w:val="003B1215"/>
    <w:rsid w:val="003B420D"/>
    <w:rsid w:val="003B4B63"/>
    <w:rsid w:val="003B5784"/>
    <w:rsid w:val="003B62A7"/>
    <w:rsid w:val="003B62E3"/>
    <w:rsid w:val="003B7178"/>
    <w:rsid w:val="003B7601"/>
    <w:rsid w:val="003C0F65"/>
    <w:rsid w:val="003C614D"/>
    <w:rsid w:val="003C6C16"/>
    <w:rsid w:val="003C75D6"/>
    <w:rsid w:val="003C79BA"/>
    <w:rsid w:val="003D2D95"/>
    <w:rsid w:val="003D43CC"/>
    <w:rsid w:val="003D4544"/>
    <w:rsid w:val="003D4D78"/>
    <w:rsid w:val="003D7647"/>
    <w:rsid w:val="003D794D"/>
    <w:rsid w:val="003E04C2"/>
    <w:rsid w:val="003E0FF4"/>
    <w:rsid w:val="003E2300"/>
    <w:rsid w:val="003E3058"/>
    <w:rsid w:val="003E41D0"/>
    <w:rsid w:val="003E58F3"/>
    <w:rsid w:val="003E76A9"/>
    <w:rsid w:val="003F01C7"/>
    <w:rsid w:val="003F0809"/>
    <w:rsid w:val="003F1798"/>
    <w:rsid w:val="003F2417"/>
    <w:rsid w:val="003F2AF2"/>
    <w:rsid w:val="003F56E7"/>
    <w:rsid w:val="003F6A8C"/>
    <w:rsid w:val="003F755C"/>
    <w:rsid w:val="00400F54"/>
    <w:rsid w:val="004024BB"/>
    <w:rsid w:val="00403200"/>
    <w:rsid w:val="00403F55"/>
    <w:rsid w:val="004061D1"/>
    <w:rsid w:val="00406F01"/>
    <w:rsid w:val="0041058F"/>
    <w:rsid w:val="004114BC"/>
    <w:rsid w:val="0041190B"/>
    <w:rsid w:val="00412919"/>
    <w:rsid w:val="00416D50"/>
    <w:rsid w:val="00416FD5"/>
    <w:rsid w:val="00417772"/>
    <w:rsid w:val="00420D6E"/>
    <w:rsid w:val="00420E6A"/>
    <w:rsid w:val="00421362"/>
    <w:rsid w:val="00421CEE"/>
    <w:rsid w:val="00425A9E"/>
    <w:rsid w:val="00426901"/>
    <w:rsid w:val="00426D6B"/>
    <w:rsid w:val="00430312"/>
    <w:rsid w:val="00431E6C"/>
    <w:rsid w:val="00433CE7"/>
    <w:rsid w:val="00436926"/>
    <w:rsid w:val="00436EDC"/>
    <w:rsid w:val="004370BF"/>
    <w:rsid w:val="00441076"/>
    <w:rsid w:val="004410CB"/>
    <w:rsid w:val="00442DEE"/>
    <w:rsid w:val="004431C5"/>
    <w:rsid w:val="004446F6"/>
    <w:rsid w:val="00445945"/>
    <w:rsid w:val="004476E7"/>
    <w:rsid w:val="00447D89"/>
    <w:rsid w:val="00447DB8"/>
    <w:rsid w:val="00450EDE"/>
    <w:rsid w:val="00452738"/>
    <w:rsid w:val="00452D7D"/>
    <w:rsid w:val="004530A6"/>
    <w:rsid w:val="0045592D"/>
    <w:rsid w:val="00455E2B"/>
    <w:rsid w:val="00456091"/>
    <w:rsid w:val="00457DA5"/>
    <w:rsid w:val="00460FD5"/>
    <w:rsid w:val="00464746"/>
    <w:rsid w:val="00464A79"/>
    <w:rsid w:val="00466321"/>
    <w:rsid w:val="00466674"/>
    <w:rsid w:val="00470299"/>
    <w:rsid w:val="004705B2"/>
    <w:rsid w:val="00470CFF"/>
    <w:rsid w:val="00471BD7"/>
    <w:rsid w:val="00473397"/>
    <w:rsid w:val="004749B2"/>
    <w:rsid w:val="004774DA"/>
    <w:rsid w:val="0048043E"/>
    <w:rsid w:val="00482A38"/>
    <w:rsid w:val="00484B9B"/>
    <w:rsid w:val="004855F6"/>
    <w:rsid w:val="00485FBB"/>
    <w:rsid w:val="004864FB"/>
    <w:rsid w:val="0048661E"/>
    <w:rsid w:val="00491C54"/>
    <w:rsid w:val="00491F1A"/>
    <w:rsid w:val="00493AA8"/>
    <w:rsid w:val="00494670"/>
    <w:rsid w:val="004948EE"/>
    <w:rsid w:val="004966DB"/>
    <w:rsid w:val="00496800"/>
    <w:rsid w:val="00496E11"/>
    <w:rsid w:val="004A2BD1"/>
    <w:rsid w:val="004A3823"/>
    <w:rsid w:val="004A51E6"/>
    <w:rsid w:val="004A5657"/>
    <w:rsid w:val="004A607B"/>
    <w:rsid w:val="004A7245"/>
    <w:rsid w:val="004A7BF8"/>
    <w:rsid w:val="004B041A"/>
    <w:rsid w:val="004B1707"/>
    <w:rsid w:val="004B3840"/>
    <w:rsid w:val="004B5AE4"/>
    <w:rsid w:val="004B7277"/>
    <w:rsid w:val="004C2079"/>
    <w:rsid w:val="004C2120"/>
    <w:rsid w:val="004C3435"/>
    <w:rsid w:val="004C4930"/>
    <w:rsid w:val="004C5638"/>
    <w:rsid w:val="004C6FB0"/>
    <w:rsid w:val="004C779A"/>
    <w:rsid w:val="004D1DEA"/>
    <w:rsid w:val="004D2BDA"/>
    <w:rsid w:val="004D3196"/>
    <w:rsid w:val="004D7C09"/>
    <w:rsid w:val="004E0BC1"/>
    <w:rsid w:val="004E2C1C"/>
    <w:rsid w:val="004E387F"/>
    <w:rsid w:val="004E3B52"/>
    <w:rsid w:val="004E5CB1"/>
    <w:rsid w:val="004E6946"/>
    <w:rsid w:val="004F0C70"/>
    <w:rsid w:val="004F1AD8"/>
    <w:rsid w:val="004F3A41"/>
    <w:rsid w:val="004F60CA"/>
    <w:rsid w:val="005003DA"/>
    <w:rsid w:val="005039CB"/>
    <w:rsid w:val="0050558F"/>
    <w:rsid w:val="00506286"/>
    <w:rsid w:val="00510813"/>
    <w:rsid w:val="00510D44"/>
    <w:rsid w:val="00511280"/>
    <w:rsid w:val="00511990"/>
    <w:rsid w:val="00511DE0"/>
    <w:rsid w:val="00512AED"/>
    <w:rsid w:val="00512E34"/>
    <w:rsid w:val="005131FD"/>
    <w:rsid w:val="005138C4"/>
    <w:rsid w:val="00514870"/>
    <w:rsid w:val="00514B9B"/>
    <w:rsid w:val="00517D0D"/>
    <w:rsid w:val="00517F02"/>
    <w:rsid w:val="00520924"/>
    <w:rsid w:val="005218FA"/>
    <w:rsid w:val="00522587"/>
    <w:rsid w:val="00523B73"/>
    <w:rsid w:val="00524303"/>
    <w:rsid w:val="00524E7E"/>
    <w:rsid w:val="005258A2"/>
    <w:rsid w:val="00527DA5"/>
    <w:rsid w:val="005372DD"/>
    <w:rsid w:val="00537625"/>
    <w:rsid w:val="00537850"/>
    <w:rsid w:val="00540121"/>
    <w:rsid w:val="005401AE"/>
    <w:rsid w:val="005424BB"/>
    <w:rsid w:val="00542E07"/>
    <w:rsid w:val="00543180"/>
    <w:rsid w:val="005439E9"/>
    <w:rsid w:val="00544101"/>
    <w:rsid w:val="00545424"/>
    <w:rsid w:val="005457D4"/>
    <w:rsid w:val="0054755C"/>
    <w:rsid w:val="00550ED0"/>
    <w:rsid w:val="00554997"/>
    <w:rsid w:val="00554A7B"/>
    <w:rsid w:val="00554CE0"/>
    <w:rsid w:val="0055572C"/>
    <w:rsid w:val="00555F71"/>
    <w:rsid w:val="005564E3"/>
    <w:rsid w:val="005565C8"/>
    <w:rsid w:val="00557129"/>
    <w:rsid w:val="0056106A"/>
    <w:rsid w:val="0056352A"/>
    <w:rsid w:val="00563CAF"/>
    <w:rsid w:val="00564A53"/>
    <w:rsid w:val="005667F9"/>
    <w:rsid w:val="005703B9"/>
    <w:rsid w:val="005720AE"/>
    <w:rsid w:val="00572408"/>
    <w:rsid w:val="005727D3"/>
    <w:rsid w:val="005777CE"/>
    <w:rsid w:val="00580F90"/>
    <w:rsid w:val="0058272B"/>
    <w:rsid w:val="00586A37"/>
    <w:rsid w:val="00586C65"/>
    <w:rsid w:val="0059002B"/>
    <w:rsid w:val="00591295"/>
    <w:rsid w:val="00592246"/>
    <w:rsid w:val="00592499"/>
    <w:rsid w:val="00594D77"/>
    <w:rsid w:val="00596162"/>
    <w:rsid w:val="005969E4"/>
    <w:rsid w:val="005A06B7"/>
    <w:rsid w:val="005A0DB1"/>
    <w:rsid w:val="005A0FB6"/>
    <w:rsid w:val="005A1759"/>
    <w:rsid w:val="005A1812"/>
    <w:rsid w:val="005A4F00"/>
    <w:rsid w:val="005A68A7"/>
    <w:rsid w:val="005B26E9"/>
    <w:rsid w:val="005B4273"/>
    <w:rsid w:val="005B701A"/>
    <w:rsid w:val="005C2320"/>
    <w:rsid w:val="005C686A"/>
    <w:rsid w:val="005C6A38"/>
    <w:rsid w:val="005D00CF"/>
    <w:rsid w:val="005D0234"/>
    <w:rsid w:val="005D02D5"/>
    <w:rsid w:val="005D1428"/>
    <w:rsid w:val="005D28EC"/>
    <w:rsid w:val="005D36AB"/>
    <w:rsid w:val="005D4B60"/>
    <w:rsid w:val="005D53AC"/>
    <w:rsid w:val="005D638B"/>
    <w:rsid w:val="005D7526"/>
    <w:rsid w:val="005E1B55"/>
    <w:rsid w:val="005E2888"/>
    <w:rsid w:val="005E490E"/>
    <w:rsid w:val="005E5884"/>
    <w:rsid w:val="005E79E9"/>
    <w:rsid w:val="005F06E9"/>
    <w:rsid w:val="005F2403"/>
    <w:rsid w:val="005F2F0E"/>
    <w:rsid w:val="005F481F"/>
    <w:rsid w:val="005F4961"/>
    <w:rsid w:val="005F4A7E"/>
    <w:rsid w:val="005F65CD"/>
    <w:rsid w:val="005F699F"/>
    <w:rsid w:val="005F6B1B"/>
    <w:rsid w:val="005F7D57"/>
    <w:rsid w:val="006029F2"/>
    <w:rsid w:val="006036FE"/>
    <w:rsid w:val="0060587C"/>
    <w:rsid w:val="006111FD"/>
    <w:rsid w:val="00612FE0"/>
    <w:rsid w:val="00613881"/>
    <w:rsid w:val="00615497"/>
    <w:rsid w:val="00615963"/>
    <w:rsid w:val="00615CB1"/>
    <w:rsid w:val="00617853"/>
    <w:rsid w:val="00617CC3"/>
    <w:rsid w:val="006225C2"/>
    <w:rsid w:val="006231CF"/>
    <w:rsid w:val="00623B13"/>
    <w:rsid w:val="00624327"/>
    <w:rsid w:val="006248E5"/>
    <w:rsid w:val="00627570"/>
    <w:rsid w:val="00632F3A"/>
    <w:rsid w:val="006353DD"/>
    <w:rsid w:val="006355B8"/>
    <w:rsid w:val="00635607"/>
    <w:rsid w:val="006363E1"/>
    <w:rsid w:val="006371C6"/>
    <w:rsid w:val="006377A6"/>
    <w:rsid w:val="00637A3D"/>
    <w:rsid w:val="006411EF"/>
    <w:rsid w:val="00641A43"/>
    <w:rsid w:val="00644720"/>
    <w:rsid w:val="00645B83"/>
    <w:rsid w:val="00647479"/>
    <w:rsid w:val="0064764E"/>
    <w:rsid w:val="00651077"/>
    <w:rsid w:val="0065136B"/>
    <w:rsid w:val="0065447B"/>
    <w:rsid w:val="006577D7"/>
    <w:rsid w:val="00660DCF"/>
    <w:rsid w:val="0066367B"/>
    <w:rsid w:val="00671A28"/>
    <w:rsid w:val="00671FF5"/>
    <w:rsid w:val="006748B8"/>
    <w:rsid w:val="00675B8E"/>
    <w:rsid w:val="00675CEB"/>
    <w:rsid w:val="0067692F"/>
    <w:rsid w:val="00676D33"/>
    <w:rsid w:val="006775C3"/>
    <w:rsid w:val="00677B79"/>
    <w:rsid w:val="00682C8E"/>
    <w:rsid w:val="006836D3"/>
    <w:rsid w:val="0069290A"/>
    <w:rsid w:val="00692A84"/>
    <w:rsid w:val="00693BB8"/>
    <w:rsid w:val="00696BC8"/>
    <w:rsid w:val="006975B0"/>
    <w:rsid w:val="0069775A"/>
    <w:rsid w:val="00697813"/>
    <w:rsid w:val="006A09B0"/>
    <w:rsid w:val="006A3EE8"/>
    <w:rsid w:val="006A52D9"/>
    <w:rsid w:val="006A72BF"/>
    <w:rsid w:val="006B03F2"/>
    <w:rsid w:val="006B150B"/>
    <w:rsid w:val="006B37DC"/>
    <w:rsid w:val="006B4F68"/>
    <w:rsid w:val="006B6586"/>
    <w:rsid w:val="006B7885"/>
    <w:rsid w:val="006C0592"/>
    <w:rsid w:val="006C272E"/>
    <w:rsid w:val="006C2E19"/>
    <w:rsid w:val="006C4CB7"/>
    <w:rsid w:val="006C5479"/>
    <w:rsid w:val="006C60C4"/>
    <w:rsid w:val="006D13B5"/>
    <w:rsid w:val="006D1640"/>
    <w:rsid w:val="006D24FB"/>
    <w:rsid w:val="006D2B74"/>
    <w:rsid w:val="006D3885"/>
    <w:rsid w:val="006D3DCD"/>
    <w:rsid w:val="006D3FE7"/>
    <w:rsid w:val="006D71B9"/>
    <w:rsid w:val="006E0B6F"/>
    <w:rsid w:val="006E12FF"/>
    <w:rsid w:val="006E39E7"/>
    <w:rsid w:val="006E607E"/>
    <w:rsid w:val="006F06CD"/>
    <w:rsid w:val="006F28A1"/>
    <w:rsid w:val="006F4543"/>
    <w:rsid w:val="006F696F"/>
    <w:rsid w:val="0070121A"/>
    <w:rsid w:val="00701851"/>
    <w:rsid w:val="00703B02"/>
    <w:rsid w:val="00704382"/>
    <w:rsid w:val="00704613"/>
    <w:rsid w:val="007047C5"/>
    <w:rsid w:val="007050DE"/>
    <w:rsid w:val="00706C5D"/>
    <w:rsid w:val="00707F30"/>
    <w:rsid w:val="00711BE2"/>
    <w:rsid w:val="007123F8"/>
    <w:rsid w:val="007128F1"/>
    <w:rsid w:val="0071362C"/>
    <w:rsid w:val="007215CB"/>
    <w:rsid w:val="0072214D"/>
    <w:rsid w:val="00723EE2"/>
    <w:rsid w:val="00726D19"/>
    <w:rsid w:val="00732922"/>
    <w:rsid w:val="00733D46"/>
    <w:rsid w:val="007400AE"/>
    <w:rsid w:val="00740C55"/>
    <w:rsid w:val="0074259B"/>
    <w:rsid w:val="007444DC"/>
    <w:rsid w:val="00744D87"/>
    <w:rsid w:val="0074561E"/>
    <w:rsid w:val="00750022"/>
    <w:rsid w:val="0075162E"/>
    <w:rsid w:val="007531DC"/>
    <w:rsid w:val="00754034"/>
    <w:rsid w:val="00754549"/>
    <w:rsid w:val="007559D6"/>
    <w:rsid w:val="00756435"/>
    <w:rsid w:val="00756556"/>
    <w:rsid w:val="00756919"/>
    <w:rsid w:val="00756E96"/>
    <w:rsid w:val="007618C4"/>
    <w:rsid w:val="00761F6A"/>
    <w:rsid w:val="0076310B"/>
    <w:rsid w:val="007676F5"/>
    <w:rsid w:val="00767980"/>
    <w:rsid w:val="0077014B"/>
    <w:rsid w:val="0077026E"/>
    <w:rsid w:val="00770B19"/>
    <w:rsid w:val="0077405D"/>
    <w:rsid w:val="0077463F"/>
    <w:rsid w:val="00775F98"/>
    <w:rsid w:val="00776144"/>
    <w:rsid w:val="0077622C"/>
    <w:rsid w:val="0078115E"/>
    <w:rsid w:val="0078173B"/>
    <w:rsid w:val="007836EA"/>
    <w:rsid w:val="00784658"/>
    <w:rsid w:val="0078483C"/>
    <w:rsid w:val="00784CDA"/>
    <w:rsid w:val="00785DC8"/>
    <w:rsid w:val="00786029"/>
    <w:rsid w:val="007906C4"/>
    <w:rsid w:val="00790A05"/>
    <w:rsid w:val="007940EA"/>
    <w:rsid w:val="00795F26"/>
    <w:rsid w:val="007967E8"/>
    <w:rsid w:val="0079690A"/>
    <w:rsid w:val="007A01A0"/>
    <w:rsid w:val="007A1297"/>
    <w:rsid w:val="007A2170"/>
    <w:rsid w:val="007A22BF"/>
    <w:rsid w:val="007A2884"/>
    <w:rsid w:val="007A3323"/>
    <w:rsid w:val="007A5C65"/>
    <w:rsid w:val="007A6D09"/>
    <w:rsid w:val="007A6FCF"/>
    <w:rsid w:val="007A7514"/>
    <w:rsid w:val="007A75AD"/>
    <w:rsid w:val="007B478C"/>
    <w:rsid w:val="007B72B8"/>
    <w:rsid w:val="007B7A58"/>
    <w:rsid w:val="007C02C1"/>
    <w:rsid w:val="007C14FC"/>
    <w:rsid w:val="007C21B5"/>
    <w:rsid w:val="007C37B9"/>
    <w:rsid w:val="007C37D5"/>
    <w:rsid w:val="007C41A8"/>
    <w:rsid w:val="007D4296"/>
    <w:rsid w:val="007D7C07"/>
    <w:rsid w:val="007D7E2D"/>
    <w:rsid w:val="007E4BD2"/>
    <w:rsid w:val="007E6E89"/>
    <w:rsid w:val="007E7215"/>
    <w:rsid w:val="007E7240"/>
    <w:rsid w:val="007F17DE"/>
    <w:rsid w:val="007F2099"/>
    <w:rsid w:val="007F30B0"/>
    <w:rsid w:val="007F32C9"/>
    <w:rsid w:val="00800735"/>
    <w:rsid w:val="00801393"/>
    <w:rsid w:val="00801AEE"/>
    <w:rsid w:val="00802F88"/>
    <w:rsid w:val="008052A8"/>
    <w:rsid w:val="008056FE"/>
    <w:rsid w:val="00806C6C"/>
    <w:rsid w:val="00812455"/>
    <w:rsid w:val="0081275B"/>
    <w:rsid w:val="0081293E"/>
    <w:rsid w:val="00814686"/>
    <w:rsid w:val="00815465"/>
    <w:rsid w:val="00815B62"/>
    <w:rsid w:val="008167B9"/>
    <w:rsid w:val="00816DEB"/>
    <w:rsid w:val="00817E9A"/>
    <w:rsid w:val="00817F9A"/>
    <w:rsid w:val="0082032C"/>
    <w:rsid w:val="00821365"/>
    <w:rsid w:val="0082253B"/>
    <w:rsid w:val="00822F48"/>
    <w:rsid w:val="00823D57"/>
    <w:rsid w:val="00824590"/>
    <w:rsid w:val="00824BE5"/>
    <w:rsid w:val="00824EB8"/>
    <w:rsid w:val="00824F2A"/>
    <w:rsid w:val="008306BD"/>
    <w:rsid w:val="00831A80"/>
    <w:rsid w:val="00833743"/>
    <w:rsid w:val="008340A4"/>
    <w:rsid w:val="008361BA"/>
    <w:rsid w:val="008367EB"/>
    <w:rsid w:val="008378D0"/>
    <w:rsid w:val="00837C38"/>
    <w:rsid w:val="0084305A"/>
    <w:rsid w:val="008513CD"/>
    <w:rsid w:val="00853397"/>
    <w:rsid w:val="0085652D"/>
    <w:rsid w:val="0085714F"/>
    <w:rsid w:val="00860EB1"/>
    <w:rsid w:val="00861A30"/>
    <w:rsid w:val="00862405"/>
    <w:rsid w:val="008628A0"/>
    <w:rsid w:val="00867311"/>
    <w:rsid w:val="00867475"/>
    <w:rsid w:val="0087135F"/>
    <w:rsid w:val="00872D94"/>
    <w:rsid w:val="00874C28"/>
    <w:rsid w:val="00880364"/>
    <w:rsid w:val="00885529"/>
    <w:rsid w:val="00887402"/>
    <w:rsid w:val="0088766C"/>
    <w:rsid w:val="00890E02"/>
    <w:rsid w:val="00891592"/>
    <w:rsid w:val="00891E9E"/>
    <w:rsid w:val="008924AC"/>
    <w:rsid w:val="0089366C"/>
    <w:rsid w:val="00893EB1"/>
    <w:rsid w:val="00896501"/>
    <w:rsid w:val="008A13D3"/>
    <w:rsid w:val="008A170C"/>
    <w:rsid w:val="008A24F0"/>
    <w:rsid w:val="008A2F68"/>
    <w:rsid w:val="008A4271"/>
    <w:rsid w:val="008A4520"/>
    <w:rsid w:val="008A478F"/>
    <w:rsid w:val="008B032E"/>
    <w:rsid w:val="008B1170"/>
    <w:rsid w:val="008B14AB"/>
    <w:rsid w:val="008B1754"/>
    <w:rsid w:val="008B1CFD"/>
    <w:rsid w:val="008B4121"/>
    <w:rsid w:val="008B4AEC"/>
    <w:rsid w:val="008B4FA6"/>
    <w:rsid w:val="008B5282"/>
    <w:rsid w:val="008B7C17"/>
    <w:rsid w:val="008C2D01"/>
    <w:rsid w:val="008C2EDE"/>
    <w:rsid w:val="008C32DF"/>
    <w:rsid w:val="008C3A20"/>
    <w:rsid w:val="008C40E6"/>
    <w:rsid w:val="008C45F2"/>
    <w:rsid w:val="008C5B1A"/>
    <w:rsid w:val="008C6C96"/>
    <w:rsid w:val="008D0F7A"/>
    <w:rsid w:val="008D5E2B"/>
    <w:rsid w:val="008D68E4"/>
    <w:rsid w:val="008E0506"/>
    <w:rsid w:val="008E0CFF"/>
    <w:rsid w:val="008E1DB2"/>
    <w:rsid w:val="008E2540"/>
    <w:rsid w:val="008E2BBD"/>
    <w:rsid w:val="008E5D6B"/>
    <w:rsid w:val="008E76F0"/>
    <w:rsid w:val="008E7856"/>
    <w:rsid w:val="008F14F4"/>
    <w:rsid w:val="008F15FE"/>
    <w:rsid w:val="008F16EE"/>
    <w:rsid w:val="008F2BAF"/>
    <w:rsid w:val="008F2D29"/>
    <w:rsid w:val="008F5187"/>
    <w:rsid w:val="008F5A1C"/>
    <w:rsid w:val="008F5B31"/>
    <w:rsid w:val="008F60A3"/>
    <w:rsid w:val="008F60D8"/>
    <w:rsid w:val="008F6548"/>
    <w:rsid w:val="008F6ADC"/>
    <w:rsid w:val="00900B3A"/>
    <w:rsid w:val="00900EA2"/>
    <w:rsid w:val="00902727"/>
    <w:rsid w:val="00902D09"/>
    <w:rsid w:val="00903067"/>
    <w:rsid w:val="0090312B"/>
    <w:rsid w:val="00905601"/>
    <w:rsid w:val="0090656A"/>
    <w:rsid w:val="009073CD"/>
    <w:rsid w:val="009078A0"/>
    <w:rsid w:val="00910896"/>
    <w:rsid w:val="00913B80"/>
    <w:rsid w:val="00915F09"/>
    <w:rsid w:val="0091736D"/>
    <w:rsid w:val="009178AB"/>
    <w:rsid w:val="0092006F"/>
    <w:rsid w:val="00925E70"/>
    <w:rsid w:val="00930024"/>
    <w:rsid w:val="0093037A"/>
    <w:rsid w:val="00930925"/>
    <w:rsid w:val="0093388A"/>
    <w:rsid w:val="00935B8E"/>
    <w:rsid w:val="0093634D"/>
    <w:rsid w:val="009376F7"/>
    <w:rsid w:val="00937A3A"/>
    <w:rsid w:val="0094097D"/>
    <w:rsid w:val="0094154D"/>
    <w:rsid w:val="009442B1"/>
    <w:rsid w:val="0095076D"/>
    <w:rsid w:val="0095155F"/>
    <w:rsid w:val="00952706"/>
    <w:rsid w:val="0095434A"/>
    <w:rsid w:val="00954429"/>
    <w:rsid w:val="009563CE"/>
    <w:rsid w:val="00957C05"/>
    <w:rsid w:val="00960BAF"/>
    <w:rsid w:val="0096358B"/>
    <w:rsid w:val="0096365C"/>
    <w:rsid w:val="00965A71"/>
    <w:rsid w:val="00967ADA"/>
    <w:rsid w:val="00970987"/>
    <w:rsid w:val="00973F54"/>
    <w:rsid w:val="009741F8"/>
    <w:rsid w:val="00975970"/>
    <w:rsid w:val="00976328"/>
    <w:rsid w:val="0097680D"/>
    <w:rsid w:val="009769CA"/>
    <w:rsid w:val="009775AC"/>
    <w:rsid w:val="009809F4"/>
    <w:rsid w:val="00981857"/>
    <w:rsid w:val="00982086"/>
    <w:rsid w:val="00982438"/>
    <w:rsid w:val="00983F9F"/>
    <w:rsid w:val="0098404C"/>
    <w:rsid w:val="00985283"/>
    <w:rsid w:val="009860EF"/>
    <w:rsid w:val="009902F5"/>
    <w:rsid w:val="009909DF"/>
    <w:rsid w:val="00993A1E"/>
    <w:rsid w:val="00995992"/>
    <w:rsid w:val="00996D2B"/>
    <w:rsid w:val="009A03E5"/>
    <w:rsid w:val="009A0F3B"/>
    <w:rsid w:val="009A1BB4"/>
    <w:rsid w:val="009A2628"/>
    <w:rsid w:val="009A2DC7"/>
    <w:rsid w:val="009A3200"/>
    <w:rsid w:val="009A3AF5"/>
    <w:rsid w:val="009B0897"/>
    <w:rsid w:val="009B0F36"/>
    <w:rsid w:val="009B2166"/>
    <w:rsid w:val="009B3978"/>
    <w:rsid w:val="009B7BD9"/>
    <w:rsid w:val="009C0C19"/>
    <w:rsid w:val="009C611A"/>
    <w:rsid w:val="009C7DD5"/>
    <w:rsid w:val="009D11B1"/>
    <w:rsid w:val="009D1FFB"/>
    <w:rsid w:val="009D26CB"/>
    <w:rsid w:val="009D32C2"/>
    <w:rsid w:val="009D4549"/>
    <w:rsid w:val="009E1929"/>
    <w:rsid w:val="009E227D"/>
    <w:rsid w:val="009E229B"/>
    <w:rsid w:val="009E264A"/>
    <w:rsid w:val="009E3C2E"/>
    <w:rsid w:val="009E5019"/>
    <w:rsid w:val="009E617E"/>
    <w:rsid w:val="009E674D"/>
    <w:rsid w:val="009E6DF5"/>
    <w:rsid w:val="009F0074"/>
    <w:rsid w:val="009F3C06"/>
    <w:rsid w:val="009F432F"/>
    <w:rsid w:val="009F6C54"/>
    <w:rsid w:val="00A00EB7"/>
    <w:rsid w:val="00A028EF"/>
    <w:rsid w:val="00A03E85"/>
    <w:rsid w:val="00A04F1B"/>
    <w:rsid w:val="00A0501B"/>
    <w:rsid w:val="00A06888"/>
    <w:rsid w:val="00A1080C"/>
    <w:rsid w:val="00A1085C"/>
    <w:rsid w:val="00A14947"/>
    <w:rsid w:val="00A16A4C"/>
    <w:rsid w:val="00A20A73"/>
    <w:rsid w:val="00A22BE5"/>
    <w:rsid w:val="00A268B7"/>
    <w:rsid w:val="00A27074"/>
    <w:rsid w:val="00A32A83"/>
    <w:rsid w:val="00A33196"/>
    <w:rsid w:val="00A33E91"/>
    <w:rsid w:val="00A364B9"/>
    <w:rsid w:val="00A368DB"/>
    <w:rsid w:val="00A4020F"/>
    <w:rsid w:val="00A423AA"/>
    <w:rsid w:val="00A43AE7"/>
    <w:rsid w:val="00A46576"/>
    <w:rsid w:val="00A5025F"/>
    <w:rsid w:val="00A52198"/>
    <w:rsid w:val="00A52242"/>
    <w:rsid w:val="00A53EC6"/>
    <w:rsid w:val="00A55C0F"/>
    <w:rsid w:val="00A56911"/>
    <w:rsid w:val="00A60063"/>
    <w:rsid w:val="00A615B9"/>
    <w:rsid w:val="00A62AD2"/>
    <w:rsid w:val="00A636AA"/>
    <w:rsid w:val="00A64BA3"/>
    <w:rsid w:val="00A64C96"/>
    <w:rsid w:val="00A6570C"/>
    <w:rsid w:val="00A70564"/>
    <w:rsid w:val="00A728CE"/>
    <w:rsid w:val="00A73DBF"/>
    <w:rsid w:val="00A75864"/>
    <w:rsid w:val="00A75CA2"/>
    <w:rsid w:val="00A77C8F"/>
    <w:rsid w:val="00A81E64"/>
    <w:rsid w:val="00A82233"/>
    <w:rsid w:val="00A838E1"/>
    <w:rsid w:val="00A84A9F"/>
    <w:rsid w:val="00A84B64"/>
    <w:rsid w:val="00A84DC9"/>
    <w:rsid w:val="00A84F6E"/>
    <w:rsid w:val="00A85ABA"/>
    <w:rsid w:val="00A86DF7"/>
    <w:rsid w:val="00A8713F"/>
    <w:rsid w:val="00A9009D"/>
    <w:rsid w:val="00A90313"/>
    <w:rsid w:val="00A90BA1"/>
    <w:rsid w:val="00A926D9"/>
    <w:rsid w:val="00A9492E"/>
    <w:rsid w:val="00A949A2"/>
    <w:rsid w:val="00A97A9A"/>
    <w:rsid w:val="00AA0671"/>
    <w:rsid w:val="00AA2361"/>
    <w:rsid w:val="00AA2531"/>
    <w:rsid w:val="00AA3347"/>
    <w:rsid w:val="00AA3A0E"/>
    <w:rsid w:val="00AA4972"/>
    <w:rsid w:val="00AB0BA2"/>
    <w:rsid w:val="00AB1940"/>
    <w:rsid w:val="00AB1E09"/>
    <w:rsid w:val="00AB214A"/>
    <w:rsid w:val="00AB238F"/>
    <w:rsid w:val="00AB2440"/>
    <w:rsid w:val="00AB5330"/>
    <w:rsid w:val="00AB7359"/>
    <w:rsid w:val="00AB7747"/>
    <w:rsid w:val="00AC04A9"/>
    <w:rsid w:val="00AC14CE"/>
    <w:rsid w:val="00AC2A56"/>
    <w:rsid w:val="00AC4037"/>
    <w:rsid w:val="00AC5430"/>
    <w:rsid w:val="00AC5E22"/>
    <w:rsid w:val="00AD055E"/>
    <w:rsid w:val="00AD115A"/>
    <w:rsid w:val="00AD154F"/>
    <w:rsid w:val="00AD47A7"/>
    <w:rsid w:val="00AD75BA"/>
    <w:rsid w:val="00AE05CE"/>
    <w:rsid w:val="00AE292B"/>
    <w:rsid w:val="00AE2DB9"/>
    <w:rsid w:val="00AE566C"/>
    <w:rsid w:val="00AF0265"/>
    <w:rsid w:val="00AF0CBF"/>
    <w:rsid w:val="00AF1F13"/>
    <w:rsid w:val="00AF2109"/>
    <w:rsid w:val="00AF257F"/>
    <w:rsid w:val="00AF33CF"/>
    <w:rsid w:val="00AF37D5"/>
    <w:rsid w:val="00AF385E"/>
    <w:rsid w:val="00AF44B5"/>
    <w:rsid w:val="00AF4B20"/>
    <w:rsid w:val="00AF4D50"/>
    <w:rsid w:val="00AF5647"/>
    <w:rsid w:val="00AF6179"/>
    <w:rsid w:val="00AF62D3"/>
    <w:rsid w:val="00AF6EDA"/>
    <w:rsid w:val="00B04A49"/>
    <w:rsid w:val="00B04C3A"/>
    <w:rsid w:val="00B059C6"/>
    <w:rsid w:val="00B06D8A"/>
    <w:rsid w:val="00B07BB1"/>
    <w:rsid w:val="00B10BF4"/>
    <w:rsid w:val="00B12059"/>
    <w:rsid w:val="00B1295A"/>
    <w:rsid w:val="00B14E60"/>
    <w:rsid w:val="00B1563C"/>
    <w:rsid w:val="00B17303"/>
    <w:rsid w:val="00B2059B"/>
    <w:rsid w:val="00B20A24"/>
    <w:rsid w:val="00B20A45"/>
    <w:rsid w:val="00B21945"/>
    <w:rsid w:val="00B22C5C"/>
    <w:rsid w:val="00B244E8"/>
    <w:rsid w:val="00B24CDF"/>
    <w:rsid w:val="00B24F30"/>
    <w:rsid w:val="00B31ABF"/>
    <w:rsid w:val="00B3273C"/>
    <w:rsid w:val="00B33534"/>
    <w:rsid w:val="00B33BE3"/>
    <w:rsid w:val="00B371A6"/>
    <w:rsid w:val="00B37FAD"/>
    <w:rsid w:val="00B40CD6"/>
    <w:rsid w:val="00B420F2"/>
    <w:rsid w:val="00B42ACA"/>
    <w:rsid w:val="00B44FC6"/>
    <w:rsid w:val="00B451AC"/>
    <w:rsid w:val="00B53324"/>
    <w:rsid w:val="00B53451"/>
    <w:rsid w:val="00B53B5D"/>
    <w:rsid w:val="00B54BFE"/>
    <w:rsid w:val="00B55C0A"/>
    <w:rsid w:val="00B6055E"/>
    <w:rsid w:val="00B60FB4"/>
    <w:rsid w:val="00B622A6"/>
    <w:rsid w:val="00B6317D"/>
    <w:rsid w:val="00B66C5F"/>
    <w:rsid w:val="00B702E8"/>
    <w:rsid w:val="00B7091D"/>
    <w:rsid w:val="00B748D6"/>
    <w:rsid w:val="00B7679B"/>
    <w:rsid w:val="00B7723F"/>
    <w:rsid w:val="00B80534"/>
    <w:rsid w:val="00B81310"/>
    <w:rsid w:val="00B82C24"/>
    <w:rsid w:val="00B8433C"/>
    <w:rsid w:val="00B84D1E"/>
    <w:rsid w:val="00B86868"/>
    <w:rsid w:val="00B86916"/>
    <w:rsid w:val="00B87491"/>
    <w:rsid w:val="00B92D34"/>
    <w:rsid w:val="00B93F86"/>
    <w:rsid w:val="00B95AB3"/>
    <w:rsid w:val="00B97960"/>
    <w:rsid w:val="00BA01F4"/>
    <w:rsid w:val="00BA1E08"/>
    <w:rsid w:val="00BA216A"/>
    <w:rsid w:val="00BA29E9"/>
    <w:rsid w:val="00BA672C"/>
    <w:rsid w:val="00BA7081"/>
    <w:rsid w:val="00BA7142"/>
    <w:rsid w:val="00BB2350"/>
    <w:rsid w:val="00BB237C"/>
    <w:rsid w:val="00BB41A3"/>
    <w:rsid w:val="00BB5E6F"/>
    <w:rsid w:val="00BB636D"/>
    <w:rsid w:val="00BC01E3"/>
    <w:rsid w:val="00BC1B9F"/>
    <w:rsid w:val="00BC32DC"/>
    <w:rsid w:val="00BC35B6"/>
    <w:rsid w:val="00BC4F40"/>
    <w:rsid w:val="00BC7A54"/>
    <w:rsid w:val="00BC7AA5"/>
    <w:rsid w:val="00BD06F7"/>
    <w:rsid w:val="00BD1B51"/>
    <w:rsid w:val="00BD403B"/>
    <w:rsid w:val="00BD4596"/>
    <w:rsid w:val="00BD68A4"/>
    <w:rsid w:val="00BE1405"/>
    <w:rsid w:val="00BE312D"/>
    <w:rsid w:val="00BE33B4"/>
    <w:rsid w:val="00BE53E7"/>
    <w:rsid w:val="00BE5C64"/>
    <w:rsid w:val="00BE7055"/>
    <w:rsid w:val="00BE798E"/>
    <w:rsid w:val="00BF003A"/>
    <w:rsid w:val="00BF1C20"/>
    <w:rsid w:val="00BF36BD"/>
    <w:rsid w:val="00BF5F39"/>
    <w:rsid w:val="00C000F9"/>
    <w:rsid w:val="00C02D55"/>
    <w:rsid w:val="00C02D8B"/>
    <w:rsid w:val="00C104CB"/>
    <w:rsid w:val="00C10578"/>
    <w:rsid w:val="00C135BC"/>
    <w:rsid w:val="00C15C95"/>
    <w:rsid w:val="00C21A2C"/>
    <w:rsid w:val="00C24BC3"/>
    <w:rsid w:val="00C2534D"/>
    <w:rsid w:val="00C2596A"/>
    <w:rsid w:val="00C26B25"/>
    <w:rsid w:val="00C27537"/>
    <w:rsid w:val="00C276F5"/>
    <w:rsid w:val="00C31B3E"/>
    <w:rsid w:val="00C328FE"/>
    <w:rsid w:val="00C33507"/>
    <w:rsid w:val="00C34DAD"/>
    <w:rsid w:val="00C35033"/>
    <w:rsid w:val="00C4409D"/>
    <w:rsid w:val="00C445BF"/>
    <w:rsid w:val="00C44B2F"/>
    <w:rsid w:val="00C44E72"/>
    <w:rsid w:val="00C45A06"/>
    <w:rsid w:val="00C47E5B"/>
    <w:rsid w:val="00C47E66"/>
    <w:rsid w:val="00C519D1"/>
    <w:rsid w:val="00C5505E"/>
    <w:rsid w:val="00C5560D"/>
    <w:rsid w:val="00C60885"/>
    <w:rsid w:val="00C6140E"/>
    <w:rsid w:val="00C61E4B"/>
    <w:rsid w:val="00C641BF"/>
    <w:rsid w:val="00C64BFF"/>
    <w:rsid w:val="00C66D41"/>
    <w:rsid w:val="00C704E9"/>
    <w:rsid w:val="00C711D1"/>
    <w:rsid w:val="00C74442"/>
    <w:rsid w:val="00C763C9"/>
    <w:rsid w:val="00C77ADC"/>
    <w:rsid w:val="00C80057"/>
    <w:rsid w:val="00C8024B"/>
    <w:rsid w:val="00C80AF8"/>
    <w:rsid w:val="00C80F8A"/>
    <w:rsid w:val="00C82232"/>
    <w:rsid w:val="00C82913"/>
    <w:rsid w:val="00C852D5"/>
    <w:rsid w:val="00C86923"/>
    <w:rsid w:val="00C93E55"/>
    <w:rsid w:val="00C9559F"/>
    <w:rsid w:val="00C9680F"/>
    <w:rsid w:val="00C972B1"/>
    <w:rsid w:val="00C975BC"/>
    <w:rsid w:val="00CA120C"/>
    <w:rsid w:val="00CA17EF"/>
    <w:rsid w:val="00CA2CCE"/>
    <w:rsid w:val="00CA3CA6"/>
    <w:rsid w:val="00CA43FD"/>
    <w:rsid w:val="00CA4E6F"/>
    <w:rsid w:val="00CA7EF8"/>
    <w:rsid w:val="00CB16BC"/>
    <w:rsid w:val="00CB1F87"/>
    <w:rsid w:val="00CB323A"/>
    <w:rsid w:val="00CB3C32"/>
    <w:rsid w:val="00CB3C62"/>
    <w:rsid w:val="00CB5C37"/>
    <w:rsid w:val="00CB74AE"/>
    <w:rsid w:val="00CB74F7"/>
    <w:rsid w:val="00CB78EE"/>
    <w:rsid w:val="00CC3337"/>
    <w:rsid w:val="00CC4883"/>
    <w:rsid w:val="00CC489B"/>
    <w:rsid w:val="00CC7062"/>
    <w:rsid w:val="00CD04E4"/>
    <w:rsid w:val="00CD2BCD"/>
    <w:rsid w:val="00CD31ED"/>
    <w:rsid w:val="00CD3A4C"/>
    <w:rsid w:val="00CD63F2"/>
    <w:rsid w:val="00CD6511"/>
    <w:rsid w:val="00CD6778"/>
    <w:rsid w:val="00CE10E9"/>
    <w:rsid w:val="00CE14E4"/>
    <w:rsid w:val="00CE16A5"/>
    <w:rsid w:val="00CE2910"/>
    <w:rsid w:val="00CE344A"/>
    <w:rsid w:val="00CE4A3E"/>
    <w:rsid w:val="00CE5393"/>
    <w:rsid w:val="00CE72AE"/>
    <w:rsid w:val="00CE765C"/>
    <w:rsid w:val="00CE7CA1"/>
    <w:rsid w:val="00CF0A5C"/>
    <w:rsid w:val="00CF1C52"/>
    <w:rsid w:val="00CF21B5"/>
    <w:rsid w:val="00CF35E5"/>
    <w:rsid w:val="00CF36BE"/>
    <w:rsid w:val="00CF4732"/>
    <w:rsid w:val="00CF6000"/>
    <w:rsid w:val="00CF7828"/>
    <w:rsid w:val="00D002D5"/>
    <w:rsid w:val="00D003F3"/>
    <w:rsid w:val="00D031B3"/>
    <w:rsid w:val="00D034A2"/>
    <w:rsid w:val="00D0364F"/>
    <w:rsid w:val="00D04125"/>
    <w:rsid w:val="00D06834"/>
    <w:rsid w:val="00D068E3"/>
    <w:rsid w:val="00D06A20"/>
    <w:rsid w:val="00D11702"/>
    <w:rsid w:val="00D15B27"/>
    <w:rsid w:val="00D177AF"/>
    <w:rsid w:val="00D17C3F"/>
    <w:rsid w:val="00D17D4F"/>
    <w:rsid w:val="00D20683"/>
    <w:rsid w:val="00D20F41"/>
    <w:rsid w:val="00D26D9F"/>
    <w:rsid w:val="00D26F33"/>
    <w:rsid w:val="00D308ED"/>
    <w:rsid w:val="00D320E0"/>
    <w:rsid w:val="00D33679"/>
    <w:rsid w:val="00D33CBF"/>
    <w:rsid w:val="00D36D86"/>
    <w:rsid w:val="00D4203B"/>
    <w:rsid w:val="00D428AA"/>
    <w:rsid w:val="00D43964"/>
    <w:rsid w:val="00D5063D"/>
    <w:rsid w:val="00D50A34"/>
    <w:rsid w:val="00D52482"/>
    <w:rsid w:val="00D53EFA"/>
    <w:rsid w:val="00D57943"/>
    <w:rsid w:val="00D60362"/>
    <w:rsid w:val="00D60A35"/>
    <w:rsid w:val="00D61275"/>
    <w:rsid w:val="00D61AC6"/>
    <w:rsid w:val="00D71495"/>
    <w:rsid w:val="00D76FE1"/>
    <w:rsid w:val="00D86DBC"/>
    <w:rsid w:val="00D8711F"/>
    <w:rsid w:val="00D876CC"/>
    <w:rsid w:val="00D91488"/>
    <w:rsid w:val="00D92285"/>
    <w:rsid w:val="00D9401D"/>
    <w:rsid w:val="00D940CB"/>
    <w:rsid w:val="00D948A2"/>
    <w:rsid w:val="00D94A7C"/>
    <w:rsid w:val="00D952CE"/>
    <w:rsid w:val="00D95896"/>
    <w:rsid w:val="00DA1435"/>
    <w:rsid w:val="00DA1D6B"/>
    <w:rsid w:val="00DA3A1B"/>
    <w:rsid w:val="00DA4610"/>
    <w:rsid w:val="00DA5616"/>
    <w:rsid w:val="00DA67BF"/>
    <w:rsid w:val="00DA73C7"/>
    <w:rsid w:val="00DA7BDB"/>
    <w:rsid w:val="00DA7DB0"/>
    <w:rsid w:val="00DB1975"/>
    <w:rsid w:val="00DB2983"/>
    <w:rsid w:val="00DB4109"/>
    <w:rsid w:val="00DB7FC4"/>
    <w:rsid w:val="00DC1257"/>
    <w:rsid w:val="00DC2B80"/>
    <w:rsid w:val="00DC3DC0"/>
    <w:rsid w:val="00DC484C"/>
    <w:rsid w:val="00DC53CA"/>
    <w:rsid w:val="00DC5B2B"/>
    <w:rsid w:val="00DC6AC3"/>
    <w:rsid w:val="00DC7CEA"/>
    <w:rsid w:val="00DD0E74"/>
    <w:rsid w:val="00DD1B78"/>
    <w:rsid w:val="00DD2AD4"/>
    <w:rsid w:val="00DD318D"/>
    <w:rsid w:val="00DD4081"/>
    <w:rsid w:val="00DD6D72"/>
    <w:rsid w:val="00DD7A3D"/>
    <w:rsid w:val="00DE3A71"/>
    <w:rsid w:val="00DE3EC7"/>
    <w:rsid w:val="00DE58E8"/>
    <w:rsid w:val="00DF0A13"/>
    <w:rsid w:val="00DF2301"/>
    <w:rsid w:val="00DF29AA"/>
    <w:rsid w:val="00DF2E12"/>
    <w:rsid w:val="00DF4163"/>
    <w:rsid w:val="00DF514A"/>
    <w:rsid w:val="00DF619F"/>
    <w:rsid w:val="00DF6690"/>
    <w:rsid w:val="00DF6804"/>
    <w:rsid w:val="00E003BF"/>
    <w:rsid w:val="00E00E57"/>
    <w:rsid w:val="00E013B2"/>
    <w:rsid w:val="00E02DA4"/>
    <w:rsid w:val="00E0358D"/>
    <w:rsid w:val="00E04323"/>
    <w:rsid w:val="00E070A2"/>
    <w:rsid w:val="00E1226C"/>
    <w:rsid w:val="00E14A97"/>
    <w:rsid w:val="00E14D97"/>
    <w:rsid w:val="00E150FA"/>
    <w:rsid w:val="00E16357"/>
    <w:rsid w:val="00E16732"/>
    <w:rsid w:val="00E17CF5"/>
    <w:rsid w:val="00E206F3"/>
    <w:rsid w:val="00E21ADA"/>
    <w:rsid w:val="00E23D7E"/>
    <w:rsid w:val="00E262D1"/>
    <w:rsid w:val="00E2656A"/>
    <w:rsid w:val="00E2799E"/>
    <w:rsid w:val="00E30B16"/>
    <w:rsid w:val="00E31787"/>
    <w:rsid w:val="00E32A1F"/>
    <w:rsid w:val="00E32B18"/>
    <w:rsid w:val="00E32B48"/>
    <w:rsid w:val="00E35200"/>
    <w:rsid w:val="00E35DEA"/>
    <w:rsid w:val="00E36B37"/>
    <w:rsid w:val="00E4090E"/>
    <w:rsid w:val="00E412D0"/>
    <w:rsid w:val="00E42352"/>
    <w:rsid w:val="00E43C80"/>
    <w:rsid w:val="00E4508A"/>
    <w:rsid w:val="00E45191"/>
    <w:rsid w:val="00E5010D"/>
    <w:rsid w:val="00E517A6"/>
    <w:rsid w:val="00E523DD"/>
    <w:rsid w:val="00E52E96"/>
    <w:rsid w:val="00E5310E"/>
    <w:rsid w:val="00E53B9E"/>
    <w:rsid w:val="00E55FB6"/>
    <w:rsid w:val="00E56322"/>
    <w:rsid w:val="00E60982"/>
    <w:rsid w:val="00E625F2"/>
    <w:rsid w:val="00E62C62"/>
    <w:rsid w:val="00E64715"/>
    <w:rsid w:val="00E65279"/>
    <w:rsid w:val="00E654C1"/>
    <w:rsid w:val="00E65D97"/>
    <w:rsid w:val="00E707B8"/>
    <w:rsid w:val="00E70E2E"/>
    <w:rsid w:val="00E71A3E"/>
    <w:rsid w:val="00E72A5A"/>
    <w:rsid w:val="00E72E07"/>
    <w:rsid w:val="00E732DF"/>
    <w:rsid w:val="00E73354"/>
    <w:rsid w:val="00E7357A"/>
    <w:rsid w:val="00E77ED1"/>
    <w:rsid w:val="00E80F1F"/>
    <w:rsid w:val="00E817BB"/>
    <w:rsid w:val="00E8592D"/>
    <w:rsid w:val="00E86FAE"/>
    <w:rsid w:val="00E91664"/>
    <w:rsid w:val="00E9242D"/>
    <w:rsid w:val="00E93A27"/>
    <w:rsid w:val="00E9454F"/>
    <w:rsid w:val="00E96FC7"/>
    <w:rsid w:val="00EA0C9E"/>
    <w:rsid w:val="00EA0F80"/>
    <w:rsid w:val="00EA2A0C"/>
    <w:rsid w:val="00EA3068"/>
    <w:rsid w:val="00EA33BF"/>
    <w:rsid w:val="00EA4CA7"/>
    <w:rsid w:val="00EA5E0C"/>
    <w:rsid w:val="00EA6B43"/>
    <w:rsid w:val="00EA7A6D"/>
    <w:rsid w:val="00EB228F"/>
    <w:rsid w:val="00EB3787"/>
    <w:rsid w:val="00EB4120"/>
    <w:rsid w:val="00EB4363"/>
    <w:rsid w:val="00EB4841"/>
    <w:rsid w:val="00EB5255"/>
    <w:rsid w:val="00EB5C47"/>
    <w:rsid w:val="00EC0290"/>
    <w:rsid w:val="00EC4EB6"/>
    <w:rsid w:val="00EC5BDD"/>
    <w:rsid w:val="00EC7097"/>
    <w:rsid w:val="00EC7866"/>
    <w:rsid w:val="00ED0639"/>
    <w:rsid w:val="00ED08F1"/>
    <w:rsid w:val="00ED0A2C"/>
    <w:rsid w:val="00ED3B59"/>
    <w:rsid w:val="00ED5E6C"/>
    <w:rsid w:val="00ED754A"/>
    <w:rsid w:val="00EE0B8B"/>
    <w:rsid w:val="00EE1A21"/>
    <w:rsid w:val="00EE24DC"/>
    <w:rsid w:val="00EE405F"/>
    <w:rsid w:val="00EE4D54"/>
    <w:rsid w:val="00EE555D"/>
    <w:rsid w:val="00EE6E67"/>
    <w:rsid w:val="00EE7E0F"/>
    <w:rsid w:val="00EF0DF1"/>
    <w:rsid w:val="00EF0F1B"/>
    <w:rsid w:val="00EF11BA"/>
    <w:rsid w:val="00EF1FFC"/>
    <w:rsid w:val="00EF23FC"/>
    <w:rsid w:val="00EF2E39"/>
    <w:rsid w:val="00EF3605"/>
    <w:rsid w:val="00EF4755"/>
    <w:rsid w:val="00EF6B3C"/>
    <w:rsid w:val="00EF7135"/>
    <w:rsid w:val="00EF7F50"/>
    <w:rsid w:val="00F027DB"/>
    <w:rsid w:val="00F032BC"/>
    <w:rsid w:val="00F0412E"/>
    <w:rsid w:val="00F101BF"/>
    <w:rsid w:val="00F1037D"/>
    <w:rsid w:val="00F118F2"/>
    <w:rsid w:val="00F13138"/>
    <w:rsid w:val="00F14A7A"/>
    <w:rsid w:val="00F14B2B"/>
    <w:rsid w:val="00F17A02"/>
    <w:rsid w:val="00F22985"/>
    <w:rsid w:val="00F24285"/>
    <w:rsid w:val="00F27476"/>
    <w:rsid w:val="00F30C00"/>
    <w:rsid w:val="00F3383E"/>
    <w:rsid w:val="00F33C38"/>
    <w:rsid w:val="00F40399"/>
    <w:rsid w:val="00F41DBA"/>
    <w:rsid w:val="00F4269F"/>
    <w:rsid w:val="00F42F87"/>
    <w:rsid w:val="00F44888"/>
    <w:rsid w:val="00F463E3"/>
    <w:rsid w:val="00F465A7"/>
    <w:rsid w:val="00F46C79"/>
    <w:rsid w:val="00F47007"/>
    <w:rsid w:val="00F50B7C"/>
    <w:rsid w:val="00F510D0"/>
    <w:rsid w:val="00F53FA9"/>
    <w:rsid w:val="00F54180"/>
    <w:rsid w:val="00F550E6"/>
    <w:rsid w:val="00F56683"/>
    <w:rsid w:val="00F57428"/>
    <w:rsid w:val="00F61D70"/>
    <w:rsid w:val="00F6353A"/>
    <w:rsid w:val="00F64F8A"/>
    <w:rsid w:val="00F67F72"/>
    <w:rsid w:val="00F70375"/>
    <w:rsid w:val="00F71560"/>
    <w:rsid w:val="00F72A1D"/>
    <w:rsid w:val="00F74345"/>
    <w:rsid w:val="00F75410"/>
    <w:rsid w:val="00F75CF8"/>
    <w:rsid w:val="00F76EC3"/>
    <w:rsid w:val="00F7746E"/>
    <w:rsid w:val="00F77BBF"/>
    <w:rsid w:val="00F80458"/>
    <w:rsid w:val="00F80A0A"/>
    <w:rsid w:val="00F82B19"/>
    <w:rsid w:val="00F84C9B"/>
    <w:rsid w:val="00F85B7A"/>
    <w:rsid w:val="00F872F7"/>
    <w:rsid w:val="00F9212D"/>
    <w:rsid w:val="00F93062"/>
    <w:rsid w:val="00F965DA"/>
    <w:rsid w:val="00F96EFB"/>
    <w:rsid w:val="00FA02C1"/>
    <w:rsid w:val="00FA406A"/>
    <w:rsid w:val="00FA7DE2"/>
    <w:rsid w:val="00FB2EBA"/>
    <w:rsid w:val="00FB4DD2"/>
    <w:rsid w:val="00FB503A"/>
    <w:rsid w:val="00FB516C"/>
    <w:rsid w:val="00FB7B04"/>
    <w:rsid w:val="00FB7DAD"/>
    <w:rsid w:val="00FC2DC8"/>
    <w:rsid w:val="00FC5265"/>
    <w:rsid w:val="00FC58BD"/>
    <w:rsid w:val="00FC5D74"/>
    <w:rsid w:val="00FD0236"/>
    <w:rsid w:val="00FD07FB"/>
    <w:rsid w:val="00FD18F4"/>
    <w:rsid w:val="00FD49A8"/>
    <w:rsid w:val="00FD54DB"/>
    <w:rsid w:val="00FD5953"/>
    <w:rsid w:val="00FD619F"/>
    <w:rsid w:val="00FE0D20"/>
    <w:rsid w:val="00FE123D"/>
    <w:rsid w:val="00FE1566"/>
    <w:rsid w:val="00FF0224"/>
    <w:rsid w:val="00FF0579"/>
    <w:rsid w:val="00FF2CCD"/>
    <w:rsid w:val="00FF368A"/>
    <w:rsid w:val="00FF51B3"/>
    <w:rsid w:val="00FF535B"/>
    <w:rsid w:val="00FF7D78"/>
    <w:rsid w:val="01046A50"/>
    <w:rsid w:val="0105236C"/>
    <w:rsid w:val="011253ED"/>
    <w:rsid w:val="01243C35"/>
    <w:rsid w:val="0127086D"/>
    <w:rsid w:val="01290F7E"/>
    <w:rsid w:val="01295E7B"/>
    <w:rsid w:val="01341807"/>
    <w:rsid w:val="01374E54"/>
    <w:rsid w:val="01384F38"/>
    <w:rsid w:val="01395BF5"/>
    <w:rsid w:val="013B2B96"/>
    <w:rsid w:val="013E2BCF"/>
    <w:rsid w:val="01401F5A"/>
    <w:rsid w:val="0145454D"/>
    <w:rsid w:val="01481C7A"/>
    <w:rsid w:val="0156352C"/>
    <w:rsid w:val="015D1E09"/>
    <w:rsid w:val="016C2277"/>
    <w:rsid w:val="016F283F"/>
    <w:rsid w:val="01741188"/>
    <w:rsid w:val="01776061"/>
    <w:rsid w:val="017A68F2"/>
    <w:rsid w:val="017C5CF2"/>
    <w:rsid w:val="017D7EFE"/>
    <w:rsid w:val="01875164"/>
    <w:rsid w:val="018A0320"/>
    <w:rsid w:val="018B2727"/>
    <w:rsid w:val="018C1FAB"/>
    <w:rsid w:val="018C5A02"/>
    <w:rsid w:val="01900E95"/>
    <w:rsid w:val="0193616B"/>
    <w:rsid w:val="01947341"/>
    <w:rsid w:val="01984E0C"/>
    <w:rsid w:val="019D55FE"/>
    <w:rsid w:val="01A16F03"/>
    <w:rsid w:val="01A22C15"/>
    <w:rsid w:val="01A506ED"/>
    <w:rsid w:val="01A73D87"/>
    <w:rsid w:val="01AD5116"/>
    <w:rsid w:val="01B512AB"/>
    <w:rsid w:val="01B53985"/>
    <w:rsid w:val="01BB5A85"/>
    <w:rsid w:val="01C25065"/>
    <w:rsid w:val="01C26E13"/>
    <w:rsid w:val="01C77D2E"/>
    <w:rsid w:val="01DA545F"/>
    <w:rsid w:val="01DD2AC7"/>
    <w:rsid w:val="01E925F2"/>
    <w:rsid w:val="01F176F8"/>
    <w:rsid w:val="01F571E8"/>
    <w:rsid w:val="01F9223F"/>
    <w:rsid w:val="01FE3434"/>
    <w:rsid w:val="02025DEC"/>
    <w:rsid w:val="02062B27"/>
    <w:rsid w:val="02077A8A"/>
    <w:rsid w:val="020B6A0C"/>
    <w:rsid w:val="020C6D1C"/>
    <w:rsid w:val="020D22D4"/>
    <w:rsid w:val="021533E7"/>
    <w:rsid w:val="021A09FD"/>
    <w:rsid w:val="022D1862"/>
    <w:rsid w:val="02313F99"/>
    <w:rsid w:val="02315D47"/>
    <w:rsid w:val="023C241A"/>
    <w:rsid w:val="023C4E17"/>
    <w:rsid w:val="02401F6F"/>
    <w:rsid w:val="024261A6"/>
    <w:rsid w:val="024B505A"/>
    <w:rsid w:val="02510197"/>
    <w:rsid w:val="02587777"/>
    <w:rsid w:val="0259748E"/>
    <w:rsid w:val="026223A4"/>
    <w:rsid w:val="02647ECA"/>
    <w:rsid w:val="02697903"/>
    <w:rsid w:val="026D3223"/>
    <w:rsid w:val="02717984"/>
    <w:rsid w:val="02767D14"/>
    <w:rsid w:val="02775E4F"/>
    <w:rsid w:val="027C437B"/>
    <w:rsid w:val="027D49D7"/>
    <w:rsid w:val="0284056C"/>
    <w:rsid w:val="028C11CF"/>
    <w:rsid w:val="02900CBF"/>
    <w:rsid w:val="02913461"/>
    <w:rsid w:val="02994018"/>
    <w:rsid w:val="029E5159"/>
    <w:rsid w:val="029F06CC"/>
    <w:rsid w:val="02A0221B"/>
    <w:rsid w:val="02A76DC8"/>
    <w:rsid w:val="02A82458"/>
    <w:rsid w:val="02A8425B"/>
    <w:rsid w:val="02AB5AF9"/>
    <w:rsid w:val="02AB7FC7"/>
    <w:rsid w:val="02B32280"/>
    <w:rsid w:val="02B510FE"/>
    <w:rsid w:val="02BE3A7E"/>
    <w:rsid w:val="02BF5F9D"/>
    <w:rsid w:val="02C37D67"/>
    <w:rsid w:val="02C561E6"/>
    <w:rsid w:val="02CE6244"/>
    <w:rsid w:val="02D2333E"/>
    <w:rsid w:val="02DA018C"/>
    <w:rsid w:val="02DF39F5"/>
    <w:rsid w:val="02E60144"/>
    <w:rsid w:val="02E769F1"/>
    <w:rsid w:val="02EA2B3A"/>
    <w:rsid w:val="02ED4364"/>
    <w:rsid w:val="02EE3EC3"/>
    <w:rsid w:val="02F41532"/>
    <w:rsid w:val="02F6692F"/>
    <w:rsid w:val="02F96569"/>
    <w:rsid w:val="0301591E"/>
    <w:rsid w:val="03065425"/>
    <w:rsid w:val="03072104"/>
    <w:rsid w:val="03093C85"/>
    <w:rsid w:val="030B2A3C"/>
    <w:rsid w:val="03105CE1"/>
    <w:rsid w:val="03142EF6"/>
    <w:rsid w:val="03157925"/>
    <w:rsid w:val="032F0C22"/>
    <w:rsid w:val="032F672A"/>
    <w:rsid w:val="033330F0"/>
    <w:rsid w:val="03333611"/>
    <w:rsid w:val="033342A7"/>
    <w:rsid w:val="03353615"/>
    <w:rsid w:val="03375DCF"/>
    <w:rsid w:val="03394EB3"/>
    <w:rsid w:val="033A56E3"/>
    <w:rsid w:val="033E071B"/>
    <w:rsid w:val="033E5E6B"/>
    <w:rsid w:val="03447B99"/>
    <w:rsid w:val="034608D1"/>
    <w:rsid w:val="034C72DC"/>
    <w:rsid w:val="034F0AEC"/>
    <w:rsid w:val="03581ED2"/>
    <w:rsid w:val="03594B8D"/>
    <w:rsid w:val="035A5589"/>
    <w:rsid w:val="03653EFA"/>
    <w:rsid w:val="03655CA8"/>
    <w:rsid w:val="03676DD4"/>
    <w:rsid w:val="036A05D8"/>
    <w:rsid w:val="036A59B4"/>
    <w:rsid w:val="036B5288"/>
    <w:rsid w:val="037B0F0F"/>
    <w:rsid w:val="038929C6"/>
    <w:rsid w:val="038B1471"/>
    <w:rsid w:val="039025D9"/>
    <w:rsid w:val="03920A67"/>
    <w:rsid w:val="03934FDA"/>
    <w:rsid w:val="039A1C35"/>
    <w:rsid w:val="03A26EFC"/>
    <w:rsid w:val="03A32C74"/>
    <w:rsid w:val="03AB203D"/>
    <w:rsid w:val="03C1604B"/>
    <w:rsid w:val="03C823B7"/>
    <w:rsid w:val="03C97AF2"/>
    <w:rsid w:val="03CB1CCE"/>
    <w:rsid w:val="03CB1FCC"/>
    <w:rsid w:val="03CF6CC7"/>
    <w:rsid w:val="03D50420"/>
    <w:rsid w:val="03D542FF"/>
    <w:rsid w:val="03D93C7C"/>
    <w:rsid w:val="03DB07F7"/>
    <w:rsid w:val="03DB0E24"/>
    <w:rsid w:val="03E22E42"/>
    <w:rsid w:val="03E56DE9"/>
    <w:rsid w:val="03EA7B21"/>
    <w:rsid w:val="03EF1A15"/>
    <w:rsid w:val="03F26635"/>
    <w:rsid w:val="03F30471"/>
    <w:rsid w:val="03F85130"/>
    <w:rsid w:val="03FA6D38"/>
    <w:rsid w:val="03FB660C"/>
    <w:rsid w:val="03FD6BF5"/>
    <w:rsid w:val="03FE72C8"/>
    <w:rsid w:val="04003C23"/>
    <w:rsid w:val="040364AC"/>
    <w:rsid w:val="040610B4"/>
    <w:rsid w:val="040C11B4"/>
    <w:rsid w:val="041871BE"/>
    <w:rsid w:val="041925A5"/>
    <w:rsid w:val="041A1188"/>
    <w:rsid w:val="04207D1D"/>
    <w:rsid w:val="042673FC"/>
    <w:rsid w:val="042D36A0"/>
    <w:rsid w:val="04366FBB"/>
    <w:rsid w:val="0438160E"/>
    <w:rsid w:val="04397422"/>
    <w:rsid w:val="04441D61"/>
    <w:rsid w:val="044A5963"/>
    <w:rsid w:val="04565A4F"/>
    <w:rsid w:val="04566E29"/>
    <w:rsid w:val="04570F47"/>
    <w:rsid w:val="04672E82"/>
    <w:rsid w:val="04673CA2"/>
    <w:rsid w:val="046C0D78"/>
    <w:rsid w:val="046D5E3F"/>
    <w:rsid w:val="047519F7"/>
    <w:rsid w:val="047B5760"/>
    <w:rsid w:val="047E4F5A"/>
    <w:rsid w:val="048903A6"/>
    <w:rsid w:val="04893C18"/>
    <w:rsid w:val="04936845"/>
    <w:rsid w:val="04942CFC"/>
    <w:rsid w:val="049F51EA"/>
    <w:rsid w:val="04A3117E"/>
    <w:rsid w:val="04A52162"/>
    <w:rsid w:val="04AE7B23"/>
    <w:rsid w:val="04AF666C"/>
    <w:rsid w:val="04B05082"/>
    <w:rsid w:val="04C2712A"/>
    <w:rsid w:val="04C335C0"/>
    <w:rsid w:val="04C43757"/>
    <w:rsid w:val="04CC3C0D"/>
    <w:rsid w:val="04D1715B"/>
    <w:rsid w:val="04D5491D"/>
    <w:rsid w:val="04DA4474"/>
    <w:rsid w:val="04E24897"/>
    <w:rsid w:val="04E43544"/>
    <w:rsid w:val="04F419D9"/>
    <w:rsid w:val="04F55BC6"/>
    <w:rsid w:val="04FB6DC5"/>
    <w:rsid w:val="04FC05A5"/>
    <w:rsid w:val="04FC43EA"/>
    <w:rsid w:val="04FD15BC"/>
    <w:rsid w:val="0503330B"/>
    <w:rsid w:val="05045994"/>
    <w:rsid w:val="05054467"/>
    <w:rsid w:val="05091142"/>
    <w:rsid w:val="050D65F7"/>
    <w:rsid w:val="05111DBD"/>
    <w:rsid w:val="051522F5"/>
    <w:rsid w:val="05202650"/>
    <w:rsid w:val="0521616E"/>
    <w:rsid w:val="052A1B97"/>
    <w:rsid w:val="052A2844"/>
    <w:rsid w:val="053C6EDC"/>
    <w:rsid w:val="0543026B"/>
    <w:rsid w:val="05573D16"/>
    <w:rsid w:val="055931ED"/>
    <w:rsid w:val="0560706F"/>
    <w:rsid w:val="0563090D"/>
    <w:rsid w:val="057126DC"/>
    <w:rsid w:val="057429DC"/>
    <w:rsid w:val="05766C69"/>
    <w:rsid w:val="05766F80"/>
    <w:rsid w:val="05772045"/>
    <w:rsid w:val="057C377D"/>
    <w:rsid w:val="057E73DF"/>
    <w:rsid w:val="058A40EC"/>
    <w:rsid w:val="059421D4"/>
    <w:rsid w:val="059810A5"/>
    <w:rsid w:val="059C5BCD"/>
    <w:rsid w:val="059E1945"/>
    <w:rsid w:val="05A02C7F"/>
    <w:rsid w:val="05A3517F"/>
    <w:rsid w:val="05A607FA"/>
    <w:rsid w:val="05AA2098"/>
    <w:rsid w:val="05BB02A9"/>
    <w:rsid w:val="05C55124"/>
    <w:rsid w:val="05C755FC"/>
    <w:rsid w:val="05D72BAB"/>
    <w:rsid w:val="05DB04A3"/>
    <w:rsid w:val="05DB4947"/>
    <w:rsid w:val="05DD4BBB"/>
    <w:rsid w:val="05E0072B"/>
    <w:rsid w:val="05EA06E6"/>
    <w:rsid w:val="05EC0902"/>
    <w:rsid w:val="05EC3C54"/>
    <w:rsid w:val="05F15E50"/>
    <w:rsid w:val="05F172A3"/>
    <w:rsid w:val="05F23A3F"/>
    <w:rsid w:val="05F720A4"/>
    <w:rsid w:val="05F83EAE"/>
    <w:rsid w:val="05FC34F4"/>
    <w:rsid w:val="05FC4B31"/>
    <w:rsid w:val="05FC4DBD"/>
    <w:rsid w:val="06004D52"/>
    <w:rsid w:val="060411D1"/>
    <w:rsid w:val="060935A1"/>
    <w:rsid w:val="060F2843"/>
    <w:rsid w:val="06113EC5"/>
    <w:rsid w:val="06135E8F"/>
    <w:rsid w:val="0616597F"/>
    <w:rsid w:val="061F2A86"/>
    <w:rsid w:val="0624749E"/>
    <w:rsid w:val="06253E14"/>
    <w:rsid w:val="06260FBD"/>
    <w:rsid w:val="062A31D9"/>
    <w:rsid w:val="0633208D"/>
    <w:rsid w:val="063E7D85"/>
    <w:rsid w:val="06415816"/>
    <w:rsid w:val="06471FDD"/>
    <w:rsid w:val="064E336B"/>
    <w:rsid w:val="065729AA"/>
    <w:rsid w:val="065C2940"/>
    <w:rsid w:val="065E0ECA"/>
    <w:rsid w:val="066E123B"/>
    <w:rsid w:val="066F74EC"/>
    <w:rsid w:val="067007A0"/>
    <w:rsid w:val="06707ABE"/>
    <w:rsid w:val="06793C68"/>
    <w:rsid w:val="06810AA1"/>
    <w:rsid w:val="068154FF"/>
    <w:rsid w:val="068208C9"/>
    <w:rsid w:val="0687687D"/>
    <w:rsid w:val="068B1EC9"/>
    <w:rsid w:val="068B65D1"/>
    <w:rsid w:val="068E5516"/>
    <w:rsid w:val="069B691D"/>
    <w:rsid w:val="069D1A2B"/>
    <w:rsid w:val="069F5975"/>
    <w:rsid w:val="06A45632"/>
    <w:rsid w:val="06B34F7C"/>
    <w:rsid w:val="06B64A6C"/>
    <w:rsid w:val="06BC384F"/>
    <w:rsid w:val="06C453DB"/>
    <w:rsid w:val="06C57E6F"/>
    <w:rsid w:val="06C72591"/>
    <w:rsid w:val="06D01BF4"/>
    <w:rsid w:val="06D965DA"/>
    <w:rsid w:val="06DA075B"/>
    <w:rsid w:val="06DC4B23"/>
    <w:rsid w:val="06E25862"/>
    <w:rsid w:val="06E6438F"/>
    <w:rsid w:val="06E64FE6"/>
    <w:rsid w:val="06E65352"/>
    <w:rsid w:val="06EC7069"/>
    <w:rsid w:val="06EE24AB"/>
    <w:rsid w:val="06EE4206"/>
    <w:rsid w:val="06F777F4"/>
    <w:rsid w:val="06FA2F1B"/>
    <w:rsid w:val="06FD6871"/>
    <w:rsid w:val="07026A9C"/>
    <w:rsid w:val="07031B8D"/>
    <w:rsid w:val="07052755"/>
    <w:rsid w:val="070D6D82"/>
    <w:rsid w:val="071F19F8"/>
    <w:rsid w:val="07205E74"/>
    <w:rsid w:val="07224347"/>
    <w:rsid w:val="0728596A"/>
    <w:rsid w:val="07293586"/>
    <w:rsid w:val="07295285"/>
    <w:rsid w:val="072A7934"/>
    <w:rsid w:val="072C455B"/>
    <w:rsid w:val="072F3BEA"/>
    <w:rsid w:val="07315AB0"/>
    <w:rsid w:val="074744A3"/>
    <w:rsid w:val="074A3B33"/>
    <w:rsid w:val="074B1659"/>
    <w:rsid w:val="07500C41"/>
    <w:rsid w:val="075674EC"/>
    <w:rsid w:val="07570C0D"/>
    <w:rsid w:val="075C1AB8"/>
    <w:rsid w:val="075E1641"/>
    <w:rsid w:val="07615A04"/>
    <w:rsid w:val="07636392"/>
    <w:rsid w:val="07642280"/>
    <w:rsid w:val="076646E5"/>
    <w:rsid w:val="076A70D6"/>
    <w:rsid w:val="07751674"/>
    <w:rsid w:val="07770C56"/>
    <w:rsid w:val="0781507A"/>
    <w:rsid w:val="07816281"/>
    <w:rsid w:val="078C781F"/>
    <w:rsid w:val="07914FAC"/>
    <w:rsid w:val="07994783"/>
    <w:rsid w:val="079C2FC1"/>
    <w:rsid w:val="07A0163F"/>
    <w:rsid w:val="07A01890"/>
    <w:rsid w:val="07A747D5"/>
    <w:rsid w:val="07AA4B57"/>
    <w:rsid w:val="07AA637F"/>
    <w:rsid w:val="07AC10F8"/>
    <w:rsid w:val="07B13BB2"/>
    <w:rsid w:val="07B40FAC"/>
    <w:rsid w:val="07B957A1"/>
    <w:rsid w:val="07BA233A"/>
    <w:rsid w:val="07BF4B3B"/>
    <w:rsid w:val="07C71AF3"/>
    <w:rsid w:val="07CA6A21"/>
    <w:rsid w:val="07CC05E5"/>
    <w:rsid w:val="07D96C51"/>
    <w:rsid w:val="07DC2105"/>
    <w:rsid w:val="07E900D0"/>
    <w:rsid w:val="07F0783F"/>
    <w:rsid w:val="07F372F2"/>
    <w:rsid w:val="07FB495C"/>
    <w:rsid w:val="08030185"/>
    <w:rsid w:val="08044DF2"/>
    <w:rsid w:val="0808754A"/>
    <w:rsid w:val="080B2B96"/>
    <w:rsid w:val="081303C8"/>
    <w:rsid w:val="08142E70"/>
    <w:rsid w:val="081D0FF8"/>
    <w:rsid w:val="08202AE5"/>
    <w:rsid w:val="082066BA"/>
    <w:rsid w:val="08220261"/>
    <w:rsid w:val="08226533"/>
    <w:rsid w:val="082D2861"/>
    <w:rsid w:val="082E39BB"/>
    <w:rsid w:val="08311CF1"/>
    <w:rsid w:val="083337E2"/>
    <w:rsid w:val="083B347B"/>
    <w:rsid w:val="08412F00"/>
    <w:rsid w:val="08461F45"/>
    <w:rsid w:val="08493BC2"/>
    <w:rsid w:val="08602EE2"/>
    <w:rsid w:val="0860351E"/>
    <w:rsid w:val="086D73D6"/>
    <w:rsid w:val="087921F6"/>
    <w:rsid w:val="087A716B"/>
    <w:rsid w:val="08800364"/>
    <w:rsid w:val="08830D36"/>
    <w:rsid w:val="088A40B7"/>
    <w:rsid w:val="088C49FB"/>
    <w:rsid w:val="089632EC"/>
    <w:rsid w:val="089A2898"/>
    <w:rsid w:val="089A553F"/>
    <w:rsid w:val="089D2481"/>
    <w:rsid w:val="089E2CF6"/>
    <w:rsid w:val="08A01B59"/>
    <w:rsid w:val="08A42879"/>
    <w:rsid w:val="08AB5542"/>
    <w:rsid w:val="08B23491"/>
    <w:rsid w:val="08B530D7"/>
    <w:rsid w:val="08B65260"/>
    <w:rsid w:val="08B90768"/>
    <w:rsid w:val="08BA2CB5"/>
    <w:rsid w:val="08BB7DD3"/>
    <w:rsid w:val="08C55F20"/>
    <w:rsid w:val="08C73B54"/>
    <w:rsid w:val="08C77405"/>
    <w:rsid w:val="08D4742C"/>
    <w:rsid w:val="08D6687B"/>
    <w:rsid w:val="08D826B7"/>
    <w:rsid w:val="08DF636A"/>
    <w:rsid w:val="08E77B53"/>
    <w:rsid w:val="08EB1D41"/>
    <w:rsid w:val="08EE5D83"/>
    <w:rsid w:val="08F8136C"/>
    <w:rsid w:val="08FA3336"/>
    <w:rsid w:val="08FF6B9F"/>
    <w:rsid w:val="09062F96"/>
    <w:rsid w:val="09070651"/>
    <w:rsid w:val="090A1656"/>
    <w:rsid w:val="0916775A"/>
    <w:rsid w:val="09187C60"/>
    <w:rsid w:val="09190F58"/>
    <w:rsid w:val="091D0DD3"/>
    <w:rsid w:val="091E4EF1"/>
    <w:rsid w:val="092217DD"/>
    <w:rsid w:val="09273A00"/>
    <w:rsid w:val="092B0267"/>
    <w:rsid w:val="09374B92"/>
    <w:rsid w:val="09391199"/>
    <w:rsid w:val="093A7294"/>
    <w:rsid w:val="093E2451"/>
    <w:rsid w:val="09410F65"/>
    <w:rsid w:val="0941781F"/>
    <w:rsid w:val="09526B25"/>
    <w:rsid w:val="095D5673"/>
    <w:rsid w:val="0965689C"/>
    <w:rsid w:val="0970778D"/>
    <w:rsid w:val="09727371"/>
    <w:rsid w:val="097827E8"/>
    <w:rsid w:val="097B331F"/>
    <w:rsid w:val="09811362"/>
    <w:rsid w:val="09840E52"/>
    <w:rsid w:val="09862E1C"/>
    <w:rsid w:val="099835A5"/>
    <w:rsid w:val="09A10FBD"/>
    <w:rsid w:val="09A80FE4"/>
    <w:rsid w:val="09AB2F5C"/>
    <w:rsid w:val="09AD2157"/>
    <w:rsid w:val="09AF0C06"/>
    <w:rsid w:val="09B96D4E"/>
    <w:rsid w:val="09C24481"/>
    <w:rsid w:val="09CE664E"/>
    <w:rsid w:val="09D9158D"/>
    <w:rsid w:val="09E162A4"/>
    <w:rsid w:val="09E57882"/>
    <w:rsid w:val="09E772A6"/>
    <w:rsid w:val="09F417D4"/>
    <w:rsid w:val="09F76F99"/>
    <w:rsid w:val="0A014251"/>
    <w:rsid w:val="0A03446D"/>
    <w:rsid w:val="0A037FC9"/>
    <w:rsid w:val="0A041D44"/>
    <w:rsid w:val="0A051BCB"/>
    <w:rsid w:val="0A075D0B"/>
    <w:rsid w:val="0A0855DF"/>
    <w:rsid w:val="0A0D4EA4"/>
    <w:rsid w:val="0A131D0D"/>
    <w:rsid w:val="0A1B2EFC"/>
    <w:rsid w:val="0A1E3055"/>
    <w:rsid w:val="0A263333"/>
    <w:rsid w:val="0A263993"/>
    <w:rsid w:val="0A2D3AC2"/>
    <w:rsid w:val="0A2E773B"/>
    <w:rsid w:val="0A435FC7"/>
    <w:rsid w:val="0A4C1E8E"/>
    <w:rsid w:val="0A4E7EF6"/>
    <w:rsid w:val="0A5371A2"/>
    <w:rsid w:val="0A555586"/>
    <w:rsid w:val="0A5D1DCF"/>
    <w:rsid w:val="0A617D3D"/>
    <w:rsid w:val="0A6D30FE"/>
    <w:rsid w:val="0A7569C1"/>
    <w:rsid w:val="0A7774D1"/>
    <w:rsid w:val="0A781DF1"/>
    <w:rsid w:val="0A855FC6"/>
    <w:rsid w:val="0A886720"/>
    <w:rsid w:val="0A9351E7"/>
    <w:rsid w:val="0A9B46A5"/>
    <w:rsid w:val="0A9E6085"/>
    <w:rsid w:val="0AA755DF"/>
    <w:rsid w:val="0AA764AB"/>
    <w:rsid w:val="0AA83A6D"/>
    <w:rsid w:val="0ABB4CAC"/>
    <w:rsid w:val="0ABD757B"/>
    <w:rsid w:val="0AC05EBA"/>
    <w:rsid w:val="0AC2018B"/>
    <w:rsid w:val="0AC4179D"/>
    <w:rsid w:val="0AC52104"/>
    <w:rsid w:val="0AC76472"/>
    <w:rsid w:val="0ACC0D02"/>
    <w:rsid w:val="0AE23060"/>
    <w:rsid w:val="0AE31973"/>
    <w:rsid w:val="0AE75A47"/>
    <w:rsid w:val="0AE918B4"/>
    <w:rsid w:val="0AEE179A"/>
    <w:rsid w:val="0AF3623C"/>
    <w:rsid w:val="0AF53DB5"/>
    <w:rsid w:val="0AF60819"/>
    <w:rsid w:val="0AFE7165"/>
    <w:rsid w:val="0B04224A"/>
    <w:rsid w:val="0B046691"/>
    <w:rsid w:val="0B073AE9"/>
    <w:rsid w:val="0B0E25F9"/>
    <w:rsid w:val="0B0E7F0B"/>
    <w:rsid w:val="0B120D44"/>
    <w:rsid w:val="0B132C2E"/>
    <w:rsid w:val="0B1459F4"/>
    <w:rsid w:val="0B147673"/>
    <w:rsid w:val="0B1D3F24"/>
    <w:rsid w:val="0B291D3F"/>
    <w:rsid w:val="0B2B1D53"/>
    <w:rsid w:val="0B3670A4"/>
    <w:rsid w:val="0B372620"/>
    <w:rsid w:val="0B3C7C36"/>
    <w:rsid w:val="0B3D11F6"/>
    <w:rsid w:val="0B3F306A"/>
    <w:rsid w:val="0B402E94"/>
    <w:rsid w:val="0B424B21"/>
    <w:rsid w:val="0B440899"/>
    <w:rsid w:val="0B444D3D"/>
    <w:rsid w:val="0B465034"/>
    <w:rsid w:val="0B4765DB"/>
    <w:rsid w:val="0B49246A"/>
    <w:rsid w:val="0B4B1C27"/>
    <w:rsid w:val="0B4E34C6"/>
    <w:rsid w:val="0B593DF2"/>
    <w:rsid w:val="0B5F3925"/>
    <w:rsid w:val="0B6158EF"/>
    <w:rsid w:val="0B6251C3"/>
    <w:rsid w:val="0B654EB2"/>
    <w:rsid w:val="0B7A250D"/>
    <w:rsid w:val="0B7E6FD7"/>
    <w:rsid w:val="0B8213C1"/>
    <w:rsid w:val="0B882838"/>
    <w:rsid w:val="0B8959C7"/>
    <w:rsid w:val="0B8D2240"/>
    <w:rsid w:val="0B8E420A"/>
    <w:rsid w:val="0B922335"/>
    <w:rsid w:val="0B9C06D5"/>
    <w:rsid w:val="0B9C2F90"/>
    <w:rsid w:val="0B9E7266"/>
    <w:rsid w:val="0BA1787E"/>
    <w:rsid w:val="0BA23446"/>
    <w:rsid w:val="0BA47589"/>
    <w:rsid w:val="0BA65AEA"/>
    <w:rsid w:val="0BAF11A2"/>
    <w:rsid w:val="0BB35A1E"/>
    <w:rsid w:val="0BBE572F"/>
    <w:rsid w:val="0BC639A4"/>
    <w:rsid w:val="0BC7457E"/>
    <w:rsid w:val="0BC90FE9"/>
    <w:rsid w:val="0BCA5823"/>
    <w:rsid w:val="0BCB720C"/>
    <w:rsid w:val="0BCD088E"/>
    <w:rsid w:val="0BD0037E"/>
    <w:rsid w:val="0BD27BF6"/>
    <w:rsid w:val="0BD87233"/>
    <w:rsid w:val="0BE5207C"/>
    <w:rsid w:val="0BE54F0F"/>
    <w:rsid w:val="0BF16C73"/>
    <w:rsid w:val="0BF20F5E"/>
    <w:rsid w:val="0BFA53FB"/>
    <w:rsid w:val="0C0A790F"/>
    <w:rsid w:val="0C0B585A"/>
    <w:rsid w:val="0C0C51C6"/>
    <w:rsid w:val="0C0F534B"/>
    <w:rsid w:val="0C197F77"/>
    <w:rsid w:val="0C1E10EA"/>
    <w:rsid w:val="0C1F4E62"/>
    <w:rsid w:val="0C213AC9"/>
    <w:rsid w:val="0C3473C4"/>
    <w:rsid w:val="0C37664F"/>
    <w:rsid w:val="0C3B3C7D"/>
    <w:rsid w:val="0C3E04E4"/>
    <w:rsid w:val="0C413E05"/>
    <w:rsid w:val="0C476893"/>
    <w:rsid w:val="0C4E5C84"/>
    <w:rsid w:val="0C546D8B"/>
    <w:rsid w:val="0C550884"/>
    <w:rsid w:val="0C565064"/>
    <w:rsid w:val="0C5965C6"/>
    <w:rsid w:val="0C5B214E"/>
    <w:rsid w:val="0C5F7B4B"/>
    <w:rsid w:val="0C60298F"/>
    <w:rsid w:val="0C6F4365"/>
    <w:rsid w:val="0C77082D"/>
    <w:rsid w:val="0C8E4DCA"/>
    <w:rsid w:val="0C923042"/>
    <w:rsid w:val="0C9B098C"/>
    <w:rsid w:val="0C9B3003"/>
    <w:rsid w:val="0CA44847"/>
    <w:rsid w:val="0CA951B6"/>
    <w:rsid w:val="0CAB2EAE"/>
    <w:rsid w:val="0CAD61BF"/>
    <w:rsid w:val="0CAF268A"/>
    <w:rsid w:val="0CBA456C"/>
    <w:rsid w:val="0CBE0244"/>
    <w:rsid w:val="0CBE1877"/>
    <w:rsid w:val="0CC0472C"/>
    <w:rsid w:val="0CC46135"/>
    <w:rsid w:val="0CC57086"/>
    <w:rsid w:val="0CCA1F88"/>
    <w:rsid w:val="0CCA3020"/>
    <w:rsid w:val="0CCA537D"/>
    <w:rsid w:val="0CCC4FEA"/>
    <w:rsid w:val="0CD16127"/>
    <w:rsid w:val="0CD248B8"/>
    <w:rsid w:val="0CDC1AC0"/>
    <w:rsid w:val="0CE71E24"/>
    <w:rsid w:val="0CF307C8"/>
    <w:rsid w:val="0CF7318D"/>
    <w:rsid w:val="0D0105F4"/>
    <w:rsid w:val="0D0C53E6"/>
    <w:rsid w:val="0D0E3A69"/>
    <w:rsid w:val="0D0E5602"/>
    <w:rsid w:val="0D0F4ED6"/>
    <w:rsid w:val="0D116EA1"/>
    <w:rsid w:val="0D1644B7"/>
    <w:rsid w:val="0D256DBB"/>
    <w:rsid w:val="0D286C0B"/>
    <w:rsid w:val="0D307327"/>
    <w:rsid w:val="0D3340D7"/>
    <w:rsid w:val="0D362046"/>
    <w:rsid w:val="0D442DD2"/>
    <w:rsid w:val="0D443DA8"/>
    <w:rsid w:val="0D483310"/>
    <w:rsid w:val="0D553231"/>
    <w:rsid w:val="0D586E73"/>
    <w:rsid w:val="0D5D1124"/>
    <w:rsid w:val="0D6156B7"/>
    <w:rsid w:val="0D621C7D"/>
    <w:rsid w:val="0D701E19"/>
    <w:rsid w:val="0D71094F"/>
    <w:rsid w:val="0D731909"/>
    <w:rsid w:val="0D7E442A"/>
    <w:rsid w:val="0D827EA2"/>
    <w:rsid w:val="0D924CFA"/>
    <w:rsid w:val="0D9F625A"/>
    <w:rsid w:val="0DA25D4B"/>
    <w:rsid w:val="0DAD030B"/>
    <w:rsid w:val="0DB558E3"/>
    <w:rsid w:val="0DBA3A86"/>
    <w:rsid w:val="0DBC0BBA"/>
    <w:rsid w:val="0DBF007E"/>
    <w:rsid w:val="0DBF06AB"/>
    <w:rsid w:val="0DC416BB"/>
    <w:rsid w:val="0DC66649"/>
    <w:rsid w:val="0DCB704F"/>
    <w:rsid w:val="0DCE6B40"/>
    <w:rsid w:val="0DD63374"/>
    <w:rsid w:val="0DD759F4"/>
    <w:rsid w:val="0DD95C10"/>
    <w:rsid w:val="0DE446E9"/>
    <w:rsid w:val="0DE9124A"/>
    <w:rsid w:val="0DEA1BCB"/>
    <w:rsid w:val="0DEB14A0"/>
    <w:rsid w:val="0DF76096"/>
    <w:rsid w:val="0DF81C2C"/>
    <w:rsid w:val="0DFB1685"/>
    <w:rsid w:val="0E0576CD"/>
    <w:rsid w:val="0E085DBA"/>
    <w:rsid w:val="0E0A5BE2"/>
    <w:rsid w:val="0E0C334B"/>
    <w:rsid w:val="0E10093A"/>
    <w:rsid w:val="0E14727F"/>
    <w:rsid w:val="0E15476E"/>
    <w:rsid w:val="0E16722B"/>
    <w:rsid w:val="0E18676E"/>
    <w:rsid w:val="0E1E05C2"/>
    <w:rsid w:val="0E236E8B"/>
    <w:rsid w:val="0E2C4874"/>
    <w:rsid w:val="0E481557"/>
    <w:rsid w:val="0E4A266A"/>
    <w:rsid w:val="0E4A2B61"/>
    <w:rsid w:val="0E4B0365"/>
    <w:rsid w:val="0E4C5942"/>
    <w:rsid w:val="0E50019E"/>
    <w:rsid w:val="0E5A776A"/>
    <w:rsid w:val="0E63197E"/>
    <w:rsid w:val="0E71123F"/>
    <w:rsid w:val="0E7217AE"/>
    <w:rsid w:val="0E73034D"/>
    <w:rsid w:val="0E731926"/>
    <w:rsid w:val="0E773AA4"/>
    <w:rsid w:val="0E7771D7"/>
    <w:rsid w:val="0E7D3847"/>
    <w:rsid w:val="0E7F61A9"/>
    <w:rsid w:val="0E813BB2"/>
    <w:rsid w:val="0E8536A2"/>
    <w:rsid w:val="0E980D59"/>
    <w:rsid w:val="0E9E11E9"/>
    <w:rsid w:val="0EA23DC6"/>
    <w:rsid w:val="0EA56945"/>
    <w:rsid w:val="0EA917EE"/>
    <w:rsid w:val="0EAC0C2F"/>
    <w:rsid w:val="0EB24862"/>
    <w:rsid w:val="0EB67D00"/>
    <w:rsid w:val="0EC22929"/>
    <w:rsid w:val="0EC341CA"/>
    <w:rsid w:val="0EC37324"/>
    <w:rsid w:val="0EC51FF7"/>
    <w:rsid w:val="0EC73746"/>
    <w:rsid w:val="0ECE7C47"/>
    <w:rsid w:val="0ED70ECC"/>
    <w:rsid w:val="0EDD0E7C"/>
    <w:rsid w:val="0EDE0B4C"/>
    <w:rsid w:val="0EDE1004"/>
    <w:rsid w:val="0EDE5518"/>
    <w:rsid w:val="0EDE6847"/>
    <w:rsid w:val="0EE01A16"/>
    <w:rsid w:val="0EE0774A"/>
    <w:rsid w:val="0EE26D46"/>
    <w:rsid w:val="0EE303C9"/>
    <w:rsid w:val="0EE7144E"/>
    <w:rsid w:val="0EF146A7"/>
    <w:rsid w:val="0EF25970"/>
    <w:rsid w:val="0F13775A"/>
    <w:rsid w:val="0F1651C7"/>
    <w:rsid w:val="0F18742A"/>
    <w:rsid w:val="0F2F1860"/>
    <w:rsid w:val="0F340C24"/>
    <w:rsid w:val="0F3776B5"/>
    <w:rsid w:val="0F3D21CF"/>
    <w:rsid w:val="0F4B7676"/>
    <w:rsid w:val="0F4F14E3"/>
    <w:rsid w:val="0F580DB7"/>
    <w:rsid w:val="0F5C08A7"/>
    <w:rsid w:val="0F5F3EF3"/>
    <w:rsid w:val="0F5F45FE"/>
    <w:rsid w:val="0F5F710A"/>
    <w:rsid w:val="0F7554C5"/>
    <w:rsid w:val="0F7656DC"/>
    <w:rsid w:val="0F7A0D2D"/>
    <w:rsid w:val="0F7F00F1"/>
    <w:rsid w:val="0F8110A9"/>
    <w:rsid w:val="0F8120BC"/>
    <w:rsid w:val="0F8304E3"/>
    <w:rsid w:val="0F86406A"/>
    <w:rsid w:val="0F8B4E56"/>
    <w:rsid w:val="0F8E47D8"/>
    <w:rsid w:val="0F8E53AD"/>
    <w:rsid w:val="0F926D7B"/>
    <w:rsid w:val="0F956CAF"/>
    <w:rsid w:val="0F991851"/>
    <w:rsid w:val="0F9A112B"/>
    <w:rsid w:val="0FA94931"/>
    <w:rsid w:val="0FAE6C29"/>
    <w:rsid w:val="0FB108A3"/>
    <w:rsid w:val="0FB12275"/>
    <w:rsid w:val="0FB32491"/>
    <w:rsid w:val="0FB80B41"/>
    <w:rsid w:val="0FB85CC6"/>
    <w:rsid w:val="0FB87AA7"/>
    <w:rsid w:val="0FBA554D"/>
    <w:rsid w:val="0FC41FA8"/>
    <w:rsid w:val="0FD8769D"/>
    <w:rsid w:val="0FDC5544"/>
    <w:rsid w:val="0FE933EF"/>
    <w:rsid w:val="0FEC5E28"/>
    <w:rsid w:val="0FF46D31"/>
    <w:rsid w:val="0FF7412C"/>
    <w:rsid w:val="0FF87EA4"/>
    <w:rsid w:val="10003268"/>
    <w:rsid w:val="10010F65"/>
    <w:rsid w:val="10022AD1"/>
    <w:rsid w:val="10075BAE"/>
    <w:rsid w:val="100912AD"/>
    <w:rsid w:val="100B7BD7"/>
    <w:rsid w:val="10134CDE"/>
    <w:rsid w:val="101927BC"/>
    <w:rsid w:val="10216FE9"/>
    <w:rsid w:val="10233173"/>
    <w:rsid w:val="10252FC2"/>
    <w:rsid w:val="103828C5"/>
    <w:rsid w:val="103F5AD3"/>
    <w:rsid w:val="10484ED6"/>
    <w:rsid w:val="105076BB"/>
    <w:rsid w:val="10526442"/>
    <w:rsid w:val="10554ECE"/>
    <w:rsid w:val="105F1655"/>
    <w:rsid w:val="10624E9A"/>
    <w:rsid w:val="106B4B1A"/>
    <w:rsid w:val="106D2F64"/>
    <w:rsid w:val="10703EDE"/>
    <w:rsid w:val="107678A7"/>
    <w:rsid w:val="107751C6"/>
    <w:rsid w:val="10797860"/>
    <w:rsid w:val="107C0AD5"/>
    <w:rsid w:val="10803CD2"/>
    <w:rsid w:val="1081433D"/>
    <w:rsid w:val="10833C11"/>
    <w:rsid w:val="1084254E"/>
    <w:rsid w:val="10871B0A"/>
    <w:rsid w:val="108B685B"/>
    <w:rsid w:val="108C5E19"/>
    <w:rsid w:val="108D2CE2"/>
    <w:rsid w:val="10903556"/>
    <w:rsid w:val="10912CC7"/>
    <w:rsid w:val="109E4EEF"/>
    <w:rsid w:val="10A818CA"/>
    <w:rsid w:val="10AA7424"/>
    <w:rsid w:val="10AC3C68"/>
    <w:rsid w:val="10AE4F80"/>
    <w:rsid w:val="10AF0EAA"/>
    <w:rsid w:val="10B20F38"/>
    <w:rsid w:val="10B332BA"/>
    <w:rsid w:val="10B36B90"/>
    <w:rsid w:val="10B63710"/>
    <w:rsid w:val="10B658EC"/>
    <w:rsid w:val="10B85FB1"/>
    <w:rsid w:val="10B93DC2"/>
    <w:rsid w:val="10BB385B"/>
    <w:rsid w:val="10C775DC"/>
    <w:rsid w:val="10C85AC8"/>
    <w:rsid w:val="10D601E5"/>
    <w:rsid w:val="10DD7C1B"/>
    <w:rsid w:val="10E70644"/>
    <w:rsid w:val="10ED3781"/>
    <w:rsid w:val="10EF5227"/>
    <w:rsid w:val="10F10820"/>
    <w:rsid w:val="10FF6D29"/>
    <w:rsid w:val="11007F90"/>
    <w:rsid w:val="11020FDA"/>
    <w:rsid w:val="1102722C"/>
    <w:rsid w:val="1111746F"/>
    <w:rsid w:val="111807FE"/>
    <w:rsid w:val="111C2F7A"/>
    <w:rsid w:val="111D7BC2"/>
    <w:rsid w:val="111E393A"/>
    <w:rsid w:val="1125116C"/>
    <w:rsid w:val="11253AEF"/>
    <w:rsid w:val="112C2D27"/>
    <w:rsid w:val="112C6057"/>
    <w:rsid w:val="112E1DCF"/>
    <w:rsid w:val="11336508"/>
    <w:rsid w:val="113413B0"/>
    <w:rsid w:val="11494AAF"/>
    <w:rsid w:val="114F2960"/>
    <w:rsid w:val="11546823"/>
    <w:rsid w:val="115C3FA5"/>
    <w:rsid w:val="11621A79"/>
    <w:rsid w:val="11665CA1"/>
    <w:rsid w:val="116972AB"/>
    <w:rsid w:val="1173012A"/>
    <w:rsid w:val="11762283"/>
    <w:rsid w:val="117960AF"/>
    <w:rsid w:val="117B0D8C"/>
    <w:rsid w:val="118E64F7"/>
    <w:rsid w:val="11917190"/>
    <w:rsid w:val="119A7465"/>
    <w:rsid w:val="11AB14D3"/>
    <w:rsid w:val="11AD363C"/>
    <w:rsid w:val="11B147AE"/>
    <w:rsid w:val="11B94991"/>
    <w:rsid w:val="11BB73DB"/>
    <w:rsid w:val="11C95A79"/>
    <w:rsid w:val="11CC7E40"/>
    <w:rsid w:val="11D010D8"/>
    <w:rsid w:val="11D57298"/>
    <w:rsid w:val="11E746DD"/>
    <w:rsid w:val="11EB6812"/>
    <w:rsid w:val="11F05959"/>
    <w:rsid w:val="11F60D25"/>
    <w:rsid w:val="11FF376C"/>
    <w:rsid w:val="120736B7"/>
    <w:rsid w:val="1208619C"/>
    <w:rsid w:val="120B6F35"/>
    <w:rsid w:val="12192C3B"/>
    <w:rsid w:val="121A0B3B"/>
    <w:rsid w:val="121D4C55"/>
    <w:rsid w:val="122249E1"/>
    <w:rsid w:val="1222745A"/>
    <w:rsid w:val="12274A70"/>
    <w:rsid w:val="12280F14"/>
    <w:rsid w:val="122907E8"/>
    <w:rsid w:val="122F34F7"/>
    <w:rsid w:val="122F6014"/>
    <w:rsid w:val="123339DA"/>
    <w:rsid w:val="12394ECF"/>
    <w:rsid w:val="123963DD"/>
    <w:rsid w:val="123B441D"/>
    <w:rsid w:val="123F264B"/>
    <w:rsid w:val="12475D25"/>
    <w:rsid w:val="124B4C03"/>
    <w:rsid w:val="124C1185"/>
    <w:rsid w:val="12505D75"/>
    <w:rsid w:val="12514BA7"/>
    <w:rsid w:val="12571AC7"/>
    <w:rsid w:val="12693FEA"/>
    <w:rsid w:val="126D2DCB"/>
    <w:rsid w:val="1273243E"/>
    <w:rsid w:val="127415E0"/>
    <w:rsid w:val="12753A2E"/>
    <w:rsid w:val="128633EB"/>
    <w:rsid w:val="12887C05"/>
    <w:rsid w:val="128D3D54"/>
    <w:rsid w:val="12977F8D"/>
    <w:rsid w:val="1298640F"/>
    <w:rsid w:val="129C545E"/>
    <w:rsid w:val="12A03D04"/>
    <w:rsid w:val="12A20247"/>
    <w:rsid w:val="12AF1A72"/>
    <w:rsid w:val="12B02CB8"/>
    <w:rsid w:val="12B82897"/>
    <w:rsid w:val="12B91B6C"/>
    <w:rsid w:val="12B96010"/>
    <w:rsid w:val="12C30C3D"/>
    <w:rsid w:val="12C44D23"/>
    <w:rsid w:val="12C7072D"/>
    <w:rsid w:val="12C93C6A"/>
    <w:rsid w:val="12DC612D"/>
    <w:rsid w:val="12DE5A77"/>
    <w:rsid w:val="12DF3FDA"/>
    <w:rsid w:val="12E825FA"/>
    <w:rsid w:val="12EB3CF0"/>
    <w:rsid w:val="12ED5CBA"/>
    <w:rsid w:val="12EF37E0"/>
    <w:rsid w:val="12F71682"/>
    <w:rsid w:val="13084E30"/>
    <w:rsid w:val="13087A68"/>
    <w:rsid w:val="130A23C8"/>
    <w:rsid w:val="130B4FD3"/>
    <w:rsid w:val="130E2CF2"/>
    <w:rsid w:val="13162F12"/>
    <w:rsid w:val="13182D37"/>
    <w:rsid w:val="131C20FB"/>
    <w:rsid w:val="13204527"/>
    <w:rsid w:val="13225964"/>
    <w:rsid w:val="13236EDE"/>
    <w:rsid w:val="13286BD7"/>
    <w:rsid w:val="132F0080"/>
    <w:rsid w:val="133D5A92"/>
    <w:rsid w:val="133E25B0"/>
    <w:rsid w:val="133E2847"/>
    <w:rsid w:val="134976C3"/>
    <w:rsid w:val="134C1B1C"/>
    <w:rsid w:val="134C2E59"/>
    <w:rsid w:val="13515255"/>
    <w:rsid w:val="136441CE"/>
    <w:rsid w:val="13662961"/>
    <w:rsid w:val="136F4229"/>
    <w:rsid w:val="137B7981"/>
    <w:rsid w:val="13852973"/>
    <w:rsid w:val="138F12D3"/>
    <w:rsid w:val="13904FC3"/>
    <w:rsid w:val="13951726"/>
    <w:rsid w:val="13984A77"/>
    <w:rsid w:val="139A7BF0"/>
    <w:rsid w:val="139B3968"/>
    <w:rsid w:val="139C11B1"/>
    <w:rsid w:val="139C5394"/>
    <w:rsid w:val="13BE67E3"/>
    <w:rsid w:val="13C04BA4"/>
    <w:rsid w:val="13CD0C44"/>
    <w:rsid w:val="13D949F2"/>
    <w:rsid w:val="13DA623E"/>
    <w:rsid w:val="13E96481"/>
    <w:rsid w:val="13ED4EAC"/>
    <w:rsid w:val="13F015BE"/>
    <w:rsid w:val="13F65598"/>
    <w:rsid w:val="13F8636B"/>
    <w:rsid w:val="13FA7F80"/>
    <w:rsid w:val="13FD1F2D"/>
    <w:rsid w:val="14060DE1"/>
    <w:rsid w:val="140908D1"/>
    <w:rsid w:val="14161D0B"/>
    <w:rsid w:val="14164D9C"/>
    <w:rsid w:val="14242745"/>
    <w:rsid w:val="1424570B"/>
    <w:rsid w:val="14323AE2"/>
    <w:rsid w:val="1438492A"/>
    <w:rsid w:val="14396509"/>
    <w:rsid w:val="143A0A8B"/>
    <w:rsid w:val="143E5D0B"/>
    <w:rsid w:val="144936FC"/>
    <w:rsid w:val="144E2788"/>
    <w:rsid w:val="145547EB"/>
    <w:rsid w:val="145A1CE2"/>
    <w:rsid w:val="145B744B"/>
    <w:rsid w:val="14627FE2"/>
    <w:rsid w:val="14650326"/>
    <w:rsid w:val="1465431D"/>
    <w:rsid w:val="14691370"/>
    <w:rsid w:val="146D46B8"/>
    <w:rsid w:val="147076CE"/>
    <w:rsid w:val="14727E2A"/>
    <w:rsid w:val="147316DF"/>
    <w:rsid w:val="14771AE8"/>
    <w:rsid w:val="147E75F9"/>
    <w:rsid w:val="147F0B94"/>
    <w:rsid w:val="148204FE"/>
    <w:rsid w:val="1487090A"/>
    <w:rsid w:val="148B12E6"/>
    <w:rsid w:val="149264BD"/>
    <w:rsid w:val="14933EE7"/>
    <w:rsid w:val="14954054"/>
    <w:rsid w:val="149A3C1F"/>
    <w:rsid w:val="149A59CD"/>
    <w:rsid w:val="149F2004"/>
    <w:rsid w:val="14A458C1"/>
    <w:rsid w:val="14A64372"/>
    <w:rsid w:val="14A81E98"/>
    <w:rsid w:val="14AC445D"/>
    <w:rsid w:val="14AD5701"/>
    <w:rsid w:val="14B52F07"/>
    <w:rsid w:val="14B53B04"/>
    <w:rsid w:val="14BB36F2"/>
    <w:rsid w:val="14C314D0"/>
    <w:rsid w:val="14C36CD2"/>
    <w:rsid w:val="14C9344F"/>
    <w:rsid w:val="14C97814"/>
    <w:rsid w:val="14D710C0"/>
    <w:rsid w:val="14DD2C3C"/>
    <w:rsid w:val="14E009B1"/>
    <w:rsid w:val="14E452E3"/>
    <w:rsid w:val="14E70412"/>
    <w:rsid w:val="14F1069F"/>
    <w:rsid w:val="14FC1CB2"/>
    <w:rsid w:val="14FE41AE"/>
    <w:rsid w:val="15067DFC"/>
    <w:rsid w:val="150712B5"/>
    <w:rsid w:val="15107A3E"/>
    <w:rsid w:val="151453BF"/>
    <w:rsid w:val="15190FE8"/>
    <w:rsid w:val="151B735A"/>
    <w:rsid w:val="151D17B4"/>
    <w:rsid w:val="151E215B"/>
    <w:rsid w:val="151F1D0F"/>
    <w:rsid w:val="15273705"/>
    <w:rsid w:val="15300612"/>
    <w:rsid w:val="15301FD8"/>
    <w:rsid w:val="15302CB1"/>
    <w:rsid w:val="153C4810"/>
    <w:rsid w:val="153E6BC4"/>
    <w:rsid w:val="153F7889"/>
    <w:rsid w:val="15451DDD"/>
    <w:rsid w:val="15451F94"/>
    <w:rsid w:val="15462DCC"/>
    <w:rsid w:val="154A2F50"/>
    <w:rsid w:val="15567B46"/>
    <w:rsid w:val="15593F16"/>
    <w:rsid w:val="15601947"/>
    <w:rsid w:val="15641213"/>
    <w:rsid w:val="156509B2"/>
    <w:rsid w:val="156A53A0"/>
    <w:rsid w:val="156D2329"/>
    <w:rsid w:val="15793835"/>
    <w:rsid w:val="15804BC3"/>
    <w:rsid w:val="15892CDA"/>
    <w:rsid w:val="15892CDF"/>
    <w:rsid w:val="15911052"/>
    <w:rsid w:val="15932B49"/>
    <w:rsid w:val="159878F7"/>
    <w:rsid w:val="159F7AAA"/>
    <w:rsid w:val="15A21CF0"/>
    <w:rsid w:val="15A43F57"/>
    <w:rsid w:val="15B12FCF"/>
    <w:rsid w:val="15B14D7D"/>
    <w:rsid w:val="15B46198"/>
    <w:rsid w:val="15BE08AA"/>
    <w:rsid w:val="15BF376C"/>
    <w:rsid w:val="15C26F8A"/>
    <w:rsid w:val="15CA0AEE"/>
    <w:rsid w:val="15D21C61"/>
    <w:rsid w:val="15D2275C"/>
    <w:rsid w:val="15D26C76"/>
    <w:rsid w:val="15D6227E"/>
    <w:rsid w:val="15D73A49"/>
    <w:rsid w:val="15D73CA3"/>
    <w:rsid w:val="15DB629E"/>
    <w:rsid w:val="15DE625D"/>
    <w:rsid w:val="15E909BB"/>
    <w:rsid w:val="15EE407E"/>
    <w:rsid w:val="15F31839"/>
    <w:rsid w:val="15FB65FB"/>
    <w:rsid w:val="16087E1D"/>
    <w:rsid w:val="160E112B"/>
    <w:rsid w:val="16120A55"/>
    <w:rsid w:val="161D312C"/>
    <w:rsid w:val="16216074"/>
    <w:rsid w:val="16223ECC"/>
    <w:rsid w:val="16225C7A"/>
    <w:rsid w:val="16247C45"/>
    <w:rsid w:val="1626452C"/>
    <w:rsid w:val="16290FC2"/>
    <w:rsid w:val="16323FF9"/>
    <w:rsid w:val="16353C00"/>
    <w:rsid w:val="163A3604"/>
    <w:rsid w:val="163F579F"/>
    <w:rsid w:val="16425A18"/>
    <w:rsid w:val="164B115E"/>
    <w:rsid w:val="164B3423"/>
    <w:rsid w:val="16504D5D"/>
    <w:rsid w:val="16522A68"/>
    <w:rsid w:val="16573B76"/>
    <w:rsid w:val="1659407E"/>
    <w:rsid w:val="165F0C7D"/>
    <w:rsid w:val="1669024F"/>
    <w:rsid w:val="16730EE5"/>
    <w:rsid w:val="167651E8"/>
    <w:rsid w:val="168129A1"/>
    <w:rsid w:val="16820A97"/>
    <w:rsid w:val="1686187D"/>
    <w:rsid w:val="168801D3"/>
    <w:rsid w:val="16893DF0"/>
    <w:rsid w:val="168C7524"/>
    <w:rsid w:val="16922AAB"/>
    <w:rsid w:val="169C5978"/>
    <w:rsid w:val="169F1079"/>
    <w:rsid w:val="16A448E1"/>
    <w:rsid w:val="16A73BE2"/>
    <w:rsid w:val="16AA5C24"/>
    <w:rsid w:val="16AE17E2"/>
    <w:rsid w:val="16B5089D"/>
    <w:rsid w:val="16BA4105"/>
    <w:rsid w:val="16C64858"/>
    <w:rsid w:val="16C805D0"/>
    <w:rsid w:val="16C86A7A"/>
    <w:rsid w:val="16C90B4E"/>
    <w:rsid w:val="16CE6FFA"/>
    <w:rsid w:val="16D361A6"/>
    <w:rsid w:val="16DB4E0C"/>
    <w:rsid w:val="16DE4625"/>
    <w:rsid w:val="16E277B4"/>
    <w:rsid w:val="16E340AB"/>
    <w:rsid w:val="16E66CA8"/>
    <w:rsid w:val="16E74ADA"/>
    <w:rsid w:val="16E87ED5"/>
    <w:rsid w:val="16E931F9"/>
    <w:rsid w:val="16EB2255"/>
    <w:rsid w:val="16F45869"/>
    <w:rsid w:val="16FE0496"/>
    <w:rsid w:val="16FF6B55"/>
    <w:rsid w:val="17051824"/>
    <w:rsid w:val="17051FB2"/>
    <w:rsid w:val="1706504E"/>
    <w:rsid w:val="171001C9"/>
    <w:rsid w:val="17135F48"/>
    <w:rsid w:val="17141A67"/>
    <w:rsid w:val="17183B0B"/>
    <w:rsid w:val="171B1048"/>
    <w:rsid w:val="171D2617"/>
    <w:rsid w:val="171F21BA"/>
    <w:rsid w:val="17253C74"/>
    <w:rsid w:val="17255A22"/>
    <w:rsid w:val="174562B5"/>
    <w:rsid w:val="174D6D27"/>
    <w:rsid w:val="17571F80"/>
    <w:rsid w:val="17602EFE"/>
    <w:rsid w:val="17603394"/>
    <w:rsid w:val="17667DC4"/>
    <w:rsid w:val="176C116A"/>
    <w:rsid w:val="17701D14"/>
    <w:rsid w:val="17735226"/>
    <w:rsid w:val="17750022"/>
    <w:rsid w:val="1777499D"/>
    <w:rsid w:val="177A24AF"/>
    <w:rsid w:val="17854713"/>
    <w:rsid w:val="178A7F7B"/>
    <w:rsid w:val="178B4005"/>
    <w:rsid w:val="178C784F"/>
    <w:rsid w:val="17966920"/>
    <w:rsid w:val="17A00D84"/>
    <w:rsid w:val="17A0779F"/>
    <w:rsid w:val="17A56B63"/>
    <w:rsid w:val="17A81E09"/>
    <w:rsid w:val="17B40B54"/>
    <w:rsid w:val="17B84AE8"/>
    <w:rsid w:val="17B86896"/>
    <w:rsid w:val="17BE2866"/>
    <w:rsid w:val="17BE3162"/>
    <w:rsid w:val="17BF1DD3"/>
    <w:rsid w:val="17BF5E77"/>
    <w:rsid w:val="17C811C0"/>
    <w:rsid w:val="17D215F1"/>
    <w:rsid w:val="17D8215C"/>
    <w:rsid w:val="17DE0401"/>
    <w:rsid w:val="17DF245C"/>
    <w:rsid w:val="17E458DD"/>
    <w:rsid w:val="17E53404"/>
    <w:rsid w:val="17E84023"/>
    <w:rsid w:val="17EF357C"/>
    <w:rsid w:val="17F02CDB"/>
    <w:rsid w:val="17F90086"/>
    <w:rsid w:val="17FD3F01"/>
    <w:rsid w:val="17FD4150"/>
    <w:rsid w:val="180261A4"/>
    <w:rsid w:val="18027B12"/>
    <w:rsid w:val="18055854"/>
    <w:rsid w:val="1805712E"/>
    <w:rsid w:val="18074383"/>
    <w:rsid w:val="180B14E1"/>
    <w:rsid w:val="18127FFF"/>
    <w:rsid w:val="18143D4F"/>
    <w:rsid w:val="182C0A74"/>
    <w:rsid w:val="183B4B8B"/>
    <w:rsid w:val="184C3483"/>
    <w:rsid w:val="18500B59"/>
    <w:rsid w:val="18511882"/>
    <w:rsid w:val="18523868"/>
    <w:rsid w:val="185479F2"/>
    <w:rsid w:val="185E65FF"/>
    <w:rsid w:val="186822E5"/>
    <w:rsid w:val="186B57B5"/>
    <w:rsid w:val="187327BD"/>
    <w:rsid w:val="187A1D9E"/>
    <w:rsid w:val="18842C1C"/>
    <w:rsid w:val="1887017B"/>
    <w:rsid w:val="188D7D23"/>
    <w:rsid w:val="188E7B1E"/>
    <w:rsid w:val="189158E2"/>
    <w:rsid w:val="18925339"/>
    <w:rsid w:val="18954784"/>
    <w:rsid w:val="189F42DD"/>
    <w:rsid w:val="189F624C"/>
    <w:rsid w:val="18A161D5"/>
    <w:rsid w:val="18AA1FF3"/>
    <w:rsid w:val="18BA4890"/>
    <w:rsid w:val="18D314AE"/>
    <w:rsid w:val="18DA6CE0"/>
    <w:rsid w:val="18DD4587"/>
    <w:rsid w:val="18DD567D"/>
    <w:rsid w:val="18ED2570"/>
    <w:rsid w:val="18F2402A"/>
    <w:rsid w:val="18F666B0"/>
    <w:rsid w:val="18F87132"/>
    <w:rsid w:val="18FC0503"/>
    <w:rsid w:val="18FE2DDD"/>
    <w:rsid w:val="19074C32"/>
    <w:rsid w:val="190903EA"/>
    <w:rsid w:val="190F0CF7"/>
    <w:rsid w:val="19121FD6"/>
    <w:rsid w:val="191311B8"/>
    <w:rsid w:val="19152504"/>
    <w:rsid w:val="191748E1"/>
    <w:rsid w:val="191775ED"/>
    <w:rsid w:val="191E4E1F"/>
    <w:rsid w:val="1921316E"/>
    <w:rsid w:val="192177D8"/>
    <w:rsid w:val="192835A8"/>
    <w:rsid w:val="192C753C"/>
    <w:rsid w:val="193C52A5"/>
    <w:rsid w:val="193D3D5F"/>
    <w:rsid w:val="194D300E"/>
    <w:rsid w:val="194D4555"/>
    <w:rsid w:val="194E4D67"/>
    <w:rsid w:val="19502794"/>
    <w:rsid w:val="19502AFF"/>
    <w:rsid w:val="19540E78"/>
    <w:rsid w:val="19595E57"/>
    <w:rsid w:val="195B1AB9"/>
    <w:rsid w:val="195E346D"/>
    <w:rsid w:val="1971339E"/>
    <w:rsid w:val="1980590A"/>
    <w:rsid w:val="19831126"/>
    <w:rsid w:val="19855E4D"/>
    <w:rsid w:val="1990114D"/>
    <w:rsid w:val="19923A43"/>
    <w:rsid w:val="19A267B4"/>
    <w:rsid w:val="19AF3CC9"/>
    <w:rsid w:val="19B62E3A"/>
    <w:rsid w:val="19BE215E"/>
    <w:rsid w:val="19C260D3"/>
    <w:rsid w:val="19C41736"/>
    <w:rsid w:val="19D7327F"/>
    <w:rsid w:val="19D83220"/>
    <w:rsid w:val="19DE262B"/>
    <w:rsid w:val="19E03E83"/>
    <w:rsid w:val="19E25E4D"/>
    <w:rsid w:val="19E716B5"/>
    <w:rsid w:val="19EB386F"/>
    <w:rsid w:val="19F8741E"/>
    <w:rsid w:val="1A071722"/>
    <w:rsid w:val="1A0A1D1E"/>
    <w:rsid w:val="1A0F52E3"/>
    <w:rsid w:val="1A1558FF"/>
    <w:rsid w:val="1A16286E"/>
    <w:rsid w:val="1A162EF4"/>
    <w:rsid w:val="1A1A10D2"/>
    <w:rsid w:val="1A1B7C13"/>
    <w:rsid w:val="1A1C66C0"/>
    <w:rsid w:val="1A232ABA"/>
    <w:rsid w:val="1A2570E8"/>
    <w:rsid w:val="1A2E1092"/>
    <w:rsid w:val="1A302507"/>
    <w:rsid w:val="1A332D5B"/>
    <w:rsid w:val="1A3345EB"/>
    <w:rsid w:val="1A355D97"/>
    <w:rsid w:val="1A390AE9"/>
    <w:rsid w:val="1A3A4878"/>
    <w:rsid w:val="1A42393B"/>
    <w:rsid w:val="1A427AAC"/>
    <w:rsid w:val="1A473F02"/>
    <w:rsid w:val="1A497077"/>
    <w:rsid w:val="1A4D0B70"/>
    <w:rsid w:val="1A4E34E2"/>
    <w:rsid w:val="1A5216C3"/>
    <w:rsid w:val="1A5F5F68"/>
    <w:rsid w:val="1A62442A"/>
    <w:rsid w:val="1A6920CA"/>
    <w:rsid w:val="1A760DCE"/>
    <w:rsid w:val="1A8B2040"/>
    <w:rsid w:val="1A930EF5"/>
    <w:rsid w:val="1A9619E9"/>
    <w:rsid w:val="1A9B5FFB"/>
    <w:rsid w:val="1A9E64E2"/>
    <w:rsid w:val="1AA2738A"/>
    <w:rsid w:val="1AAB4490"/>
    <w:rsid w:val="1AAD45DE"/>
    <w:rsid w:val="1AAE3F81"/>
    <w:rsid w:val="1ABC669E"/>
    <w:rsid w:val="1ABD2416"/>
    <w:rsid w:val="1ADC0AEE"/>
    <w:rsid w:val="1ADE3303"/>
    <w:rsid w:val="1ADF133B"/>
    <w:rsid w:val="1AE6368B"/>
    <w:rsid w:val="1AEC6804"/>
    <w:rsid w:val="1B0167A6"/>
    <w:rsid w:val="1B0342CC"/>
    <w:rsid w:val="1B046F80"/>
    <w:rsid w:val="1B072EF9"/>
    <w:rsid w:val="1B1738D4"/>
    <w:rsid w:val="1B19589E"/>
    <w:rsid w:val="1B27396B"/>
    <w:rsid w:val="1B293607"/>
    <w:rsid w:val="1B2B61CD"/>
    <w:rsid w:val="1B2C0425"/>
    <w:rsid w:val="1B3048AE"/>
    <w:rsid w:val="1B3267B5"/>
    <w:rsid w:val="1B354FBC"/>
    <w:rsid w:val="1B380B65"/>
    <w:rsid w:val="1B3A5814"/>
    <w:rsid w:val="1B3E3557"/>
    <w:rsid w:val="1B40161D"/>
    <w:rsid w:val="1B441859"/>
    <w:rsid w:val="1B4B32EE"/>
    <w:rsid w:val="1B4D5548"/>
    <w:rsid w:val="1B544B28"/>
    <w:rsid w:val="1B575B82"/>
    <w:rsid w:val="1B5A1A13"/>
    <w:rsid w:val="1B5A3643"/>
    <w:rsid w:val="1B6577C4"/>
    <w:rsid w:val="1B6603B7"/>
    <w:rsid w:val="1B6606B1"/>
    <w:rsid w:val="1B6D5BEA"/>
    <w:rsid w:val="1B726CF2"/>
    <w:rsid w:val="1B753136"/>
    <w:rsid w:val="1B8847D2"/>
    <w:rsid w:val="1B8E5CBE"/>
    <w:rsid w:val="1B9C0F34"/>
    <w:rsid w:val="1B9F38C9"/>
    <w:rsid w:val="1BAC116B"/>
    <w:rsid w:val="1BAE5411"/>
    <w:rsid w:val="1BAF6202"/>
    <w:rsid w:val="1BBA124D"/>
    <w:rsid w:val="1BBD091F"/>
    <w:rsid w:val="1BC5317D"/>
    <w:rsid w:val="1BCE4516"/>
    <w:rsid w:val="1BDB348B"/>
    <w:rsid w:val="1BE406D0"/>
    <w:rsid w:val="1BE834C2"/>
    <w:rsid w:val="1BF1252A"/>
    <w:rsid w:val="1BF400B9"/>
    <w:rsid w:val="1BF43C15"/>
    <w:rsid w:val="1BF857AE"/>
    <w:rsid w:val="1BFB4C49"/>
    <w:rsid w:val="1C002CEE"/>
    <w:rsid w:val="1C0869F2"/>
    <w:rsid w:val="1C142509"/>
    <w:rsid w:val="1C1A6088"/>
    <w:rsid w:val="1C246473"/>
    <w:rsid w:val="1C2A7147"/>
    <w:rsid w:val="1C2D3CDA"/>
    <w:rsid w:val="1C2F20FA"/>
    <w:rsid w:val="1C305AF3"/>
    <w:rsid w:val="1C320B0B"/>
    <w:rsid w:val="1C362480"/>
    <w:rsid w:val="1C3B1844"/>
    <w:rsid w:val="1C4A7CD9"/>
    <w:rsid w:val="1C4B67C1"/>
    <w:rsid w:val="1C4F3541"/>
    <w:rsid w:val="1C597167"/>
    <w:rsid w:val="1C5B25FD"/>
    <w:rsid w:val="1C5E7925"/>
    <w:rsid w:val="1C614F4A"/>
    <w:rsid w:val="1C690972"/>
    <w:rsid w:val="1C6E23E9"/>
    <w:rsid w:val="1C7134B8"/>
    <w:rsid w:val="1C73368E"/>
    <w:rsid w:val="1C7627F6"/>
    <w:rsid w:val="1C766D20"/>
    <w:rsid w:val="1C7B7E93"/>
    <w:rsid w:val="1C981895"/>
    <w:rsid w:val="1C9B564C"/>
    <w:rsid w:val="1CA67605"/>
    <w:rsid w:val="1CAB2DF4"/>
    <w:rsid w:val="1CB066A2"/>
    <w:rsid w:val="1CB6070E"/>
    <w:rsid w:val="1CB6166F"/>
    <w:rsid w:val="1CBE4614"/>
    <w:rsid w:val="1CC1144E"/>
    <w:rsid w:val="1CC161ED"/>
    <w:rsid w:val="1CC674F2"/>
    <w:rsid w:val="1CC7757C"/>
    <w:rsid w:val="1CE02687"/>
    <w:rsid w:val="1CE60291"/>
    <w:rsid w:val="1CE61652"/>
    <w:rsid w:val="1CE819CC"/>
    <w:rsid w:val="1CEB5018"/>
    <w:rsid w:val="1CF2284B"/>
    <w:rsid w:val="1CF60619"/>
    <w:rsid w:val="1CFD070F"/>
    <w:rsid w:val="1D156894"/>
    <w:rsid w:val="1D250A04"/>
    <w:rsid w:val="1D303373"/>
    <w:rsid w:val="1D332166"/>
    <w:rsid w:val="1D362FC9"/>
    <w:rsid w:val="1D3F5364"/>
    <w:rsid w:val="1D5211AF"/>
    <w:rsid w:val="1D5F6196"/>
    <w:rsid w:val="1D6132A5"/>
    <w:rsid w:val="1D651286"/>
    <w:rsid w:val="1D6945D8"/>
    <w:rsid w:val="1D725739"/>
    <w:rsid w:val="1D7768AC"/>
    <w:rsid w:val="1D7C3992"/>
    <w:rsid w:val="1D815215"/>
    <w:rsid w:val="1D81772B"/>
    <w:rsid w:val="1D8509C2"/>
    <w:rsid w:val="1D8E56D5"/>
    <w:rsid w:val="1D906C55"/>
    <w:rsid w:val="1D92710E"/>
    <w:rsid w:val="1D9456B0"/>
    <w:rsid w:val="1D9669AE"/>
    <w:rsid w:val="1D9E780F"/>
    <w:rsid w:val="1DB4365C"/>
    <w:rsid w:val="1DC35F95"/>
    <w:rsid w:val="1DC37B65"/>
    <w:rsid w:val="1DC835AB"/>
    <w:rsid w:val="1DC87107"/>
    <w:rsid w:val="1DD46564"/>
    <w:rsid w:val="1DD50E77"/>
    <w:rsid w:val="1DD63449"/>
    <w:rsid w:val="1DD84B76"/>
    <w:rsid w:val="1DDC2BB3"/>
    <w:rsid w:val="1DDC3C08"/>
    <w:rsid w:val="1DDD3F85"/>
    <w:rsid w:val="1DDE2DCF"/>
    <w:rsid w:val="1DE008F5"/>
    <w:rsid w:val="1DE0470B"/>
    <w:rsid w:val="1DE2466D"/>
    <w:rsid w:val="1DEF6D8A"/>
    <w:rsid w:val="1DF256A7"/>
    <w:rsid w:val="1DF5215C"/>
    <w:rsid w:val="1DF92DE8"/>
    <w:rsid w:val="1DFC71C2"/>
    <w:rsid w:val="1DFF2C56"/>
    <w:rsid w:val="1DFF7E64"/>
    <w:rsid w:val="1E014874"/>
    <w:rsid w:val="1E025AFC"/>
    <w:rsid w:val="1E043E90"/>
    <w:rsid w:val="1E0A3BC4"/>
    <w:rsid w:val="1E0F0816"/>
    <w:rsid w:val="1E122A78"/>
    <w:rsid w:val="1E171E3D"/>
    <w:rsid w:val="1E177C55"/>
    <w:rsid w:val="1E1E4F79"/>
    <w:rsid w:val="1E272922"/>
    <w:rsid w:val="1E277658"/>
    <w:rsid w:val="1E295196"/>
    <w:rsid w:val="1E334EC9"/>
    <w:rsid w:val="1E3B3D7D"/>
    <w:rsid w:val="1E417387"/>
    <w:rsid w:val="1E4A5D6E"/>
    <w:rsid w:val="1E4F3014"/>
    <w:rsid w:val="1E5113B6"/>
    <w:rsid w:val="1E54610B"/>
    <w:rsid w:val="1E5C0B9E"/>
    <w:rsid w:val="1E5E181A"/>
    <w:rsid w:val="1E5E7A6C"/>
    <w:rsid w:val="1E601A36"/>
    <w:rsid w:val="1E782A53"/>
    <w:rsid w:val="1E786D7F"/>
    <w:rsid w:val="1E7A43DA"/>
    <w:rsid w:val="1E7D5D63"/>
    <w:rsid w:val="1E8411D7"/>
    <w:rsid w:val="1E845724"/>
    <w:rsid w:val="1E8936C4"/>
    <w:rsid w:val="1E961F17"/>
    <w:rsid w:val="1E9D2342"/>
    <w:rsid w:val="1E9E13E6"/>
    <w:rsid w:val="1E9F255E"/>
    <w:rsid w:val="1EA2679A"/>
    <w:rsid w:val="1EB8717C"/>
    <w:rsid w:val="1EBC69FC"/>
    <w:rsid w:val="1EC43D73"/>
    <w:rsid w:val="1EC73863"/>
    <w:rsid w:val="1EC86ED1"/>
    <w:rsid w:val="1EC90C4F"/>
    <w:rsid w:val="1ECC2C27"/>
    <w:rsid w:val="1EDB2E6A"/>
    <w:rsid w:val="1EE5524A"/>
    <w:rsid w:val="1EEB7551"/>
    <w:rsid w:val="1EEC5078"/>
    <w:rsid w:val="1EED76AD"/>
    <w:rsid w:val="1EF06E31"/>
    <w:rsid w:val="1EF1336E"/>
    <w:rsid w:val="1EFB6443"/>
    <w:rsid w:val="1EFD0012"/>
    <w:rsid w:val="1EFF6A58"/>
    <w:rsid w:val="1F026649"/>
    <w:rsid w:val="1F093DAE"/>
    <w:rsid w:val="1F093E7B"/>
    <w:rsid w:val="1F0B6735"/>
    <w:rsid w:val="1F1330A4"/>
    <w:rsid w:val="1F152820"/>
    <w:rsid w:val="1F1D16D5"/>
    <w:rsid w:val="1F252D55"/>
    <w:rsid w:val="1F367C9A"/>
    <w:rsid w:val="1F3802BD"/>
    <w:rsid w:val="1F380351"/>
    <w:rsid w:val="1F3A227C"/>
    <w:rsid w:val="1F3A7255"/>
    <w:rsid w:val="1F3F5AEF"/>
    <w:rsid w:val="1F4110D4"/>
    <w:rsid w:val="1F46704B"/>
    <w:rsid w:val="1F501E9D"/>
    <w:rsid w:val="1F51312D"/>
    <w:rsid w:val="1F58270D"/>
    <w:rsid w:val="1F5844BB"/>
    <w:rsid w:val="1F5920EB"/>
    <w:rsid w:val="1F5B41C0"/>
    <w:rsid w:val="1F5C46EF"/>
    <w:rsid w:val="1F651D3A"/>
    <w:rsid w:val="1F664E2A"/>
    <w:rsid w:val="1F66796B"/>
    <w:rsid w:val="1F6F7071"/>
    <w:rsid w:val="1F700094"/>
    <w:rsid w:val="1F777037"/>
    <w:rsid w:val="1F79372A"/>
    <w:rsid w:val="1F7A2683"/>
    <w:rsid w:val="1F7E2174"/>
    <w:rsid w:val="1F7F70D1"/>
    <w:rsid w:val="1F89392C"/>
    <w:rsid w:val="1F8C3695"/>
    <w:rsid w:val="1F8D23B7"/>
    <w:rsid w:val="1F927440"/>
    <w:rsid w:val="1F9574BD"/>
    <w:rsid w:val="1F992C80"/>
    <w:rsid w:val="1F994CCE"/>
    <w:rsid w:val="1F9F20EA"/>
    <w:rsid w:val="1FA12306"/>
    <w:rsid w:val="1FA2090B"/>
    <w:rsid w:val="1FA47700"/>
    <w:rsid w:val="1FA807DA"/>
    <w:rsid w:val="1FA871F0"/>
    <w:rsid w:val="1FB1687F"/>
    <w:rsid w:val="1FBE4C66"/>
    <w:rsid w:val="1FBF453A"/>
    <w:rsid w:val="1FC258F7"/>
    <w:rsid w:val="1FC41032"/>
    <w:rsid w:val="1FC95EAC"/>
    <w:rsid w:val="1FCD6C57"/>
    <w:rsid w:val="1FD127B3"/>
    <w:rsid w:val="1FD16A32"/>
    <w:rsid w:val="1FD53D5E"/>
    <w:rsid w:val="1FD6254E"/>
    <w:rsid w:val="1FD71884"/>
    <w:rsid w:val="1FD83A67"/>
    <w:rsid w:val="1FDB5E8E"/>
    <w:rsid w:val="1FE06469"/>
    <w:rsid w:val="1FE24E53"/>
    <w:rsid w:val="1FE40A7A"/>
    <w:rsid w:val="1FE7539E"/>
    <w:rsid w:val="1FE81CE3"/>
    <w:rsid w:val="1FF57F5C"/>
    <w:rsid w:val="1FFA6BA4"/>
    <w:rsid w:val="20023D73"/>
    <w:rsid w:val="2003549E"/>
    <w:rsid w:val="20060259"/>
    <w:rsid w:val="200738CC"/>
    <w:rsid w:val="20084129"/>
    <w:rsid w:val="20104967"/>
    <w:rsid w:val="20125A9B"/>
    <w:rsid w:val="201F7058"/>
    <w:rsid w:val="20250841"/>
    <w:rsid w:val="2034116B"/>
    <w:rsid w:val="20346CD6"/>
    <w:rsid w:val="203942EC"/>
    <w:rsid w:val="203B47DB"/>
    <w:rsid w:val="2040567B"/>
    <w:rsid w:val="20473593"/>
    <w:rsid w:val="204D781E"/>
    <w:rsid w:val="2054542F"/>
    <w:rsid w:val="2057486B"/>
    <w:rsid w:val="2058078F"/>
    <w:rsid w:val="20670EB4"/>
    <w:rsid w:val="20671BE0"/>
    <w:rsid w:val="206C46C2"/>
    <w:rsid w:val="206F41B2"/>
    <w:rsid w:val="207819FD"/>
    <w:rsid w:val="207B6AF1"/>
    <w:rsid w:val="20860445"/>
    <w:rsid w:val="20863ABC"/>
    <w:rsid w:val="20891082"/>
    <w:rsid w:val="208A4B48"/>
    <w:rsid w:val="208C08C0"/>
    <w:rsid w:val="20907337"/>
    <w:rsid w:val="20963CB8"/>
    <w:rsid w:val="2098521C"/>
    <w:rsid w:val="20987A7B"/>
    <w:rsid w:val="20A149B4"/>
    <w:rsid w:val="20A1609D"/>
    <w:rsid w:val="20A81A1B"/>
    <w:rsid w:val="20AA51EA"/>
    <w:rsid w:val="20AA5BE4"/>
    <w:rsid w:val="20AC4ABE"/>
    <w:rsid w:val="20B07FB6"/>
    <w:rsid w:val="20B120D5"/>
    <w:rsid w:val="20B533DE"/>
    <w:rsid w:val="20B646FB"/>
    <w:rsid w:val="20B83463"/>
    <w:rsid w:val="20B95AC2"/>
    <w:rsid w:val="20BA3625"/>
    <w:rsid w:val="20BB582E"/>
    <w:rsid w:val="20BB73F7"/>
    <w:rsid w:val="20BD2D28"/>
    <w:rsid w:val="20C35C27"/>
    <w:rsid w:val="20CD44B8"/>
    <w:rsid w:val="20D10281"/>
    <w:rsid w:val="20D34741"/>
    <w:rsid w:val="20D47A0F"/>
    <w:rsid w:val="20DB09ED"/>
    <w:rsid w:val="20DE6C42"/>
    <w:rsid w:val="20E00BE5"/>
    <w:rsid w:val="20E26732"/>
    <w:rsid w:val="20F26C69"/>
    <w:rsid w:val="20F63F8C"/>
    <w:rsid w:val="20FB5A46"/>
    <w:rsid w:val="20FD17BE"/>
    <w:rsid w:val="21052421"/>
    <w:rsid w:val="21073FD8"/>
    <w:rsid w:val="21121501"/>
    <w:rsid w:val="211264BF"/>
    <w:rsid w:val="211329C7"/>
    <w:rsid w:val="21154D5A"/>
    <w:rsid w:val="211663DC"/>
    <w:rsid w:val="2117681A"/>
    <w:rsid w:val="21186B92"/>
    <w:rsid w:val="21192321"/>
    <w:rsid w:val="21260D15"/>
    <w:rsid w:val="21262AC3"/>
    <w:rsid w:val="212E5E1B"/>
    <w:rsid w:val="213276BA"/>
    <w:rsid w:val="213B74B1"/>
    <w:rsid w:val="213D7E0C"/>
    <w:rsid w:val="2140571C"/>
    <w:rsid w:val="214178FD"/>
    <w:rsid w:val="214317E0"/>
    <w:rsid w:val="214747E7"/>
    <w:rsid w:val="214D6895"/>
    <w:rsid w:val="215018EE"/>
    <w:rsid w:val="215313DE"/>
    <w:rsid w:val="215A2310"/>
    <w:rsid w:val="215E746E"/>
    <w:rsid w:val="21626BF0"/>
    <w:rsid w:val="216435EB"/>
    <w:rsid w:val="2169499E"/>
    <w:rsid w:val="217A70D0"/>
    <w:rsid w:val="2186530F"/>
    <w:rsid w:val="21871088"/>
    <w:rsid w:val="218B0B78"/>
    <w:rsid w:val="218E0668"/>
    <w:rsid w:val="218E68BA"/>
    <w:rsid w:val="219152EF"/>
    <w:rsid w:val="2197751D"/>
    <w:rsid w:val="21A10F1D"/>
    <w:rsid w:val="21A86C8E"/>
    <w:rsid w:val="21A94D1A"/>
    <w:rsid w:val="21A954A2"/>
    <w:rsid w:val="21AD70BF"/>
    <w:rsid w:val="21B225A8"/>
    <w:rsid w:val="21BA6329"/>
    <w:rsid w:val="21BF4CC5"/>
    <w:rsid w:val="21C4472F"/>
    <w:rsid w:val="21C70505"/>
    <w:rsid w:val="21C96E2B"/>
    <w:rsid w:val="21CB71C6"/>
    <w:rsid w:val="21DD6EFA"/>
    <w:rsid w:val="21DE318A"/>
    <w:rsid w:val="21E64000"/>
    <w:rsid w:val="21E8173A"/>
    <w:rsid w:val="21EF5B80"/>
    <w:rsid w:val="21F91F85"/>
    <w:rsid w:val="21F93D33"/>
    <w:rsid w:val="21FE759C"/>
    <w:rsid w:val="21FF50C2"/>
    <w:rsid w:val="22034BB2"/>
    <w:rsid w:val="220A0F86"/>
    <w:rsid w:val="220A5A5F"/>
    <w:rsid w:val="220B1A78"/>
    <w:rsid w:val="220C0B15"/>
    <w:rsid w:val="22151651"/>
    <w:rsid w:val="22185FF9"/>
    <w:rsid w:val="22194943"/>
    <w:rsid w:val="221B54E8"/>
    <w:rsid w:val="22230DB0"/>
    <w:rsid w:val="222B5CCB"/>
    <w:rsid w:val="22362064"/>
    <w:rsid w:val="2237626B"/>
    <w:rsid w:val="223B2364"/>
    <w:rsid w:val="223C3D0F"/>
    <w:rsid w:val="223D65C7"/>
    <w:rsid w:val="223F7F07"/>
    <w:rsid w:val="22406F3D"/>
    <w:rsid w:val="224551CB"/>
    <w:rsid w:val="22487082"/>
    <w:rsid w:val="2250591D"/>
    <w:rsid w:val="225304F1"/>
    <w:rsid w:val="22535AF3"/>
    <w:rsid w:val="22576990"/>
    <w:rsid w:val="225E003A"/>
    <w:rsid w:val="225E612C"/>
    <w:rsid w:val="225E6DE9"/>
    <w:rsid w:val="22627BFA"/>
    <w:rsid w:val="22693F6A"/>
    <w:rsid w:val="226A2E83"/>
    <w:rsid w:val="22762408"/>
    <w:rsid w:val="227635D6"/>
    <w:rsid w:val="22843E76"/>
    <w:rsid w:val="22971AE5"/>
    <w:rsid w:val="22981D25"/>
    <w:rsid w:val="22987271"/>
    <w:rsid w:val="229C0B63"/>
    <w:rsid w:val="22B15A6A"/>
    <w:rsid w:val="22B20386"/>
    <w:rsid w:val="22B22780"/>
    <w:rsid w:val="22B95F4E"/>
    <w:rsid w:val="22BF75F9"/>
    <w:rsid w:val="22C119A4"/>
    <w:rsid w:val="22C13E17"/>
    <w:rsid w:val="22D36642"/>
    <w:rsid w:val="22D7777E"/>
    <w:rsid w:val="22DB5B2F"/>
    <w:rsid w:val="22DB78DD"/>
    <w:rsid w:val="22DC5F19"/>
    <w:rsid w:val="22DF561F"/>
    <w:rsid w:val="22E93AF2"/>
    <w:rsid w:val="22EC0640"/>
    <w:rsid w:val="22F4099F"/>
    <w:rsid w:val="22F47480"/>
    <w:rsid w:val="22F55948"/>
    <w:rsid w:val="22F56B29"/>
    <w:rsid w:val="22F77F2F"/>
    <w:rsid w:val="22F913B0"/>
    <w:rsid w:val="22FB1D2D"/>
    <w:rsid w:val="22FC69A7"/>
    <w:rsid w:val="2307704E"/>
    <w:rsid w:val="23092FD4"/>
    <w:rsid w:val="230F3E1C"/>
    <w:rsid w:val="232271C0"/>
    <w:rsid w:val="232A43C0"/>
    <w:rsid w:val="232B150E"/>
    <w:rsid w:val="232C0B9D"/>
    <w:rsid w:val="23320CF8"/>
    <w:rsid w:val="23384D2F"/>
    <w:rsid w:val="233D173E"/>
    <w:rsid w:val="233E3A7C"/>
    <w:rsid w:val="233F60BE"/>
    <w:rsid w:val="234209B3"/>
    <w:rsid w:val="23474F72"/>
    <w:rsid w:val="2348359C"/>
    <w:rsid w:val="23511B35"/>
    <w:rsid w:val="23607DE2"/>
    <w:rsid w:val="23654DA7"/>
    <w:rsid w:val="237C1F29"/>
    <w:rsid w:val="23803DE0"/>
    <w:rsid w:val="238E2BA1"/>
    <w:rsid w:val="23915A43"/>
    <w:rsid w:val="23974583"/>
    <w:rsid w:val="23986385"/>
    <w:rsid w:val="23A93537"/>
    <w:rsid w:val="23AC7176"/>
    <w:rsid w:val="23AF407D"/>
    <w:rsid w:val="23B66414"/>
    <w:rsid w:val="23BC326A"/>
    <w:rsid w:val="23BD07AB"/>
    <w:rsid w:val="23BD5235"/>
    <w:rsid w:val="23BF27BA"/>
    <w:rsid w:val="23C40371"/>
    <w:rsid w:val="23D00728"/>
    <w:rsid w:val="23D06D16"/>
    <w:rsid w:val="23D22A8E"/>
    <w:rsid w:val="23D5432C"/>
    <w:rsid w:val="23D700A4"/>
    <w:rsid w:val="23DA3DA3"/>
    <w:rsid w:val="23DE1C48"/>
    <w:rsid w:val="23E1250A"/>
    <w:rsid w:val="23E42DE3"/>
    <w:rsid w:val="23E46C65"/>
    <w:rsid w:val="23EB2AA7"/>
    <w:rsid w:val="23EC0552"/>
    <w:rsid w:val="23EF6871"/>
    <w:rsid w:val="23EF738F"/>
    <w:rsid w:val="23F0560A"/>
    <w:rsid w:val="23F90CF2"/>
    <w:rsid w:val="23FA0237"/>
    <w:rsid w:val="23FA1D3F"/>
    <w:rsid w:val="2401032F"/>
    <w:rsid w:val="24013373"/>
    <w:rsid w:val="240210CD"/>
    <w:rsid w:val="24041F15"/>
    <w:rsid w:val="24051D68"/>
    <w:rsid w:val="240B5FA0"/>
    <w:rsid w:val="240C6648"/>
    <w:rsid w:val="240F3CE2"/>
    <w:rsid w:val="2412329D"/>
    <w:rsid w:val="24174945"/>
    <w:rsid w:val="241C6861"/>
    <w:rsid w:val="241D155E"/>
    <w:rsid w:val="242D5F16"/>
    <w:rsid w:val="24332C66"/>
    <w:rsid w:val="24343749"/>
    <w:rsid w:val="24392B0D"/>
    <w:rsid w:val="243E1B16"/>
    <w:rsid w:val="243F5C4A"/>
    <w:rsid w:val="24417F5F"/>
    <w:rsid w:val="24431BDE"/>
    <w:rsid w:val="244A6AC8"/>
    <w:rsid w:val="244F507C"/>
    <w:rsid w:val="24547947"/>
    <w:rsid w:val="246062EC"/>
    <w:rsid w:val="24612064"/>
    <w:rsid w:val="246253FA"/>
    <w:rsid w:val="246456B0"/>
    <w:rsid w:val="24681644"/>
    <w:rsid w:val="246B0F38"/>
    <w:rsid w:val="24720EA1"/>
    <w:rsid w:val="24756F28"/>
    <w:rsid w:val="247578BD"/>
    <w:rsid w:val="2479115B"/>
    <w:rsid w:val="247A6A25"/>
    <w:rsid w:val="247E0425"/>
    <w:rsid w:val="247E3B4F"/>
    <w:rsid w:val="248024EA"/>
    <w:rsid w:val="248C70E1"/>
    <w:rsid w:val="2493042F"/>
    <w:rsid w:val="24955738"/>
    <w:rsid w:val="249935AC"/>
    <w:rsid w:val="249A5961"/>
    <w:rsid w:val="24A35889"/>
    <w:rsid w:val="24AA7567"/>
    <w:rsid w:val="24AD06DD"/>
    <w:rsid w:val="24BC219B"/>
    <w:rsid w:val="24BE74B6"/>
    <w:rsid w:val="24BF09F7"/>
    <w:rsid w:val="24C20D54"/>
    <w:rsid w:val="24C50845"/>
    <w:rsid w:val="24C83E91"/>
    <w:rsid w:val="24CD47BB"/>
    <w:rsid w:val="24D67F08"/>
    <w:rsid w:val="24E0772C"/>
    <w:rsid w:val="24E41986"/>
    <w:rsid w:val="24E53D07"/>
    <w:rsid w:val="24E8430B"/>
    <w:rsid w:val="24EA02AB"/>
    <w:rsid w:val="24EC5DD1"/>
    <w:rsid w:val="24F1163A"/>
    <w:rsid w:val="24FE78B3"/>
    <w:rsid w:val="25050C41"/>
    <w:rsid w:val="250C2AD4"/>
    <w:rsid w:val="250C5DBA"/>
    <w:rsid w:val="250C75AF"/>
    <w:rsid w:val="250E2E4F"/>
    <w:rsid w:val="25151606"/>
    <w:rsid w:val="25162E4E"/>
    <w:rsid w:val="25180974"/>
    <w:rsid w:val="25186C8C"/>
    <w:rsid w:val="25214113"/>
    <w:rsid w:val="25217C53"/>
    <w:rsid w:val="25261E6B"/>
    <w:rsid w:val="252C50F9"/>
    <w:rsid w:val="252D53FE"/>
    <w:rsid w:val="25317C88"/>
    <w:rsid w:val="253B21E0"/>
    <w:rsid w:val="253D03DB"/>
    <w:rsid w:val="253E117D"/>
    <w:rsid w:val="2544641F"/>
    <w:rsid w:val="25496D80"/>
    <w:rsid w:val="25503CDE"/>
    <w:rsid w:val="25506360"/>
    <w:rsid w:val="25527B23"/>
    <w:rsid w:val="25533CC1"/>
    <w:rsid w:val="255C5AB5"/>
    <w:rsid w:val="255F2A47"/>
    <w:rsid w:val="256427F7"/>
    <w:rsid w:val="25643EED"/>
    <w:rsid w:val="256F255E"/>
    <w:rsid w:val="2571586D"/>
    <w:rsid w:val="257565F7"/>
    <w:rsid w:val="25761B3F"/>
    <w:rsid w:val="257B7155"/>
    <w:rsid w:val="257D4C7B"/>
    <w:rsid w:val="257F6C45"/>
    <w:rsid w:val="2580234F"/>
    <w:rsid w:val="2584600A"/>
    <w:rsid w:val="258731AE"/>
    <w:rsid w:val="258B63A0"/>
    <w:rsid w:val="25950217"/>
    <w:rsid w:val="25983863"/>
    <w:rsid w:val="259B79E8"/>
    <w:rsid w:val="259E3A81"/>
    <w:rsid w:val="259E68FB"/>
    <w:rsid w:val="25A03664"/>
    <w:rsid w:val="25B14925"/>
    <w:rsid w:val="25BC39F6"/>
    <w:rsid w:val="25BD32CA"/>
    <w:rsid w:val="25C25405"/>
    <w:rsid w:val="25DC4098"/>
    <w:rsid w:val="25E364ED"/>
    <w:rsid w:val="25E557B2"/>
    <w:rsid w:val="25E60A73"/>
    <w:rsid w:val="25E82A3D"/>
    <w:rsid w:val="25EC2D81"/>
    <w:rsid w:val="25F72F96"/>
    <w:rsid w:val="25F969F8"/>
    <w:rsid w:val="25FA62CC"/>
    <w:rsid w:val="26035A82"/>
    <w:rsid w:val="26036B82"/>
    <w:rsid w:val="2604634A"/>
    <w:rsid w:val="26051365"/>
    <w:rsid w:val="26085A4D"/>
    <w:rsid w:val="261063D0"/>
    <w:rsid w:val="2614285B"/>
    <w:rsid w:val="26155BA9"/>
    <w:rsid w:val="2619693E"/>
    <w:rsid w:val="26243349"/>
    <w:rsid w:val="26265313"/>
    <w:rsid w:val="262A67F5"/>
    <w:rsid w:val="26311744"/>
    <w:rsid w:val="26363369"/>
    <w:rsid w:val="263C68E5"/>
    <w:rsid w:val="2644298F"/>
    <w:rsid w:val="26444F8B"/>
    <w:rsid w:val="264E5856"/>
    <w:rsid w:val="26551BE3"/>
    <w:rsid w:val="26555BF8"/>
    <w:rsid w:val="265561E8"/>
    <w:rsid w:val="26567DEE"/>
    <w:rsid w:val="265831B6"/>
    <w:rsid w:val="26602206"/>
    <w:rsid w:val="26651D1A"/>
    <w:rsid w:val="26667E05"/>
    <w:rsid w:val="266D4CF0"/>
    <w:rsid w:val="26820F09"/>
    <w:rsid w:val="26906587"/>
    <w:rsid w:val="26924756"/>
    <w:rsid w:val="26963F04"/>
    <w:rsid w:val="26973BD0"/>
    <w:rsid w:val="269821F5"/>
    <w:rsid w:val="26990FFA"/>
    <w:rsid w:val="269F1062"/>
    <w:rsid w:val="269F7989"/>
    <w:rsid w:val="26A04465"/>
    <w:rsid w:val="26A36A07"/>
    <w:rsid w:val="26A85D28"/>
    <w:rsid w:val="26B3219A"/>
    <w:rsid w:val="26B402C7"/>
    <w:rsid w:val="26B66653"/>
    <w:rsid w:val="26B93CEA"/>
    <w:rsid w:val="26C16C5A"/>
    <w:rsid w:val="26C80178"/>
    <w:rsid w:val="26D46B1D"/>
    <w:rsid w:val="26D57446"/>
    <w:rsid w:val="26D60421"/>
    <w:rsid w:val="26D73908"/>
    <w:rsid w:val="26D938D3"/>
    <w:rsid w:val="26DB7483"/>
    <w:rsid w:val="26DE799C"/>
    <w:rsid w:val="26E15B99"/>
    <w:rsid w:val="26E50235"/>
    <w:rsid w:val="26F558F3"/>
    <w:rsid w:val="26F55A71"/>
    <w:rsid w:val="26F7280B"/>
    <w:rsid w:val="26FA25CC"/>
    <w:rsid w:val="26FE003E"/>
    <w:rsid w:val="27054B7F"/>
    <w:rsid w:val="27084A19"/>
    <w:rsid w:val="270A526D"/>
    <w:rsid w:val="27105285"/>
    <w:rsid w:val="271F2044"/>
    <w:rsid w:val="272F6AA8"/>
    <w:rsid w:val="27315D1D"/>
    <w:rsid w:val="273E043A"/>
    <w:rsid w:val="27430A91"/>
    <w:rsid w:val="274D3709"/>
    <w:rsid w:val="274D38BC"/>
    <w:rsid w:val="274E6571"/>
    <w:rsid w:val="274F5748"/>
    <w:rsid w:val="27554102"/>
    <w:rsid w:val="27595274"/>
    <w:rsid w:val="275B4209"/>
    <w:rsid w:val="27621707"/>
    <w:rsid w:val="27653C19"/>
    <w:rsid w:val="27667355"/>
    <w:rsid w:val="27693963"/>
    <w:rsid w:val="277057A2"/>
    <w:rsid w:val="27711918"/>
    <w:rsid w:val="277166D1"/>
    <w:rsid w:val="277A3B68"/>
    <w:rsid w:val="277E1683"/>
    <w:rsid w:val="27871DE1"/>
    <w:rsid w:val="278C4EEC"/>
    <w:rsid w:val="278D4A22"/>
    <w:rsid w:val="2790134F"/>
    <w:rsid w:val="27A0780E"/>
    <w:rsid w:val="27AA0DCC"/>
    <w:rsid w:val="27AC35F6"/>
    <w:rsid w:val="27AE757C"/>
    <w:rsid w:val="27B242F3"/>
    <w:rsid w:val="27B45C93"/>
    <w:rsid w:val="27BD02FE"/>
    <w:rsid w:val="27BF157B"/>
    <w:rsid w:val="27C07C30"/>
    <w:rsid w:val="27C35CFA"/>
    <w:rsid w:val="27C6290A"/>
    <w:rsid w:val="27CE24F3"/>
    <w:rsid w:val="27D818C9"/>
    <w:rsid w:val="27D92A14"/>
    <w:rsid w:val="27DB3EDB"/>
    <w:rsid w:val="27EA18BA"/>
    <w:rsid w:val="27ED433A"/>
    <w:rsid w:val="27F8683B"/>
    <w:rsid w:val="27F97290"/>
    <w:rsid w:val="27FF3CE5"/>
    <w:rsid w:val="28013D25"/>
    <w:rsid w:val="28086671"/>
    <w:rsid w:val="280F0007"/>
    <w:rsid w:val="281153F5"/>
    <w:rsid w:val="28156F50"/>
    <w:rsid w:val="28175EE9"/>
    <w:rsid w:val="28197F60"/>
    <w:rsid w:val="282835C4"/>
    <w:rsid w:val="28327F9F"/>
    <w:rsid w:val="283F7CBC"/>
    <w:rsid w:val="28405372"/>
    <w:rsid w:val="28437DD3"/>
    <w:rsid w:val="284C2831"/>
    <w:rsid w:val="284E0B51"/>
    <w:rsid w:val="28547194"/>
    <w:rsid w:val="285A4B94"/>
    <w:rsid w:val="28601C2F"/>
    <w:rsid w:val="28614ED2"/>
    <w:rsid w:val="28625A0D"/>
    <w:rsid w:val="286B1BCB"/>
    <w:rsid w:val="286D4EB9"/>
    <w:rsid w:val="286D63F8"/>
    <w:rsid w:val="286E77C7"/>
    <w:rsid w:val="287700A8"/>
    <w:rsid w:val="28795D70"/>
    <w:rsid w:val="287F22F1"/>
    <w:rsid w:val="289C366A"/>
    <w:rsid w:val="28A85B75"/>
    <w:rsid w:val="28B201C4"/>
    <w:rsid w:val="28B74948"/>
    <w:rsid w:val="28BA4438"/>
    <w:rsid w:val="28BC1F5F"/>
    <w:rsid w:val="28BC5ABB"/>
    <w:rsid w:val="28CC3FE0"/>
    <w:rsid w:val="28CD389F"/>
    <w:rsid w:val="28F06975"/>
    <w:rsid w:val="28F10D43"/>
    <w:rsid w:val="28F35A7A"/>
    <w:rsid w:val="28FA5B27"/>
    <w:rsid w:val="28FB3E89"/>
    <w:rsid w:val="28FC05AD"/>
    <w:rsid w:val="28FC0C6B"/>
    <w:rsid w:val="29104DBC"/>
    <w:rsid w:val="291C57EA"/>
    <w:rsid w:val="291F1AD9"/>
    <w:rsid w:val="29206EB8"/>
    <w:rsid w:val="29220014"/>
    <w:rsid w:val="29261816"/>
    <w:rsid w:val="29265B98"/>
    <w:rsid w:val="2927387C"/>
    <w:rsid w:val="294066EC"/>
    <w:rsid w:val="29445D94"/>
    <w:rsid w:val="294D2BB7"/>
    <w:rsid w:val="294E0E09"/>
    <w:rsid w:val="29595666"/>
    <w:rsid w:val="295959FF"/>
    <w:rsid w:val="29617E99"/>
    <w:rsid w:val="29657E9C"/>
    <w:rsid w:val="29682049"/>
    <w:rsid w:val="29696C97"/>
    <w:rsid w:val="296E1A34"/>
    <w:rsid w:val="29752839"/>
    <w:rsid w:val="297B0DF1"/>
    <w:rsid w:val="297D0463"/>
    <w:rsid w:val="297D159E"/>
    <w:rsid w:val="298478B6"/>
    <w:rsid w:val="29874881"/>
    <w:rsid w:val="29907953"/>
    <w:rsid w:val="2994748A"/>
    <w:rsid w:val="29997ECB"/>
    <w:rsid w:val="299C041C"/>
    <w:rsid w:val="29A24CB1"/>
    <w:rsid w:val="29AB49C3"/>
    <w:rsid w:val="29B046CB"/>
    <w:rsid w:val="29B7230F"/>
    <w:rsid w:val="29B90A5B"/>
    <w:rsid w:val="29BC6F2B"/>
    <w:rsid w:val="29BE4719"/>
    <w:rsid w:val="29BE7E45"/>
    <w:rsid w:val="29C76E0D"/>
    <w:rsid w:val="29CE0847"/>
    <w:rsid w:val="29CE1B9C"/>
    <w:rsid w:val="29DE36B2"/>
    <w:rsid w:val="29E325E0"/>
    <w:rsid w:val="29E71D51"/>
    <w:rsid w:val="29EA3C4D"/>
    <w:rsid w:val="29EE7EF6"/>
    <w:rsid w:val="29EF3BCE"/>
    <w:rsid w:val="29F53405"/>
    <w:rsid w:val="29FB2613"/>
    <w:rsid w:val="2A005C83"/>
    <w:rsid w:val="2A0B0AA8"/>
    <w:rsid w:val="2A1748C7"/>
    <w:rsid w:val="2A187669"/>
    <w:rsid w:val="2A241B69"/>
    <w:rsid w:val="2A2C44B8"/>
    <w:rsid w:val="2A36189D"/>
    <w:rsid w:val="2A3873C3"/>
    <w:rsid w:val="2A3D2C2B"/>
    <w:rsid w:val="2A452503"/>
    <w:rsid w:val="2A4917DD"/>
    <w:rsid w:val="2A4B491B"/>
    <w:rsid w:val="2A4E4E38"/>
    <w:rsid w:val="2A5559CD"/>
    <w:rsid w:val="2A5A30CE"/>
    <w:rsid w:val="2A5A558B"/>
    <w:rsid w:val="2A616E36"/>
    <w:rsid w:val="2A6C5EF2"/>
    <w:rsid w:val="2A7252B1"/>
    <w:rsid w:val="2A854A09"/>
    <w:rsid w:val="2A8820F8"/>
    <w:rsid w:val="2A88342D"/>
    <w:rsid w:val="2A91499F"/>
    <w:rsid w:val="2A975543"/>
    <w:rsid w:val="2A9C5E28"/>
    <w:rsid w:val="2A9F5694"/>
    <w:rsid w:val="2A9F7442"/>
    <w:rsid w:val="2AA42CAA"/>
    <w:rsid w:val="2AA54985"/>
    <w:rsid w:val="2AAB53AD"/>
    <w:rsid w:val="2AAC2DCA"/>
    <w:rsid w:val="2AAE66EF"/>
    <w:rsid w:val="2AAF1D7B"/>
    <w:rsid w:val="2AB83D99"/>
    <w:rsid w:val="2AB96756"/>
    <w:rsid w:val="2ABC1DA2"/>
    <w:rsid w:val="2ABF1892"/>
    <w:rsid w:val="2ACB46DB"/>
    <w:rsid w:val="2ACF0660"/>
    <w:rsid w:val="2AD3226F"/>
    <w:rsid w:val="2AD57308"/>
    <w:rsid w:val="2ADC4216"/>
    <w:rsid w:val="2ADE440E"/>
    <w:rsid w:val="2AE02EAA"/>
    <w:rsid w:val="2AE24F9D"/>
    <w:rsid w:val="2AE77A36"/>
    <w:rsid w:val="2AF72684"/>
    <w:rsid w:val="2AFB3EEA"/>
    <w:rsid w:val="2B053749"/>
    <w:rsid w:val="2B08758E"/>
    <w:rsid w:val="2B0F5A3C"/>
    <w:rsid w:val="2B18263D"/>
    <w:rsid w:val="2B1D09B3"/>
    <w:rsid w:val="2B2824FA"/>
    <w:rsid w:val="2B3B360F"/>
    <w:rsid w:val="2B3E2C73"/>
    <w:rsid w:val="2B431FE3"/>
    <w:rsid w:val="2B4D50F0"/>
    <w:rsid w:val="2B5E10AB"/>
    <w:rsid w:val="2B620B9B"/>
    <w:rsid w:val="2B693F03"/>
    <w:rsid w:val="2B6C7FAC"/>
    <w:rsid w:val="2B6F32B8"/>
    <w:rsid w:val="2B7F35C7"/>
    <w:rsid w:val="2B801021"/>
    <w:rsid w:val="2B845894"/>
    <w:rsid w:val="2B8A1B56"/>
    <w:rsid w:val="2B8A6344"/>
    <w:rsid w:val="2B960A8A"/>
    <w:rsid w:val="2B9763F9"/>
    <w:rsid w:val="2B977972"/>
    <w:rsid w:val="2B986300"/>
    <w:rsid w:val="2B9C069A"/>
    <w:rsid w:val="2B9E2C8F"/>
    <w:rsid w:val="2BA06A8D"/>
    <w:rsid w:val="2BA32F62"/>
    <w:rsid w:val="2BA669D1"/>
    <w:rsid w:val="2BA71874"/>
    <w:rsid w:val="2BA936A8"/>
    <w:rsid w:val="2BC30788"/>
    <w:rsid w:val="2BCA04EF"/>
    <w:rsid w:val="2BCC4267"/>
    <w:rsid w:val="2BCD4CFE"/>
    <w:rsid w:val="2BD40B3C"/>
    <w:rsid w:val="2BDC3B08"/>
    <w:rsid w:val="2BDC5830"/>
    <w:rsid w:val="2BDE2898"/>
    <w:rsid w:val="2BE1062B"/>
    <w:rsid w:val="2BE8601C"/>
    <w:rsid w:val="2BE874D8"/>
    <w:rsid w:val="2BEA1528"/>
    <w:rsid w:val="2BF13661"/>
    <w:rsid w:val="2BF51A0F"/>
    <w:rsid w:val="2BF65788"/>
    <w:rsid w:val="2BF6650A"/>
    <w:rsid w:val="2BFE644D"/>
    <w:rsid w:val="2C093F4C"/>
    <w:rsid w:val="2C0C1996"/>
    <w:rsid w:val="2C0E0D23"/>
    <w:rsid w:val="2C1827FE"/>
    <w:rsid w:val="2C1E36A8"/>
    <w:rsid w:val="2C215D4B"/>
    <w:rsid w:val="2C2422F5"/>
    <w:rsid w:val="2C245E51"/>
    <w:rsid w:val="2C2922D7"/>
    <w:rsid w:val="2C31056E"/>
    <w:rsid w:val="2C315A5A"/>
    <w:rsid w:val="2C385DA0"/>
    <w:rsid w:val="2C424942"/>
    <w:rsid w:val="2C453C76"/>
    <w:rsid w:val="2C4A55B2"/>
    <w:rsid w:val="2C4B1C25"/>
    <w:rsid w:val="2C576226"/>
    <w:rsid w:val="2C627078"/>
    <w:rsid w:val="2C636F51"/>
    <w:rsid w:val="2C664DBD"/>
    <w:rsid w:val="2C6941AB"/>
    <w:rsid w:val="2C6A54B5"/>
    <w:rsid w:val="2C700A7A"/>
    <w:rsid w:val="2C725479"/>
    <w:rsid w:val="2C7548FE"/>
    <w:rsid w:val="2C78619D"/>
    <w:rsid w:val="2C882884"/>
    <w:rsid w:val="2C8965FC"/>
    <w:rsid w:val="2C8E6F44"/>
    <w:rsid w:val="2C9662FB"/>
    <w:rsid w:val="2C9A2F9D"/>
    <w:rsid w:val="2C9D5C03"/>
    <w:rsid w:val="2CA208CB"/>
    <w:rsid w:val="2CB847EB"/>
    <w:rsid w:val="2CBF201D"/>
    <w:rsid w:val="2CBF5B79"/>
    <w:rsid w:val="2CC2668F"/>
    <w:rsid w:val="2CC37F14"/>
    <w:rsid w:val="2CC6323B"/>
    <w:rsid w:val="2CC6515A"/>
    <w:rsid w:val="2CCA471D"/>
    <w:rsid w:val="2CD14882"/>
    <w:rsid w:val="2CD1770E"/>
    <w:rsid w:val="2CD8154C"/>
    <w:rsid w:val="2CD9432B"/>
    <w:rsid w:val="2CE37ABA"/>
    <w:rsid w:val="2CE61561"/>
    <w:rsid w:val="2CE96C75"/>
    <w:rsid w:val="2CEF3963"/>
    <w:rsid w:val="2CF116ED"/>
    <w:rsid w:val="2CF37F79"/>
    <w:rsid w:val="2CF55A3F"/>
    <w:rsid w:val="2CF565D5"/>
    <w:rsid w:val="2CF64B79"/>
    <w:rsid w:val="2CFF7D0D"/>
    <w:rsid w:val="2D045C82"/>
    <w:rsid w:val="2D0D6EBF"/>
    <w:rsid w:val="2D0F6B01"/>
    <w:rsid w:val="2D1265F1"/>
    <w:rsid w:val="2D130F3A"/>
    <w:rsid w:val="2D1A7254"/>
    <w:rsid w:val="2D1E4F96"/>
    <w:rsid w:val="2D216165"/>
    <w:rsid w:val="2D36699D"/>
    <w:rsid w:val="2D3B754E"/>
    <w:rsid w:val="2D40315E"/>
    <w:rsid w:val="2D424457"/>
    <w:rsid w:val="2D6575A5"/>
    <w:rsid w:val="2D6628C4"/>
    <w:rsid w:val="2D6953A4"/>
    <w:rsid w:val="2D746964"/>
    <w:rsid w:val="2D7B23E8"/>
    <w:rsid w:val="2D7E4C6B"/>
    <w:rsid w:val="2D8414BF"/>
    <w:rsid w:val="2D881354"/>
    <w:rsid w:val="2D9C6DE6"/>
    <w:rsid w:val="2D9E56F5"/>
    <w:rsid w:val="2DA131EE"/>
    <w:rsid w:val="2DA32DF9"/>
    <w:rsid w:val="2DA535EC"/>
    <w:rsid w:val="2DAF46B0"/>
    <w:rsid w:val="2DBF3691"/>
    <w:rsid w:val="2DC13993"/>
    <w:rsid w:val="2DC2524D"/>
    <w:rsid w:val="2DC7118A"/>
    <w:rsid w:val="2DC733C8"/>
    <w:rsid w:val="2DCA0A5E"/>
    <w:rsid w:val="2DCB662B"/>
    <w:rsid w:val="2DCC2C44"/>
    <w:rsid w:val="2DD158AE"/>
    <w:rsid w:val="2DD218DC"/>
    <w:rsid w:val="2DD71766"/>
    <w:rsid w:val="2DD96BD7"/>
    <w:rsid w:val="2DDE2CF3"/>
    <w:rsid w:val="2DE51610"/>
    <w:rsid w:val="2DEC627D"/>
    <w:rsid w:val="2DF45CF7"/>
    <w:rsid w:val="2DF95CFE"/>
    <w:rsid w:val="2E0028ED"/>
    <w:rsid w:val="2E05376E"/>
    <w:rsid w:val="2E0B014C"/>
    <w:rsid w:val="2E0C5855"/>
    <w:rsid w:val="2E167BE3"/>
    <w:rsid w:val="2E176D51"/>
    <w:rsid w:val="2E402CEA"/>
    <w:rsid w:val="2E41718E"/>
    <w:rsid w:val="2E426A62"/>
    <w:rsid w:val="2E4647A4"/>
    <w:rsid w:val="2E4A4449"/>
    <w:rsid w:val="2E4C229E"/>
    <w:rsid w:val="2E4F233F"/>
    <w:rsid w:val="2E515B4E"/>
    <w:rsid w:val="2E557A73"/>
    <w:rsid w:val="2E5902B4"/>
    <w:rsid w:val="2E5D389C"/>
    <w:rsid w:val="2E5D5B9A"/>
    <w:rsid w:val="2E6115DE"/>
    <w:rsid w:val="2E61504D"/>
    <w:rsid w:val="2E627104"/>
    <w:rsid w:val="2E667F96"/>
    <w:rsid w:val="2E6B1DFC"/>
    <w:rsid w:val="2E782484"/>
    <w:rsid w:val="2E7B198B"/>
    <w:rsid w:val="2E8226AB"/>
    <w:rsid w:val="2E8F10B4"/>
    <w:rsid w:val="2E913546"/>
    <w:rsid w:val="2E9A6439"/>
    <w:rsid w:val="2E9B6172"/>
    <w:rsid w:val="2EA74E01"/>
    <w:rsid w:val="2EA94D33"/>
    <w:rsid w:val="2EAA356F"/>
    <w:rsid w:val="2EB07E70"/>
    <w:rsid w:val="2EBA6F40"/>
    <w:rsid w:val="2EC76F67"/>
    <w:rsid w:val="2ED65CE1"/>
    <w:rsid w:val="2EDE2C2F"/>
    <w:rsid w:val="2EDF5A4B"/>
    <w:rsid w:val="2EEC3727"/>
    <w:rsid w:val="2EEF6BEA"/>
    <w:rsid w:val="2F0375E3"/>
    <w:rsid w:val="2F0879E2"/>
    <w:rsid w:val="2F0B32F8"/>
    <w:rsid w:val="2F0C6B75"/>
    <w:rsid w:val="2F114DEF"/>
    <w:rsid w:val="2F2D326E"/>
    <w:rsid w:val="2F3B1E2F"/>
    <w:rsid w:val="2F3E053F"/>
    <w:rsid w:val="2F3F2FA2"/>
    <w:rsid w:val="2F4405B8"/>
    <w:rsid w:val="2F4709E3"/>
    <w:rsid w:val="2F4B5DEA"/>
    <w:rsid w:val="2F4D1B62"/>
    <w:rsid w:val="2F4F106B"/>
    <w:rsid w:val="2F500CCD"/>
    <w:rsid w:val="2F512710"/>
    <w:rsid w:val="2F5170ED"/>
    <w:rsid w:val="2F544AE2"/>
    <w:rsid w:val="2F6646FC"/>
    <w:rsid w:val="2F6F6AD1"/>
    <w:rsid w:val="2F790BAF"/>
    <w:rsid w:val="2F7D2448"/>
    <w:rsid w:val="2F7E1D1C"/>
    <w:rsid w:val="2F801E09"/>
    <w:rsid w:val="2F8207F8"/>
    <w:rsid w:val="2F824F7C"/>
    <w:rsid w:val="2F897B15"/>
    <w:rsid w:val="2F902AB5"/>
    <w:rsid w:val="2F9037FD"/>
    <w:rsid w:val="2F91425F"/>
    <w:rsid w:val="2F936DB8"/>
    <w:rsid w:val="2F96081B"/>
    <w:rsid w:val="2F967A34"/>
    <w:rsid w:val="2F971630"/>
    <w:rsid w:val="2F9B28CE"/>
    <w:rsid w:val="2F9B467C"/>
    <w:rsid w:val="2F9E2200"/>
    <w:rsid w:val="2FA02A93"/>
    <w:rsid w:val="2FAD0853"/>
    <w:rsid w:val="2FB43990"/>
    <w:rsid w:val="2FB43A1B"/>
    <w:rsid w:val="2FBB1222"/>
    <w:rsid w:val="2FC6744D"/>
    <w:rsid w:val="2FC85262"/>
    <w:rsid w:val="2FCD4A51"/>
    <w:rsid w:val="2FCE42D5"/>
    <w:rsid w:val="2FD065E6"/>
    <w:rsid w:val="2FD35FE3"/>
    <w:rsid w:val="2FD96870"/>
    <w:rsid w:val="2FE029D7"/>
    <w:rsid w:val="2FE64217"/>
    <w:rsid w:val="2FF12E15"/>
    <w:rsid w:val="2FF419EA"/>
    <w:rsid w:val="2FFB7533"/>
    <w:rsid w:val="30074987"/>
    <w:rsid w:val="3013400E"/>
    <w:rsid w:val="30234D2B"/>
    <w:rsid w:val="30275F10"/>
    <w:rsid w:val="302A3C52"/>
    <w:rsid w:val="30327943"/>
    <w:rsid w:val="303F5310"/>
    <w:rsid w:val="30420F9B"/>
    <w:rsid w:val="30422D49"/>
    <w:rsid w:val="30483AE8"/>
    <w:rsid w:val="3049057C"/>
    <w:rsid w:val="304E08DD"/>
    <w:rsid w:val="30564DF2"/>
    <w:rsid w:val="30580BC9"/>
    <w:rsid w:val="305D382D"/>
    <w:rsid w:val="30693982"/>
    <w:rsid w:val="3069477A"/>
    <w:rsid w:val="30705824"/>
    <w:rsid w:val="3071362F"/>
    <w:rsid w:val="30734F38"/>
    <w:rsid w:val="307A74A5"/>
    <w:rsid w:val="307D0225"/>
    <w:rsid w:val="30820864"/>
    <w:rsid w:val="30882086"/>
    <w:rsid w:val="30890978"/>
    <w:rsid w:val="308C16A9"/>
    <w:rsid w:val="308D3756"/>
    <w:rsid w:val="309A299A"/>
    <w:rsid w:val="309A2B85"/>
    <w:rsid w:val="309B0663"/>
    <w:rsid w:val="309B079A"/>
    <w:rsid w:val="309B11BB"/>
    <w:rsid w:val="309D4424"/>
    <w:rsid w:val="30A0125E"/>
    <w:rsid w:val="30AB4D93"/>
    <w:rsid w:val="30C06BCD"/>
    <w:rsid w:val="30C542D6"/>
    <w:rsid w:val="30C6397A"/>
    <w:rsid w:val="30C916BD"/>
    <w:rsid w:val="30D5691B"/>
    <w:rsid w:val="30D616E4"/>
    <w:rsid w:val="30D77936"/>
    <w:rsid w:val="30F524B2"/>
    <w:rsid w:val="3102047D"/>
    <w:rsid w:val="31055323"/>
    <w:rsid w:val="310930DD"/>
    <w:rsid w:val="31093867"/>
    <w:rsid w:val="31114A87"/>
    <w:rsid w:val="311239E1"/>
    <w:rsid w:val="311A7038"/>
    <w:rsid w:val="311E2ED7"/>
    <w:rsid w:val="312468F3"/>
    <w:rsid w:val="312F2901"/>
    <w:rsid w:val="31336B36"/>
    <w:rsid w:val="31344D88"/>
    <w:rsid w:val="313D312D"/>
    <w:rsid w:val="31413001"/>
    <w:rsid w:val="314201EE"/>
    <w:rsid w:val="31436D79"/>
    <w:rsid w:val="31461FF8"/>
    <w:rsid w:val="31557A40"/>
    <w:rsid w:val="315619EE"/>
    <w:rsid w:val="31572824"/>
    <w:rsid w:val="315B43EC"/>
    <w:rsid w:val="315C449C"/>
    <w:rsid w:val="315F792B"/>
    <w:rsid w:val="31615451"/>
    <w:rsid w:val="31647A1E"/>
    <w:rsid w:val="31660CB9"/>
    <w:rsid w:val="31875EC7"/>
    <w:rsid w:val="318A2BFA"/>
    <w:rsid w:val="3192385D"/>
    <w:rsid w:val="31A33CBC"/>
    <w:rsid w:val="31AA0A84"/>
    <w:rsid w:val="31AE1145"/>
    <w:rsid w:val="31B5579D"/>
    <w:rsid w:val="31B55E64"/>
    <w:rsid w:val="31B77767"/>
    <w:rsid w:val="31B82709"/>
    <w:rsid w:val="31BB1382"/>
    <w:rsid w:val="31C50788"/>
    <w:rsid w:val="31C9380E"/>
    <w:rsid w:val="31D05482"/>
    <w:rsid w:val="31DD5420"/>
    <w:rsid w:val="31E02CD6"/>
    <w:rsid w:val="31E13273"/>
    <w:rsid w:val="31E2749A"/>
    <w:rsid w:val="31E521F0"/>
    <w:rsid w:val="31E60B34"/>
    <w:rsid w:val="31F12C79"/>
    <w:rsid w:val="31FA2574"/>
    <w:rsid w:val="3200233A"/>
    <w:rsid w:val="321921D0"/>
    <w:rsid w:val="321D581C"/>
    <w:rsid w:val="3220082C"/>
    <w:rsid w:val="322117DB"/>
    <w:rsid w:val="32232E84"/>
    <w:rsid w:val="32285F6F"/>
    <w:rsid w:val="32296A28"/>
    <w:rsid w:val="3232497F"/>
    <w:rsid w:val="323438B8"/>
    <w:rsid w:val="323572CB"/>
    <w:rsid w:val="323B2E07"/>
    <w:rsid w:val="323D7C6C"/>
    <w:rsid w:val="323E5792"/>
    <w:rsid w:val="323F19B2"/>
    <w:rsid w:val="32400B34"/>
    <w:rsid w:val="32454D73"/>
    <w:rsid w:val="324957C5"/>
    <w:rsid w:val="32510436"/>
    <w:rsid w:val="32514117"/>
    <w:rsid w:val="325B4596"/>
    <w:rsid w:val="325C3345"/>
    <w:rsid w:val="325D3E6B"/>
    <w:rsid w:val="3268280F"/>
    <w:rsid w:val="32717916"/>
    <w:rsid w:val="327212C5"/>
    <w:rsid w:val="327A76B3"/>
    <w:rsid w:val="328472E8"/>
    <w:rsid w:val="3291620A"/>
    <w:rsid w:val="32973E64"/>
    <w:rsid w:val="329A4386"/>
    <w:rsid w:val="329E61CC"/>
    <w:rsid w:val="329E6876"/>
    <w:rsid w:val="32A83BE9"/>
    <w:rsid w:val="32AA0A3F"/>
    <w:rsid w:val="32AC3044"/>
    <w:rsid w:val="32B06690"/>
    <w:rsid w:val="32B141B6"/>
    <w:rsid w:val="32B15F03"/>
    <w:rsid w:val="32C6090E"/>
    <w:rsid w:val="32CE2229"/>
    <w:rsid w:val="32D007AA"/>
    <w:rsid w:val="32D84684"/>
    <w:rsid w:val="32EB3DE2"/>
    <w:rsid w:val="32ED7014"/>
    <w:rsid w:val="32EE13F4"/>
    <w:rsid w:val="32EE540A"/>
    <w:rsid w:val="32F72511"/>
    <w:rsid w:val="32F810A3"/>
    <w:rsid w:val="32F81DE5"/>
    <w:rsid w:val="32FE09C1"/>
    <w:rsid w:val="32FF4F22"/>
    <w:rsid w:val="33000EB7"/>
    <w:rsid w:val="330961AF"/>
    <w:rsid w:val="330B1B18"/>
    <w:rsid w:val="330E33B7"/>
    <w:rsid w:val="330F65DC"/>
    <w:rsid w:val="3310712F"/>
    <w:rsid w:val="33125CD6"/>
    <w:rsid w:val="331442B8"/>
    <w:rsid w:val="33185FE3"/>
    <w:rsid w:val="33187C53"/>
    <w:rsid w:val="331A3A13"/>
    <w:rsid w:val="331C1F78"/>
    <w:rsid w:val="332B21BB"/>
    <w:rsid w:val="333015F2"/>
    <w:rsid w:val="333358E4"/>
    <w:rsid w:val="3336257B"/>
    <w:rsid w:val="333D0859"/>
    <w:rsid w:val="334212B2"/>
    <w:rsid w:val="334B6320"/>
    <w:rsid w:val="3350577D"/>
    <w:rsid w:val="3355548A"/>
    <w:rsid w:val="335A67BE"/>
    <w:rsid w:val="335F32DC"/>
    <w:rsid w:val="33606B7C"/>
    <w:rsid w:val="33621166"/>
    <w:rsid w:val="336A405C"/>
    <w:rsid w:val="336B0809"/>
    <w:rsid w:val="336B3FDE"/>
    <w:rsid w:val="336C586C"/>
    <w:rsid w:val="336D27D3"/>
    <w:rsid w:val="3375666B"/>
    <w:rsid w:val="33820E56"/>
    <w:rsid w:val="33824B11"/>
    <w:rsid w:val="33891E90"/>
    <w:rsid w:val="338B4A07"/>
    <w:rsid w:val="338D4DAE"/>
    <w:rsid w:val="3394257E"/>
    <w:rsid w:val="339636A3"/>
    <w:rsid w:val="339647BB"/>
    <w:rsid w:val="339C3028"/>
    <w:rsid w:val="339F545B"/>
    <w:rsid w:val="33A1422B"/>
    <w:rsid w:val="33A65CE5"/>
    <w:rsid w:val="33B02A05"/>
    <w:rsid w:val="33B2468A"/>
    <w:rsid w:val="33B4112F"/>
    <w:rsid w:val="33BB2112"/>
    <w:rsid w:val="33BE6B8B"/>
    <w:rsid w:val="33C400F4"/>
    <w:rsid w:val="33C73F09"/>
    <w:rsid w:val="33C7513B"/>
    <w:rsid w:val="33D34D40"/>
    <w:rsid w:val="33D81482"/>
    <w:rsid w:val="33D934D4"/>
    <w:rsid w:val="33E05230"/>
    <w:rsid w:val="33E74334"/>
    <w:rsid w:val="33E75A15"/>
    <w:rsid w:val="33EF31E8"/>
    <w:rsid w:val="33FE2F6A"/>
    <w:rsid w:val="340A1DD0"/>
    <w:rsid w:val="340C6E1B"/>
    <w:rsid w:val="340D7B12"/>
    <w:rsid w:val="340E07E5"/>
    <w:rsid w:val="34137D5B"/>
    <w:rsid w:val="34183BDB"/>
    <w:rsid w:val="341964B7"/>
    <w:rsid w:val="341D7D55"/>
    <w:rsid w:val="341E29A6"/>
    <w:rsid w:val="341E587B"/>
    <w:rsid w:val="342034C6"/>
    <w:rsid w:val="34235BF7"/>
    <w:rsid w:val="34254E5C"/>
    <w:rsid w:val="34264730"/>
    <w:rsid w:val="342C1299"/>
    <w:rsid w:val="342C17EC"/>
    <w:rsid w:val="342D3EB7"/>
    <w:rsid w:val="34304A9E"/>
    <w:rsid w:val="34321327"/>
    <w:rsid w:val="343926B5"/>
    <w:rsid w:val="343E34DF"/>
    <w:rsid w:val="344A6670"/>
    <w:rsid w:val="344E43B3"/>
    <w:rsid w:val="345117AD"/>
    <w:rsid w:val="345E3ECA"/>
    <w:rsid w:val="346212E8"/>
    <w:rsid w:val="34663AA5"/>
    <w:rsid w:val="34676195"/>
    <w:rsid w:val="34710ABA"/>
    <w:rsid w:val="34714570"/>
    <w:rsid w:val="34732681"/>
    <w:rsid w:val="34767593"/>
    <w:rsid w:val="347D3C45"/>
    <w:rsid w:val="347E7D4F"/>
    <w:rsid w:val="34802092"/>
    <w:rsid w:val="34853AB0"/>
    <w:rsid w:val="34876187"/>
    <w:rsid w:val="348D2B63"/>
    <w:rsid w:val="348D4519"/>
    <w:rsid w:val="348F6779"/>
    <w:rsid w:val="34916A5A"/>
    <w:rsid w:val="3493314E"/>
    <w:rsid w:val="34A52E51"/>
    <w:rsid w:val="34A73AEA"/>
    <w:rsid w:val="34B34216"/>
    <w:rsid w:val="34C13400"/>
    <w:rsid w:val="34CD3707"/>
    <w:rsid w:val="34D33305"/>
    <w:rsid w:val="34D74D9B"/>
    <w:rsid w:val="34D92263"/>
    <w:rsid w:val="34DA79F4"/>
    <w:rsid w:val="34E11922"/>
    <w:rsid w:val="34E16FD5"/>
    <w:rsid w:val="34E61774"/>
    <w:rsid w:val="34E75607"/>
    <w:rsid w:val="34E9358D"/>
    <w:rsid w:val="34EB2AE9"/>
    <w:rsid w:val="34F125D9"/>
    <w:rsid w:val="35004F81"/>
    <w:rsid w:val="3502519D"/>
    <w:rsid w:val="35237186"/>
    <w:rsid w:val="352944D8"/>
    <w:rsid w:val="352A29F2"/>
    <w:rsid w:val="353103B5"/>
    <w:rsid w:val="35317973"/>
    <w:rsid w:val="353D542D"/>
    <w:rsid w:val="353E2C35"/>
    <w:rsid w:val="35474A54"/>
    <w:rsid w:val="35573B4C"/>
    <w:rsid w:val="35595A65"/>
    <w:rsid w:val="355A1A63"/>
    <w:rsid w:val="355A4B75"/>
    <w:rsid w:val="35692E3A"/>
    <w:rsid w:val="357065AB"/>
    <w:rsid w:val="3575482D"/>
    <w:rsid w:val="35804082"/>
    <w:rsid w:val="35867B7C"/>
    <w:rsid w:val="35891426"/>
    <w:rsid w:val="358C5FA8"/>
    <w:rsid w:val="358F4C83"/>
    <w:rsid w:val="359202CF"/>
    <w:rsid w:val="35946CB1"/>
    <w:rsid w:val="35A41DB0"/>
    <w:rsid w:val="35AA386B"/>
    <w:rsid w:val="35AE3E4E"/>
    <w:rsid w:val="35AE7065"/>
    <w:rsid w:val="35B844E0"/>
    <w:rsid w:val="35BA5002"/>
    <w:rsid w:val="35C0746D"/>
    <w:rsid w:val="35C15DF1"/>
    <w:rsid w:val="35C16E06"/>
    <w:rsid w:val="35C64643"/>
    <w:rsid w:val="35CA202C"/>
    <w:rsid w:val="35D2691D"/>
    <w:rsid w:val="35D5640E"/>
    <w:rsid w:val="35E0631F"/>
    <w:rsid w:val="35E47D1A"/>
    <w:rsid w:val="35F5498A"/>
    <w:rsid w:val="35F634F8"/>
    <w:rsid w:val="35FF0B2E"/>
    <w:rsid w:val="35FF576A"/>
    <w:rsid w:val="36065413"/>
    <w:rsid w:val="36074A7F"/>
    <w:rsid w:val="36097CFE"/>
    <w:rsid w:val="360B1910"/>
    <w:rsid w:val="361231BE"/>
    <w:rsid w:val="361909F0"/>
    <w:rsid w:val="361E2467"/>
    <w:rsid w:val="36252EF1"/>
    <w:rsid w:val="36257888"/>
    <w:rsid w:val="362C2EF1"/>
    <w:rsid w:val="362E37D9"/>
    <w:rsid w:val="363A096A"/>
    <w:rsid w:val="363A38D0"/>
    <w:rsid w:val="3641450B"/>
    <w:rsid w:val="36483EA2"/>
    <w:rsid w:val="364D2E6A"/>
    <w:rsid w:val="36647515"/>
    <w:rsid w:val="36682373"/>
    <w:rsid w:val="366C0CB2"/>
    <w:rsid w:val="366D4463"/>
    <w:rsid w:val="367B5207"/>
    <w:rsid w:val="367E2575"/>
    <w:rsid w:val="368470CC"/>
    <w:rsid w:val="368816D2"/>
    <w:rsid w:val="36884E94"/>
    <w:rsid w:val="368B0E6E"/>
    <w:rsid w:val="368D02E5"/>
    <w:rsid w:val="368F71CD"/>
    <w:rsid w:val="36923549"/>
    <w:rsid w:val="3693326D"/>
    <w:rsid w:val="369B31B3"/>
    <w:rsid w:val="36A047C5"/>
    <w:rsid w:val="36A13002"/>
    <w:rsid w:val="36AB7353"/>
    <w:rsid w:val="36B10240"/>
    <w:rsid w:val="36B75FBF"/>
    <w:rsid w:val="36B85D7E"/>
    <w:rsid w:val="36B97848"/>
    <w:rsid w:val="36BB270D"/>
    <w:rsid w:val="36BC129D"/>
    <w:rsid w:val="36BD0C45"/>
    <w:rsid w:val="36C831B9"/>
    <w:rsid w:val="36CD4A1D"/>
    <w:rsid w:val="36CE5337"/>
    <w:rsid w:val="36CE5914"/>
    <w:rsid w:val="36D05775"/>
    <w:rsid w:val="36D40ACA"/>
    <w:rsid w:val="36D52B69"/>
    <w:rsid w:val="36D83228"/>
    <w:rsid w:val="36E04FCA"/>
    <w:rsid w:val="36ED12B4"/>
    <w:rsid w:val="36F32FEF"/>
    <w:rsid w:val="36F76A0D"/>
    <w:rsid w:val="3700570C"/>
    <w:rsid w:val="37090C51"/>
    <w:rsid w:val="370C5E5F"/>
    <w:rsid w:val="37252584"/>
    <w:rsid w:val="372B09DB"/>
    <w:rsid w:val="3731026C"/>
    <w:rsid w:val="37335AE2"/>
    <w:rsid w:val="37342EDB"/>
    <w:rsid w:val="373430D5"/>
    <w:rsid w:val="373E75CD"/>
    <w:rsid w:val="37405B09"/>
    <w:rsid w:val="374641BF"/>
    <w:rsid w:val="374750E9"/>
    <w:rsid w:val="37495EF4"/>
    <w:rsid w:val="374B4BD9"/>
    <w:rsid w:val="374E0226"/>
    <w:rsid w:val="37514C53"/>
    <w:rsid w:val="37620175"/>
    <w:rsid w:val="376C09C3"/>
    <w:rsid w:val="37711C4F"/>
    <w:rsid w:val="377A2081"/>
    <w:rsid w:val="377A726D"/>
    <w:rsid w:val="377C1237"/>
    <w:rsid w:val="377C2FE5"/>
    <w:rsid w:val="377F0D27"/>
    <w:rsid w:val="37824C63"/>
    <w:rsid w:val="37841E99"/>
    <w:rsid w:val="3789228D"/>
    <w:rsid w:val="37902FDB"/>
    <w:rsid w:val="379245B6"/>
    <w:rsid w:val="379A3EAC"/>
    <w:rsid w:val="379E73FF"/>
    <w:rsid w:val="379F0A81"/>
    <w:rsid w:val="37AB4837"/>
    <w:rsid w:val="37AD7642"/>
    <w:rsid w:val="37AE3AC1"/>
    <w:rsid w:val="37B25BE8"/>
    <w:rsid w:val="37B704C1"/>
    <w:rsid w:val="37C4673A"/>
    <w:rsid w:val="37C93D50"/>
    <w:rsid w:val="37D43C3B"/>
    <w:rsid w:val="37D90FD8"/>
    <w:rsid w:val="37E00298"/>
    <w:rsid w:val="37E00C15"/>
    <w:rsid w:val="37E44A59"/>
    <w:rsid w:val="37F708BD"/>
    <w:rsid w:val="37FB1809"/>
    <w:rsid w:val="380201D7"/>
    <w:rsid w:val="380413BF"/>
    <w:rsid w:val="3805122C"/>
    <w:rsid w:val="38096692"/>
    <w:rsid w:val="380A032E"/>
    <w:rsid w:val="380B25BB"/>
    <w:rsid w:val="380C3D81"/>
    <w:rsid w:val="380D3049"/>
    <w:rsid w:val="381B195E"/>
    <w:rsid w:val="381E54F8"/>
    <w:rsid w:val="3823112B"/>
    <w:rsid w:val="38237904"/>
    <w:rsid w:val="38333A05"/>
    <w:rsid w:val="38543678"/>
    <w:rsid w:val="38561A88"/>
    <w:rsid w:val="385C381E"/>
    <w:rsid w:val="385E6B8E"/>
    <w:rsid w:val="386E27E1"/>
    <w:rsid w:val="38715D2D"/>
    <w:rsid w:val="38767A34"/>
    <w:rsid w:val="38787034"/>
    <w:rsid w:val="387B1110"/>
    <w:rsid w:val="387B329C"/>
    <w:rsid w:val="387D5BBB"/>
    <w:rsid w:val="38821DCF"/>
    <w:rsid w:val="3885236D"/>
    <w:rsid w:val="388C7957"/>
    <w:rsid w:val="388F2D86"/>
    <w:rsid w:val="389425B0"/>
    <w:rsid w:val="3897029E"/>
    <w:rsid w:val="389F75FE"/>
    <w:rsid w:val="38A17A59"/>
    <w:rsid w:val="38A5208A"/>
    <w:rsid w:val="38B302F9"/>
    <w:rsid w:val="38B44A00"/>
    <w:rsid w:val="38B62526"/>
    <w:rsid w:val="38B812E5"/>
    <w:rsid w:val="38B8692C"/>
    <w:rsid w:val="38D4477E"/>
    <w:rsid w:val="38D658A4"/>
    <w:rsid w:val="38E10073"/>
    <w:rsid w:val="38E36885"/>
    <w:rsid w:val="38E54BBA"/>
    <w:rsid w:val="38E726E0"/>
    <w:rsid w:val="38EB20AE"/>
    <w:rsid w:val="38ED123A"/>
    <w:rsid w:val="38F11062"/>
    <w:rsid w:val="38F12CD3"/>
    <w:rsid w:val="38F94775"/>
    <w:rsid w:val="3903480D"/>
    <w:rsid w:val="39090177"/>
    <w:rsid w:val="390E4110"/>
    <w:rsid w:val="391012AA"/>
    <w:rsid w:val="391536F1"/>
    <w:rsid w:val="39161217"/>
    <w:rsid w:val="391F5882"/>
    <w:rsid w:val="3920330C"/>
    <w:rsid w:val="39214DD8"/>
    <w:rsid w:val="392971ED"/>
    <w:rsid w:val="392D6FD1"/>
    <w:rsid w:val="39325651"/>
    <w:rsid w:val="39331DC9"/>
    <w:rsid w:val="393D4651"/>
    <w:rsid w:val="393E5F9A"/>
    <w:rsid w:val="39406612"/>
    <w:rsid w:val="394E7B63"/>
    <w:rsid w:val="395058D5"/>
    <w:rsid w:val="39663F4D"/>
    <w:rsid w:val="396957EB"/>
    <w:rsid w:val="39723A3C"/>
    <w:rsid w:val="397475E6"/>
    <w:rsid w:val="39776656"/>
    <w:rsid w:val="39783C80"/>
    <w:rsid w:val="39785A2E"/>
    <w:rsid w:val="397D29BD"/>
    <w:rsid w:val="398048E2"/>
    <w:rsid w:val="398269DD"/>
    <w:rsid w:val="39875C71"/>
    <w:rsid w:val="398F0C91"/>
    <w:rsid w:val="39902098"/>
    <w:rsid w:val="39A01C75"/>
    <w:rsid w:val="39B14CB1"/>
    <w:rsid w:val="39BC2AA1"/>
    <w:rsid w:val="39C1574C"/>
    <w:rsid w:val="39C746B7"/>
    <w:rsid w:val="39CA501E"/>
    <w:rsid w:val="39CC0C76"/>
    <w:rsid w:val="39CD7B28"/>
    <w:rsid w:val="39D013C6"/>
    <w:rsid w:val="39D0586A"/>
    <w:rsid w:val="39D768EA"/>
    <w:rsid w:val="39D8471E"/>
    <w:rsid w:val="39D92970"/>
    <w:rsid w:val="39DC7D6B"/>
    <w:rsid w:val="39E07D10"/>
    <w:rsid w:val="39E81561"/>
    <w:rsid w:val="39EF1814"/>
    <w:rsid w:val="39F72554"/>
    <w:rsid w:val="3A033B36"/>
    <w:rsid w:val="3A051B73"/>
    <w:rsid w:val="3A06303A"/>
    <w:rsid w:val="3A12378C"/>
    <w:rsid w:val="3A1409C3"/>
    <w:rsid w:val="3A1E3F4E"/>
    <w:rsid w:val="3A205104"/>
    <w:rsid w:val="3A243773"/>
    <w:rsid w:val="3A267238"/>
    <w:rsid w:val="3A2A4F7A"/>
    <w:rsid w:val="3A466861"/>
    <w:rsid w:val="3A472ADE"/>
    <w:rsid w:val="3A4A09B9"/>
    <w:rsid w:val="3A567D17"/>
    <w:rsid w:val="3A5C1639"/>
    <w:rsid w:val="3A600D7A"/>
    <w:rsid w:val="3A61630F"/>
    <w:rsid w:val="3A6377E9"/>
    <w:rsid w:val="3A6453AE"/>
    <w:rsid w:val="3A660D33"/>
    <w:rsid w:val="3A6613BA"/>
    <w:rsid w:val="3A6D6532"/>
    <w:rsid w:val="3A706705"/>
    <w:rsid w:val="3A731D63"/>
    <w:rsid w:val="3A797E9E"/>
    <w:rsid w:val="3A7C38D5"/>
    <w:rsid w:val="3A865F28"/>
    <w:rsid w:val="3A872856"/>
    <w:rsid w:val="3A88013B"/>
    <w:rsid w:val="3A8D195C"/>
    <w:rsid w:val="3A931464"/>
    <w:rsid w:val="3A931F8B"/>
    <w:rsid w:val="3A95616C"/>
    <w:rsid w:val="3A9656E4"/>
    <w:rsid w:val="3A971333"/>
    <w:rsid w:val="3A9D5750"/>
    <w:rsid w:val="3A9E3272"/>
    <w:rsid w:val="3AA362BF"/>
    <w:rsid w:val="3AAB4BB5"/>
    <w:rsid w:val="3AAB598F"/>
    <w:rsid w:val="3AAE6724"/>
    <w:rsid w:val="3AAF722D"/>
    <w:rsid w:val="3AB02FA5"/>
    <w:rsid w:val="3AB418AB"/>
    <w:rsid w:val="3ACA050B"/>
    <w:rsid w:val="3ACF1D77"/>
    <w:rsid w:val="3AD37726"/>
    <w:rsid w:val="3AD56EF2"/>
    <w:rsid w:val="3ADB2E57"/>
    <w:rsid w:val="3AE25855"/>
    <w:rsid w:val="3AED5FA8"/>
    <w:rsid w:val="3AF410E4"/>
    <w:rsid w:val="3AFC14E4"/>
    <w:rsid w:val="3AFF6407"/>
    <w:rsid w:val="3B021207"/>
    <w:rsid w:val="3B070E17"/>
    <w:rsid w:val="3B131EB2"/>
    <w:rsid w:val="3B163750"/>
    <w:rsid w:val="3B1654FE"/>
    <w:rsid w:val="3B165C58"/>
    <w:rsid w:val="3B183024"/>
    <w:rsid w:val="3B1B06F7"/>
    <w:rsid w:val="3B20637D"/>
    <w:rsid w:val="3B21477B"/>
    <w:rsid w:val="3B245E6D"/>
    <w:rsid w:val="3B2C6AD0"/>
    <w:rsid w:val="3B375BD2"/>
    <w:rsid w:val="3B3763D1"/>
    <w:rsid w:val="3B4007CD"/>
    <w:rsid w:val="3B457B92"/>
    <w:rsid w:val="3B471B5C"/>
    <w:rsid w:val="3B565F8E"/>
    <w:rsid w:val="3B5775CB"/>
    <w:rsid w:val="3B62588A"/>
    <w:rsid w:val="3B685C7B"/>
    <w:rsid w:val="3B732951"/>
    <w:rsid w:val="3B842468"/>
    <w:rsid w:val="3B854432"/>
    <w:rsid w:val="3B857B69"/>
    <w:rsid w:val="3B8B7C9A"/>
    <w:rsid w:val="3B8C2337"/>
    <w:rsid w:val="3B8C3A12"/>
    <w:rsid w:val="3BA01908"/>
    <w:rsid w:val="3BA803E7"/>
    <w:rsid w:val="3BA956EB"/>
    <w:rsid w:val="3BAE1BDB"/>
    <w:rsid w:val="3BB775E8"/>
    <w:rsid w:val="3BBA40DC"/>
    <w:rsid w:val="3BBD77F3"/>
    <w:rsid w:val="3BC1190E"/>
    <w:rsid w:val="3BC670A5"/>
    <w:rsid w:val="3BD13AAF"/>
    <w:rsid w:val="3BD468C5"/>
    <w:rsid w:val="3BD84B55"/>
    <w:rsid w:val="3BEA163C"/>
    <w:rsid w:val="3BEA1D66"/>
    <w:rsid w:val="3BF57989"/>
    <w:rsid w:val="3C017280"/>
    <w:rsid w:val="3C0D5E81"/>
    <w:rsid w:val="3C1B7FF0"/>
    <w:rsid w:val="3C1C6DE2"/>
    <w:rsid w:val="3C2679F7"/>
    <w:rsid w:val="3C2841A6"/>
    <w:rsid w:val="3C2D474D"/>
    <w:rsid w:val="3C2F6E1E"/>
    <w:rsid w:val="3C32703D"/>
    <w:rsid w:val="3C3417FB"/>
    <w:rsid w:val="3C397F0C"/>
    <w:rsid w:val="3C3F78C8"/>
    <w:rsid w:val="3C423589"/>
    <w:rsid w:val="3C444E5F"/>
    <w:rsid w:val="3C463251"/>
    <w:rsid w:val="3C495460"/>
    <w:rsid w:val="3C4E36C6"/>
    <w:rsid w:val="3C4F64BA"/>
    <w:rsid w:val="3C5C05AD"/>
    <w:rsid w:val="3C5C087B"/>
    <w:rsid w:val="3C607991"/>
    <w:rsid w:val="3C634773"/>
    <w:rsid w:val="3C834E15"/>
    <w:rsid w:val="3C8446EA"/>
    <w:rsid w:val="3C921C34"/>
    <w:rsid w:val="3C924938"/>
    <w:rsid w:val="3C9C18B2"/>
    <w:rsid w:val="3CA37266"/>
    <w:rsid w:val="3CA47A24"/>
    <w:rsid w:val="3CAA6C08"/>
    <w:rsid w:val="3CAC0C7E"/>
    <w:rsid w:val="3CAD3EE7"/>
    <w:rsid w:val="3CAD491E"/>
    <w:rsid w:val="3CB05456"/>
    <w:rsid w:val="3CB6585D"/>
    <w:rsid w:val="3CB73FED"/>
    <w:rsid w:val="3CBB635D"/>
    <w:rsid w:val="3CBF5DED"/>
    <w:rsid w:val="3CCB2617"/>
    <w:rsid w:val="3CD937C8"/>
    <w:rsid w:val="3CDA245A"/>
    <w:rsid w:val="3CDB65C3"/>
    <w:rsid w:val="3CDB6C76"/>
    <w:rsid w:val="3CE2163A"/>
    <w:rsid w:val="3CE27D8E"/>
    <w:rsid w:val="3CE84DC9"/>
    <w:rsid w:val="3CEA0D18"/>
    <w:rsid w:val="3CEE0729"/>
    <w:rsid w:val="3CEF1A74"/>
    <w:rsid w:val="3CF10184"/>
    <w:rsid w:val="3D006466"/>
    <w:rsid w:val="3D023F8C"/>
    <w:rsid w:val="3D070E25"/>
    <w:rsid w:val="3D0803B2"/>
    <w:rsid w:val="3D0E245F"/>
    <w:rsid w:val="3D0F0457"/>
    <w:rsid w:val="3D1E06B7"/>
    <w:rsid w:val="3D255ECC"/>
    <w:rsid w:val="3D2A6EDF"/>
    <w:rsid w:val="3D2C083D"/>
    <w:rsid w:val="3D357127"/>
    <w:rsid w:val="3D3F1AA8"/>
    <w:rsid w:val="3D3F4ED9"/>
    <w:rsid w:val="3D420661"/>
    <w:rsid w:val="3D450143"/>
    <w:rsid w:val="3D453E79"/>
    <w:rsid w:val="3D493944"/>
    <w:rsid w:val="3D4C5FBC"/>
    <w:rsid w:val="3D5567B2"/>
    <w:rsid w:val="3D604476"/>
    <w:rsid w:val="3D6266DC"/>
    <w:rsid w:val="3D6313E3"/>
    <w:rsid w:val="3D6764E5"/>
    <w:rsid w:val="3D6A0BCE"/>
    <w:rsid w:val="3D712EC0"/>
    <w:rsid w:val="3D74650C"/>
    <w:rsid w:val="3D8175A7"/>
    <w:rsid w:val="3D8726E3"/>
    <w:rsid w:val="3D94095C"/>
    <w:rsid w:val="3D997383"/>
    <w:rsid w:val="3D9F3011"/>
    <w:rsid w:val="3DA037A5"/>
    <w:rsid w:val="3DA9112C"/>
    <w:rsid w:val="3DB039E8"/>
    <w:rsid w:val="3DB42DAD"/>
    <w:rsid w:val="3DBD7EB3"/>
    <w:rsid w:val="3DC067A4"/>
    <w:rsid w:val="3DC52D26"/>
    <w:rsid w:val="3DC97B0B"/>
    <w:rsid w:val="3DD02951"/>
    <w:rsid w:val="3DD07BE6"/>
    <w:rsid w:val="3DE466DF"/>
    <w:rsid w:val="3DE74F30"/>
    <w:rsid w:val="3DE7683C"/>
    <w:rsid w:val="3DE812A5"/>
    <w:rsid w:val="3DEE5DF7"/>
    <w:rsid w:val="3DF064DB"/>
    <w:rsid w:val="3DF656BF"/>
    <w:rsid w:val="3DF76196"/>
    <w:rsid w:val="3E063608"/>
    <w:rsid w:val="3E067747"/>
    <w:rsid w:val="3E10054E"/>
    <w:rsid w:val="3E136320"/>
    <w:rsid w:val="3E1C0C3C"/>
    <w:rsid w:val="3E1C6713"/>
    <w:rsid w:val="3E246184"/>
    <w:rsid w:val="3E2538F4"/>
    <w:rsid w:val="3E284623"/>
    <w:rsid w:val="3E297CA8"/>
    <w:rsid w:val="3E300685"/>
    <w:rsid w:val="3E3C2C4E"/>
    <w:rsid w:val="3E3C4E62"/>
    <w:rsid w:val="3E3C5AEC"/>
    <w:rsid w:val="3E3F4D6C"/>
    <w:rsid w:val="3E4205EB"/>
    <w:rsid w:val="3E46023E"/>
    <w:rsid w:val="3E554590"/>
    <w:rsid w:val="3E59676C"/>
    <w:rsid w:val="3E605CD9"/>
    <w:rsid w:val="3E6E11AD"/>
    <w:rsid w:val="3E760AD7"/>
    <w:rsid w:val="3E781495"/>
    <w:rsid w:val="3E79027E"/>
    <w:rsid w:val="3E7E47CA"/>
    <w:rsid w:val="3E7E5894"/>
    <w:rsid w:val="3E934916"/>
    <w:rsid w:val="3E9A0C3B"/>
    <w:rsid w:val="3E9C3F6D"/>
    <w:rsid w:val="3E9E5EF0"/>
    <w:rsid w:val="3E9F7FD0"/>
    <w:rsid w:val="3EA826E2"/>
    <w:rsid w:val="3EAA4EC2"/>
    <w:rsid w:val="3EAD40DA"/>
    <w:rsid w:val="3EAD435E"/>
    <w:rsid w:val="3EB168C7"/>
    <w:rsid w:val="3EBC5484"/>
    <w:rsid w:val="3EBE05FA"/>
    <w:rsid w:val="3EC83853"/>
    <w:rsid w:val="3ED4706F"/>
    <w:rsid w:val="3EDA020E"/>
    <w:rsid w:val="3EDA0523"/>
    <w:rsid w:val="3EDB155A"/>
    <w:rsid w:val="3EDB4A95"/>
    <w:rsid w:val="3EDC25BB"/>
    <w:rsid w:val="3EE052FF"/>
    <w:rsid w:val="3EED2A1A"/>
    <w:rsid w:val="3EEF6792"/>
    <w:rsid w:val="3EF3106E"/>
    <w:rsid w:val="3EFD2865"/>
    <w:rsid w:val="3EFF0422"/>
    <w:rsid w:val="3F037E89"/>
    <w:rsid w:val="3F0D24C1"/>
    <w:rsid w:val="3F111448"/>
    <w:rsid w:val="3F12422F"/>
    <w:rsid w:val="3F141D55"/>
    <w:rsid w:val="3F235CAB"/>
    <w:rsid w:val="3F243F2F"/>
    <w:rsid w:val="3F2736F8"/>
    <w:rsid w:val="3F277796"/>
    <w:rsid w:val="3F2935A4"/>
    <w:rsid w:val="3F295248"/>
    <w:rsid w:val="3F2D1069"/>
    <w:rsid w:val="3F30107F"/>
    <w:rsid w:val="3F3266C9"/>
    <w:rsid w:val="3F363A96"/>
    <w:rsid w:val="3F41391B"/>
    <w:rsid w:val="3F4343E8"/>
    <w:rsid w:val="3F446ADE"/>
    <w:rsid w:val="3F4E7207"/>
    <w:rsid w:val="3F5213BA"/>
    <w:rsid w:val="3F5A2CE1"/>
    <w:rsid w:val="3F5B0D38"/>
    <w:rsid w:val="3F6B1650"/>
    <w:rsid w:val="3F6B2D2B"/>
    <w:rsid w:val="3F6C7855"/>
    <w:rsid w:val="3F6F111D"/>
    <w:rsid w:val="3F720E1F"/>
    <w:rsid w:val="3F72697E"/>
    <w:rsid w:val="3F7E314E"/>
    <w:rsid w:val="3F827606"/>
    <w:rsid w:val="3F8A2017"/>
    <w:rsid w:val="3F8B321A"/>
    <w:rsid w:val="3F917849"/>
    <w:rsid w:val="3FB851E0"/>
    <w:rsid w:val="3FB911DC"/>
    <w:rsid w:val="3FC90B32"/>
    <w:rsid w:val="3FC96FE3"/>
    <w:rsid w:val="3FCA3788"/>
    <w:rsid w:val="3FDB0AC5"/>
    <w:rsid w:val="3FDD1C18"/>
    <w:rsid w:val="3FDD26D3"/>
    <w:rsid w:val="3FDD483D"/>
    <w:rsid w:val="3FDE7EDF"/>
    <w:rsid w:val="3FDF4CAD"/>
    <w:rsid w:val="3FE45BCB"/>
    <w:rsid w:val="3FE874AF"/>
    <w:rsid w:val="3FF2288E"/>
    <w:rsid w:val="3FF34A03"/>
    <w:rsid w:val="3FF66013"/>
    <w:rsid w:val="3FF83655"/>
    <w:rsid w:val="4000052B"/>
    <w:rsid w:val="40041DC9"/>
    <w:rsid w:val="40076562"/>
    <w:rsid w:val="401435B0"/>
    <w:rsid w:val="40194E39"/>
    <w:rsid w:val="401A5245"/>
    <w:rsid w:val="401F6C03"/>
    <w:rsid w:val="4021297B"/>
    <w:rsid w:val="402762FB"/>
    <w:rsid w:val="402E5549"/>
    <w:rsid w:val="402E74B8"/>
    <w:rsid w:val="40350E7F"/>
    <w:rsid w:val="403A0996"/>
    <w:rsid w:val="403F6A87"/>
    <w:rsid w:val="404F33EA"/>
    <w:rsid w:val="405E7173"/>
    <w:rsid w:val="40664FD3"/>
    <w:rsid w:val="406A0AEC"/>
    <w:rsid w:val="406F1526"/>
    <w:rsid w:val="40786313"/>
    <w:rsid w:val="407A6407"/>
    <w:rsid w:val="407C7C6C"/>
    <w:rsid w:val="4080554D"/>
    <w:rsid w:val="40890521"/>
    <w:rsid w:val="40896D1F"/>
    <w:rsid w:val="408C4833"/>
    <w:rsid w:val="409E549C"/>
    <w:rsid w:val="40A725FA"/>
    <w:rsid w:val="40A9399A"/>
    <w:rsid w:val="40AC17BF"/>
    <w:rsid w:val="40AF47F0"/>
    <w:rsid w:val="40B27A77"/>
    <w:rsid w:val="40B53A21"/>
    <w:rsid w:val="40B557B9"/>
    <w:rsid w:val="40BE641C"/>
    <w:rsid w:val="40C17CBA"/>
    <w:rsid w:val="40C2349A"/>
    <w:rsid w:val="40C268DE"/>
    <w:rsid w:val="40CA24CD"/>
    <w:rsid w:val="40CB7C7F"/>
    <w:rsid w:val="40CE6E2E"/>
    <w:rsid w:val="40D12CD1"/>
    <w:rsid w:val="40D4425F"/>
    <w:rsid w:val="40DB3690"/>
    <w:rsid w:val="40DB3FF9"/>
    <w:rsid w:val="40DC6583"/>
    <w:rsid w:val="40DE261A"/>
    <w:rsid w:val="40E34A44"/>
    <w:rsid w:val="40E439A9"/>
    <w:rsid w:val="40E967FB"/>
    <w:rsid w:val="40F407F7"/>
    <w:rsid w:val="40FC22BB"/>
    <w:rsid w:val="41013860"/>
    <w:rsid w:val="410567A3"/>
    <w:rsid w:val="41084946"/>
    <w:rsid w:val="410E63CE"/>
    <w:rsid w:val="41110C42"/>
    <w:rsid w:val="411345E2"/>
    <w:rsid w:val="41163CC1"/>
    <w:rsid w:val="41173D7E"/>
    <w:rsid w:val="411B70E0"/>
    <w:rsid w:val="412B15D8"/>
    <w:rsid w:val="412E4102"/>
    <w:rsid w:val="41326E0A"/>
    <w:rsid w:val="41395AA3"/>
    <w:rsid w:val="414415D4"/>
    <w:rsid w:val="414447B0"/>
    <w:rsid w:val="4150354E"/>
    <w:rsid w:val="41562AF9"/>
    <w:rsid w:val="415753FC"/>
    <w:rsid w:val="41594D5C"/>
    <w:rsid w:val="415F5001"/>
    <w:rsid w:val="41654AEA"/>
    <w:rsid w:val="41662610"/>
    <w:rsid w:val="4168282C"/>
    <w:rsid w:val="416E0F51"/>
    <w:rsid w:val="416E4736"/>
    <w:rsid w:val="41711604"/>
    <w:rsid w:val="41780CC1"/>
    <w:rsid w:val="418036D2"/>
    <w:rsid w:val="4182744A"/>
    <w:rsid w:val="4185761F"/>
    <w:rsid w:val="41A2189A"/>
    <w:rsid w:val="41A27AEC"/>
    <w:rsid w:val="41A9575F"/>
    <w:rsid w:val="41AF2209"/>
    <w:rsid w:val="41B77FF6"/>
    <w:rsid w:val="41B91FC2"/>
    <w:rsid w:val="41BD351D"/>
    <w:rsid w:val="41CA3C3A"/>
    <w:rsid w:val="41CD47B2"/>
    <w:rsid w:val="41CE6B33"/>
    <w:rsid w:val="41CF7804"/>
    <w:rsid w:val="41D04906"/>
    <w:rsid w:val="41D30A5F"/>
    <w:rsid w:val="41D445B8"/>
    <w:rsid w:val="41DB3980"/>
    <w:rsid w:val="41DC59B8"/>
    <w:rsid w:val="41DE7325"/>
    <w:rsid w:val="41E02C7F"/>
    <w:rsid w:val="41E21E0C"/>
    <w:rsid w:val="41EA0D2B"/>
    <w:rsid w:val="41EC7A68"/>
    <w:rsid w:val="41FC3C54"/>
    <w:rsid w:val="4200449D"/>
    <w:rsid w:val="4209607A"/>
    <w:rsid w:val="420E33D3"/>
    <w:rsid w:val="420F2CA7"/>
    <w:rsid w:val="4219227B"/>
    <w:rsid w:val="42224789"/>
    <w:rsid w:val="42250704"/>
    <w:rsid w:val="42293D69"/>
    <w:rsid w:val="422F5235"/>
    <w:rsid w:val="42322D85"/>
    <w:rsid w:val="42343D34"/>
    <w:rsid w:val="42360234"/>
    <w:rsid w:val="42380450"/>
    <w:rsid w:val="423A3BCC"/>
    <w:rsid w:val="423A6241"/>
    <w:rsid w:val="423B0368"/>
    <w:rsid w:val="423E08FB"/>
    <w:rsid w:val="423F533B"/>
    <w:rsid w:val="42402E61"/>
    <w:rsid w:val="424A5B48"/>
    <w:rsid w:val="424E57D2"/>
    <w:rsid w:val="425828A0"/>
    <w:rsid w:val="4259421A"/>
    <w:rsid w:val="425A03C6"/>
    <w:rsid w:val="425C23A8"/>
    <w:rsid w:val="425C413F"/>
    <w:rsid w:val="426833AE"/>
    <w:rsid w:val="426C1EA8"/>
    <w:rsid w:val="42707BEA"/>
    <w:rsid w:val="42710A18"/>
    <w:rsid w:val="42750D5C"/>
    <w:rsid w:val="427866F8"/>
    <w:rsid w:val="4279571E"/>
    <w:rsid w:val="427A5E84"/>
    <w:rsid w:val="427B3D8A"/>
    <w:rsid w:val="42813BA5"/>
    <w:rsid w:val="42845443"/>
    <w:rsid w:val="42862F6A"/>
    <w:rsid w:val="42864D18"/>
    <w:rsid w:val="42882233"/>
    <w:rsid w:val="428912D5"/>
    <w:rsid w:val="42900328"/>
    <w:rsid w:val="42A87384"/>
    <w:rsid w:val="42B00A30"/>
    <w:rsid w:val="42B26C49"/>
    <w:rsid w:val="42B35E13"/>
    <w:rsid w:val="42B9678D"/>
    <w:rsid w:val="42BD098E"/>
    <w:rsid w:val="42C910A8"/>
    <w:rsid w:val="42D41D9C"/>
    <w:rsid w:val="42DB6C41"/>
    <w:rsid w:val="42E12B82"/>
    <w:rsid w:val="42EA174A"/>
    <w:rsid w:val="42F115B9"/>
    <w:rsid w:val="42F475E3"/>
    <w:rsid w:val="43016A94"/>
    <w:rsid w:val="43074D95"/>
    <w:rsid w:val="430C0B17"/>
    <w:rsid w:val="43122A4F"/>
    <w:rsid w:val="431247FD"/>
    <w:rsid w:val="43135CE1"/>
    <w:rsid w:val="431E7646"/>
    <w:rsid w:val="43213B65"/>
    <w:rsid w:val="43213EAB"/>
    <w:rsid w:val="432602A9"/>
    <w:rsid w:val="432959F0"/>
    <w:rsid w:val="433167C7"/>
    <w:rsid w:val="43366875"/>
    <w:rsid w:val="43396BB6"/>
    <w:rsid w:val="433A6FE6"/>
    <w:rsid w:val="433B38C4"/>
    <w:rsid w:val="433D12E8"/>
    <w:rsid w:val="433F136A"/>
    <w:rsid w:val="434527E0"/>
    <w:rsid w:val="43480868"/>
    <w:rsid w:val="434C0AB5"/>
    <w:rsid w:val="4350713C"/>
    <w:rsid w:val="435E17D8"/>
    <w:rsid w:val="436653E0"/>
    <w:rsid w:val="437D0E73"/>
    <w:rsid w:val="437D25BE"/>
    <w:rsid w:val="43837A50"/>
    <w:rsid w:val="438751EB"/>
    <w:rsid w:val="43923928"/>
    <w:rsid w:val="43A53FB3"/>
    <w:rsid w:val="43C21968"/>
    <w:rsid w:val="43C4431A"/>
    <w:rsid w:val="43CA3800"/>
    <w:rsid w:val="43CC3C6E"/>
    <w:rsid w:val="43D96ED1"/>
    <w:rsid w:val="43DC3C48"/>
    <w:rsid w:val="43E41F85"/>
    <w:rsid w:val="43E8166A"/>
    <w:rsid w:val="43EC504E"/>
    <w:rsid w:val="43F050B0"/>
    <w:rsid w:val="43F32881"/>
    <w:rsid w:val="43F63E47"/>
    <w:rsid w:val="43F912B4"/>
    <w:rsid w:val="43FA3C0F"/>
    <w:rsid w:val="43FB34E3"/>
    <w:rsid w:val="44047066"/>
    <w:rsid w:val="4407668B"/>
    <w:rsid w:val="44090E6C"/>
    <w:rsid w:val="44114AB5"/>
    <w:rsid w:val="441920D1"/>
    <w:rsid w:val="44204EDB"/>
    <w:rsid w:val="44286186"/>
    <w:rsid w:val="442B676B"/>
    <w:rsid w:val="443A225E"/>
    <w:rsid w:val="444529B0"/>
    <w:rsid w:val="444948B5"/>
    <w:rsid w:val="444A13E2"/>
    <w:rsid w:val="444A7FC7"/>
    <w:rsid w:val="444D5F8B"/>
    <w:rsid w:val="445F71DC"/>
    <w:rsid w:val="446A7659"/>
    <w:rsid w:val="446B121A"/>
    <w:rsid w:val="446B12D2"/>
    <w:rsid w:val="44764994"/>
    <w:rsid w:val="44771199"/>
    <w:rsid w:val="447C54D1"/>
    <w:rsid w:val="4486116B"/>
    <w:rsid w:val="448E6105"/>
    <w:rsid w:val="44902C34"/>
    <w:rsid w:val="449163A5"/>
    <w:rsid w:val="44965ECC"/>
    <w:rsid w:val="4498386C"/>
    <w:rsid w:val="449920DA"/>
    <w:rsid w:val="449D27EC"/>
    <w:rsid w:val="44B16F63"/>
    <w:rsid w:val="44B21F77"/>
    <w:rsid w:val="44B951CC"/>
    <w:rsid w:val="44BD6936"/>
    <w:rsid w:val="44BE61C8"/>
    <w:rsid w:val="44BF7378"/>
    <w:rsid w:val="44C70598"/>
    <w:rsid w:val="44CB77A7"/>
    <w:rsid w:val="44CD14E0"/>
    <w:rsid w:val="44D17AB7"/>
    <w:rsid w:val="44D81695"/>
    <w:rsid w:val="44DA134B"/>
    <w:rsid w:val="44DE52DF"/>
    <w:rsid w:val="44E26451"/>
    <w:rsid w:val="44E33FF3"/>
    <w:rsid w:val="44EC58EA"/>
    <w:rsid w:val="44EE0697"/>
    <w:rsid w:val="44F00FAB"/>
    <w:rsid w:val="44F20B0B"/>
    <w:rsid w:val="44FF010E"/>
    <w:rsid w:val="450566A8"/>
    <w:rsid w:val="450D0E0A"/>
    <w:rsid w:val="450E0DF5"/>
    <w:rsid w:val="451230A0"/>
    <w:rsid w:val="451A64E9"/>
    <w:rsid w:val="452E5F4C"/>
    <w:rsid w:val="452E7CD5"/>
    <w:rsid w:val="453C0257"/>
    <w:rsid w:val="454246B1"/>
    <w:rsid w:val="4543295F"/>
    <w:rsid w:val="454B3D1A"/>
    <w:rsid w:val="454D4212"/>
    <w:rsid w:val="454E0A4E"/>
    <w:rsid w:val="45502169"/>
    <w:rsid w:val="45551EB3"/>
    <w:rsid w:val="45561319"/>
    <w:rsid w:val="455F266A"/>
    <w:rsid w:val="45612018"/>
    <w:rsid w:val="456266ED"/>
    <w:rsid w:val="45667082"/>
    <w:rsid w:val="45680419"/>
    <w:rsid w:val="456C6ACA"/>
    <w:rsid w:val="456F466C"/>
    <w:rsid w:val="456F5F37"/>
    <w:rsid w:val="457372F8"/>
    <w:rsid w:val="4577303D"/>
    <w:rsid w:val="45790B64"/>
    <w:rsid w:val="457B076A"/>
    <w:rsid w:val="457E388B"/>
    <w:rsid w:val="457F1EF2"/>
    <w:rsid w:val="4585575A"/>
    <w:rsid w:val="45857508"/>
    <w:rsid w:val="458946E9"/>
    <w:rsid w:val="458A2406"/>
    <w:rsid w:val="458C41AC"/>
    <w:rsid w:val="458C4D3B"/>
    <w:rsid w:val="458D460F"/>
    <w:rsid w:val="459534C4"/>
    <w:rsid w:val="459B6D2C"/>
    <w:rsid w:val="45A33E32"/>
    <w:rsid w:val="45A47C0E"/>
    <w:rsid w:val="45A57BAB"/>
    <w:rsid w:val="45A91C11"/>
    <w:rsid w:val="45AC0F39"/>
    <w:rsid w:val="45AD0AAC"/>
    <w:rsid w:val="45AE41B1"/>
    <w:rsid w:val="45B47DEE"/>
    <w:rsid w:val="45B63794"/>
    <w:rsid w:val="45BB5620"/>
    <w:rsid w:val="45BC0F40"/>
    <w:rsid w:val="45C049E4"/>
    <w:rsid w:val="45CA775C"/>
    <w:rsid w:val="45CF4C28"/>
    <w:rsid w:val="45D01BC6"/>
    <w:rsid w:val="45D10E9D"/>
    <w:rsid w:val="45D33E7D"/>
    <w:rsid w:val="45D85051"/>
    <w:rsid w:val="45D87F80"/>
    <w:rsid w:val="45E45137"/>
    <w:rsid w:val="45EF0E26"/>
    <w:rsid w:val="45F62BC6"/>
    <w:rsid w:val="45FA77FE"/>
    <w:rsid w:val="45FE572D"/>
    <w:rsid w:val="45FF375F"/>
    <w:rsid w:val="46007DEA"/>
    <w:rsid w:val="46014490"/>
    <w:rsid w:val="46026FAE"/>
    <w:rsid w:val="46072613"/>
    <w:rsid w:val="46110EB4"/>
    <w:rsid w:val="4615747C"/>
    <w:rsid w:val="46181D51"/>
    <w:rsid w:val="46192347"/>
    <w:rsid w:val="461B1C1B"/>
    <w:rsid w:val="461E51EB"/>
    <w:rsid w:val="46220201"/>
    <w:rsid w:val="46244F73"/>
    <w:rsid w:val="46250CEB"/>
    <w:rsid w:val="462705C0"/>
    <w:rsid w:val="462878EF"/>
    <w:rsid w:val="462A1EAB"/>
    <w:rsid w:val="46311502"/>
    <w:rsid w:val="46371C2A"/>
    <w:rsid w:val="46397688"/>
    <w:rsid w:val="463A1231"/>
    <w:rsid w:val="46492914"/>
    <w:rsid w:val="464A6DF9"/>
    <w:rsid w:val="464C1058"/>
    <w:rsid w:val="46577FD6"/>
    <w:rsid w:val="46587F31"/>
    <w:rsid w:val="46591D60"/>
    <w:rsid w:val="465B470D"/>
    <w:rsid w:val="465D784B"/>
    <w:rsid w:val="46620ECD"/>
    <w:rsid w:val="46681EB0"/>
    <w:rsid w:val="466D1C42"/>
    <w:rsid w:val="467224C3"/>
    <w:rsid w:val="467557CF"/>
    <w:rsid w:val="46836A57"/>
    <w:rsid w:val="46873754"/>
    <w:rsid w:val="469B222C"/>
    <w:rsid w:val="46A1688C"/>
    <w:rsid w:val="46A20A89"/>
    <w:rsid w:val="46A30A0A"/>
    <w:rsid w:val="46A5054B"/>
    <w:rsid w:val="46A60687"/>
    <w:rsid w:val="46AE7906"/>
    <w:rsid w:val="46B84CFE"/>
    <w:rsid w:val="46C03BE8"/>
    <w:rsid w:val="46C74B97"/>
    <w:rsid w:val="46C958DA"/>
    <w:rsid w:val="46CE1816"/>
    <w:rsid w:val="46CE30A5"/>
    <w:rsid w:val="46CE4EDF"/>
    <w:rsid w:val="46D36681"/>
    <w:rsid w:val="46D52711"/>
    <w:rsid w:val="46D71FE6"/>
    <w:rsid w:val="46D955A7"/>
    <w:rsid w:val="46DC75FC"/>
    <w:rsid w:val="46DD5FA8"/>
    <w:rsid w:val="46DF0C3A"/>
    <w:rsid w:val="46F04E55"/>
    <w:rsid w:val="46FD56D3"/>
    <w:rsid w:val="47095F17"/>
    <w:rsid w:val="470E2DEB"/>
    <w:rsid w:val="471053A7"/>
    <w:rsid w:val="47133957"/>
    <w:rsid w:val="47150D60"/>
    <w:rsid w:val="471A28BF"/>
    <w:rsid w:val="471A4419"/>
    <w:rsid w:val="471A6804"/>
    <w:rsid w:val="471D0511"/>
    <w:rsid w:val="471F398D"/>
    <w:rsid w:val="47307948"/>
    <w:rsid w:val="47325B66"/>
    <w:rsid w:val="4734067A"/>
    <w:rsid w:val="4735381A"/>
    <w:rsid w:val="47370CD6"/>
    <w:rsid w:val="47391DB7"/>
    <w:rsid w:val="4740482D"/>
    <w:rsid w:val="47477880"/>
    <w:rsid w:val="47482EE3"/>
    <w:rsid w:val="474A268B"/>
    <w:rsid w:val="474A6C5C"/>
    <w:rsid w:val="47527C17"/>
    <w:rsid w:val="4755115C"/>
    <w:rsid w:val="47596B6D"/>
    <w:rsid w:val="475B5446"/>
    <w:rsid w:val="475C24EB"/>
    <w:rsid w:val="475C3254"/>
    <w:rsid w:val="475E6263"/>
    <w:rsid w:val="476D4D2D"/>
    <w:rsid w:val="477261B2"/>
    <w:rsid w:val="47737835"/>
    <w:rsid w:val="47745A86"/>
    <w:rsid w:val="477912EF"/>
    <w:rsid w:val="477A04A5"/>
    <w:rsid w:val="477B19D0"/>
    <w:rsid w:val="47801075"/>
    <w:rsid w:val="4780427C"/>
    <w:rsid w:val="47826E25"/>
    <w:rsid w:val="47855EE6"/>
    <w:rsid w:val="47857C94"/>
    <w:rsid w:val="47867568"/>
    <w:rsid w:val="478864FD"/>
    <w:rsid w:val="478B2DD0"/>
    <w:rsid w:val="478B6852"/>
    <w:rsid w:val="479412B7"/>
    <w:rsid w:val="479535BC"/>
    <w:rsid w:val="47972677"/>
    <w:rsid w:val="479F279F"/>
    <w:rsid w:val="47A07E0C"/>
    <w:rsid w:val="47AD67ED"/>
    <w:rsid w:val="47B7079C"/>
    <w:rsid w:val="47BC11DC"/>
    <w:rsid w:val="47C03CEB"/>
    <w:rsid w:val="47C21AA2"/>
    <w:rsid w:val="47C93926"/>
    <w:rsid w:val="47CB0DA4"/>
    <w:rsid w:val="47CB141F"/>
    <w:rsid w:val="47CF02F2"/>
    <w:rsid w:val="47CF1F23"/>
    <w:rsid w:val="47D33E6F"/>
    <w:rsid w:val="47E439B4"/>
    <w:rsid w:val="47E81082"/>
    <w:rsid w:val="47F22E4F"/>
    <w:rsid w:val="47F52748"/>
    <w:rsid w:val="47F70466"/>
    <w:rsid w:val="47FE17F4"/>
    <w:rsid w:val="48050DD4"/>
    <w:rsid w:val="480B1987"/>
    <w:rsid w:val="480C50E6"/>
    <w:rsid w:val="480F3A01"/>
    <w:rsid w:val="48152FF9"/>
    <w:rsid w:val="48177732"/>
    <w:rsid w:val="481B05F8"/>
    <w:rsid w:val="482254E2"/>
    <w:rsid w:val="48281A4F"/>
    <w:rsid w:val="482C0501"/>
    <w:rsid w:val="48313978"/>
    <w:rsid w:val="48343DBF"/>
    <w:rsid w:val="48367DA4"/>
    <w:rsid w:val="48382F58"/>
    <w:rsid w:val="483F036D"/>
    <w:rsid w:val="483F2608"/>
    <w:rsid w:val="48401E0D"/>
    <w:rsid w:val="48451779"/>
    <w:rsid w:val="48484C47"/>
    <w:rsid w:val="484F3DFE"/>
    <w:rsid w:val="48515DC8"/>
    <w:rsid w:val="48537F38"/>
    <w:rsid w:val="48580F04"/>
    <w:rsid w:val="486A0C38"/>
    <w:rsid w:val="486A4640"/>
    <w:rsid w:val="4870272E"/>
    <w:rsid w:val="48702CB9"/>
    <w:rsid w:val="48723A58"/>
    <w:rsid w:val="48783B91"/>
    <w:rsid w:val="48795512"/>
    <w:rsid w:val="487A2EC8"/>
    <w:rsid w:val="48825005"/>
    <w:rsid w:val="48825BFD"/>
    <w:rsid w:val="48844C6D"/>
    <w:rsid w:val="48873598"/>
    <w:rsid w:val="48927CC1"/>
    <w:rsid w:val="48967D90"/>
    <w:rsid w:val="48A34D11"/>
    <w:rsid w:val="48A4239B"/>
    <w:rsid w:val="48A43323"/>
    <w:rsid w:val="48AE4DB0"/>
    <w:rsid w:val="48B87BF5"/>
    <w:rsid w:val="48BA665F"/>
    <w:rsid w:val="48BC2937"/>
    <w:rsid w:val="48BD520B"/>
    <w:rsid w:val="48BE6E8F"/>
    <w:rsid w:val="48BE7A8D"/>
    <w:rsid w:val="48BF0F83"/>
    <w:rsid w:val="48BF73DC"/>
    <w:rsid w:val="48D03190"/>
    <w:rsid w:val="48D94D13"/>
    <w:rsid w:val="48E52CE0"/>
    <w:rsid w:val="48EB069F"/>
    <w:rsid w:val="48EB7FCA"/>
    <w:rsid w:val="48EC3855"/>
    <w:rsid w:val="48F56213"/>
    <w:rsid w:val="48F74BC1"/>
    <w:rsid w:val="48FE78CE"/>
    <w:rsid w:val="48FF09FD"/>
    <w:rsid w:val="48FF7401"/>
    <w:rsid w:val="490177EE"/>
    <w:rsid w:val="49044BE8"/>
    <w:rsid w:val="49093709"/>
    <w:rsid w:val="490C7F41"/>
    <w:rsid w:val="4910230B"/>
    <w:rsid w:val="491164A8"/>
    <w:rsid w:val="49192BD2"/>
    <w:rsid w:val="491A08B0"/>
    <w:rsid w:val="491D214E"/>
    <w:rsid w:val="492004BE"/>
    <w:rsid w:val="492359B6"/>
    <w:rsid w:val="49262DB0"/>
    <w:rsid w:val="492936EC"/>
    <w:rsid w:val="493D00FA"/>
    <w:rsid w:val="49417BEA"/>
    <w:rsid w:val="4944592C"/>
    <w:rsid w:val="494D2A33"/>
    <w:rsid w:val="494E2307"/>
    <w:rsid w:val="49634005"/>
    <w:rsid w:val="49641B2B"/>
    <w:rsid w:val="49695393"/>
    <w:rsid w:val="496A6797"/>
    <w:rsid w:val="496E47A2"/>
    <w:rsid w:val="49705AA3"/>
    <w:rsid w:val="49724248"/>
    <w:rsid w:val="49793828"/>
    <w:rsid w:val="497A407A"/>
    <w:rsid w:val="498521CD"/>
    <w:rsid w:val="49885819"/>
    <w:rsid w:val="49891031"/>
    <w:rsid w:val="498A7781"/>
    <w:rsid w:val="498E6BA8"/>
    <w:rsid w:val="49951FBF"/>
    <w:rsid w:val="49971226"/>
    <w:rsid w:val="499A15F0"/>
    <w:rsid w:val="499E41D1"/>
    <w:rsid w:val="49A25FC8"/>
    <w:rsid w:val="49AA1C33"/>
    <w:rsid w:val="49AE2DA6"/>
    <w:rsid w:val="49B605D8"/>
    <w:rsid w:val="49B74350"/>
    <w:rsid w:val="49BC5519"/>
    <w:rsid w:val="49BE198B"/>
    <w:rsid w:val="49BF6D61"/>
    <w:rsid w:val="49C46E2B"/>
    <w:rsid w:val="49CA7F44"/>
    <w:rsid w:val="49CD147E"/>
    <w:rsid w:val="49D00F6E"/>
    <w:rsid w:val="49D12AC4"/>
    <w:rsid w:val="49D56D41"/>
    <w:rsid w:val="49DC4068"/>
    <w:rsid w:val="49DC7715"/>
    <w:rsid w:val="49DF702F"/>
    <w:rsid w:val="49E014BA"/>
    <w:rsid w:val="49E03FD4"/>
    <w:rsid w:val="49E8450A"/>
    <w:rsid w:val="49E862B8"/>
    <w:rsid w:val="49F4524B"/>
    <w:rsid w:val="49F478F9"/>
    <w:rsid w:val="49F85058"/>
    <w:rsid w:val="49F87827"/>
    <w:rsid w:val="49FA3D51"/>
    <w:rsid w:val="49FC20A6"/>
    <w:rsid w:val="49FD623E"/>
    <w:rsid w:val="4A0008D3"/>
    <w:rsid w:val="4A001DE9"/>
    <w:rsid w:val="4A023139"/>
    <w:rsid w:val="4A066E8B"/>
    <w:rsid w:val="4A0F7657"/>
    <w:rsid w:val="4A1A065C"/>
    <w:rsid w:val="4A1C2328"/>
    <w:rsid w:val="4A246FE7"/>
    <w:rsid w:val="4A2A68D0"/>
    <w:rsid w:val="4A2B5779"/>
    <w:rsid w:val="4A2D4613"/>
    <w:rsid w:val="4A3063D8"/>
    <w:rsid w:val="4A390D18"/>
    <w:rsid w:val="4A392FB7"/>
    <w:rsid w:val="4A4723A3"/>
    <w:rsid w:val="4A4B7E96"/>
    <w:rsid w:val="4A4E6A63"/>
    <w:rsid w:val="4A507539"/>
    <w:rsid w:val="4A510301"/>
    <w:rsid w:val="4A525E27"/>
    <w:rsid w:val="4A565825"/>
    <w:rsid w:val="4A594710"/>
    <w:rsid w:val="4A5D4446"/>
    <w:rsid w:val="4A603EC3"/>
    <w:rsid w:val="4A606796"/>
    <w:rsid w:val="4A644CD8"/>
    <w:rsid w:val="4A64750C"/>
    <w:rsid w:val="4A673681"/>
    <w:rsid w:val="4A67505F"/>
    <w:rsid w:val="4A6B4506"/>
    <w:rsid w:val="4A722025"/>
    <w:rsid w:val="4A741978"/>
    <w:rsid w:val="4A7933B4"/>
    <w:rsid w:val="4A7B576F"/>
    <w:rsid w:val="4A7D4C52"/>
    <w:rsid w:val="4A844C0F"/>
    <w:rsid w:val="4A8C5164"/>
    <w:rsid w:val="4A8C758B"/>
    <w:rsid w:val="4A901CB8"/>
    <w:rsid w:val="4A91634A"/>
    <w:rsid w:val="4A946440"/>
    <w:rsid w:val="4A9A1C0C"/>
    <w:rsid w:val="4A9D5F7D"/>
    <w:rsid w:val="4A9E2AD5"/>
    <w:rsid w:val="4A9E2E1A"/>
    <w:rsid w:val="4AA508F7"/>
    <w:rsid w:val="4AAA7A11"/>
    <w:rsid w:val="4AAC4A05"/>
    <w:rsid w:val="4AAF5028"/>
    <w:rsid w:val="4AB16FF2"/>
    <w:rsid w:val="4AB7333D"/>
    <w:rsid w:val="4AB8212E"/>
    <w:rsid w:val="4ABB1C1E"/>
    <w:rsid w:val="4ABB47A9"/>
    <w:rsid w:val="4AC61B4E"/>
    <w:rsid w:val="4AC815F1"/>
    <w:rsid w:val="4ACC5BD9"/>
    <w:rsid w:val="4AD16FCD"/>
    <w:rsid w:val="4ADD1B95"/>
    <w:rsid w:val="4AE2433D"/>
    <w:rsid w:val="4AE86B03"/>
    <w:rsid w:val="4AEE12E6"/>
    <w:rsid w:val="4AF10514"/>
    <w:rsid w:val="4AF561A9"/>
    <w:rsid w:val="4AFA2747"/>
    <w:rsid w:val="4AFD3FE5"/>
    <w:rsid w:val="4B013AB1"/>
    <w:rsid w:val="4B035A99"/>
    <w:rsid w:val="4B11322E"/>
    <w:rsid w:val="4B137364"/>
    <w:rsid w:val="4B166E55"/>
    <w:rsid w:val="4B1A2BF2"/>
    <w:rsid w:val="4B3F63AB"/>
    <w:rsid w:val="4B427942"/>
    <w:rsid w:val="4B440CDB"/>
    <w:rsid w:val="4B4C61C0"/>
    <w:rsid w:val="4B524E11"/>
    <w:rsid w:val="4B555BCF"/>
    <w:rsid w:val="4B560A3D"/>
    <w:rsid w:val="4B571947"/>
    <w:rsid w:val="4B591036"/>
    <w:rsid w:val="4B5B08B3"/>
    <w:rsid w:val="4B692C5A"/>
    <w:rsid w:val="4B726400"/>
    <w:rsid w:val="4B726781"/>
    <w:rsid w:val="4B775B45"/>
    <w:rsid w:val="4B785A6B"/>
    <w:rsid w:val="4B7B47D7"/>
    <w:rsid w:val="4B7E6A95"/>
    <w:rsid w:val="4B803D45"/>
    <w:rsid w:val="4B880D47"/>
    <w:rsid w:val="4B8D21D3"/>
    <w:rsid w:val="4B9009B5"/>
    <w:rsid w:val="4B905239"/>
    <w:rsid w:val="4B9304A5"/>
    <w:rsid w:val="4B9366F7"/>
    <w:rsid w:val="4B983D0E"/>
    <w:rsid w:val="4B9E5185"/>
    <w:rsid w:val="4BA34367"/>
    <w:rsid w:val="4BAE0282"/>
    <w:rsid w:val="4BB108DC"/>
    <w:rsid w:val="4BB173AB"/>
    <w:rsid w:val="4BBE3774"/>
    <w:rsid w:val="4BBE7B43"/>
    <w:rsid w:val="4BCA036B"/>
    <w:rsid w:val="4BCB5E91"/>
    <w:rsid w:val="4BCE14DD"/>
    <w:rsid w:val="4BCF2936"/>
    <w:rsid w:val="4BD25472"/>
    <w:rsid w:val="4BD74ABB"/>
    <w:rsid w:val="4BD978B6"/>
    <w:rsid w:val="4BDD04C2"/>
    <w:rsid w:val="4BEF1EF1"/>
    <w:rsid w:val="4BF5505E"/>
    <w:rsid w:val="4BF736E5"/>
    <w:rsid w:val="4C013661"/>
    <w:rsid w:val="4C0D0258"/>
    <w:rsid w:val="4C2869FC"/>
    <w:rsid w:val="4C290139"/>
    <w:rsid w:val="4C320BC1"/>
    <w:rsid w:val="4C3457E4"/>
    <w:rsid w:val="4C3979AF"/>
    <w:rsid w:val="4C40062D"/>
    <w:rsid w:val="4C406858"/>
    <w:rsid w:val="4C43011D"/>
    <w:rsid w:val="4C49408D"/>
    <w:rsid w:val="4C4947DB"/>
    <w:rsid w:val="4C4A0649"/>
    <w:rsid w:val="4C52210E"/>
    <w:rsid w:val="4C577725"/>
    <w:rsid w:val="4C5C47D3"/>
    <w:rsid w:val="4C6360CA"/>
    <w:rsid w:val="4C651E42"/>
    <w:rsid w:val="4C68219A"/>
    <w:rsid w:val="4C6A38FC"/>
    <w:rsid w:val="4C6A7D22"/>
    <w:rsid w:val="4C735FF7"/>
    <w:rsid w:val="4C750555"/>
    <w:rsid w:val="4C7B78B7"/>
    <w:rsid w:val="4C7D53DD"/>
    <w:rsid w:val="4C7E5ECA"/>
    <w:rsid w:val="4C876AA5"/>
    <w:rsid w:val="4C893887"/>
    <w:rsid w:val="4C8B1EE4"/>
    <w:rsid w:val="4C8D2719"/>
    <w:rsid w:val="4C9B3AB5"/>
    <w:rsid w:val="4CA30915"/>
    <w:rsid w:val="4CB132D9"/>
    <w:rsid w:val="4CB80687"/>
    <w:rsid w:val="4CB973DA"/>
    <w:rsid w:val="4CBA1BF8"/>
    <w:rsid w:val="4CBB552B"/>
    <w:rsid w:val="4CBE358C"/>
    <w:rsid w:val="4CC4300C"/>
    <w:rsid w:val="4CC83AD8"/>
    <w:rsid w:val="4CC87E80"/>
    <w:rsid w:val="4CC96847"/>
    <w:rsid w:val="4CCA6149"/>
    <w:rsid w:val="4CD20C9C"/>
    <w:rsid w:val="4CD41C6D"/>
    <w:rsid w:val="4CD81CA2"/>
    <w:rsid w:val="4CDA4579"/>
    <w:rsid w:val="4CDB0356"/>
    <w:rsid w:val="4CE23492"/>
    <w:rsid w:val="4CE82E5C"/>
    <w:rsid w:val="4CF078AA"/>
    <w:rsid w:val="4CF12F0F"/>
    <w:rsid w:val="4CF338F1"/>
    <w:rsid w:val="4CF431C6"/>
    <w:rsid w:val="4CF65190"/>
    <w:rsid w:val="4CFA07E3"/>
    <w:rsid w:val="4CFA712E"/>
    <w:rsid w:val="4CFC2F75"/>
    <w:rsid w:val="4CFC309A"/>
    <w:rsid w:val="4D037CA3"/>
    <w:rsid w:val="4D0E00FB"/>
    <w:rsid w:val="4D0E6A50"/>
    <w:rsid w:val="4D151ABA"/>
    <w:rsid w:val="4D176606"/>
    <w:rsid w:val="4D1F37F9"/>
    <w:rsid w:val="4D221BD1"/>
    <w:rsid w:val="4D2B308B"/>
    <w:rsid w:val="4D2C5FA1"/>
    <w:rsid w:val="4D37308F"/>
    <w:rsid w:val="4D396C29"/>
    <w:rsid w:val="4D413494"/>
    <w:rsid w:val="4D5325E2"/>
    <w:rsid w:val="4D5A571F"/>
    <w:rsid w:val="4D602609"/>
    <w:rsid w:val="4D611164"/>
    <w:rsid w:val="4D642CE9"/>
    <w:rsid w:val="4D6644FB"/>
    <w:rsid w:val="4D66647C"/>
    <w:rsid w:val="4D684C84"/>
    <w:rsid w:val="4D6862A3"/>
    <w:rsid w:val="4D697710"/>
    <w:rsid w:val="4D6E55A1"/>
    <w:rsid w:val="4D7957E1"/>
    <w:rsid w:val="4D87403A"/>
    <w:rsid w:val="4D88228C"/>
    <w:rsid w:val="4D8925D1"/>
    <w:rsid w:val="4D8B3EA5"/>
    <w:rsid w:val="4D8E796F"/>
    <w:rsid w:val="4D8F03FC"/>
    <w:rsid w:val="4D9673CF"/>
    <w:rsid w:val="4D9965AD"/>
    <w:rsid w:val="4D9A1FBF"/>
    <w:rsid w:val="4D9D1F66"/>
    <w:rsid w:val="4DC02D74"/>
    <w:rsid w:val="4DC42199"/>
    <w:rsid w:val="4DC4703C"/>
    <w:rsid w:val="4DCE1C69"/>
    <w:rsid w:val="4DD94895"/>
    <w:rsid w:val="4DDB12FD"/>
    <w:rsid w:val="4DDB712E"/>
    <w:rsid w:val="4DDF734E"/>
    <w:rsid w:val="4DE43B15"/>
    <w:rsid w:val="4DEC4FB0"/>
    <w:rsid w:val="4DF02264"/>
    <w:rsid w:val="4DF112C3"/>
    <w:rsid w:val="4DF262D3"/>
    <w:rsid w:val="4DF4098A"/>
    <w:rsid w:val="4DFA4BD3"/>
    <w:rsid w:val="4DFC67D6"/>
    <w:rsid w:val="4E035DB6"/>
    <w:rsid w:val="4E056199"/>
    <w:rsid w:val="4E075D8A"/>
    <w:rsid w:val="4E097D1B"/>
    <w:rsid w:val="4E0C137B"/>
    <w:rsid w:val="4E0C5DD8"/>
    <w:rsid w:val="4E105DD2"/>
    <w:rsid w:val="4E132421"/>
    <w:rsid w:val="4E166538"/>
    <w:rsid w:val="4E183DBA"/>
    <w:rsid w:val="4E2C17E3"/>
    <w:rsid w:val="4E3246A1"/>
    <w:rsid w:val="4E3A6874"/>
    <w:rsid w:val="4E3C6BD2"/>
    <w:rsid w:val="4E3D0742"/>
    <w:rsid w:val="4E3E10AE"/>
    <w:rsid w:val="4E40049B"/>
    <w:rsid w:val="4E413836"/>
    <w:rsid w:val="4E5B34FC"/>
    <w:rsid w:val="4E625FEA"/>
    <w:rsid w:val="4E6323B1"/>
    <w:rsid w:val="4E685C19"/>
    <w:rsid w:val="4E775E5C"/>
    <w:rsid w:val="4E783ADD"/>
    <w:rsid w:val="4E830CA5"/>
    <w:rsid w:val="4E8D38D2"/>
    <w:rsid w:val="4E8F36DE"/>
    <w:rsid w:val="4E916F1E"/>
    <w:rsid w:val="4E962786"/>
    <w:rsid w:val="4E9E19D1"/>
    <w:rsid w:val="4EA23226"/>
    <w:rsid w:val="4EA4073F"/>
    <w:rsid w:val="4EA50C1B"/>
    <w:rsid w:val="4EA62EA4"/>
    <w:rsid w:val="4EAF38CD"/>
    <w:rsid w:val="4EB840AD"/>
    <w:rsid w:val="4EBA2F55"/>
    <w:rsid w:val="4EBF0DF3"/>
    <w:rsid w:val="4EC00FAD"/>
    <w:rsid w:val="4EC6363C"/>
    <w:rsid w:val="4EC73350"/>
    <w:rsid w:val="4ECB0A8A"/>
    <w:rsid w:val="4ED35788"/>
    <w:rsid w:val="4ED908C5"/>
    <w:rsid w:val="4EDB6A19"/>
    <w:rsid w:val="4EE71423"/>
    <w:rsid w:val="4EED30B1"/>
    <w:rsid w:val="4EF5015C"/>
    <w:rsid w:val="4EF64C23"/>
    <w:rsid w:val="4EFA0F67"/>
    <w:rsid w:val="4F086AA9"/>
    <w:rsid w:val="4F0E4A6F"/>
    <w:rsid w:val="4F1135C0"/>
    <w:rsid w:val="4F157929"/>
    <w:rsid w:val="4F1E2EF2"/>
    <w:rsid w:val="4F1E49B1"/>
    <w:rsid w:val="4F241610"/>
    <w:rsid w:val="4F2746B8"/>
    <w:rsid w:val="4F274F96"/>
    <w:rsid w:val="4F381A8F"/>
    <w:rsid w:val="4F391364"/>
    <w:rsid w:val="4F3D0E54"/>
    <w:rsid w:val="4F3D6B35"/>
    <w:rsid w:val="4F42646A"/>
    <w:rsid w:val="4F455F5A"/>
    <w:rsid w:val="4F4641AC"/>
    <w:rsid w:val="4F473A81"/>
    <w:rsid w:val="4F5148FF"/>
    <w:rsid w:val="4F5256F9"/>
    <w:rsid w:val="4F541E71"/>
    <w:rsid w:val="4F5B577E"/>
    <w:rsid w:val="4F672375"/>
    <w:rsid w:val="4F68646F"/>
    <w:rsid w:val="4F6B4F69"/>
    <w:rsid w:val="4F7800DE"/>
    <w:rsid w:val="4F7C138A"/>
    <w:rsid w:val="4F7F4E09"/>
    <w:rsid w:val="4F822D0B"/>
    <w:rsid w:val="4F8B1A44"/>
    <w:rsid w:val="4F8B1BBF"/>
    <w:rsid w:val="4F945C70"/>
    <w:rsid w:val="4F9840BE"/>
    <w:rsid w:val="4F9843DC"/>
    <w:rsid w:val="4F9915BB"/>
    <w:rsid w:val="4FA11CEA"/>
    <w:rsid w:val="4FA17635"/>
    <w:rsid w:val="4FA40ED3"/>
    <w:rsid w:val="4FA669F9"/>
    <w:rsid w:val="4FB05ACA"/>
    <w:rsid w:val="4FB34490"/>
    <w:rsid w:val="4FB8429D"/>
    <w:rsid w:val="4FBA4675"/>
    <w:rsid w:val="4FC17DBC"/>
    <w:rsid w:val="4FC62A8C"/>
    <w:rsid w:val="4FE20F0D"/>
    <w:rsid w:val="4FE51552"/>
    <w:rsid w:val="4FE92D8A"/>
    <w:rsid w:val="4FF254C9"/>
    <w:rsid w:val="4FF32E5F"/>
    <w:rsid w:val="4FF6218D"/>
    <w:rsid w:val="4FF621C9"/>
    <w:rsid w:val="4FF63C8D"/>
    <w:rsid w:val="4FF80CA1"/>
    <w:rsid w:val="4FFF25AD"/>
    <w:rsid w:val="5002788A"/>
    <w:rsid w:val="50083210"/>
    <w:rsid w:val="500E27F0"/>
    <w:rsid w:val="501043E3"/>
    <w:rsid w:val="50106568"/>
    <w:rsid w:val="501160B0"/>
    <w:rsid w:val="50117B3B"/>
    <w:rsid w:val="50125E3D"/>
    <w:rsid w:val="50151DD1"/>
    <w:rsid w:val="50195BD2"/>
    <w:rsid w:val="502142D2"/>
    <w:rsid w:val="502320A0"/>
    <w:rsid w:val="50235A38"/>
    <w:rsid w:val="502C4BEB"/>
    <w:rsid w:val="502E62AD"/>
    <w:rsid w:val="503201ED"/>
    <w:rsid w:val="50394928"/>
    <w:rsid w:val="504F0E3F"/>
    <w:rsid w:val="50504C4B"/>
    <w:rsid w:val="505671DF"/>
    <w:rsid w:val="50594447"/>
    <w:rsid w:val="505A5603"/>
    <w:rsid w:val="5060582C"/>
    <w:rsid w:val="50650662"/>
    <w:rsid w:val="506F5A88"/>
    <w:rsid w:val="50750053"/>
    <w:rsid w:val="5079410E"/>
    <w:rsid w:val="50797CC1"/>
    <w:rsid w:val="507A3CA1"/>
    <w:rsid w:val="508171C7"/>
    <w:rsid w:val="50954C17"/>
    <w:rsid w:val="509C6E7C"/>
    <w:rsid w:val="509C75E1"/>
    <w:rsid w:val="509F5180"/>
    <w:rsid w:val="50A26C89"/>
    <w:rsid w:val="50AF5D81"/>
    <w:rsid w:val="50BC64FF"/>
    <w:rsid w:val="50BD32F7"/>
    <w:rsid w:val="50BF5526"/>
    <w:rsid w:val="50C01FE6"/>
    <w:rsid w:val="50D41344"/>
    <w:rsid w:val="50D67951"/>
    <w:rsid w:val="50D74F11"/>
    <w:rsid w:val="50DD28EE"/>
    <w:rsid w:val="50DF6D04"/>
    <w:rsid w:val="50E2357B"/>
    <w:rsid w:val="50F45034"/>
    <w:rsid w:val="50F46AC0"/>
    <w:rsid w:val="50FC0738"/>
    <w:rsid w:val="5100368A"/>
    <w:rsid w:val="51053BF3"/>
    <w:rsid w:val="51055FB8"/>
    <w:rsid w:val="5105691F"/>
    <w:rsid w:val="5107378E"/>
    <w:rsid w:val="51086665"/>
    <w:rsid w:val="510B7A55"/>
    <w:rsid w:val="510D5BC3"/>
    <w:rsid w:val="511C1AA8"/>
    <w:rsid w:val="511C50AE"/>
    <w:rsid w:val="51220301"/>
    <w:rsid w:val="5122043A"/>
    <w:rsid w:val="512E60E7"/>
    <w:rsid w:val="512F6EC2"/>
    <w:rsid w:val="512F7804"/>
    <w:rsid w:val="51356867"/>
    <w:rsid w:val="513E45BD"/>
    <w:rsid w:val="514566E6"/>
    <w:rsid w:val="51475FBA"/>
    <w:rsid w:val="514B3CFC"/>
    <w:rsid w:val="514C2EEA"/>
    <w:rsid w:val="51505A4B"/>
    <w:rsid w:val="515145D5"/>
    <w:rsid w:val="515661FD"/>
    <w:rsid w:val="515B6144"/>
    <w:rsid w:val="515C09DF"/>
    <w:rsid w:val="51610CFB"/>
    <w:rsid w:val="5162104E"/>
    <w:rsid w:val="51650ED2"/>
    <w:rsid w:val="5165164C"/>
    <w:rsid w:val="516B614C"/>
    <w:rsid w:val="51702793"/>
    <w:rsid w:val="51705511"/>
    <w:rsid w:val="51717E05"/>
    <w:rsid w:val="517C38DA"/>
    <w:rsid w:val="517D5D2C"/>
    <w:rsid w:val="517F76B5"/>
    <w:rsid w:val="518565A8"/>
    <w:rsid w:val="518C1C1F"/>
    <w:rsid w:val="5196625D"/>
    <w:rsid w:val="519D207E"/>
    <w:rsid w:val="51A24F74"/>
    <w:rsid w:val="51A7341A"/>
    <w:rsid w:val="51A73F45"/>
    <w:rsid w:val="51A96C75"/>
    <w:rsid w:val="51B17C70"/>
    <w:rsid w:val="51B3178F"/>
    <w:rsid w:val="51B3364F"/>
    <w:rsid w:val="51B8376E"/>
    <w:rsid w:val="51C04C3E"/>
    <w:rsid w:val="51C3677C"/>
    <w:rsid w:val="51C615D4"/>
    <w:rsid w:val="51C8689D"/>
    <w:rsid w:val="51CE6F83"/>
    <w:rsid w:val="51D2157B"/>
    <w:rsid w:val="51DA0D2F"/>
    <w:rsid w:val="51DB1210"/>
    <w:rsid w:val="51DF2696"/>
    <w:rsid w:val="51E60C10"/>
    <w:rsid w:val="51E90E1F"/>
    <w:rsid w:val="51EE575A"/>
    <w:rsid w:val="51F36B09"/>
    <w:rsid w:val="51F56037"/>
    <w:rsid w:val="51FE4E43"/>
    <w:rsid w:val="520B3C6B"/>
    <w:rsid w:val="521907C9"/>
    <w:rsid w:val="521A1920"/>
    <w:rsid w:val="52285DEB"/>
    <w:rsid w:val="522874AE"/>
    <w:rsid w:val="522B58DB"/>
    <w:rsid w:val="523A0ED7"/>
    <w:rsid w:val="523A78CD"/>
    <w:rsid w:val="523C53F3"/>
    <w:rsid w:val="523F1098"/>
    <w:rsid w:val="524168AD"/>
    <w:rsid w:val="52453D77"/>
    <w:rsid w:val="52466271"/>
    <w:rsid w:val="524A30FC"/>
    <w:rsid w:val="52527491"/>
    <w:rsid w:val="52546BE0"/>
    <w:rsid w:val="52554706"/>
    <w:rsid w:val="525C7787"/>
    <w:rsid w:val="526153FD"/>
    <w:rsid w:val="52630BD1"/>
    <w:rsid w:val="52632790"/>
    <w:rsid w:val="52635075"/>
    <w:rsid w:val="52635BD8"/>
    <w:rsid w:val="526E2BA5"/>
    <w:rsid w:val="52746920"/>
    <w:rsid w:val="52756B57"/>
    <w:rsid w:val="52833022"/>
    <w:rsid w:val="528E1F04"/>
    <w:rsid w:val="52992F8C"/>
    <w:rsid w:val="529C4410"/>
    <w:rsid w:val="529E42FF"/>
    <w:rsid w:val="52A331E4"/>
    <w:rsid w:val="52AB16DF"/>
    <w:rsid w:val="52B35B09"/>
    <w:rsid w:val="52B61851"/>
    <w:rsid w:val="52C11D9C"/>
    <w:rsid w:val="52C13B4A"/>
    <w:rsid w:val="52C35B14"/>
    <w:rsid w:val="52CA6D78"/>
    <w:rsid w:val="52CF43B4"/>
    <w:rsid w:val="52DC0984"/>
    <w:rsid w:val="52EA2683"/>
    <w:rsid w:val="52EA30A1"/>
    <w:rsid w:val="52EB0557"/>
    <w:rsid w:val="52EB0BC7"/>
    <w:rsid w:val="52EF46BE"/>
    <w:rsid w:val="52F061DD"/>
    <w:rsid w:val="530421AC"/>
    <w:rsid w:val="530E3233"/>
    <w:rsid w:val="531719BC"/>
    <w:rsid w:val="53180008"/>
    <w:rsid w:val="532123F7"/>
    <w:rsid w:val="532145E9"/>
    <w:rsid w:val="532370AE"/>
    <w:rsid w:val="5330157D"/>
    <w:rsid w:val="53373880"/>
    <w:rsid w:val="533E519B"/>
    <w:rsid w:val="53456529"/>
    <w:rsid w:val="5358625C"/>
    <w:rsid w:val="535A32CB"/>
    <w:rsid w:val="535D2EDE"/>
    <w:rsid w:val="53614C5A"/>
    <w:rsid w:val="53740BBC"/>
    <w:rsid w:val="53754134"/>
    <w:rsid w:val="537E3D48"/>
    <w:rsid w:val="53895177"/>
    <w:rsid w:val="538C05FC"/>
    <w:rsid w:val="53925D5F"/>
    <w:rsid w:val="539F032F"/>
    <w:rsid w:val="53A039CC"/>
    <w:rsid w:val="53A11C41"/>
    <w:rsid w:val="53A1505A"/>
    <w:rsid w:val="53A414A2"/>
    <w:rsid w:val="53A45E3A"/>
    <w:rsid w:val="53A803BE"/>
    <w:rsid w:val="53B106D6"/>
    <w:rsid w:val="53C658BC"/>
    <w:rsid w:val="53CE651E"/>
    <w:rsid w:val="53CF6F7D"/>
    <w:rsid w:val="53D1600F"/>
    <w:rsid w:val="53D201A2"/>
    <w:rsid w:val="53D310DD"/>
    <w:rsid w:val="53D34EC7"/>
    <w:rsid w:val="53D63625"/>
    <w:rsid w:val="53D8739D"/>
    <w:rsid w:val="53E9318A"/>
    <w:rsid w:val="53F255F2"/>
    <w:rsid w:val="540126B7"/>
    <w:rsid w:val="54063E08"/>
    <w:rsid w:val="54085ED4"/>
    <w:rsid w:val="540F0130"/>
    <w:rsid w:val="54176117"/>
    <w:rsid w:val="541A3678"/>
    <w:rsid w:val="541F321E"/>
    <w:rsid w:val="541F6D7A"/>
    <w:rsid w:val="542016F5"/>
    <w:rsid w:val="54224ABC"/>
    <w:rsid w:val="54280325"/>
    <w:rsid w:val="542A2F1E"/>
    <w:rsid w:val="542E167C"/>
    <w:rsid w:val="54336CC9"/>
    <w:rsid w:val="543437E8"/>
    <w:rsid w:val="543547EF"/>
    <w:rsid w:val="543D35AE"/>
    <w:rsid w:val="543D6030"/>
    <w:rsid w:val="54411C6D"/>
    <w:rsid w:val="5448192F"/>
    <w:rsid w:val="54514098"/>
    <w:rsid w:val="545357D5"/>
    <w:rsid w:val="54590CF3"/>
    <w:rsid w:val="545B0648"/>
    <w:rsid w:val="54600E28"/>
    <w:rsid w:val="5461650A"/>
    <w:rsid w:val="54630047"/>
    <w:rsid w:val="5463497E"/>
    <w:rsid w:val="54662920"/>
    <w:rsid w:val="546724CF"/>
    <w:rsid w:val="547445B8"/>
    <w:rsid w:val="5475170D"/>
    <w:rsid w:val="5478091F"/>
    <w:rsid w:val="5479570C"/>
    <w:rsid w:val="547963A0"/>
    <w:rsid w:val="547A09D9"/>
    <w:rsid w:val="547E01D0"/>
    <w:rsid w:val="547F355C"/>
    <w:rsid w:val="547F3CBD"/>
    <w:rsid w:val="5480381E"/>
    <w:rsid w:val="54814902"/>
    <w:rsid w:val="54834145"/>
    <w:rsid w:val="548412D3"/>
    <w:rsid w:val="54895C16"/>
    <w:rsid w:val="548E562C"/>
    <w:rsid w:val="54931516"/>
    <w:rsid w:val="54931E94"/>
    <w:rsid w:val="54972DB4"/>
    <w:rsid w:val="549A6186"/>
    <w:rsid w:val="549B6B9C"/>
    <w:rsid w:val="549C661D"/>
    <w:rsid w:val="54AB57B7"/>
    <w:rsid w:val="54AD3CEF"/>
    <w:rsid w:val="54AE1CA1"/>
    <w:rsid w:val="54B1798E"/>
    <w:rsid w:val="54B83371"/>
    <w:rsid w:val="54B95421"/>
    <w:rsid w:val="54C142D5"/>
    <w:rsid w:val="54C3004D"/>
    <w:rsid w:val="54C447B1"/>
    <w:rsid w:val="54C664C3"/>
    <w:rsid w:val="54C806C5"/>
    <w:rsid w:val="54CC27A2"/>
    <w:rsid w:val="54CD17D9"/>
    <w:rsid w:val="54CD2BF3"/>
    <w:rsid w:val="54D03E82"/>
    <w:rsid w:val="54D044D1"/>
    <w:rsid w:val="54D10E25"/>
    <w:rsid w:val="54D264E2"/>
    <w:rsid w:val="54D654D1"/>
    <w:rsid w:val="54D75F16"/>
    <w:rsid w:val="54DA7963"/>
    <w:rsid w:val="54DE1F99"/>
    <w:rsid w:val="54DF144C"/>
    <w:rsid w:val="54F73313"/>
    <w:rsid w:val="54F80955"/>
    <w:rsid w:val="54F834E2"/>
    <w:rsid w:val="54FA3343"/>
    <w:rsid w:val="55056DD8"/>
    <w:rsid w:val="55105A7F"/>
    <w:rsid w:val="55135812"/>
    <w:rsid w:val="55172147"/>
    <w:rsid w:val="5521073A"/>
    <w:rsid w:val="55222486"/>
    <w:rsid w:val="55222FC6"/>
    <w:rsid w:val="5524161D"/>
    <w:rsid w:val="552875C8"/>
    <w:rsid w:val="552B08BC"/>
    <w:rsid w:val="552E61E9"/>
    <w:rsid w:val="552E775C"/>
    <w:rsid w:val="553F741C"/>
    <w:rsid w:val="55422BA8"/>
    <w:rsid w:val="554C1343"/>
    <w:rsid w:val="554C2F4D"/>
    <w:rsid w:val="554D5915"/>
    <w:rsid w:val="555170A7"/>
    <w:rsid w:val="55526C4B"/>
    <w:rsid w:val="556030E0"/>
    <w:rsid w:val="5564560A"/>
    <w:rsid w:val="55766E6E"/>
    <w:rsid w:val="557A4FA5"/>
    <w:rsid w:val="558477DD"/>
    <w:rsid w:val="558647EA"/>
    <w:rsid w:val="5587536D"/>
    <w:rsid w:val="55911EF9"/>
    <w:rsid w:val="55915A56"/>
    <w:rsid w:val="559B174B"/>
    <w:rsid w:val="55AD109C"/>
    <w:rsid w:val="55B7174D"/>
    <w:rsid w:val="55BD3472"/>
    <w:rsid w:val="55BE01E0"/>
    <w:rsid w:val="55C027DF"/>
    <w:rsid w:val="55C91693"/>
    <w:rsid w:val="55CA3BE7"/>
    <w:rsid w:val="55CA692C"/>
    <w:rsid w:val="55CE0CF4"/>
    <w:rsid w:val="55D63DB0"/>
    <w:rsid w:val="55DC6417"/>
    <w:rsid w:val="55EB0C7F"/>
    <w:rsid w:val="55EB3267"/>
    <w:rsid w:val="55EE03A0"/>
    <w:rsid w:val="55EE10FA"/>
    <w:rsid w:val="55EE2EA8"/>
    <w:rsid w:val="55EE6D06"/>
    <w:rsid w:val="55F23A6D"/>
    <w:rsid w:val="55F940F1"/>
    <w:rsid w:val="56037855"/>
    <w:rsid w:val="56061C80"/>
    <w:rsid w:val="56064695"/>
    <w:rsid w:val="56095F34"/>
    <w:rsid w:val="560A4E39"/>
    <w:rsid w:val="561B7A15"/>
    <w:rsid w:val="5624337B"/>
    <w:rsid w:val="562543F0"/>
    <w:rsid w:val="56292132"/>
    <w:rsid w:val="562B40AB"/>
    <w:rsid w:val="562B5EAA"/>
    <w:rsid w:val="562B6BDC"/>
    <w:rsid w:val="56350AD7"/>
    <w:rsid w:val="563C1000"/>
    <w:rsid w:val="563C3388"/>
    <w:rsid w:val="5640122A"/>
    <w:rsid w:val="56410889"/>
    <w:rsid w:val="56444B7E"/>
    <w:rsid w:val="564F1323"/>
    <w:rsid w:val="5675326A"/>
    <w:rsid w:val="56764D9B"/>
    <w:rsid w:val="56793D74"/>
    <w:rsid w:val="567A0BDF"/>
    <w:rsid w:val="567E11E2"/>
    <w:rsid w:val="56834098"/>
    <w:rsid w:val="56835CE6"/>
    <w:rsid w:val="568A395B"/>
    <w:rsid w:val="569B1D44"/>
    <w:rsid w:val="569C6AF5"/>
    <w:rsid w:val="56A91C7F"/>
    <w:rsid w:val="56AB12C9"/>
    <w:rsid w:val="56B22A9C"/>
    <w:rsid w:val="56BB649E"/>
    <w:rsid w:val="56BC4D54"/>
    <w:rsid w:val="56C34B33"/>
    <w:rsid w:val="56C8194B"/>
    <w:rsid w:val="56CD0D0F"/>
    <w:rsid w:val="56CD51B3"/>
    <w:rsid w:val="56D503F0"/>
    <w:rsid w:val="56D77D40"/>
    <w:rsid w:val="56DC1295"/>
    <w:rsid w:val="56E458CB"/>
    <w:rsid w:val="56E873A9"/>
    <w:rsid w:val="56EB388B"/>
    <w:rsid w:val="56ED315F"/>
    <w:rsid w:val="56FA5424"/>
    <w:rsid w:val="57053A32"/>
    <w:rsid w:val="5708799A"/>
    <w:rsid w:val="570E1722"/>
    <w:rsid w:val="570F696E"/>
    <w:rsid w:val="57174803"/>
    <w:rsid w:val="5717642E"/>
    <w:rsid w:val="57197DCE"/>
    <w:rsid w:val="571F7013"/>
    <w:rsid w:val="57266B6F"/>
    <w:rsid w:val="57281580"/>
    <w:rsid w:val="572B1580"/>
    <w:rsid w:val="572D5EB9"/>
    <w:rsid w:val="572F1ED2"/>
    <w:rsid w:val="572F5526"/>
    <w:rsid w:val="57354B65"/>
    <w:rsid w:val="57392849"/>
    <w:rsid w:val="573E401C"/>
    <w:rsid w:val="574F3C92"/>
    <w:rsid w:val="575D1152"/>
    <w:rsid w:val="575E2433"/>
    <w:rsid w:val="576A60DF"/>
    <w:rsid w:val="576F626A"/>
    <w:rsid w:val="57733F72"/>
    <w:rsid w:val="577C6A1B"/>
    <w:rsid w:val="57853838"/>
    <w:rsid w:val="578D049F"/>
    <w:rsid w:val="57913D66"/>
    <w:rsid w:val="5796047E"/>
    <w:rsid w:val="579637F7"/>
    <w:rsid w:val="5797070A"/>
    <w:rsid w:val="579B321D"/>
    <w:rsid w:val="579C5C6F"/>
    <w:rsid w:val="57A37CC2"/>
    <w:rsid w:val="57A963FD"/>
    <w:rsid w:val="57AB1969"/>
    <w:rsid w:val="57AF588F"/>
    <w:rsid w:val="57B36157"/>
    <w:rsid w:val="57B67E00"/>
    <w:rsid w:val="57B72A76"/>
    <w:rsid w:val="57BA70A6"/>
    <w:rsid w:val="57BD79EE"/>
    <w:rsid w:val="57C3426C"/>
    <w:rsid w:val="57C434B7"/>
    <w:rsid w:val="57C5122C"/>
    <w:rsid w:val="57C554DF"/>
    <w:rsid w:val="57CA524F"/>
    <w:rsid w:val="57CA6DF2"/>
    <w:rsid w:val="57CD3623"/>
    <w:rsid w:val="57CE1F93"/>
    <w:rsid w:val="57D22946"/>
    <w:rsid w:val="57D92E9A"/>
    <w:rsid w:val="57DD6098"/>
    <w:rsid w:val="57E26E5D"/>
    <w:rsid w:val="57F87D34"/>
    <w:rsid w:val="57FD3DCE"/>
    <w:rsid w:val="57FD73D2"/>
    <w:rsid w:val="5804603B"/>
    <w:rsid w:val="580544D9"/>
    <w:rsid w:val="580A39DC"/>
    <w:rsid w:val="580F1F55"/>
    <w:rsid w:val="5813309A"/>
    <w:rsid w:val="582C1C03"/>
    <w:rsid w:val="582D29C5"/>
    <w:rsid w:val="582F1286"/>
    <w:rsid w:val="58304C11"/>
    <w:rsid w:val="583B614D"/>
    <w:rsid w:val="583F7BAE"/>
    <w:rsid w:val="58417C07"/>
    <w:rsid w:val="58420B1F"/>
    <w:rsid w:val="58437F35"/>
    <w:rsid w:val="58442684"/>
    <w:rsid w:val="58464FB8"/>
    <w:rsid w:val="58471773"/>
    <w:rsid w:val="584E1E05"/>
    <w:rsid w:val="58515970"/>
    <w:rsid w:val="58562F86"/>
    <w:rsid w:val="58586CFE"/>
    <w:rsid w:val="585B5F86"/>
    <w:rsid w:val="585E0511"/>
    <w:rsid w:val="585F21FD"/>
    <w:rsid w:val="58615BB3"/>
    <w:rsid w:val="58627B7D"/>
    <w:rsid w:val="587249C4"/>
    <w:rsid w:val="58754F78"/>
    <w:rsid w:val="58776FED"/>
    <w:rsid w:val="587B17AA"/>
    <w:rsid w:val="58813B05"/>
    <w:rsid w:val="588743D1"/>
    <w:rsid w:val="5887701A"/>
    <w:rsid w:val="58893220"/>
    <w:rsid w:val="588B5D47"/>
    <w:rsid w:val="58905722"/>
    <w:rsid w:val="58922210"/>
    <w:rsid w:val="589A0B41"/>
    <w:rsid w:val="589A7301"/>
    <w:rsid w:val="589D0BB5"/>
    <w:rsid w:val="589E373C"/>
    <w:rsid w:val="589E6508"/>
    <w:rsid w:val="58AA5927"/>
    <w:rsid w:val="58BA1767"/>
    <w:rsid w:val="58BF1100"/>
    <w:rsid w:val="58C064AF"/>
    <w:rsid w:val="58C07586"/>
    <w:rsid w:val="58CD149A"/>
    <w:rsid w:val="58CD2491"/>
    <w:rsid w:val="58CD60C1"/>
    <w:rsid w:val="58CF3CA7"/>
    <w:rsid w:val="58CF5213"/>
    <w:rsid w:val="58D0184C"/>
    <w:rsid w:val="58D26D4A"/>
    <w:rsid w:val="58D52FBB"/>
    <w:rsid w:val="58D84569"/>
    <w:rsid w:val="58D85297"/>
    <w:rsid w:val="58DC7340"/>
    <w:rsid w:val="58DE7204"/>
    <w:rsid w:val="58E07DE8"/>
    <w:rsid w:val="58E67ED2"/>
    <w:rsid w:val="58EE31BF"/>
    <w:rsid w:val="58EF1998"/>
    <w:rsid w:val="58EF412B"/>
    <w:rsid w:val="58F5454D"/>
    <w:rsid w:val="58F945F4"/>
    <w:rsid w:val="58FC65A0"/>
    <w:rsid w:val="5902218F"/>
    <w:rsid w:val="59064BB0"/>
    <w:rsid w:val="591356C1"/>
    <w:rsid w:val="5914152F"/>
    <w:rsid w:val="59142684"/>
    <w:rsid w:val="591770F5"/>
    <w:rsid w:val="59185E52"/>
    <w:rsid w:val="591D0DE4"/>
    <w:rsid w:val="591E5852"/>
    <w:rsid w:val="59215342"/>
    <w:rsid w:val="5923303D"/>
    <w:rsid w:val="59253085"/>
    <w:rsid w:val="59260BAB"/>
    <w:rsid w:val="59266DFD"/>
    <w:rsid w:val="592F3F03"/>
    <w:rsid w:val="593D151F"/>
    <w:rsid w:val="59403CBE"/>
    <w:rsid w:val="59422483"/>
    <w:rsid w:val="59473214"/>
    <w:rsid w:val="59497E00"/>
    <w:rsid w:val="594E2EC6"/>
    <w:rsid w:val="59554E9A"/>
    <w:rsid w:val="5957696E"/>
    <w:rsid w:val="595A2602"/>
    <w:rsid w:val="595A73FF"/>
    <w:rsid w:val="59666EC1"/>
    <w:rsid w:val="596A7B45"/>
    <w:rsid w:val="59724183"/>
    <w:rsid w:val="59733E5A"/>
    <w:rsid w:val="59754452"/>
    <w:rsid w:val="597B2906"/>
    <w:rsid w:val="598F38D0"/>
    <w:rsid w:val="5997796B"/>
    <w:rsid w:val="59A26483"/>
    <w:rsid w:val="59A8129A"/>
    <w:rsid w:val="59AB6FC5"/>
    <w:rsid w:val="59B44408"/>
    <w:rsid w:val="59B9557B"/>
    <w:rsid w:val="59BB12F3"/>
    <w:rsid w:val="59BE0DE3"/>
    <w:rsid w:val="59C0439F"/>
    <w:rsid w:val="59C86314"/>
    <w:rsid w:val="59D071EA"/>
    <w:rsid w:val="59D07332"/>
    <w:rsid w:val="59DB3083"/>
    <w:rsid w:val="59DB7BE7"/>
    <w:rsid w:val="59DD395F"/>
    <w:rsid w:val="59E7033A"/>
    <w:rsid w:val="59E7658C"/>
    <w:rsid w:val="59EB3D45"/>
    <w:rsid w:val="59EF3692"/>
    <w:rsid w:val="59F42A57"/>
    <w:rsid w:val="59F760A3"/>
    <w:rsid w:val="5A026F22"/>
    <w:rsid w:val="5A0846A5"/>
    <w:rsid w:val="5A096502"/>
    <w:rsid w:val="5A0F11E0"/>
    <w:rsid w:val="5A117165"/>
    <w:rsid w:val="5A1A0C14"/>
    <w:rsid w:val="5A2721DC"/>
    <w:rsid w:val="5A290952"/>
    <w:rsid w:val="5A3115B5"/>
    <w:rsid w:val="5A33357F"/>
    <w:rsid w:val="5A3B4898"/>
    <w:rsid w:val="5A3B6174"/>
    <w:rsid w:val="5A3E3CD2"/>
    <w:rsid w:val="5A430530"/>
    <w:rsid w:val="5A450DAF"/>
    <w:rsid w:val="5A460728"/>
    <w:rsid w:val="5A4A2677"/>
    <w:rsid w:val="5A4D448B"/>
    <w:rsid w:val="5A501065"/>
    <w:rsid w:val="5A5F6122"/>
    <w:rsid w:val="5A622344"/>
    <w:rsid w:val="5A6428FD"/>
    <w:rsid w:val="5A6D7CB2"/>
    <w:rsid w:val="5A6E6C00"/>
    <w:rsid w:val="5A741A84"/>
    <w:rsid w:val="5A81269C"/>
    <w:rsid w:val="5A883AFE"/>
    <w:rsid w:val="5A8B1BF4"/>
    <w:rsid w:val="5A9378D7"/>
    <w:rsid w:val="5AA07FC6"/>
    <w:rsid w:val="5AA31A4C"/>
    <w:rsid w:val="5AAB580B"/>
    <w:rsid w:val="5AAD5E64"/>
    <w:rsid w:val="5AAF7F21"/>
    <w:rsid w:val="5AB02C8C"/>
    <w:rsid w:val="5AB7233C"/>
    <w:rsid w:val="5AB81CD6"/>
    <w:rsid w:val="5ABA5A4E"/>
    <w:rsid w:val="5ABE2233"/>
    <w:rsid w:val="5AC32B55"/>
    <w:rsid w:val="5AC468CD"/>
    <w:rsid w:val="5AC93EE4"/>
    <w:rsid w:val="5AD36B10"/>
    <w:rsid w:val="5AD551B8"/>
    <w:rsid w:val="5AD56A24"/>
    <w:rsid w:val="5AE5060C"/>
    <w:rsid w:val="5AE623A0"/>
    <w:rsid w:val="5AE8436A"/>
    <w:rsid w:val="5AEB58A3"/>
    <w:rsid w:val="5AED17FD"/>
    <w:rsid w:val="5AF32970"/>
    <w:rsid w:val="5AFA5BFF"/>
    <w:rsid w:val="5AFA5E4B"/>
    <w:rsid w:val="5AFC7E15"/>
    <w:rsid w:val="5AFE6E7F"/>
    <w:rsid w:val="5B007ABE"/>
    <w:rsid w:val="5B0D2022"/>
    <w:rsid w:val="5B0D3DD0"/>
    <w:rsid w:val="5B132C12"/>
    <w:rsid w:val="5B170BDB"/>
    <w:rsid w:val="5B1A7E52"/>
    <w:rsid w:val="5B1E5FDD"/>
    <w:rsid w:val="5B215F84"/>
    <w:rsid w:val="5B231846"/>
    <w:rsid w:val="5B294982"/>
    <w:rsid w:val="5B2D60DD"/>
    <w:rsid w:val="5B301281"/>
    <w:rsid w:val="5B340D27"/>
    <w:rsid w:val="5B386973"/>
    <w:rsid w:val="5B3A26EB"/>
    <w:rsid w:val="5B407AD6"/>
    <w:rsid w:val="5B440BC2"/>
    <w:rsid w:val="5B46647C"/>
    <w:rsid w:val="5B4A762A"/>
    <w:rsid w:val="5B631C42"/>
    <w:rsid w:val="5B6D0899"/>
    <w:rsid w:val="5B751363"/>
    <w:rsid w:val="5B771558"/>
    <w:rsid w:val="5B777226"/>
    <w:rsid w:val="5B7A6F8C"/>
    <w:rsid w:val="5B7B07F2"/>
    <w:rsid w:val="5B7C5A5D"/>
    <w:rsid w:val="5B8816A9"/>
    <w:rsid w:val="5B8B1199"/>
    <w:rsid w:val="5B8D6CBF"/>
    <w:rsid w:val="5B9938B6"/>
    <w:rsid w:val="5BA26C0E"/>
    <w:rsid w:val="5BA3015F"/>
    <w:rsid w:val="5BAA5AC3"/>
    <w:rsid w:val="5BAC183B"/>
    <w:rsid w:val="5BB5644F"/>
    <w:rsid w:val="5BB66216"/>
    <w:rsid w:val="5BB708E4"/>
    <w:rsid w:val="5BB773D7"/>
    <w:rsid w:val="5BBB508A"/>
    <w:rsid w:val="5BBB7A1A"/>
    <w:rsid w:val="5BC07095"/>
    <w:rsid w:val="5BC76675"/>
    <w:rsid w:val="5BC8034F"/>
    <w:rsid w:val="5BC8212A"/>
    <w:rsid w:val="5BC83A6C"/>
    <w:rsid w:val="5BC87CF7"/>
    <w:rsid w:val="5BCA0B96"/>
    <w:rsid w:val="5BCC099F"/>
    <w:rsid w:val="5BD40D2F"/>
    <w:rsid w:val="5BD65775"/>
    <w:rsid w:val="5BD80AE0"/>
    <w:rsid w:val="5BDF5D95"/>
    <w:rsid w:val="5BE0575C"/>
    <w:rsid w:val="5BE32D83"/>
    <w:rsid w:val="5BEA4111"/>
    <w:rsid w:val="5BF45FDC"/>
    <w:rsid w:val="5BF84A80"/>
    <w:rsid w:val="5BF94355"/>
    <w:rsid w:val="5BFE7528"/>
    <w:rsid w:val="5C052CF9"/>
    <w:rsid w:val="5C097137"/>
    <w:rsid w:val="5C0C4E98"/>
    <w:rsid w:val="5C0D1BAE"/>
    <w:rsid w:val="5C0E1D51"/>
    <w:rsid w:val="5C180C7F"/>
    <w:rsid w:val="5C207B33"/>
    <w:rsid w:val="5C2C2D1D"/>
    <w:rsid w:val="5C2E3DBE"/>
    <w:rsid w:val="5C2F421A"/>
    <w:rsid w:val="5C317301"/>
    <w:rsid w:val="5C335AB8"/>
    <w:rsid w:val="5C341831"/>
    <w:rsid w:val="5C3830CF"/>
    <w:rsid w:val="5C403D31"/>
    <w:rsid w:val="5C427AAA"/>
    <w:rsid w:val="5C427EB3"/>
    <w:rsid w:val="5C45274B"/>
    <w:rsid w:val="5C476399"/>
    <w:rsid w:val="5C4C4D16"/>
    <w:rsid w:val="5C4C6B7A"/>
    <w:rsid w:val="5C563555"/>
    <w:rsid w:val="5C57384F"/>
    <w:rsid w:val="5C573A32"/>
    <w:rsid w:val="5C58551F"/>
    <w:rsid w:val="5C5906C6"/>
    <w:rsid w:val="5C5B500F"/>
    <w:rsid w:val="5C5D48E3"/>
    <w:rsid w:val="5C5E4C2F"/>
    <w:rsid w:val="5C5F5340"/>
    <w:rsid w:val="5C606182"/>
    <w:rsid w:val="5C683702"/>
    <w:rsid w:val="5C6A4A88"/>
    <w:rsid w:val="5C6A5252"/>
    <w:rsid w:val="5C715103"/>
    <w:rsid w:val="5C741CF4"/>
    <w:rsid w:val="5C757E7F"/>
    <w:rsid w:val="5C771F02"/>
    <w:rsid w:val="5C7C398C"/>
    <w:rsid w:val="5C8121A5"/>
    <w:rsid w:val="5C814A76"/>
    <w:rsid w:val="5C8A31FF"/>
    <w:rsid w:val="5C8B1CC8"/>
    <w:rsid w:val="5C9478E7"/>
    <w:rsid w:val="5C9E25E4"/>
    <w:rsid w:val="5C9E3390"/>
    <w:rsid w:val="5C9F7D6B"/>
    <w:rsid w:val="5CAC69BE"/>
    <w:rsid w:val="5CB0575F"/>
    <w:rsid w:val="5CB41436"/>
    <w:rsid w:val="5CB62246"/>
    <w:rsid w:val="5CB70498"/>
    <w:rsid w:val="5CBE477A"/>
    <w:rsid w:val="5CC33F0A"/>
    <w:rsid w:val="5CC6692D"/>
    <w:rsid w:val="5CCF5F77"/>
    <w:rsid w:val="5CD172D6"/>
    <w:rsid w:val="5CD34BA6"/>
    <w:rsid w:val="5CD70150"/>
    <w:rsid w:val="5CD728E8"/>
    <w:rsid w:val="5CE0291F"/>
    <w:rsid w:val="5CE40B61"/>
    <w:rsid w:val="5CE61162"/>
    <w:rsid w:val="5CEB1EEF"/>
    <w:rsid w:val="5CEE19DF"/>
    <w:rsid w:val="5CEF3313"/>
    <w:rsid w:val="5CF0350C"/>
    <w:rsid w:val="5CF05758"/>
    <w:rsid w:val="5CF64EB1"/>
    <w:rsid w:val="5CFC5A70"/>
    <w:rsid w:val="5D016F91"/>
    <w:rsid w:val="5D0453E2"/>
    <w:rsid w:val="5D0E4CA9"/>
    <w:rsid w:val="5D131336"/>
    <w:rsid w:val="5D2426CA"/>
    <w:rsid w:val="5D251162"/>
    <w:rsid w:val="5D2B6790"/>
    <w:rsid w:val="5D2D7306"/>
    <w:rsid w:val="5D303DA6"/>
    <w:rsid w:val="5D3A4CF9"/>
    <w:rsid w:val="5D3B7AC8"/>
    <w:rsid w:val="5D443CF5"/>
    <w:rsid w:val="5D445CAB"/>
    <w:rsid w:val="5D46181B"/>
    <w:rsid w:val="5D49044E"/>
    <w:rsid w:val="5D4B58B4"/>
    <w:rsid w:val="5D4C069A"/>
    <w:rsid w:val="5D517802"/>
    <w:rsid w:val="5D563476"/>
    <w:rsid w:val="5D5961B2"/>
    <w:rsid w:val="5D6934F6"/>
    <w:rsid w:val="5D69550A"/>
    <w:rsid w:val="5D6A375C"/>
    <w:rsid w:val="5D6B6308"/>
    <w:rsid w:val="5D6D2B9C"/>
    <w:rsid w:val="5D7001A8"/>
    <w:rsid w:val="5D720862"/>
    <w:rsid w:val="5D824379"/>
    <w:rsid w:val="5D8365CC"/>
    <w:rsid w:val="5D840C48"/>
    <w:rsid w:val="5D8541A2"/>
    <w:rsid w:val="5DA70E69"/>
    <w:rsid w:val="5DA87DE0"/>
    <w:rsid w:val="5DB402AB"/>
    <w:rsid w:val="5DB51D13"/>
    <w:rsid w:val="5DB54BAE"/>
    <w:rsid w:val="5DBE7B6A"/>
    <w:rsid w:val="5DC40A6D"/>
    <w:rsid w:val="5DC4537F"/>
    <w:rsid w:val="5DCC1F1C"/>
    <w:rsid w:val="5DDE74C3"/>
    <w:rsid w:val="5DE0757A"/>
    <w:rsid w:val="5DE52728"/>
    <w:rsid w:val="5DE57ECF"/>
    <w:rsid w:val="5DE600F7"/>
    <w:rsid w:val="5DE9151D"/>
    <w:rsid w:val="5DEF5A0F"/>
    <w:rsid w:val="5DF3015D"/>
    <w:rsid w:val="5DF4574C"/>
    <w:rsid w:val="5DF61957"/>
    <w:rsid w:val="5DF64FF0"/>
    <w:rsid w:val="5DFC4AD4"/>
    <w:rsid w:val="5E007C1C"/>
    <w:rsid w:val="5E023994"/>
    <w:rsid w:val="5E0464D2"/>
    <w:rsid w:val="5E0B3C39"/>
    <w:rsid w:val="5E0F7E5F"/>
    <w:rsid w:val="5E111643"/>
    <w:rsid w:val="5E114675"/>
    <w:rsid w:val="5E167B4B"/>
    <w:rsid w:val="5E1B2CA8"/>
    <w:rsid w:val="5E224037"/>
    <w:rsid w:val="5E2467F1"/>
    <w:rsid w:val="5E2C6C63"/>
    <w:rsid w:val="5E346D11"/>
    <w:rsid w:val="5E3A4422"/>
    <w:rsid w:val="5E3B70DD"/>
    <w:rsid w:val="5E432F68"/>
    <w:rsid w:val="5E487C1A"/>
    <w:rsid w:val="5E517B61"/>
    <w:rsid w:val="5E59732C"/>
    <w:rsid w:val="5E5B30A5"/>
    <w:rsid w:val="5E6117A3"/>
    <w:rsid w:val="5E703ECA"/>
    <w:rsid w:val="5E7303EE"/>
    <w:rsid w:val="5E75697F"/>
    <w:rsid w:val="5E7D3A0F"/>
    <w:rsid w:val="5E8273CD"/>
    <w:rsid w:val="5E850121"/>
    <w:rsid w:val="5E897C12"/>
    <w:rsid w:val="5E8B1BDC"/>
    <w:rsid w:val="5E8C1AA4"/>
    <w:rsid w:val="5E8C39FD"/>
    <w:rsid w:val="5E8D654D"/>
    <w:rsid w:val="5E906CD9"/>
    <w:rsid w:val="5E940365"/>
    <w:rsid w:val="5E952C56"/>
    <w:rsid w:val="5E980985"/>
    <w:rsid w:val="5E9B58CD"/>
    <w:rsid w:val="5EA031AD"/>
    <w:rsid w:val="5EA35765"/>
    <w:rsid w:val="5EA5489B"/>
    <w:rsid w:val="5EAF5C30"/>
    <w:rsid w:val="5EB10F16"/>
    <w:rsid w:val="5EB427B5"/>
    <w:rsid w:val="5EB822A5"/>
    <w:rsid w:val="5EB86D43"/>
    <w:rsid w:val="5EBD205B"/>
    <w:rsid w:val="5EC8350B"/>
    <w:rsid w:val="5ECA2C7C"/>
    <w:rsid w:val="5EDD61AF"/>
    <w:rsid w:val="5EE70DDC"/>
    <w:rsid w:val="5EE72B8A"/>
    <w:rsid w:val="5EEF0283"/>
    <w:rsid w:val="5EF534F9"/>
    <w:rsid w:val="5F013C4C"/>
    <w:rsid w:val="5F0241B2"/>
    <w:rsid w:val="5F122BA9"/>
    <w:rsid w:val="5F143EC1"/>
    <w:rsid w:val="5F18004D"/>
    <w:rsid w:val="5F18270C"/>
    <w:rsid w:val="5F186AFD"/>
    <w:rsid w:val="5F1A2B43"/>
    <w:rsid w:val="5F1D2524"/>
    <w:rsid w:val="5F281962"/>
    <w:rsid w:val="5F465B03"/>
    <w:rsid w:val="5F4F1E98"/>
    <w:rsid w:val="5F5016C0"/>
    <w:rsid w:val="5F5171AB"/>
    <w:rsid w:val="5F5A1323"/>
    <w:rsid w:val="5F751F44"/>
    <w:rsid w:val="5F772160"/>
    <w:rsid w:val="5F7C32D2"/>
    <w:rsid w:val="5F7C6CF9"/>
    <w:rsid w:val="5F7D47A4"/>
    <w:rsid w:val="5F8C46F7"/>
    <w:rsid w:val="5F8F27FA"/>
    <w:rsid w:val="5F910885"/>
    <w:rsid w:val="5F952EBF"/>
    <w:rsid w:val="5F9C5723"/>
    <w:rsid w:val="5FA173EB"/>
    <w:rsid w:val="5FA34D03"/>
    <w:rsid w:val="5FA36DC0"/>
    <w:rsid w:val="5FAB149E"/>
    <w:rsid w:val="5FAB1E0A"/>
    <w:rsid w:val="5FB011CE"/>
    <w:rsid w:val="5FB21B8B"/>
    <w:rsid w:val="5FB7255D"/>
    <w:rsid w:val="5FB837BB"/>
    <w:rsid w:val="5FC03B07"/>
    <w:rsid w:val="5FC428A8"/>
    <w:rsid w:val="5FC66458"/>
    <w:rsid w:val="5FC811A9"/>
    <w:rsid w:val="5FC9073E"/>
    <w:rsid w:val="5FCA6734"/>
    <w:rsid w:val="5FCC1800"/>
    <w:rsid w:val="5FCD2F8A"/>
    <w:rsid w:val="5FCF623B"/>
    <w:rsid w:val="5FD44EBD"/>
    <w:rsid w:val="5FD75A0A"/>
    <w:rsid w:val="5FE4753D"/>
    <w:rsid w:val="5FE570CA"/>
    <w:rsid w:val="5FEA2002"/>
    <w:rsid w:val="5FF7219C"/>
    <w:rsid w:val="5FFF3E8D"/>
    <w:rsid w:val="60050230"/>
    <w:rsid w:val="6008100A"/>
    <w:rsid w:val="601856F1"/>
    <w:rsid w:val="601F7309"/>
    <w:rsid w:val="602045A6"/>
    <w:rsid w:val="60213E7A"/>
    <w:rsid w:val="602316C8"/>
    <w:rsid w:val="60272085"/>
    <w:rsid w:val="603B1A31"/>
    <w:rsid w:val="605304B1"/>
    <w:rsid w:val="605B55DE"/>
    <w:rsid w:val="605E50CE"/>
    <w:rsid w:val="6060461C"/>
    <w:rsid w:val="6068709D"/>
    <w:rsid w:val="606A3D42"/>
    <w:rsid w:val="606C1599"/>
    <w:rsid w:val="606E1681"/>
    <w:rsid w:val="60820FA5"/>
    <w:rsid w:val="60863225"/>
    <w:rsid w:val="60871844"/>
    <w:rsid w:val="608D10A3"/>
    <w:rsid w:val="608D6A3C"/>
    <w:rsid w:val="609157B9"/>
    <w:rsid w:val="60934355"/>
    <w:rsid w:val="609347BF"/>
    <w:rsid w:val="60934920"/>
    <w:rsid w:val="60984E16"/>
    <w:rsid w:val="609A6103"/>
    <w:rsid w:val="609C5C96"/>
    <w:rsid w:val="60A218DD"/>
    <w:rsid w:val="60B151FE"/>
    <w:rsid w:val="60B32FC9"/>
    <w:rsid w:val="60B33579"/>
    <w:rsid w:val="60B96500"/>
    <w:rsid w:val="60C05441"/>
    <w:rsid w:val="60C1562A"/>
    <w:rsid w:val="60C5514D"/>
    <w:rsid w:val="60C656CC"/>
    <w:rsid w:val="60CA2264"/>
    <w:rsid w:val="60CC405A"/>
    <w:rsid w:val="60CC64DC"/>
    <w:rsid w:val="60D14ABB"/>
    <w:rsid w:val="60DD34C2"/>
    <w:rsid w:val="60DD6C73"/>
    <w:rsid w:val="60DE7CD2"/>
    <w:rsid w:val="60E62F68"/>
    <w:rsid w:val="60E76E71"/>
    <w:rsid w:val="60EB178E"/>
    <w:rsid w:val="60F021CA"/>
    <w:rsid w:val="60F278B4"/>
    <w:rsid w:val="60F35816"/>
    <w:rsid w:val="60F526EB"/>
    <w:rsid w:val="60F577E0"/>
    <w:rsid w:val="60F82E2D"/>
    <w:rsid w:val="610F5757"/>
    <w:rsid w:val="610F6876"/>
    <w:rsid w:val="61185E46"/>
    <w:rsid w:val="611F660B"/>
    <w:rsid w:val="61227EAA"/>
    <w:rsid w:val="61280654"/>
    <w:rsid w:val="613411D7"/>
    <w:rsid w:val="613718BA"/>
    <w:rsid w:val="613A1697"/>
    <w:rsid w:val="6140656D"/>
    <w:rsid w:val="614222FA"/>
    <w:rsid w:val="61442950"/>
    <w:rsid w:val="61481023"/>
    <w:rsid w:val="614C5F5A"/>
    <w:rsid w:val="615269E1"/>
    <w:rsid w:val="615E35D8"/>
    <w:rsid w:val="616F12F4"/>
    <w:rsid w:val="61753047"/>
    <w:rsid w:val="61776447"/>
    <w:rsid w:val="617A3094"/>
    <w:rsid w:val="617F70AA"/>
    <w:rsid w:val="61803A0F"/>
    <w:rsid w:val="61825DE3"/>
    <w:rsid w:val="61853B12"/>
    <w:rsid w:val="61881805"/>
    <w:rsid w:val="61905F59"/>
    <w:rsid w:val="61954B1F"/>
    <w:rsid w:val="619C7C5C"/>
    <w:rsid w:val="61A47C67"/>
    <w:rsid w:val="61A564A5"/>
    <w:rsid w:val="61AB2D4A"/>
    <w:rsid w:val="61AB7EA5"/>
    <w:rsid w:val="61AD00BB"/>
    <w:rsid w:val="61B431F8"/>
    <w:rsid w:val="61B860FF"/>
    <w:rsid w:val="61BC6E42"/>
    <w:rsid w:val="61BD4A2D"/>
    <w:rsid w:val="61C91196"/>
    <w:rsid w:val="61C9282D"/>
    <w:rsid w:val="61C93449"/>
    <w:rsid w:val="61CA1880"/>
    <w:rsid w:val="61CB22EF"/>
    <w:rsid w:val="61E215D8"/>
    <w:rsid w:val="61E34A9D"/>
    <w:rsid w:val="61E60C74"/>
    <w:rsid w:val="61EA54CA"/>
    <w:rsid w:val="61EC01D9"/>
    <w:rsid w:val="61F065A3"/>
    <w:rsid w:val="61F13202"/>
    <w:rsid w:val="61F15CD1"/>
    <w:rsid w:val="61F41846"/>
    <w:rsid w:val="61F45CEA"/>
    <w:rsid w:val="61F730E4"/>
    <w:rsid w:val="61F84262"/>
    <w:rsid w:val="620F5952"/>
    <w:rsid w:val="621230F7"/>
    <w:rsid w:val="62170B90"/>
    <w:rsid w:val="621B3775"/>
    <w:rsid w:val="621C616D"/>
    <w:rsid w:val="62250DE9"/>
    <w:rsid w:val="622D18F9"/>
    <w:rsid w:val="622F5619"/>
    <w:rsid w:val="62364782"/>
    <w:rsid w:val="6239314F"/>
    <w:rsid w:val="623E0D13"/>
    <w:rsid w:val="62467BC8"/>
    <w:rsid w:val="6247406C"/>
    <w:rsid w:val="624B4BBF"/>
    <w:rsid w:val="624F2510"/>
    <w:rsid w:val="62521A0D"/>
    <w:rsid w:val="62534EC1"/>
    <w:rsid w:val="625614D2"/>
    <w:rsid w:val="625659BB"/>
    <w:rsid w:val="625D734C"/>
    <w:rsid w:val="62652795"/>
    <w:rsid w:val="626D1F2A"/>
    <w:rsid w:val="626F711E"/>
    <w:rsid w:val="627764C7"/>
    <w:rsid w:val="627B3D15"/>
    <w:rsid w:val="629052AF"/>
    <w:rsid w:val="62906798"/>
    <w:rsid w:val="629372B1"/>
    <w:rsid w:val="6299063F"/>
    <w:rsid w:val="62A70731"/>
    <w:rsid w:val="62A768B8"/>
    <w:rsid w:val="62A868A0"/>
    <w:rsid w:val="62AF5749"/>
    <w:rsid w:val="62B03276"/>
    <w:rsid w:val="62B80AC5"/>
    <w:rsid w:val="62B83B40"/>
    <w:rsid w:val="62C059BF"/>
    <w:rsid w:val="62CA7BE1"/>
    <w:rsid w:val="62CC62D7"/>
    <w:rsid w:val="62CE653B"/>
    <w:rsid w:val="62D9497F"/>
    <w:rsid w:val="62DB2A06"/>
    <w:rsid w:val="62E12409"/>
    <w:rsid w:val="62E55633"/>
    <w:rsid w:val="62F35FA1"/>
    <w:rsid w:val="630A5099"/>
    <w:rsid w:val="631371A9"/>
    <w:rsid w:val="632475E1"/>
    <w:rsid w:val="63344891"/>
    <w:rsid w:val="633D31F3"/>
    <w:rsid w:val="633F704C"/>
    <w:rsid w:val="63402869"/>
    <w:rsid w:val="634B638F"/>
    <w:rsid w:val="6353259C"/>
    <w:rsid w:val="635B76A3"/>
    <w:rsid w:val="635C3B47"/>
    <w:rsid w:val="635E38F3"/>
    <w:rsid w:val="6367429A"/>
    <w:rsid w:val="637A1985"/>
    <w:rsid w:val="63810F1D"/>
    <w:rsid w:val="638304BF"/>
    <w:rsid w:val="638A7EF6"/>
    <w:rsid w:val="638B7F88"/>
    <w:rsid w:val="6393093A"/>
    <w:rsid w:val="6394356A"/>
    <w:rsid w:val="63976314"/>
    <w:rsid w:val="639B1F33"/>
    <w:rsid w:val="639E348C"/>
    <w:rsid w:val="63A4104A"/>
    <w:rsid w:val="63A63014"/>
    <w:rsid w:val="63AF5002"/>
    <w:rsid w:val="63B0096C"/>
    <w:rsid w:val="63B3173E"/>
    <w:rsid w:val="63B45AD3"/>
    <w:rsid w:val="63B70D7D"/>
    <w:rsid w:val="63B76FCF"/>
    <w:rsid w:val="63BA594C"/>
    <w:rsid w:val="63BB7703"/>
    <w:rsid w:val="63C11BFC"/>
    <w:rsid w:val="63C61B2C"/>
    <w:rsid w:val="63C92321"/>
    <w:rsid w:val="63C97DB5"/>
    <w:rsid w:val="63CA3374"/>
    <w:rsid w:val="63CB65D6"/>
    <w:rsid w:val="63CE5AFF"/>
    <w:rsid w:val="63CE6415"/>
    <w:rsid w:val="63CF0F16"/>
    <w:rsid w:val="63D03502"/>
    <w:rsid w:val="63D40BE9"/>
    <w:rsid w:val="63D829CE"/>
    <w:rsid w:val="63D95197"/>
    <w:rsid w:val="63DD00E9"/>
    <w:rsid w:val="63DF78A3"/>
    <w:rsid w:val="63E92F01"/>
    <w:rsid w:val="63EE4751"/>
    <w:rsid w:val="63F63A70"/>
    <w:rsid w:val="63F773CC"/>
    <w:rsid w:val="63FF380D"/>
    <w:rsid w:val="63FF7D66"/>
    <w:rsid w:val="64012004"/>
    <w:rsid w:val="6408782B"/>
    <w:rsid w:val="640F6956"/>
    <w:rsid w:val="64102431"/>
    <w:rsid w:val="64124205"/>
    <w:rsid w:val="64175CC0"/>
    <w:rsid w:val="641A130C"/>
    <w:rsid w:val="641D290B"/>
    <w:rsid w:val="6421269A"/>
    <w:rsid w:val="642673ED"/>
    <w:rsid w:val="64287ECD"/>
    <w:rsid w:val="642E704C"/>
    <w:rsid w:val="642F2FDE"/>
    <w:rsid w:val="642F6192"/>
    <w:rsid w:val="6430061C"/>
    <w:rsid w:val="6434310B"/>
    <w:rsid w:val="643437B2"/>
    <w:rsid w:val="6434684B"/>
    <w:rsid w:val="64347C63"/>
    <w:rsid w:val="643822DB"/>
    <w:rsid w:val="64490EF3"/>
    <w:rsid w:val="64575759"/>
    <w:rsid w:val="64601415"/>
    <w:rsid w:val="6468651B"/>
    <w:rsid w:val="646D58E0"/>
    <w:rsid w:val="64760C38"/>
    <w:rsid w:val="6477050C"/>
    <w:rsid w:val="64794284"/>
    <w:rsid w:val="647C1FC7"/>
    <w:rsid w:val="648275DD"/>
    <w:rsid w:val="64896817"/>
    <w:rsid w:val="648A2032"/>
    <w:rsid w:val="648C045C"/>
    <w:rsid w:val="648C1E56"/>
    <w:rsid w:val="64945A2A"/>
    <w:rsid w:val="64975006"/>
    <w:rsid w:val="64A5243A"/>
    <w:rsid w:val="64AF3043"/>
    <w:rsid w:val="64C02ADC"/>
    <w:rsid w:val="64C71494"/>
    <w:rsid w:val="64CA7FDD"/>
    <w:rsid w:val="64CC215E"/>
    <w:rsid w:val="64D4595F"/>
    <w:rsid w:val="64D67929"/>
    <w:rsid w:val="64DD0CB7"/>
    <w:rsid w:val="64E8140A"/>
    <w:rsid w:val="64EA6724"/>
    <w:rsid w:val="64F501DC"/>
    <w:rsid w:val="64F531DE"/>
    <w:rsid w:val="64F658D5"/>
    <w:rsid w:val="64F8164D"/>
    <w:rsid w:val="650146AE"/>
    <w:rsid w:val="65044496"/>
    <w:rsid w:val="65066B00"/>
    <w:rsid w:val="650724AB"/>
    <w:rsid w:val="65080FBF"/>
    <w:rsid w:val="650C6CE0"/>
    <w:rsid w:val="651026AD"/>
    <w:rsid w:val="65134EB8"/>
    <w:rsid w:val="651B2C0F"/>
    <w:rsid w:val="651B54A2"/>
    <w:rsid w:val="651C06E3"/>
    <w:rsid w:val="65242442"/>
    <w:rsid w:val="65294721"/>
    <w:rsid w:val="65304C86"/>
    <w:rsid w:val="65354D55"/>
    <w:rsid w:val="65373578"/>
    <w:rsid w:val="653B6D71"/>
    <w:rsid w:val="653B79B9"/>
    <w:rsid w:val="653F727C"/>
    <w:rsid w:val="654523B9"/>
    <w:rsid w:val="65494F78"/>
    <w:rsid w:val="654D6F4B"/>
    <w:rsid w:val="654E619E"/>
    <w:rsid w:val="65671199"/>
    <w:rsid w:val="656869A4"/>
    <w:rsid w:val="65731419"/>
    <w:rsid w:val="657607C4"/>
    <w:rsid w:val="658729D1"/>
    <w:rsid w:val="6593581A"/>
    <w:rsid w:val="65940C53"/>
    <w:rsid w:val="6597768B"/>
    <w:rsid w:val="659C46CE"/>
    <w:rsid w:val="659E755E"/>
    <w:rsid w:val="659F54E0"/>
    <w:rsid w:val="65A112A6"/>
    <w:rsid w:val="65BC6B1F"/>
    <w:rsid w:val="65C634F9"/>
    <w:rsid w:val="65C63B99"/>
    <w:rsid w:val="65C6799D"/>
    <w:rsid w:val="65C9123C"/>
    <w:rsid w:val="65CC4888"/>
    <w:rsid w:val="65CE4D4D"/>
    <w:rsid w:val="65D3353D"/>
    <w:rsid w:val="65DB77E7"/>
    <w:rsid w:val="65DF6369"/>
    <w:rsid w:val="65E87914"/>
    <w:rsid w:val="65EC73F5"/>
    <w:rsid w:val="65EF64FF"/>
    <w:rsid w:val="65F067C8"/>
    <w:rsid w:val="65FB7B7F"/>
    <w:rsid w:val="65FD2F36"/>
    <w:rsid w:val="660202AA"/>
    <w:rsid w:val="66026333"/>
    <w:rsid w:val="660427AB"/>
    <w:rsid w:val="6606405C"/>
    <w:rsid w:val="660C0AEA"/>
    <w:rsid w:val="66106E6A"/>
    <w:rsid w:val="661439FF"/>
    <w:rsid w:val="66157FDD"/>
    <w:rsid w:val="661A1E77"/>
    <w:rsid w:val="661C136B"/>
    <w:rsid w:val="661E50E3"/>
    <w:rsid w:val="66214BD4"/>
    <w:rsid w:val="66292093"/>
    <w:rsid w:val="662A3F4B"/>
    <w:rsid w:val="662D5CE3"/>
    <w:rsid w:val="66342B59"/>
    <w:rsid w:val="663F55CE"/>
    <w:rsid w:val="6646288C"/>
    <w:rsid w:val="66493F20"/>
    <w:rsid w:val="665B4AA2"/>
    <w:rsid w:val="665D7EA0"/>
    <w:rsid w:val="66644AC0"/>
    <w:rsid w:val="66652D12"/>
    <w:rsid w:val="66681A18"/>
    <w:rsid w:val="666971A7"/>
    <w:rsid w:val="666A657B"/>
    <w:rsid w:val="666F593F"/>
    <w:rsid w:val="66794A10"/>
    <w:rsid w:val="667E5B82"/>
    <w:rsid w:val="66807935"/>
    <w:rsid w:val="66811B16"/>
    <w:rsid w:val="66830A37"/>
    <w:rsid w:val="66833198"/>
    <w:rsid w:val="668A09CB"/>
    <w:rsid w:val="66B231B8"/>
    <w:rsid w:val="66B400ED"/>
    <w:rsid w:val="66B9708C"/>
    <w:rsid w:val="66BF4BA6"/>
    <w:rsid w:val="66BF4C2B"/>
    <w:rsid w:val="66C11F13"/>
    <w:rsid w:val="66C46F7C"/>
    <w:rsid w:val="66C86AB4"/>
    <w:rsid w:val="66C86E79"/>
    <w:rsid w:val="66CF2882"/>
    <w:rsid w:val="66D44ADE"/>
    <w:rsid w:val="66D87988"/>
    <w:rsid w:val="66DD5F3D"/>
    <w:rsid w:val="66E05591"/>
    <w:rsid w:val="66E0683D"/>
    <w:rsid w:val="66E5702F"/>
    <w:rsid w:val="66EA1469"/>
    <w:rsid w:val="66EC51E2"/>
    <w:rsid w:val="66EF75B7"/>
    <w:rsid w:val="66F26570"/>
    <w:rsid w:val="66F773E7"/>
    <w:rsid w:val="66FE6CC3"/>
    <w:rsid w:val="67022DFF"/>
    <w:rsid w:val="67027900"/>
    <w:rsid w:val="670342D9"/>
    <w:rsid w:val="670A59B7"/>
    <w:rsid w:val="670D5158"/>
    <w:rsid w:val="67140294"/>
    <w:rsid w:val="671D552C"/>
    <w:rsid w:val="671F124A"/>
    <w:rsid w:val="672116AD"/>
    <w:rsid w:val="672C029F"/>
    <w:rsid w:val="672C1E97"/>
    <w:rsid w:val="672D148A"/>
    <w:rsid w:val="67310E46"/>
    <w:rsid w:val="673539E8"/>
    <w:rsid w:val="673669A6"/>
    <w:rsid w:val="673821D5"/>
    <w:rsid w:val="673F606F"/>
    <w:rsid w:val="67424E02"/>
    <w:rsid w:val="67472418"/>
    <w:rsid w:val="6748516D"/>
    <w:rsid w:val="674C3054"/>
    <w:rsid w:val="674E7C4A"/>
    <w:rsid w:val="67566AFF"/>
    <w:rsid w:val="6758204C"/>
    <w:rsid w:val="675B0B16"/>
    <w:rsid w:val="675E4F1C"/>
    <w:rsid w:val="6760797E"/>
    <w:rsid w:val="676975DF"/>
    <w:rsid w:val="676A0685"/>
    <w:rsid w:val="676E5CC7"/>
    <w:rsid w:val="677007A4"/>
    <w:rsid w:val="67755047"/>
    <w:rsid w:val="677A33C6"/>
    <w:rsid w:val="67824898"/>
    <w:rsid w:val="67862898"/>
    <w:rsid w:val="67893EB8"/>
    <w:rsid w:val="679114B5"/>
    <w:rsid w:val="679703E1"/>
    <w:rsid w:val="679705A1"/>
    <w:rsid w:val="67982C74"/>
    <w:rsid w:val="679C136E"/>
    <w:rsid w:val="67AC2BC3"/>
    <w:rsid w:val="67B3244B"/>
    <w:rsid w:val="67B33C81"/>
    <w:rsid w:val="67BA52E0"/>
    <w:rsid w:val="67C55D93"/>
    <w:rsid w:val="67CE7974"/>
    <w:rsid w:val="67D13936"/>
    <w:rsid w:val="67D363A2"/>
    <w:rsid w:val="67D55CA7"/>
    <w:rsid w:val="67DA2412"/>
    <w:rsid w:val="67E512DF"/>
    <w:rsid w:val="67E93D8B"/>
    <w:rsid w:val="67EA4439"/>
    <w:rsid w:val="67EA45E1"/>
    <w:rsid w:val="67F471C6"/>
    <w:rsid w:val="67FC6A55"/>
    <w:rsid w:val="68002EF3"/>
    <w:rsid w:val="68036BBF"/>
    <w:rsid w:val="680A3EFC"/>
    <w:rsid w:val="680B75C1"/>
    <w:rsid w:val="68106CAE"/>
    <w:rsid w:val="68122FB4"/>
    <w:rsid w:val="68157B5B"/>
    <w:rsid w:val="681F6961"/>
    <w:rsid w:val="68213DC9"/>
    <w:rsid w:val="68273FF7"/>
    <w:rsid w:val="682D4DF7"/>
    <w:rsid w:val="683F57E5"/>
    <w:rsid w:val="683F7593"/>
    <w:rsid w:val="68420E31"/>
    <w:rsid w:val="68462D0C"/>
    <w:rsid w:val="68486BA1"/>
    <w:rsid w:val="6852251D"/>
    <w:rsid w:val="6853303E"/>
    <w:rsid w:val="68550B65"/>
    <w:rsid w:val="68573EE5"/>
    <w:rsid w:val="685B0C96"/>
    <w:rsid w:val="685C6397"/>
    <w:rsid w:val="685E3EBD"/>
    <w:rsid w:val="68610A2F"/>
    <w:rsid w:val="68666403"/>
    <w:rsid w:val="686B5538"/>
    <w:rsid w:val="686C0075"/>
    <w:rsid w:val="68711DDD"/>
    <w:rsid w:val="68776D2D"/>
    <w:rsid w:val="687D6664"/>
    <w:rsid w:val="687F5BE1"/>
    <w:rsid w:val="68805514"/>
    <w:rsid w:val="68815DFE"/>
    <w:rsid w:val="68891033"/>
    <w:rsid w:val="688F22C8"/>
    <w:rsid w:val="689111BB"/>
    <w:rsid w:val="68924F9A"/>
    <w:rsid w:val="689478DF"/>
    <w:rsid w:val="689618A9"/>
    <w:rsid w:val="689A0C6D"/>
    <w:rsid w:val="689C4F5F"/>
    <w:rsid w:val="68A530AA"/>
    <w:rsid w:val="68AF64C7"/>
    <w:rsid w:val="68B10AFE"/>
    <w:rsid w:val="68C47A98"/>
    <w:rsid w:val="68C72254"/>
    <w:rsid w:val="68C83A2C"/>
    <w:rsid w:val="68CB7C04"/>
    <w:rsid w:val="68CC11D3"/>
    <w:rsid w:val="68CD2DF1"/>
    <w:rsid w:val="68D0468F"/>
    <w:rsid w:val="68D4417F"/>
    <w:rsid w:val="68D45F2D"/>
    <w:rsid w:val="68DB4174"/>
    <w:rsid w:val="68E1311E"/>
    <w:rsid w:val="68F5087F"/>
    <w:rsid w:val="68FA27FC"/>
    <w:rsid w:val="68FA59C2"/>
    <w:rsid w:val="69021FA8"/>
    <w:rsid w:val="69096762"/>
    <w:rsid w:val="69164798"/>
    <w:rsid w:val="692C520B"/>
    <w:rsid w:val="692C7B17"/>
    <w:rsid w:val="692D1AE1"/>
    <w:rsid w:val="69316E2F"/>
    <w:rsid w:val="693C2FFC"/>
    <w:rsid w:val="693C3AD3"/>
    <w:rsid w:val="69404B6B"/>
    <w:rsid w:val="69450BD9"/>
    <w:rsid w:val="69473109"/>
    <w:rsid w:val="69474709"/>
    <w:rsid w:val="694C01BA"/>
    <w:rsid w:val="694E2071"/>
    <w:rsid w:val="69534793"/>
    <w:rsid w:val="695452C0"/>
    <w:rsid w:val="69562DE6"/>
    <w:rsid w:val="6960030A"/>
    <w:rsid w:val="69623EC3"/>
    <w:rsid w:val="69684D49"/>
    <w:rsid w:val="696A7FDC"/>
    <w:rsid w:val="69716CDE"/>
    <w:rsid w:val="69766163"/>
    <w:rsid w:val="697A3B33"/>
    <w:rsid w:val="697D3B64"/>
    <w:rsid w:val="69801C11"/>
    <w:rsid w:val="698C4A5A"/>
    <w:rsid w:val="698D367D"/>
    <w:rsid w:val="69925D1F"/>
    <w:rsid w:val="699B3497"/>
    <w:rsid w:val="69A00A1D"/>
    <w:rsid w:val="69A2602B"/>
    <w:rsid w:val="69AD0DB4"/>
    <w:rsid w:val="69B12712"/>
    <w:rsid w:val="69B33D95"/>
    <w:rsid w:val="69B47B0D"/>
    <w:rsid w:val="69B55D5F"/>
    <w:rsid w:val="69B91D5E"/>
    <w:rsid w:val="69BD10B7"/>
    <w:rsid w:val="69C22C62"/>
    <w:rsid w:val="69C266CE"/>
    <w:rsid w:val="69C36407"/>
    <w:rsid w:val="69CB37D4"/>
    <w:rsid w:val="69D44760"/>
    <w:rsid w:val="69D6463E"/>
    <w:rsid w:val="69D75339"/>
    <w:rsid w:val="69E3388C"/>
    <w:rsid w:val="69E76134"/>
    <w:rsid w:val="6A0173D5"/>
    <w:rsid w:val="6A042C1C"/>
    <w:rsid w:val="6A0C16F7"/>
    <w:rsid w:val="6A166419"/>
    <w:rsid w:val="6A1C198C"/>
    <w:rsid w:val="6A1E09ED"/>
    <w:rsid w:val="6A2231E6"/>
    <w:rsid w:val="6A2C4B95"/>
    <w:rsid w:val="6A352DE1"/>
    <w:rsid w:val="6A3C1FDC"/>
    <w:rsid w:val="6A3D129A"/>
    <w:rsid w:val="6A3D1E0A"/>
    <w:rsid w:val="6A41286B"/>
    <w:rsid w:val="6A4523DE"/>
    <w:rsid w:val="6A4845DF"/>
    <w:rsid w:val="6A4B221F"/>
    <w:rsid w:val="6A4F297B"/>
    <w:rsid w:val="6A4F3C09"/>
    <w:rsid w:val="6A5135AE"/>
    <w:rsid w:val="6A520EC7"/>
    <w:rsid w:val="6A55309E"/>
    <w:rsid w:val="6A615EE7"/>
    <w:rsid w:val="6A620361"/>
    <w:rsid w:val="6A627569"/>
    <w:rsid w:val="6A647785"/>
    <w:rsid w:val="6A67093B"/>
    <w:rsid w:val="6A6D03E7"/>
    <w:rsid w:val="6A7158D1"/>
    <w:rsid w:val="6A75729C"/>
    <w:rsid w:val="6A7C062B"/>
    <w:rsid w:val="6A7C14DB"/>
    <w:rsid w:val="6A837C0B"/>
    <w:rsid w:val="6A865E2A"/>
    <w:rsid w:val="6A8B4D12"/>
    <w:rsid w:val="6A8B7002"/>
    <w:rsid w:val="6A9242F2"/>
    <w:rsid w:val="6A973960"/>
    <w:rsid w:val="6A9C1734"/>
    <w:rsid w:val="6A9D0255"/>
    <w:rsid w:val="6AA656A7"/>
    <w:rsid w:val="6AA95198"/>
    <w:rsid w:val="6AAB53B4"/>
    <w:rsid w:val="6AAC47D0"/>
    <w:rsid w:val="6AAD2EDA"/>
    <w:rsid w:val="6AAD4C88"/>
    <w:rsid w:val="6AC35A2A"/>
    <w:rsid w:val="6AC76E6C"/>
    <w:rsid w:val="6ACB1CBA"/>
    <w:rsid w:val="6AD422C3"/>
    <w:rsid w:val="6AD51620"/>
    <w:rsid w:val="6ADA35A3"/>
    <w:rsid w:val="6AE67F20"/>
    <w:rsid w:val="6AED32D6"/>
    <w:rsid w:val="6AF03261"/>
    <w:rsid w:val="6AF0636A"/>
    <w:rsid w:val="6AF87E20"/>
    <w:rsid w:val="6AF91C7B"/>
    <w:rsid w:val="6AFF7A09"/>
    <w:rsid w:val="6B0B1692"/>
    <w:rsid w:val="6B106C61"/>
    <w:rsid w:val="6B1C6536"/>
    <w:rsid w:val="6B1D005F"/>
    <w:rsid w:val="6B2018FE"/>
    <w:rsid w:val="6B2313EE"/>
    <w:rsid w:val="6B236C4F"/>
    <w:rsid w:val="6B2667E8"/>
    <w:rsid w:val="6B2A5410"/>
    <w:rsid w:val="6B2F7D8C"/>
    <w:rsid w:val="6B3158B9"/>
    <w:rsid w:val="6B322639"/>
    <w:rsid w:val="6B32518D"/>
    <w:rsid w:val="6B3C7DBA"/>
    <w:rsid w:val="6B427AC6"/>
    <w:rsid w:val="6B44643D"/>
    <w:rsid w:val="6B470B7D"/>
    <w:rsid w:val="6B4750DC"/>
    <w:rsid w:val="6B476E8A"/>
    <w:rsid w:val="6B4A1AF6"/>
    <w:rsid w:val="6B4A24D7"/>
    <w:rsid w:val="6B4F5D3F"/>
    <w:rsid w:val="6B5044F1"/>
    <w:rsid w:val="6B5477F9"/>
    <w:rsid w:val="6B564DC0"/>
    <w:rsid w:val="6B60619E"/>
    <w:rsid w:val="6B6C069F"/>
    <w:rsid w:val="6B777044"/>
    <w:rsid w:val="6B80594F"/>
    <w:rsid w:val="6B833C3B"/>
    <w:rsid w:val="6B866A9F"/>
    <w:rsid w:val="6B873161"/>
    <w:rsid w:val="6B8A2299"/>
    <w:rsid w:val="6B8F0831"/>
    <w:rsid w:val="6B945E48"/>
    <w:rsid w:val="6BA25323"/>
    <w:rsid w:val="6BA600FD"/>
    <w:rsid w:val="6BA75B7B"/>
    <w:rsid w:val="6BA872D6"/>
    <w:rsid w:val="6BAA5A54"/>
    <w:rsid w:val="6BAB4210"/>
    <w:rsid w:val="6BAD2A66"/>
    <w:rsid w:val="6BBD3B14"/>
    <w:rsid w:val="6BBF3C17"/>
    <w:rsid w:val="6BC212D4"/>
    <w:rsid w:val="6BC455E6"/>
    <w:rsid w:val="6BCF6E80"/>
    <w:rsid w:val="6BD05980"/>
    <w:rsid w:val="6BD2012D"/>
    <w:rsid w:val="6BD455CF"/>
    <w:rsid w:val="6BD93146"/>
    <w:rsid w:val="6BDA5F51"/>
    <w:rsid w:val="6BE1174C"/>
    <w:rsid w:val="6BE40B7D"/>
    <w:rsid w:val="6BE471B0"/>
    <w:rsid w:val="6BEE72AC"/>
    <w:rsid w:val="6BEE7E63"/>
    <w:rsid w:val="6BEF39AA"/>
    <w:rsid w:val="6BFD4FFE"/>
    <w:rsid w:val="6BFF757C"/>
    <w:rsid w:val="6C066D46"/>
    <w:rsid w:val="6C07440E"/>
    <w:rsid w:val="6C092392"/>
    <w:rsid w:val="6C0C5F81"/>
    <w:rsid w:val="6C16685D"/>
    <w:rsid w:val="6C170504"/>
    <w:rsid w:val="6C1A1E56"/>
    <w:rsid w:val="6C1D7BEB"/>
    <w:rsid w:val="6C2F3E68"/>
    <w:rsid w:val="6C37353E"/>
    <w:rsid w:val="6C3A079D"/>
    <w:rsid w:val="6C3C08FB"/>
    <w:rsid w:val="6C490B48"/>
    <w:rsid w:val="6C4D205E"/>
    <w:rsid w:val="6C4D3A40"/>
    <w:rsid w:val="6C527E2F"/>
    <w:rsid w:val="6C5A2BED"/>
    <w:rsid w:val="6C636C38"/>
    <w:rsid w:val="6C6B34A7"/>
    <w:rsid w:val="6C6C2912"/>
    <w:rsid w:val="6C793AD3"/>
    <w:rsid w:val="6C7E6D86"/>
    <w:rsid w:val="6C843C10"/>
    <w:rsid w:val="6C8639E2"/>
    <w:rsid w:val="6C8973D0"/>
    <w:rsid w:val="6C8C7C4A"/>
    <w:rsid w:val="6C940AC5"/>
    <w:rsid w:val="6C97174C"/>
    <w:rsid w:val="6C9C4FB4"/>
    <w:rsid w:val="6C9D2552"/>
    <w:rsid w:val="6C9F2CF6"/>
    <w:rsid w:val="6CA17146"/>
    <w:rsid w:val="6CA65E33"/>
    <w:rsid w:val="6CAA30FE"/>
    <w:rsid w:val="6CAA5600"/>
    <w:rsid w:val="6CAB169B"/>
    <w:rsid w:val="6CAB51F7"/>
    <w:rsid w:val="6CB603B5"/>
    <w:rsid w:val="6CB63EC6"/>
    <w:rsid w:val="6CB65532"/>
    <w:rsid w:val="6CBA368C"/>
    <w:rsid w:val="6CC124F7"/>
    <w:rsid w:val="6CC14A1B"/>
    <w:rsid w:val="6CC22744"/>
    <w:rsid w:val="6CC8224D"/>
    <w:rsid w:val="6CC87B57"/>
    <w:rsid w:val="6CCC42B9"/>
    <w:rsid w:val="6CCC68A5"/>
    <w:rsid w:val="6CD36584"/>
    <w:rsid w:val="6CD65900"/>
    <w:rsid w:val="6CE52532"/>
    <w:rsid w:val="6CEA21C3"/>
    <w:rsid w:val="6CEE25BF"/>
    <w:rsid w:val="6CF546C4"/>
    <w:rsid w:val="6CF66F8C"/>
    <w:rsid w:val="6D013776"/>
    <w:rsid w:val="6D0A25E7"/>
    <w:rsid w:val="6D0F1C2A"/>
    <w:rsid w:val="6D1014FE"/>
    <w:rsid w:val="6D134293"/>
    <w:rsid w:val="6D172C24"/>
    <w:rsid w:val="6D196605"/>
    <w:rsid w:val="6D236B9A"/>
    <w:rsid w:val="6D2637C1"/>
    <w:rsid w:val="6D286848"/>
    <w:rsid w:val="6D2A25C0"/>
    <w:rsid w:val="6D2F5E28"/>
    <w:rsid w:val="6D3310D1"/>
    <w:rsid w:val="6D384161"/>
    <w:rsid w:val="6D3B2A1F"/>
    <w:rsid w:val="6D402EF0"/>
    <w:rsid w:val="6D464CA1"/>
    <w:rsid w:val="6D475F5F"/>
    <w:rsid w:val="6D4F2026"/>
    <w:rsid w:val="6D50391F"/>
    <w:rsid w:val="6D623005"/>
    <w:rsid w:val="6D627D27"/>
    <w:rsid w:val="6D6348E8"/>
    <w:rsid w:val="6D677FEA"/>
    <w:rsid w:val="6D6F091A"/>
    <w:rsid w:val="6D70607D"/>
    <w:rsid w:val="6D75322C"/>
    <w:rsid w:val="6D7B2E1B"/>
    <w:rsid w:val="6D7E0B5E"/>
    <w:rsid w:val="6D7E2D8E"/>
    <w:rsid w:val="6D7E771B"/>
    <w:rsid w:val="6D8C1539"/>
    <w:rsid w:val="6DA07B3F"/>
    <w:rsid w:val="6DA45FD5"/>
    <w:rsid w:val="6DA55F71"/>
    <w:rsid w:val="6DA80BCE"/>
    <w:rsid w:val="6DAA5DD1"/>
    <w:rsid w:val="6DB34098"/>
    <w:rsid w:val="6DB36A59"/>
    <w:rsid w:val="6DB4457F"/>
    <w:rsid w:val="6DB545B6"/>
    <w:rsid w:val="6DBA793E"/>
    <w:rsid w:val="6DBE53FE"/>
    <w:rsid w:val="6DC5053A"/>
    <w:rsid w:val="6DCA78FF"/>
    <w:rsid w:val="6DCF4F15"/>
    <w:rsid w:val="6DD4077E"/>
    <w:rsid w:val="6DD41878"/>
    <w:rsid w:val="6DD53539"/>
    <w:rsid w:val="6DD71E40"/>
    <w:rsid w:val="6DDB0909"/>
    <w:rsid w:val="6DE02FB4"/>
    <w:rsid w:val="6DE44E65"/>
    <w:rsid w:val="6DEA4515"/>
    <w:rsid w:val="6DED2B32"/>
    <w:rsid w:val="6DEE183F"/>
    <w:rsid w:val="6DFE4DA8"/>
    <w:rsid w:val="6E044EBE"/>
    <w:rsid w:val="6E1950AD"/>
    <w:rsid w:val="6E213429"/>
    <w:rsid w:val="6E296D1B"/>
    <w:rsid w:val="6E2A5389"/>
    <w:rsid w:val="6E35746E"/>
    <w:rsid w:val="6E3D69B4"/>
    <w:rsid w:val="6E414F79"/>
    <w:rsid w:val="6E445903"/>
    <w:rsid w:val="6E4678CD"/>
    <w:rsid w:val="6E5024FA"/>
    <w:rsid w:val="6E514CED"/>
    <w:rsid w:val="6E557B10"/>
    <w:rsid w:val="6E5673E4"/>
    <w:rsid w:val="6E5F5924"/>
    <w:rsid w:val="6E6C7ED3"/>
    <w:rsid w:val="6E6D287D"/>
    <w:rsid w:val="6E71421E"/>
    <w:rsid w:val="6E722559"/>
    <w:rsid w:val="6E747787"/>
    <w:rsid w:val="6E764989"/>
    <w:rsid w:val="6E773352"/>
    <w:rsid w:val="6E7A541E"/>
    <w:rsid w:val="6E7C1283"/>
    <w:rsid w:val="6E846A90"/>
    <w:rsid w:val="6E87369A"/>
    <w:rsid w:val="6E9001FD"/>
    <w:rsid w:val="6E9221CF"/>
    <w:rsid w:val="6E9543B1"/>
    <w:rsid w:val="6E9F2B3A"/>
    <w:rsid w:val="6EA072F4"/>
    <w:rsid w:val="6EA25E97"/>
    <w:rsid w:val="6EA63EC8"/>
    <w:rsid w:val="6EAC2D8D"/>
    <w:rsid w:val="6EAE0FCF"/>
    <w:rsid w:val="6EB03A00"/>
    <w:rsid w:val="6EB563D5"/>
    <w:rsid w:val="6EBD1212"/>
    <w:rsid w:val="6EBF6331"/>
    <w:rsid w:val="6EC407F2"/>
    <w:rsid w:val="6EC46A44"/>
    <w:rsid w:val="6ED547AD"/>
    <w:rsid w:val="6ED92677"/>
    <w:rsid w:val="6EDB54F3"/>
    <w:rsid w:val="6EE40905"/>
    <w:rsid w:val="6EE90507"/>
    <w:rsid w:val="6EE93223"/>
    <w:rsid w:val="6EFA2DA1"/>
    <w:rsid w:val="6F041B0A"/>
    <w:rsid w:val="6F0550C4"/>
    <w:rsid w:val="6F062BB9"/>
    <w:rsid w:val="6F0B4673"/>
    <w:rsid w:val="6F1277AF"/>
    <w:rsid w:val="6F151168"/>
    <w:rsid w:val="6F16785A"/>
    <w:rsid w:val="6F176B74"/>
    <w:rsid w:val="6F182604"/>
    <w:rsid w:val="6F20011E"/>
    <w:rsid w:val="6F225983"/>
    <w:rsid w:val="6F2D45E9"/>
    <w:rsid w:val="6F2E5A0B"/>
    <w:rsid w:val="6F305E87"/>
    <w:rsid w:val="6F332A28"/>
    <w:rsid w:val="6F35031C"/>
    <w:rsid w:val="6F5A3019"/>
    <w:rsid w:val="6F5D1A70"/>
    <w:rsid w:val="6F60051B"/>
    <w:rsid w:val="6F7065FB"/>
    <w:rsid w:val="6F79407E"/>
    <w:rsid w:val="6F7B0233"/>
    <w:rsid w:val="6F847DBE"/>
    <w:rsid w:val="6F852B58"/>
    <w:rsid w:val="6F8C7562"/>
    <w:rsid w:val="6F8D391A"/>
    <w:rsid w:val="6F992483"/>
    <w:rsid w:val="6FA0252A"/>
    <w:rsid w:val="6FA66AC6"/>
    <w:rsid w:val="6FB60C7D"/>
    <w:rsid w:val="6FB6638D"/>
    <w:rsid w:val="6FBA62FD"/>
    <w:rsid w:val="6FC02EC6"/>
    <w:rsid w:val="6FC50CC6"/>
    <w:rsid w:val="6FC5426D"/>
    <w:rsid w:val="6FC85FFE"/>
    <w:rsid w:val="6FCE0999"/>
    <w:rsid w:val="6FCE7B7A"/>
    <w:rsid w:val="6FD33FBD"/>
    <w:rsid w:val="6FD50935"/>
    <w:rsid w:val="6FD9207B"/>
    <w:rsid w:val="6FDA3019"/>
    <w:rsid w:val="6FDB68AF"/>
    <w:rsid w:val="6FED6D05"/>
    <w:rsid w:val="6FFC5590"/>
    <w:rsid w:val="6FFC5832"/>
    <w:rsid w:val="6FFE345A"/>
    <w:rsid w:val="70003371"/>
    <w:rsid w:val="7007308C"/>
    <w:rsid w:val="700E441B"/>
    <w:rsid w:val="70126630"/>
    <w:rsid w:val="701B0AEA"/>
    <w:rsid w:val="701D28B0"/>
    <w:rsid w:val="701F03D6"/>
    <w:rsid w:val="70271F4B"/>
    <w:rsid w:val="70292F11"/>
    <w:rsid w:val="702D3098"/>
    <w:rsid w:val="703275E1"/>
    <w:rsid w:val="70351CD6"/>
    <w:rsid w:val="70370A27"/>
    <w:rsid w:val="703F55A4"/>
    <w:rsid w:val="70482D8C"/>
    <w:rsid w:val="704A64FA"/>
    <w:rsid w:val="70525DFD"/>
    <w:rsid w:val="7055204A"/>
    <w:rsid w:val="7055344F"/>
    <w:rsid w:val="705E42EA"/>
    <w:rsid w:val="705F07D2"/>
    <w:rsid w:val="705F131E"/>
    <w:rsid w:val="70683EA4"/>
    <w:rsid w:val="70694C65"/>
    <w:rsid w:val="706B3710"/>
    <w:rsid w:val="706D1DD0"/>
    <w:rsid w:val="706E310B"/>
    <w:rsid w:val="706F478E"/>
    <w:rsid w:val="70716758"/>
    <w:rsid w:val="70753FA4"/>
    <w:rsid w:val="70783492"/>
    <w:rsid w:val="707F70C6"/>
    <w:rsid w:val="70856B87"/>
    <w:rsid w:val="708C17E3"/>
    <w:rsid w:val="708E185F"/>
    <w:rsid w:val="70900E35"/>
    <w:rsid w:val="70903082"/>
    <w:rsid w:val="70904E30"/>
    <w:rsid w:val="70916933"/>
    <w:rsid w:val="709B5583"/>
    <w:rsid w:val="70A21E4C"/>
    <w:rsid w:val="70A73F27"/>
    <w:rsid w:val="70AA727F"/>
    <w:rsid w:val="70AA78F9"/>
    <w:rsid w:val="70AE16BA"/>
    <w:rsid w:val="70AE1A0C"/>
    <w:rsid w:val="70B054D2"/>
    <w:rsid w:val="70B110C3"/>
    <w:rsid w:val="70BB0564"/>
    <w:rsid w:val="70C346B9"/>
    <w:rsid w:val="70CD0C66"/>
    <w:rsid w:val="70CE660F"/>
    <w:rsid w:val="70CF0443"/>
    <w:rsid w:val="70D527EE"/>
    <w:rsid w:val="70D82A6F"/>
    <w:rsid w:val="70DD2BA3"/>
    <w:rsid w:val="70EA1EA5"/>
    <w:rsid w:val="70EB058C"/>
    <w:rsid w:val="70F21F76"/>
    <w:rsid w:val="70F96E79"/>
    <w:rsid w:val="70FB7A99"/>
    <w:rsid w:val="71002A5A"/>
    <w:rsid w:val="710128C5"/>
    <w:rsid w:val="710D0EA4"/>
    <w:rsid w:val="710E21F8"/>
    <w:rsid w:val="710F044A"/>
    <w:rsid w:val="711463AD"/>
    <w:rsid w:val="711A0B9D"/>
    <w:rsid w:val="711B1A70"/>
    <w:rsid w:val="711F61B4"/>
    <w:rsid w:val="71213CDA"/>
    <w:rsid w:val="71255393"/>
    <w:rsid w:val="71306613"/>
    <w:rsid w:val="713C497B"/>
    <w:rsid w:val="71411904"/>
    <w:rsid w:val="71445C1A"/>
    <w:rsid w:val="714A1482"/>
    <w:rsid w:val="715B5300"/>
    <w:rsid w:val="715C2793"/>
    <w:rsid w:val="715E2DFE"/>
    <w:rsid w:val="71606F38"/>
    <w:rsid w:val="716138A0"/>
    <w:rsid w:val="71632544"/>
    <w:rsid w:val="7164289E"/>
    <w:rsid w:val="71642972"/>
    <w:rsid w:val="7164370F"/>
    <w:rsid w:val="716772D6"/>
    <w:rsid w:val="716A0C78"/>
    <w:rsid w:val="716F533E"/>
    <w:rsid w:val="71791D68"/>
    <w:rsid w:val="717C7C5D"/>
    <w:rsid w:val="717D3BA5"/>
    <w:rsid w:val="71800218"/>
    <w:rsid w:val="71810C1C"/>
    <w:rsid w:val="71811D3D"/>
    <w:rsid w:val="718151E3"/>
    <w:rsid w:val="71852F0C"/>
    <w:rsid w:val="718614B7"/>
    <w:rsid w:val="71864485"/>
    <w:rsid w:val="71877BFF"/>
    <w:rsid w:val="7188117E"/>
    <w:rsid w:val="71902C0D"/>
    <w:rsid w:val="71912487"/>
    <w:rsid w:val="719459D5"/>
    <w:rsid w:val="719C15B2"/>
    <w:rsid w:val="719C2CB0"/>
    <w:rsid w:val="71A01992"/>
    <w:rsid w:val="71A07C6F"/>
    <w:rsid w:val="71A22E1F"/>
    <w:rsid w:val="71A30B93"/>
    <w:rsid w:val="71AD37BF"/>
    <w:rsid w:val="71B00AEF"/>
    <w:rsid w:val="71B0505E"/>
    <w:rsid w:val="71BA43E6"/>
    <w:rsid w:val="71C27838"/>
    <w:rsid w:val="71C33BCE"/>
    <w:rsid w:val="71C85F73"/>
    <w:rsid w:val="71CE40D2"/>
    <w:rsid w:val="71D13952"/>
    <w:rsid w:val="71D27F8A"/>
    <w:rsid w:val="71E01DE7"/>
    <w:rsid w:val="71E31F24"/>
    <w:rsid w:val="71E33685"/>
    <w:rsid w:val="71EE0B13"/>
    <w:rsid w:val="71F25676"/>
    <w:rsid w:val="71F81A43"/>
    <w:rsid w:val="71FC1C53"/>
    <w:rsid w:val="71FE226D"/>
    <w:rsid w:val="71FE634A"/>
    <w:rsid w:val="720832D9"/>
    <w:rsid w:val="720A79AD"/>
    <w:rsid w:val="721152CF"/>
    <w:rsid w:val="721B2E1F"/>
    <w:rsid w:val="721C0443"/>
    <w:rsid w:val="721E28F5"/>
    <w:rsid w:val="721E646B"/>
    <w:rsid w:val="72203F91"/>
    <w:rsid w:val="7225294B"/>
    <w:rsid w:val="72277965"/>
    <w:rsid w:val="722824EA"/>
    <w:rsid w:val="72430318"/>
    <w:rsid w:val="72450654"/>
    <w:rsid w:val="72530328"/>
    <w:rsid w:val="72553024"/>
    <w:rsid w:val="72565C05"/>
    <w:rsid w:val="725974A3"/>
    <w:rsid w:val="72695938"/>
    <w:rsid w:val="726C367A"/>
    <w:rsid w:val="72824C4C"/>
    <w:rsid w:val="72881789"/>
    <w:rsid w:val="728E25C5"/>
    <w:rsid w:val="729930EC"/>
    <w:rsid w:val="72A11576"/>
    <w:rsid w:val="72A46970"/>
    <w:rsid w:val="72A93F87"/>
    <w:rsid w:val="72A971C7"/>
    <w:rsid w:val="72AA21EB"/>
    <w:rsid w:val="72AC7F1B"/>
    <w:rsid w:val="72B33057"/>
    <w:rsid w:val="72B36F9B"/>
    <w:rsid w:val="72B505D4"/>
    <w:rsid w:val="72B62B48"/>
    <w:rsid w:val="72BC63B0"/>
    <w:rsid w:val="72C364A3"/>
    <w:rsid w:val="72C45AFE"/>
    <w:rsid w:val="72C9287B"/>
    <w:rsid w:val="72CA214F"/>
    <w:rsid w:val="72CD4D30"/>
    <w:rsid w:val="72DD6326"/>
    <w:rsid w:val="72E60FDD"/>
    <w:rsid w:val="72E90827"/>
    <w:rsid w:val="72EE2610"/>
    <w:rsid w:val="72EF0E89"/>
    <w:rsid w:val="72F378F8"/>
    <w:rsid w:val="72F51322"/>
    <w:rsid w:val="72F861B0"/>
    <w:rsid w:val="72FD19A6"/>
    <w:rsid w:val="73013836"/>
    <w:rsid w:val="73020C8B"/>
    <w:rsid w:val="73031A98"/>
    <w:rsid w:val="730B3C60"/>
    <w:rsid w:val="730E028E"/>
    <w:rsid w:val="73122968"/>
    <w:rsid w:val="731418A6"/>
    <w:rsid w:val="7318110C"/>
    <w:rsid w:val="731A30D6"/>
    <w:rsid w:val="731A4E85"/>
    <w:rsid w:val="731F5D5E"/>
    <w:rsid w:val="73263829"/>
    <w:rsid w:val="732C1214"/>
    <w:rsid w:val="733046A8"/>
    <w:rsid w:val="73335C49"/>
    <w:rsid w:val="73384F85"/>
    <w:rsid w:val="73392F70"/>
    <w:rsid w:val="733C304D"/>
    <w:rsid w:val="733F2B3D"/>
    <w:rsid w:val="733F6699"/>
    <w:rsid w:val="7352391B"/>
    <w:rsid w:val="73552361"/>
    <w:rsid w:val="736220D4"/>
    <w:rsid w:val="736D3206"/>
    <w:rsid w:val="737321A8"/>
    <w:rsid w:val="73733B67"/>
    <w:rsid w:val="738D1AFA"/>
    <w:rsid w:val="73954A11"/>
    <w:rsid w:val="739F1189"/>
    <w:rsid w:val="73A66718"/>
    <w:rsid w:val="73AA6208"/>
    <w:rsid w:val="73B26B7E"/>
    <w:rsid w:val="73B40E35"/>
    <w:rsid w:val="73C372CA"/>
    <w:rsid w:val="73C51AD5"/>
    <w:rsid w:val="73CB0288"/>
    <w:rsid w:val="73CD7CFC"/>
    <w:rsid w:val="73CE3305"/>
    <w:rsid w:val="73D76698"/>
    <w:rsid w:val="73E624E8"/>
    <w:rsid w:val="73F1262B"/>
    <w:rsid w:val="73F25E01"/>
    <w:rsid w:val="73F507E4"/>
    <w:rsid w:val="73F90F3E"/>
    <w:rsid w:val="740022CC"/>
    <w:rsid w:val="740B13C3"/>
    <w:rsid w:val="740B6EE0"/>
    <w:rsid w:val="7419513C"/>
    <w:rsid w:val="741B3D04"/>
    <w:rsid w:val="741E793C"/>
    <w:rsid w:val="74281823"/>
    <w:rsid w:val="742C1313"/>
    <w:rsid w:val="74387F49"/>
    <w:rsid w:val="744C5512"/>
    <w:rsid w:val="744E5160"/>
    <w:rsid w:val="744F5002"/>
    <w:rsid w:val="745325C0"/>
    <w:rsid w:val="7454695B"/>
    <w:rsid w:val="74561EEC"/>
    <w:rsid w:val="74581611"/>
    <w:rsid w:val="745D65A4"/>
    <w:rsid w:val="745E3944"/>
    <w:rsid w:val="74655451"/>
    <w:rsid w:val="74702C42"/>
    <w:rsid w:val="748E5B2A"/>
    <w:rsid w:val="748F53FE"/>
    <w:rsid w:val="749859F0"/>
    <w:rsid w:val="749D7B1B"/>
    <w:rsid w:val="74A66ECC"/>
    <w:rsid w:val="74A90A1A"/>
    <w:rsid w:val="74AC6D4D"/>
    <w:rsid w:val="74AE397A"/>
    <w:rsid w:val="74C0527A"/>
    <w:rsid w:val="74C94DB4"/>
    <w:rsid w:val="74E01F96"/>
    <w:rsid w:val="74E05C5A"/>
    <w:rsid w:val="74E27AFA"/>
    <w:rsid w:val="74E536B9"/>
    <w:rsid w:val="74F160B9"/>
    <w:rsid w:val="74F17E67"/>
    <w:rsid w:val="74F33BDF"/>
    <w:rsid w:val="74F47296"/>
    <w:rsid w:val="74F70BCA"/>
    <w:rsid w:val="750E6C6B"/>
    <w:rsid w:val="75196A79"/>
    <w:rsid w:val="75265D63"/>
    <w:rsid w:val="75267B11"/>
    <w:rsid w:val="753362B0"/>
    <w:rsid w:val="753541F8"/>
    <w:rsid w:val="75387AD8"/>
    <w:rsid w:val="753B10E2"/>
    <w:rsid w:val="754145EA"/>
    <w:rsid w:val="75472D8D"/>
    <w:rsid w:val="75504B8E"/>
    <w:rsid w:val="755A45D2"/>
    <w:rsid w:val="755C6B74"/>
    <w:rsid w:val="75690FF6"/>
    <w:rsid w:val="756D4E2F"/>
    <w:rsid w:val="756E3266"/>
    <w:rsid w:val="75703482"/>
    <w:rsid w:val="75722BFB"/>
    <w:rsid w:val="7572460C"/>
    <w:rsid w:val="757761C6"/>
    <w:rsid w:val="757B09E9"/>
    <w:rsid w:val="757C3BD5"/>
    <w:rsid w:val="75860EFC"/>
    <w:rsid w:val="75882579"/>
    <w:rsid w:val="758D193E"/>
    <w:rsid w:val="7592164A"/>
    <w:rsid w:val="759E1D9D"/>
    <w:rsid w:val="75A35605"/>
    <w:rsid w:val="75A356A3"/>
    <w:rsid w:val="75A47788"/>
    <w:rsid w:val="75B017FF"/>
    <w:rsid w:val="75B35BDC"/>
    <w:rsid w:val="75B50E95"/>
    <w:rsid w:val="75B93C1B"/>
    <w:rsid w:val="75BC2223"/>
    <w:rsid w:val="75C13CDD"/>
    <w:rsid w:val="75C17839"/>
    <w:rsid w:val="75C31803"/>
    <w:rsid w:val="75C335B1"/>
    <w:rsid w:val="75C5557C"/>
    <w:rsid w:val="75C57CD1"/>
    <w:rsid w:val="75CB6383"/>
    <w:rsid w:val="75D02F52"/>
    <w:rsid w:val="75D67789"/>
    <w:rsid w:val="75DB3F12"/>
    <w:rsid w:val="75DE2FE0"/>
    <w:rsid w:val="75E17EDC"/>
    <w:rsid w:val="75E35A02"/>
    <w:rsid w:val="75E5678F"/>
    <w:rsid w:val="75E71587"/>
    <w:rsid w:val="75E907CC"/>
    <w:rsid w:val="75EA3234"/>
    <w:rsid w:val="75F43B93"/>
    <w:rsid w:val="75F75F8F"/>
    <w:rsid w:val="75FD171A"/>
    <w:rsid w:val="75FF3EAC"/>
    <w:rsid w:val="760057B0"/>
    <w:rsid w:val="760322B0"/>
    <w:rsid w:val="760479EA"/>
    <w:rsid w:val="760642CA"/>
    <w:rsid w:val="760925E8"/>
    <w:rsid w:val="76182881"/>
    <w:rsid w:val="761C7166"/>
    <w:rsid w:val="762027B2"/>
    <w:rsid w:val="76213E29"/>
    <w:rsid w:val="76334C86"/>
    <w:rsid w:val="7635099D"/>
    <w:rsid w:val="763E2BEB"/>
    <w:rsid w:val="764372F6"/>
    <w:rsid w:val="764934F9"/>
    <w:rsid w:val="765C6A8D"/>
    <w:rsid w:val="766108D3"/>
    <w:rsid w:val="766331A4"/>
    <w:rsid w:val="766B0B94"/>
    <w:rsid w:val="766C077C"/>
    <w:rsid w:val="76783583"/>
    <w:rsid w:val="76793527"/>
    <w:rsid w:val="767940D2"/>
    <w:rsid w:val="76891058"/>
    <w:rsid w:val="768A0573"/>
    <w:rsid w:val="768A2321"/>
    <w:rsid w:val="768E003E"/>
    <w:rsid w:val="768E0063"/>
    <w:rsid w:val="76980B7D"/>
    <w:rsid w:val="769A6A08"/>
    <w:rsid w:val="769C7B08"/>
    <w:rsid w:val="769D2568"/>
    <w:rsid w:val="76A2110A"/>
    <w:rsid w:val="76A667C6"/>
    <w:rsid w:val="76AC04E9"/>
    <w:rsid w:val="76AC30F7"/>
    <w:rsid w:val="76B16BF0"/>
    <w:rsid w:val="76B4377F"/>
    <w:rsid w:val="76BD44A5"/>
    <w:rsid w:val="76BE71BF"/>
    <w:rsid w:val="76C03C1B"/>
    <w:rsid w:val="76C16D39"/>
    <w:rsid w:val="76C27C61"/>
    <w:rsid w:val="76C4703E"/>
    <w:rsid w:val="76C70E7F"/>
    <w:rsid w:val="76D33CC8"/>
    <w:rsid w:val="76D94A00"/>
    <w:rsid w:val="76E5636F"/>
    <w:rsid w:val="76E61C4D"/>
    <w:rsid w:val="76ED6EA0"/>
    <w:rsid w:val="76EF6628"/>
    <w:rsid w:val="76F123A0"/>
    <w:rsid w:val="76F460EC"/>
    <w:rsid w:val="76FB4FCD"/>
    <w:rsid w:val="76FE6658"/>
    <w:rsid w:val="76FF03CD"/>
    <w:rsid w:val="77021803"/>
    <w:rsid w:val="77134DA7"/>
    <w:rsid w:val="771500D7"/>
    <w:rsid w:val="7723046A"/>
    <w:rsid w:val="77232277"/>
    <w:rsid w:val="77234783"/>
    <w:rsid w:val="77283CB1"/>
    <w:rsid w:val="77286A7D"/>
    <w:rsid w:val="773C174A"/>
    <w:rsid w:val="773C186D"/>
    <w:rsid w:val="77461A46"/>
    <w:rsid w:val="774C5B88"/>
    <w:rsid w:val="774D3CED"/>
    <w:rsid w:val="774E37AA"/>
    <w:rsid w:val="774F5EBB"/>
    <w:rsid w:val="77585C9F"/>
    <w:rsid w:val="775A6197"/>
    <w:rsid w:val="775F37AE"/>
    <w:rsid w:val="77612F4D"/>
    <w:rsid w:val="776334E2"/>
    <w:rsid w:val="776E0FF4"/>
    <w:rsid w:val="77706B69"/>
    <w:rsid w:val="77756D0D"/>
    <w:rsid w:val="77762421"/>
    <w:rsid w:val="77786F3B"/>
    <w:rsid w:val="777A2396"/>
    <w:rsid w:val="777A4144"/>
    <w:rsid w:val="77811976"/>
    <w:rsid w:val="77813724"/>
    <w:rsid w:val="779E6D1D"/>
    <w:rsid w:val="779F1DFC"/>
    <w:rsid w:val="77A93E46"/>
    <w:rsid w:val="77AB254F"/>
    <w:rsid w:val="77AD4519"/>
    <w:rsid w:val="77B56B1F"/>
    <w:rsid w:val="77B77E41"/>
    <w:rsid w:val="77BA7D52"/>
    <w:rsid w:val="77BC206E"/>
    <w:rsid w:val="77BC2BE1"/>
    <w:rsid w:val="77C74012"/>
    <w:rsid w:val="77C86A24"/>
    <w:rsid w:val="77CB2BF1"/>
    <w:rsid w:val="77CB499F"/>
    <w:rsid w:val="77D05A4A"/>
    <w:rsid w:val="77D221D2"/>
    <w:rsid w:val="77D87954"/>
    <w:rsid w:val="77DD7248"/>
    <w:rsid w:val="77E45A61"/>
    <w:rsid w:val="77E646EE"/>
    <w:rsid w:val="77EB3293"/>
    <w:rsid w:val="77ED43AE"/>
    <w:rsid w:val="77F4039A"/>
    <w:rsid w:val="780F09F4"/>
    <w:rsid w:val="781042B4"/>
    <w:rsid w:val="78155EAE"/>
    <w:rsid w:val="7817002A"/>
    <w:rsid w:val="78197E01"/>
    <w:rsid w:val="781F488D"/>
    <w:rsid w:val="78202F3D"/>
    <w:rsid w:val="78216CB5"/>
    <w:rsid w:val="78234083"/>
    <w:rsid w:val="7826701A"/>
    <w:rsid w:val="782819EA"/>
    <w:rsid w:val="78284C94"/>
    <w:rsid w:val="783267CC"/>
    <w:rsid w:val="78412EB3"/>
    <w:rsid w:val="784A2957"/>
    <w:rsid w:val="784B08C5"/>
    <w:rsid w:val="784B3EA2"/>
    <w:rsid w:val="7857203E"/>
    <w:rsid w:val="785D5F3F"/>
    <w:rsid w:val="786774C7"/>
    <w:rsid w:val="786847F0"/>
    <w:rsid w:val="786B1693"/>
    <w:rsid w:val="786C1DFC"/>
    <w:rsid w:val="787D5631"/>
    <w:rsid w:val="78852DA0"/>
    <w:rsid w:val="78884C6D"/>
    <w:rsid w:val="7889656E"/>
    <w:rsid w:val="788F4795"/>
    <w:rsid w:val="789301FD"/>
    <w:rsid w:val="7897429F"/>
    <w:rsid w:val="78987FD4"/>
    <w:rsid w:val="78A7540C"/>
    <w:rsid w:val="78A90480"/>
    <w:rsid w:val="78B813C8"/>
    <w:rsid w:val="78B8343A"/>
    <w:rsid w:val="78B83A77"/>
    <w:rsid w:val="78CF4963"/>
    <w:rsid w:val="78D02D62"/>
    <w:rsid w:val="78E21350"/>
    <w:rsid w:val="78E21FA1"/>
    <w:rsid w:val="78E35D19"/>
    <w:rsid w:val="78EA20F0"/>
    <w:rsid w:val="78EC06AE"/>
    <w:rsid w:val="78EF0B61"/>
    <w:rsid w:val="790068CB"/>
    <w:rsid w:val="790E2650"/>
    <w:rsid w:val="79116D2A"/>
    <w:rsid w:val="79120718"/>
    <w:rsid w:val="791D122B"/>
    <w:rsid w:val="791D747D"/>
    <w:rsid w:val="791E3856"/>
    <w:rsid w:val="7924080B"/>
    <w:rsid w:val="79254B97"/>
    <w:rsid w:val="792B7DEB"/>
    <w:rsid w:val="792D631C"/>
    <w:rsid w:val="79334C13"/>
    <w:rsid w:val="79337F9A"/>
    <w:rsid w:val="793B6DCB"/>
    <w:rsid w:val="793D367B"/>
    <w:rsid w:val="79425135"/>
    <w:rsid w:val="7942728A"/>
    <w:rsid w:val="79462BF0"/>
    <w:rsid w:val="794B223C"/>
    <w:rsid w:val="794D3125"/>
    <w:rsid w:val="794E03FE"/>
    <w:rsid w:val="79576830"/>
    <w:rsid w:val="795B2B6D"/>
    <w:rsid w:val="795D0D73"/>
    <w:rsid w:val="79610FB7"/>
    <w:rsid w:val="79655EA4"/>
    <w:rsid w:val="79660E24"/>
    <w:rsid w:val="796E3469"/>
    <w:rsid w:val="797215EF"/>
    <w:rsid w:val="797241F6"/>
    <w:rsid w:val="797360B8"/>
    <w:rsid w:val="798353A0"/>
    <w:rsid w:val="7986452E"/>
    <w:rsid w:val="79956F88"/>
    <w:rsid w:val="79A26542"/>
    <w:rsid w:val="79A27982"/>
    <w:rsid w:val="79A408EB"/>
    <w:rsid w:val="79A42945"/>
    <w:rsid w:val="79A478A8"/>
    <w:rsid w:val="79A90D10"/>
    <w:rsid w:val="79B217B6"/>
    <w:rsid w:val="79B70E3E"/>
    <w:rsid w:val="79B914D7"/>
    <w:rsid w:val="79C81C1C"/>
    <w:rsid w:val="79D35D8D"/>
    <w:rsid w:val="79D96957"/>
    <w:rsid w:val="79DA542B"/>
    <w:rsid w:val="79DB252D"/>
    <w:rsid w:val="79E85CDC"/>
    <w:rsid w:val="79E9735F"/>
    <w:rsid w:val="79EB5D88"/>
    <w:rsid w:val="79EE64AA"/>
    <w:rsid w:val="79F23FA0"/>
    <w:rsid w:val="79F53F55"/>
    <w:rsid w:val="79FA156C"/>
    <w:rsid w:val="79FE5AF0"/>
    <w:rsid w:val="79FF3A93"/>
    <w:rsid w:val="7A04063C"/>
    <w:rsid w:val="7A0F6B20"/>
    <w:rsid w:val="7A103E70"/>
    <w:rsid w:val="7A1250F6"/>
    <w:rsid w:val="7A146AD1"/>
    <w:rsid w:val="7A192A64"/>
    <w:rsid w:val="7A1C14E2"/>
    <w:rsid w:val="7A1F1D95"/>
    <w:rsid w:val="7A255C0F"/>
    <w:rsid w:val="7A28432B"/>
    <w:rsid w:val="7A2A00A3"/>
    <w:rsid w:val="7A2F12A5"/>
    <w:rsid w:val="7A364017"/>
    <w:rsid w:val="7A3727C0"/>
    <w:rsid w:val="7A3B2365"/>
    <w:rsid w:val="7A3E1F5E"/>
    <w:rsid w:val="7A405404"/>
    <w:rsid w:val="7A406348"/>
    <w:rsid w:val="7A49604F"/>
    <w:rsid w:val="7A530E41"/>
    <w:rsid w:val="7A53148C"/>
    <w:rsid w:val="7A5B403D"/>
    <w:rsid w:val="7A670E2C"/>
    <w:rsid w:val="7A732725"/>
    <w:rsid w:val="7A743DF1"/>
    <w:rsid w:val="7A74462C"/>
    <w:rsid w:val="7A7A445B"/>
    <w:rsid w:val="7A7B26AD"/>
    <w:rsid w:val="7A805F15"/>
    <w:rsid w:val="7A8265E1"/>
    <w:rsid w:val="7A8772A3"/>
    <w:rsid w:val="7A8D0632"/>
    <w:rsid w:val="7A90631F"/>
    <w:rsid w:val="7A94551C"/>
    <w:rsid w:val="7A9E7346"/>
    <w:rsid w:val="7AA45FB6"/>
    <w:rsid w:val="7AA716F4"/>
    <w:rsid w:val="7AB20978"/>
    <w:rsid w:val="7AB2486D"/>
    <w:rsid w:val="7AB9192E"/>
    <w:rsid w:val="7AB932E7"/>
    <w:rsid w:val="7ABE4C8F"/>
    <w:rsid w:val="7AC1355A"/>
    <w:rsid w:val="7AC35E02"/>
    <w:rsid w:val="7ACC2F08"/>
    <w:rsid w:val="7ACD0A2E"/>
    <w:rsid w:val="7AD324E9"/>
    <w:rsid w:val="7AE30252"/>
    <w:rsid w:val="7AF03046"/>
    <w:rsid w:val="7AFA3C98"/>
    <w:rsid w:val="7AFD57B8"/>
    <w:rsid w:val="7AFE186D"/>
    <w:rsid w:val="7B001D64"/>
    <w:rsid w:val="7B043628"/>
    <w:rsid w:val="7B05466C"/>
    <w:rsid w:val="7B0703E4"/>
    <w:rsid w:val="7B0C77A9"/>
    <w:rsid w:val="7B116B6D"/>
    <w:rsid w:val="7B152B01"/>
    <w:rsid w:val="7B1949C4"/>
    <w:rsid w:val="7B1A5846"/>
    <w:rsid w:val="7B207CB9"/>
    <w:rsid w:val="7B2B026A"/>
    <w:rsid w:val="7B3A1037"/>
    <w:rsid w:val="7B4050F8"/>
    <w:rsid w:val="7B427806"/>
    <w:rsid w:val="7B450F0D"/>
    <w:rsid w:val="7B466A27"/>
    <w:rsid w:val="7B4909FD"/>
    <w:rsid w:val="7B5B327B"/>
    <w:rsid w:val="7B5B603A"/>
    <w:rsid w:val="7B5D2610"/>
    <w:rsid w:val="7B67750D"/>
    <w:rsid w:val="7B686D42"/>
    <w:rsid w:val="7B6A2721"/>
    <w:rsid w:val="7B6E2211"/>
    <w:rsid w:val="7B7517F2"/>
    <w:rsid w:val="7B7C429C"/>
    <w:rsid w:val="7B841746"/>
    <w:rsid w:val="7B892BA7"/>
    <w:rsid w:val="7B8B7B16"/>
    <w:rsid w:val="7B8E47E8"/>
    <w:rsid w:val="7B8E73B8"/>
    <w:rsid w:val="7B902188"/>
    <w:rsid w:val="7B95154C"/>
    <w:rsid w:val="7B9A4DB4"/>
    <w:rsid w:val="7B9F061D"/>
    <w:rsid w:val="7BA47844"/>
    <w:rsid w:val="7BA66D0D"/>
    <w:rsid w:val="7BA9149B"/>
    <w:rsid w:val="7BB15D01"/>
    <w:rsid w:val="7BC477E4"/>
    <w:rsid w:val="7BC97448"/>
    <w:rsid w:val="7BCA5649"/>
    <w:rsid w:val="7BCB7664"/>
    <w:rsid w:val="7BD013F8"/>
    <w:rsid w:val="7BD2042C"/>
    <w:rsid w:val="7BD32961"/>
    <w:rsid w:val="7BDA628F"/>
    <w:rsid w:val="7BDC717B"/>
    <w:rsid w:val="7BE27B54"/>
    <w:rsid w:val="7BE44282"/>
    <w:rsid w:val="7BEC3136"/>
    <w:rsid w:val="7C084C13"/>
    <w:rsid w:val="7C0D1A2A"/>
    <w:rsid w:val="7C12165C"/>
    <w:rsid w:val="7C1356DC"/>
    <w:rsid w:val="7C1D1542"/>
    <w:rsid w:val="7C224DAA"/>
    <w:rsid w:val="7C260D1B"/>
    <w:rsid w:val="7C2711AD"/>
    <w:rsid w:val="7C386AE4"/>
    <w:rsid w:val="7C3E1BE4"/>
    <w:rsid w:val="7C47253E"/>
    <w:rsid w:val="7C4F2043"/>
    <w:rsid w:val="7C612C3E"/>
    <w:rsid w:val="7C6150DE"/>
    <w:rsid w:val="7C665B06"/>
    <w:rsid w:val="7C6C5AC7"/>
    <w:rsid w:val="7C713DCE"/>
    <w:rsid w:val="7C722D5C"/>
    <w:rsid w:val="7C786D94"/>
    <w:rsid w:val="7C792C1C"/>
    <w:rsid w:val="7C7C50C0"/>
    <w:rsid w:val="7C8116F6"/>
    <w:rsid w:val="7C853315"/>
    <w:rsid w:val="7C86306F"/>
    <w:rsid w:val="7C8810B1"/>
    <w:rsid w:val="7C892BA5"/>
    <w:rsid w:val="7C8A4E29"/>
    <w:rsid w:val="7C8F243F"/>
    <w:rsid w:val="7C925D63"/>
    <w:rsid w:val="7C976C38"/>
    <w:rsid w:val="7C9C7592"/>
    <w:rsid w:val="7CBB1486"/>
    <w:rsid w:val="7CBB647A"/>
    <w:rsid w:val="7CC145C3"/>
    <w:rsid w:val="7CC15DEF"/>
    <w:rsid w:val="7CC3658D"/>
    <w:rsid w:val="7CC45464"/>
    <w:rsid w:val="7CC6544B"/>
    <w:rsid w:val="7CC7607D"/>
    <w:rsid w:val="7CCD2F68"/>
    <w:rsid w:val="7CDE3BF9"/>
    <w:rsid w:val="7CE3220A"/>
    <w:rsid w:val="7CF25DA8"/>
    <w:rsid w:val="7D0239FF"/>
    <w:rsid w:val="7D025251"/>
    <w:rsid w:val="7D060228"/>
    <w:rsid w:val="7D0C1CE2"/>
    <w:rsid w:val="7D0D15B6"/>
    <w:rsid w:val="7D1172F8"/>
    <w:rsid w:val="7D142945"/>
    <w:rsid w:val="7D157374"/>
    <w:rsid w:val="7D186DDF"/>
    <w:rsid w:val="7D1B3CD3"/>
    <w:rsid w:val="7D1C2A4A"/>
    <w:rsid w:val="7D256B73"/>
    <w:rsid w:val="7D2C0620"/>
    <w:rsid w:val="7D3347A6"/>
    <w:rsid w:val="7D342E9C"/>
    <w:rsid w:val="7D344D95"/>
    <w:rsid w:val="7D356E69"/>
    <w:rsid w:val="7D364FB1"/>
    <w:rsid w:val="7D3C7304"/>
    <w:rsid w:val="7D450D50"/>
    <w:rsid w:val="7D4B2481"/>
    <w:rsid w:val="7D4D377D"/>
    <w:rsid w:val="7D4E22FA"/>
    <w:rsid w:val="7D4F4211"/>
    <w:rsid w:val="7D5E40CD"/>
    <w:rsid w:val="7D603DDC"/>
    <w:rsid w:val="7D641DEA"/>
    <w:rsid w:val="7D680AD6"/>
    <w:rsid w:val="7D7B0C16"/>
    <w:rsid w:val="7D7B6E68"/>
    <w:rsid w:val="7D7D112E"/>
    <w:rsid w:val="7D866EC2"/>
    <w:rsid w:val="7D871368"/>
    <w:rsid w:val="7D8A2C07"/>
    <w:rsid w:val="7D8E5549"/>
    <w:rsid w:val="7D8F4AC9"/>
    <w:rsid w:val="7D915A70"/>
    <w:rsid w:val="7D943A85"/>
    <w:rsid w:val="7D9B4E14"/>
    <w:rsid w:val="7D9D6DDE"/>
    <w:rsid w:val="7D9E124E"/>
    <w:rsid w:val="7DA34858"/>
    <w:rsid w:val="7DAC69D3"/>
    <w:rsid w:val="7DB008BF"/>
    <w:rsid w:val="7DB95440"/>
    <w:rsid w:val="7DBA173E"/>
    <w:rsid w:val="7DBB54B6"/>
    <w:rsid w:val="7DBC4A67"/>
    <w:rsid w:val="7DBD5646"/>
    <w:rsid w:val="7DC12ACC"/>
    <w:rsid w:val="7DCD56F2"/>
    <w:rsid w:val="7DCD5793"/>
    <w:rsid w:val="7DD24F02"/>
    <w:rsid w:val="7DD460EC"/>
    <w:rsid w:val="7DE467BB"/>
    <w:rsid w:val="7DE741D1"/>
    <w:rsid w:val="7DE94569"/>
    <w:rsid w:val="7DEE13E8"/>
    <w:rsid w:val="7DEE4CA5"/>
    <w:rsid w:val="7DF05160"/>
    <w:rsid w:val="7DF10ED8"/>
    <w:rsid w:val="7DF6029C"/>
    <w:rsid w:val="7DF77766"/>
    <w:rsid w:val="7DF84014"/>
    <w:rsid w:val="7DFC26E0"/>
    <w:rsid w:val="7E0429B9"/>
    <w:rsid w:val="7E0473AC"/>
    <w:rsid w:val="7E064983"/>
    <w:rsid w:val="7E08275A"/>
    <w:rsid w:val="7E144052"/>
    <w:rsid w:val="7E152ACD"/>
    <w:rsid w:val="7E180B4F"/>
    <w:rsid w:val="7E333D89"/>
    <w:rsid w:val="7E3C65F7"/>
    <w:rsid w:val="7E3D2EF6"/>
    <w:rsid w:val="7E3F0504"/>
    <w:rsid w:val="7E4E5416"/>
    <w:rsid w:val="7E4E5E2B"/>
    <w:rsid w:val="7E540A2D"/>
    <w:rsid w:val="7E541969"/>
    <w:rsid w:val="7E543940"/>
    <w:rsid w:val="7E573431"/>
    <w:rsid w:val="7E5C0CF3"/>
    <w:rsid w:val="7E5E42B5"/>
    <w:rsid w:val="7E5F22E5"/>
    <w:rsid w:val="7E617723"/>
    <w:rsid w:val="7E622B5E"/>
    <w:rsid w:val="7E653381"/>
    <w:rsid w:val="7E6A14B1"/>
    <w:rsid w:val="7E6E545A"/>
    <w:rsid w:val="7E751B09"/>
    <w:rsid w:val="7E765BA9"/>
    <w:rsid w:val="7E7933A7"/>
    <w:rsid w:val="7E7E0B51"/>
    <w:rsid w:val="7E7E3DFC"/>
    <w:rsid w:val="7E801EC1"/>
    <w:rsid w:val="7E8458A8"/>
    <w:rsid w:val="7E8A78EE"/>
    <w:rsid w:val="7E933D3D"/>
    <w:rsid w:val="7E951C6A"/>
    <w:rsid w:val="7E9A1346"/>
    <w:rsid w:val="7E9A3A9C"/>
    <w:rsid w:val="7E9C0E44"/>
    <w:rsid w:val="7E9D11DA"/>
    <w:rsid w:val="7EA31195"/>
    <w:rsid w:val="7EC37BEB"/>
    <w:rsid w:val="7ED700CE"/>
    <w:rsid w:val="7ED73771"/>
    <w:rsid w:val="7EDB4F2D"/>
    <w:rsid w:val="7EE302F1"/>
    <w:rsid w:val="7EEA7E01"/>
    <w:rsid w:val="7EEF3669"/>
    <w:rsid w:val="7EF36F47"/>
    <w:rsid w:val="7EF41B42"/>
    <w:rsid w:val="7EF55188"/>
    <w:rsid w:val="7F001CE7"/>
    <w:rsid w:val="7F033168"/>
    <w:rsid w:val="7F0E6CFC"/>
    <w:rsid w:val="7F140EBD"/>
    <w:rsid w:val="7F182BC0"/>
    <w:rsid w:val="7F25708B"/>
    <w:rsid w:val="7F2640C5"/>
    <w:rsid w:val="7F303BE6"/>
    <w:rsid w:val="7F305879"/>
    <w:rsid w:val="7F323556"/>
    <w:rsid w:val="7F340ACD"/>
    <w:rsid w:val="7F342082"/>
    <w:rsid w:val="7F3B0422"/>
    <w:rsid w:val="7F4100CE"/>
    <w:rsid w:val="7F427C3D"/>
    <w:rsid w:val="7F433AA2"/>
    <w:rsid w:val="7F4A6AF1"/>
    <w:rsid w:val="7F554AA1"/>
    <w:rsid w:val="7F5636E8"/>
    <w:rsid w:val="7F5931D8"/>
    <w:rsid w:val="7F5E061E"/>
    <w:rsid w:val="7F5E5203"/>
    <w:rsid w:val="7F641075"/>
    <w:rsid w:val="7F652553"/>
    <w:rsid w:val="7F7F7495"/>
    <w:rsid w:val="7F853FCE"/>
    <w:rsid w:val="7F8813C8"/>
    <w:rsid w:val="7F8906A0"/>
    <w:rsid w:val="7F914720"/>
    <w:rsid w:val="7F957BB7"/>
    <w:rsid w:val="7F9D4E73"/>
    <w:rsid w:val="7F9E2999"/>
    <w:rsid w:val="7F9F3E34"/>
    <w:rsid w:val="7FB06F70"/>
    <w:rsid w:val="7FB4040F"/>
    <w:rsid w:val="7FB91D0B"/>
    <w:rsid w:val="7FBA5A25"/>
    <w:rsid w:val="7FC35EA5"/>
    <w:rsid w:val="7FCE0117"/>
    <w:rsid w:val="7FCE13C8"/>
    <w:rsid w:val="7FD05249"/>
    <w:rsid w:val="7FD13145"/>
    <w:rsid w:val="7FD30895"/>
    <w:rsid w:val="7FD74290"/>
    <w:rsid w:val="7FDF723A"/>
    <w:rsid w:val="7FE156F1"/>
    <w:rsid w:val="7FE47E50"/>
    <w:rsid w:val="7FE74340"/>
    <w:rsid w:val="7FE83F51"/>
    <w:rsid w:val="7FF07B1A"/>
    <w:rsid w:val="7FF96DC2"/>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unhideWhenUsed="0" w:uiPriority="0" w:semiHidden="0" w:name="Strong" w:locked="1"/>
    <w:lsdException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3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locked/>
    <w:uiPriority w:val="0"/>
    <w:pPr>
      <w:keepNext/>
      <w:overflowPunct w:val="0"/>
      <w:snapToGrid w:val="0"/>
      <w:spacing w:before="120" w:after="120"/>
      <w:ind w:firstLine="0" w:firstLineChars="0"/>
      <w:outlineLvl w:val="0"/>
    </w:pPr>
    <w:rPr>
      <w:b/>
      <w:bCs/>
      <w:color w:val="000000"/>
      <w:kern w:val="44"/>
      <w:sz w:val="28"/>
      <w:szCs w:val="30"/>
    </w:rPr>
  </w:style>
  <w:style w:type="paragraph" w:styleId="4">
    <w:name w:val="heading 2"/>
    <w:basedOn w:val="1"/>
    <w:next w:val="1"/>
    <w:link w:val="25"/>
    <w:qFormat/>
    <w:locked/>
    <w:uiPriority w:val="0"/>
    <w:pPr>
      <w:keepNext/>
      <w:keepLines/>
      <w:spacing w:before="120" w:after="120"/>
      <w:ind w:firstLine="0" w:firstLineChars="0"/>
      <w:outlineLvl w:val="1"/>
    </w:pPr>
    <w:rPr>
      <w:b/>
      <w:bCs/>
      <w:szCs w:val="32"/>
    </w:rPr>
  </w:style>
  <w:style w:type="paragraph" w:styleId="5">
    <w:name w:val="heading 3"/>
    <w:basedOn w:val="1"/>
    <w:next w:val="1"/>
    <w:link w:val="26"/>
    <w:qFormat/>
    <w:locked/>
    <w:uiPriority w:val="0"/>
    <w:pPr>
      <w:keepNext/>
      <w:keepLines/>
      <w:outlineLvl w:val="2"/>
    </w:pPr>
    <w:rPr>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locked/>
    <w:uiPriority w:val="0"/>
    <w:pPr>
      <w:spacing w:line="460" w:lineRule="atLeast"/>
      <w:ind w:firstLine="420"/>
    </w:pPr>
    <w:rPr>
      <w:szCs w:val="20"/>
    </w:rPr>
  </w:style>
  <w:style w:type="paragraph" w:styleId="6">
    <w:name w:val="caption"/>
    <w:basedOn w:val="1"/>
    <w:next w:val="1"/>
    <w:qFormat/>
    <w:locked/>
    <w:uiPriority w:val="35"/>
    <w:pPr>
      <w:ind w:firstLine="0" w:firstLineChars="0"/>
      <w:jc w:val="center"/>
    </w:pPr>
    <w:rPr>
      <w:b/>
      <w:szCs w:val="20"/>
    </w:rPr>
  </w:style>
  <w:style w:type="paragraph" w:styleId="7">
    <w:name w:val="annotation text"/>
    <w:basedOn w:val="1"/>
    <w:link w:val="27"/>
    <w:semiHidden/>
    <w:qFormat/>
    <w:uiPriority w:val="0"/>
    <w:pPr>
      <w:jc w:val="left"/>
    </w:pPr>
    <w:rPr>
      <w:kern w:val="0"/>
      <w:szCs w:val="20"/>
    </w:rPr>
  </w:style>
  <w:style w:type="paragraph" w:styleId="8">
    <w:name w:val="Body Text"/>
    <w:basedOn w:val="1"/>
    <w:link w:val="28"/>
    <w:qFormat/>
    <w:uiPriority w:val="0"/>
    <w:pPr>
      <w:widowControl/>
      <w:snapToGrid w:val="0"/>
      <w:spacing w:before="60" w:after="160" w:line="259" w:lineRule="auto"/>
      <w:ind w:right="113"/>
    </w:pPr>
    <w:rPr>
      <w:kern w:val="0"/>
      <w:sz w:val="18"/>
      <w:szCs w:val="20"/>
    </w:rPr>
  </w:style>
  <w:style w:type="paragraph" w:styleId="9">
    <w:name w:val="Body Text Indent"/>
    <w:basedOn w:val="1"/>
    <w:next w:val="1"/>
    <w:link w:val="29"/>
    <w:qFormat/>
    <w:uiPriority w:val="0"/>
    <w:pPr>
      <w:spacing w:after="120"/>
      <w:ind w:left="420" w:leftChars="200"/>
    </w:pPr>
    <w:rPr>
      <w:kern w:val="0"/>
      <w:szCs w:val="20"/>
    </w:rPr>
  </w:style>
  <w:style w:type="paragraph" w:styleId="10">
    <w:name w:val="Date"/>
    <w:basedOn w:val="1"/>
    <w:next w:val="1"/>
    <w:link w:val="30"/>
    <w:qFormat/>
    <w:uiPriority w:val="0"/>
    <w:pPr>
      <w:ind w:left="100" w:leftChars="2500"/>
    </w:pPr>
    <w:rPr>
      <w:kern w:val="0"/>
      <w:szCs w:val="20"/>
    </w:rPr>
  </w:style>
  <w:style w:type="paragraph" w:styleId="11">
    <w:name w:val="Body Text Indent 2"/>
    <w:basedOn w:val="1"/>
    <w:qFormat/>
    <w:locked/>
    <w:uiPriority w:val="0"/>
    <w:pPr>
      <w:ind w:left="105" w:firstLine="465"/>
    </w:pPr>
    <w:rPr>
      <w:rFonts w:ascii="Times New Roman" w:hAnsi="Times New Roman"/>
      <w:kern w:val="0"/>
      <w:sz w:val="28"/>
      <w:szCs w:val="20"/>
    </w:rPr>
  </w:style>
  <w:style w:type="paragraph" w:styleId="12">
    <w:name w:val="Balloon Text"/>
    <w:basedOn w:val="1"/>
    <w:link w:val="31"/>
    <w:semiHidden/>
    <w:qFormat/>
    <w:uiPriority w:val="0"/>
    <w:rPr>
      <w:kern w:val="0"/>
      <w:sz w:val="18"/>
      <w:szCs w:val="20"/>
    </w:rPr>
  </w:style>
  <w:style w:type="paragraph" w:styleId="13">
    <w:name w:val="footer"/>
    <w:basedOn w:val="1"/>
    <w:link w:val="32"/>
    <w:qFormat/>
    <w:uiPriority w:val="99"/>
    <w:pPr>
      <w:tabs>
        <w:tab w:val="center" w:pos="4153"/>
        <w:tab w:val="right" w:pos="8306"/>
      </w:tabs>
      <w:snapToGrid w:val="0"/>
      <w:jc w:val="left"/>
    </w:pPr>
    <w:rPr>
      <w:kern w:val="0"/>
      <w:sz w:val="18"/>
      <w:szCs w:val="20"/>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kern w:val="0"/>
      <w:sz w:val="18"/>
      <w:szCs w:val="20"/>
    </w:rPr>
  </w:style>
  <w:style w:type="paragraph" w:styleId="15">
    <w:name w:val="Normal (Web)"/>
    <w:basedOn w:val="1"/>
    <w:link w:val="34"/>
    <w:qFormat/>
    <w:uiPriority w:val="0"/>
    <w:pPr>
      <w:widowControl/>
      <w:spacing w:before="100" w:beforeAutospacing="1" w:after="100" w:afterAutospacing="1"/>
      <w:jc w:val="left"/>
    </w:pPr>
    <w:rPr>
      <w:rFonts w:ascii="宋体" w:hAnsi="宋体"/>
      <w:kern w:val="0"/>
      <w:szCs w:val="20"/>
    </w:rPr>
  </w:style>
  <w:style w:type="paragraph" w:styleId="16">
    <w:name w:val="annotation subject"/>
    <w:basedOn w:val="7"/>
    <w:next w:val="7"/>
    <w:link w:val="35"/>
    <w:semiHidden/>
    <w:qFormat/>
    <w:uiPriority w:val="0"/>
    <w:rPr>
      <w:b/>
    </w:rPr>
  </w:style>
  <w:style w:type="paragraph" w:styleId="17">
    <w:name w:val="Body Text First Indent 2"/>
    <w:basedOn w:val="9"/>
    <w:next w:val="1"/>
    <w:qFormat/>
    <w:locked/>
    <w:uiPriority w:val="0"/>
    <w:pPr>
      <w:widowControl w:val="0"/>
      <w:adjustRightInd/>
      <w:spacing w:after="120" w:line="240" w:lineRule="auto"/>
      <w:ind w:left="420" w:leftChars="200" w:firstLine="420" w:firstLineChars="200"/>
      <w:jc w:val="both"/>
      <w:textAlignment w:val="auto"/>
    </w:pPr>
    <w:rPr>
      <w:rFonts w:ascii="Times New Roman" w:hAnsi="Times New Roman"/>
      <w:kern w:val="2"/>
      <w:lang w:eastAsia="en-U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locked/>
    <w:uiPriority w:val="0"/>
  </w:style>
  <w:style w:type="character" w:styleId="22">
    <w:name w:val="annotation reference"/>
    <w:semiHidden/>
    <w:qFormat/>
    <w:uiPriority w:val="0"/>
    <w:rPr>
      <w:sz w:val="21"/>
    </w:rPr>
  </w:style>
  <w:style w:type="paragraph" w:customStyle="1" w:styleId="23">
    <w:name w:val="Default"/>
    <w:basedOn w:val="24"/>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4">
    <w:name w:val="1 表头"/>
    <w:basedOn w:val="1"/>
    <w:qFormat/>
    <w:uiPriority w:val="0"/>
    <w:pPr>
      <w:adjustRightInd w:val="0"/>
      <w:snapToGrid w:val="0"/>
      <w:spacing w:line="240" w:lineRule="auto"/>
      <w:ind w:firstLine="0" w:firstLineChars="0"/>
      <w:jc w:val="center"/>
    </w:pPr>
    <w:rPr>
      <w:b/>
      <w:color w:val="000000"/>
      <w:sz w:val="21"/>
      <w:szCs w:val="21"/>
    </w:rPr>
  </w:style>
  <w:style w:type="character" w:customStyle="1" w:styleId="25">
    <w:name w:val="标题 2 Char"/>
    <w:link w:val="4"/>
    <w:qFormat/>
    <w:uiPriority w:val="0"/>
    <w:rPr>
      <w:b/>
      <w:bCs/>
      <w:kern w:val="2"/>
      <w:sz w:val="24"/>
      <w:szCs w:val="32"/>
    </w:rPr>
  </w:style>
  <w:style w:type="character" w:customStyle="1" w:styleId="26">
    <w:name w:val="标题 3 Char"/>
    <w:link w:val="5"/>
    <w:qFormat/>
    <w:uiPriority w:val="0"/>
    <w:rPr>
      <w:bCs/>
      <w:kern w:val="2"/>
      <w:sz w:val="24"/>
      <w:szCs w:val="32"/>
    </w:rPr>
  </w:style>
  <w:style w:type="character" w:customStyle="1" w:styleId="27">
    <w:name w:val="批注文字 Char"/>
    <w:link w:val="7"/>
    <w:qFormat/>
    <w:locked/>
    <w:uiPriority w:val="0"/>
    <w:rPr>
      <w:rFonts w:ascii="Times New Roman" w:hAnsi="Times New Roman" w:eastAsia="宋体"/>
      <w:sz w:val="24"/>
    </w:rPr>
  </w:style>
  <w:style w:type="character" w:customStyle="1" w:styleId="28">
    <w:name w:val="正文文本 Char"/>
    <w:link w:val="8"/>
    <w:qFormat/>
    <w:locked/>
    <w:uiPriority w:val="0"/>
    <w:rPr>
      <w:sz w:val="18"/>
    </w:rPr>
  </w:style>
  <w:style w:type="character" w:customStyle="1" w:styleId="29">
    <w:name w:val="正文文本缩进 Char"/>
    <w:link w:val="9"/>
    <w:semiHidden/>
    <w:qFormat/>
    <w:locked/>
    <w:uiPriority w:val="0"/>
    <w:rPr>
      <w:rFonts w:ascii="Times New Roman" w:hAnsi="Times New Roman" w:eastAsia="宋体"/>
      <w:sz w:val="24"/>
    </w:rPr>
  </w:style>
  <w:style w:type="character" w:customStyle="1" w:styleId="30">
    <w:name w:val="日期 Char"/>
    <w:link w:val="10"/>
    <w:qFormat/>
    <w:locked/>
    <w:uiPriority w:val="0"/>
    <w:rPr>
      <w:rFonts w:ascii="Times New Roman" w:hAnsi="Times New Roman" w:eastAsia="宋体"/>
      <w:sz w:val="24"/>
    </w:rPr>
  </w:style>
  <w:style w:type="character" w:customStyle="1" w:styleId="31">
    <w:name w:val="批注框文本 Char"/>
    <w:link w:val="12"/>
    <w:semiHidden/>
    <w:qFormat/>
    <w:locked/>
    <w:uiPriority w:val="0"/>
    <w:rPr>
      <w:rFonts w:ascii="Times New Roman" w:hAnsi="Times New Roman" w:eastAsia="宋体"/>
      <w:sz w:val="18"/>
    </w:rPr>
  </w:style>
  <w:style w:type="character" w:customStyle="1" w:styleId="32">
    <w:name w:val="页脚 Char"/>
    <w:link w:val="13"/>
    <w:qFormat/>
    <w:locked/>
    <w:uiPriority w:val="99"/>
    <w:rPr>
      <w:sz w:val="18"/>
    </w:rPr>
  </w:style>
  <w:style w:type="character" w:customStyle="1" w:styleId="33">
    <w:name w:val="页眉 Char"/>
    <w:link w:val="14"/>
    <w:qFormat/>
    <w:locked/>
    <w:uiPriority w:val="0"/>
    <w:rPr>
      <w:sz w:val="18"/>
    </w:rPr>
  </w:style>
  <w:style w:type="character" w:customStyle="1" w:styleId="34">
    <w:name w:val="普通(网站) Char"/>
    <w:link w:val="15"/>
    <w:qFormat/>
    <w:locked/>
    <w:uiPriority w:val="0"/>
    <w:rPr>
      <w:rFonts w:ascii="宋体" w:hAnsi="宋体" w:eastAsia="宋体"/>
      <w:sz w:val="24"/>
    </w:rPr>
  </w:style>
  <w:style w:type="character" w:customStyle="1" w:styleId="35">
    <w:name w:val="批注主题 Char"/>
    <w:link w:val="16"/>
    <w:semiHidden/>
    <w:qFormat/>
    <w:locked/>
    <w:uiPriority w:val="0"/>
    <w:rPr>
      <w:rFonts w:ascii="Times New Roman" w:hAnsi="Times New Roman" w:eastAsia="宋体"/>
      <w:b/>
      <w:kern w:val="2"/>
      <w:sz w:val="24"/>
    </w:rPr>
  </w:style>
  <w:style w:type="character" w:customStyle="1" w:styleId="36">
    <w:name w:val="页脚 字符"/>
    <w:qFormat/>
    <w:uiPriority w:val="99"/>
  </w:style>
  <w:style w:type="character" w:customStyle="1" w:styleId="37">
    <w:name w:val="正文文本 字符1"/>
    <w:semiHidden/>
    <w:qFormat/>
    <w:uiPriority w:val="0"/>
    <w:rPr>
      <w:rFonts w:ascii="Times New Roman" w:hAnsi="Times New Roman" w:eastAsia="宋体"/>
      <w:sz w:val="24"/>
    </w:rPr>
  </w:style>
  <w:style w:type="character" w:customStyle="1" w:styleId="38">
    <w:name w:val="表格 Char"/>
    <w:link w:val="39"/>
    <w:qFormat/>
    <w:locked/>
    <w:uiPriority w:val="0"/>
    <w:rPr>
      <w:rFonts w:ascii="宋体"/>
      <w:sz w:val="21"/>
    </w:rPr>
  </w:style>
  <w:style w:type="paragraph" w:customStyle="1" w:styleId="39">
    <w:name w:val="表格"/>
    <w:basedOn w:val="1"/>
    <w:next w:val="1"/>
    <w:link w:val="38"/>
    <w:qFormat/>
    <w:uiPriority w:val="0"/>
    <w:pPr>
      <w:adjustRightInd w:val="0"/>
      <w:snapToGrid w:val="0"/>
      <w:spacing w:beforeLines="10" w:afterLines="10" w:line="259" w:lineRule="auto"/>
      <w:jc w:val="center"/>
    </w:pPr>
    <w:rPr>
      <w:rFonts w:ascii="宋体"/>
      <w:kern w:val="0"/>
      <w:szCs w:val="20"/>
    </w:rPr>
  </w:style>
  <w:style w:type="character" w:customStyle="1" w:styleId="40">
    <w:name w:val="日期 字符"/>
    <w:semiHidden/>
    <w:qFormat/>
    <w:uiPriority w:val="0"/>
    <w:rPr>
      <w:rFonts w:ascii="Times New Roman" w:hAnsi="Times New Roman" w:eastAsia="宋体"/>
      <w:sz w:val="24"/>
    </w:rPr>
  </w:style>
  <w:style w:type="character" w:customStyle="1" w:styleId="41">
    <w:name w:val="批注文字 字符1"/>
    <w:semiHidden/>
    <w:qFormat/>
    <w:uiPriority w:val="0"/>
    <w:rPr>
      <w:rFonts w:ascii="Times New Roman" w:hAnsi="Times New Roman" w:eastAsia="宋体"/>
      <w:sz w:val="24"/>
    </w:rPr>
  </w:style>
  <w:style w:type="paragraph" w:customStyle="1" w:styleId="42">
    <w:name w:val="普通(网站)2"/>
    <w:basedOn w:val="1"/>
    <w:qFormat/>
    <w:uiPriority w:val="0"/>
    <w:pPr>
      <w:widowControl/>
      <w:spacing w:before="100" w:beforeAutospacing="1" w:after="100" w:afterAutospacing="1"/>
      <w:jc w:val="left"/>
    </w:pPr>
    <w:rPr>
      <w:rFonts w:ascii="宋体" w:hAnsi="宋体"/>
      <w:szCs w:val="20"/>
    </w:rPr>
  </w:style>
  <w:style w:type="paragraph" w:customStyle="1" w:styleId="43">
    <w:name w:val="正文A"/>
    <w:basedOn w:val="44"/>
    <w:qFormat/>
    <w:uiPriority w:val="0"/>
    <w:pPr>
      <w:spacing w:line="500" w:lineRule="exact"/>
      <w:ind w:firstLine="480" w:firstLineChars="200"/>
    </w:pPr>
    <w:rPr>
      <w:rFonts w:ascii="Times New Roman" w:hAnsi="Times New Roman" w:cs="华文仿宋"/>
      <w:sz w:val="24"/>
      <w:szCs w:val="24"/>
    </w:rPr>
  </w:style>
  <w:style w:type="paragraph" w:customStyle="1" w:styleId="44">
    <w:name w:val="正文!!!!!!!!!!!"/>
    <w:basedOn w:val="45"/>
    <w:qFormat/>
    <w:uiPriority w:val="0"/>
    <w:pPr>
      <w:ind w:firstLine="480"/>
    </w:pPr>
    <w:rPr>
      <w:rFonts w:ascii="华文仿宋" w:hAnsi="华文仿宋" w:eastAsia="华文仿宋" w:cs="华文仿宋"/>
    </w:rPr>
  </w:style>
  <w:style w:type="paragraph" w:customStyle="1" w:styleId="45">
    <w:name w:val="正文 楷体"/>
    <w:basedOn w:val="1"/>
    <w:qFormat/>
    <w:uiPriority w:val="0"/>
    <w:pPr>
      <w:spacing w:line="500" w:lineRule="exact"/>
      <w:ind w:firstLine="200" w:firstLineChars="200"/>
    </w:pPr>
    <w:rPr>
      <w:rFonts w:ascii="楷体_GB2312" w:hAnsi="楷体_GB2312" w:eastAsia="楷体_GB2312" w:cs="宋体"/>
      <w:sz w:val="24"/>
      <w:szCs w:val="24"/>
    </w:rPr>
  </w:style>
  <w:style w:type="paragraph" w:customStyle="1" w:styleId="46">
    <w:name w:val="表内字"/>
    <w:basedOn w:val="1"/>
    <w:qFormat/>
    <w:uiPriority w:val="0"/>
    <w:pPr>
      <w:jc w:val="center"/>
    </w:pPr>
    <w:rPr>
      <w:rFonts w:ascii="Times New Roman" w:hAnsi="Times New Roman"/>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image" Target="media/image12.emf"/><Relationship Id="rId30" Type="http://schemas.openxmlformats.org/officeDocument/2006/relationships/oleObject" Target="embeddings/oleObject6.bin"/><Relationship Id="rId3" Type="http://schemas.openxmlformats.org/officeDocument/2006/relationships/footnotes" Target="footnotes.xml"/><Relationship Id="rId29" Type="http://schemas.openxmlformats.org/officeDocument/2006/relationships/image" Target="media/image11.wmf"/><Relationship Id="rId28" Type="http://schemas.openxmlformats.org/officeDocument/2006/relationships/oleObject" Target="embeddings/oleObject5.bin"/><Relationship Id="rId27" Type="http://schemas.openxmlformats.org/officeDocument/2006/relationships/image" Target="media/image10.wmf"/><Relationship Id="rId26" Type="http://schemas.openxmlformats.org/officeDocument/2006/relationships/oleObject" Target="embeddings/oleObject4.bin"/><Relationship Id="rId25" Type="http://schemas.openxmlformats.org/officeDocument/2006/relationships/oleObject" Target="embeddings/oleObject3.bin"/><Relationship Id="rId24" Type="http://schemas.openxmlformats.org/officeDocument/2006/relationships/image" Target="media/image9.wmf"/><Relationship Id="rId23" Type="http://schemas.openxmlformats.org/officeDocument/2006/relationships/oleObject" Target="embeddings/oleObject2.bin"/><Relationship Id="rId22" Type="http://schemas.openxmlformats.org/officeDocument/2006/relationships/image" Target="media/image8.wmf"/><Relationship Id="rId21" Type="http://schemas.openxmlformats.org/officeDocument/2006/relationships/oleObject" Target="embeddings/oleObject1.bin"/><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83</Pages>
  <Words>49712</Words>
  <Characters>56947</Characters>
  <Lines>250</Lines>
  <Paragraphs>70</Paragraphs>
  <TotalTime>1</TotalTime>
  <ScaleCrop>false</ScaleCrop>
  <LinksUpToDate>false</LinksUpToDate>
  <CharactersWithSpaces>57215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2021-05-05T17:25:00Z</dcterms:created>
  <dc:creator>lhj</dc:creator>
  <cp:lastModifiedBy>Administrator</cp:lastModifiedBy>
  <cp:lastPrinted>2022-01-20T09:50:00Z</cp:lastPrinted>
  <dcterms:modified xsi:type="dcterms:W3CDTF">2022-04-02T05:12:33Z</dcterms:modified>
  <dc:title>附件2</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A7682734C74D442D80B1BFCF4CC5478C</vt:lpwstr>
  </property>
  <property fmtid="{D5CDD505-2E9C-101B-9397-08002B2CF9AE}" pid="4" name="AMWinEqns">
    <vt:bool>true</vt:bool>
  </property>
</Properties>
</file>