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hint="eastAsia" w:eastAsia="仿宋_GB2312" w:cs="仿宋_GB2312"/>
          <w:sz w:val="36"/>
          <w:szCs w:val="36"/>
        </w:rPr>
      </w:pPr>
    </w:p>
    <w:p>
      <w:pPr>
        <w:spacing w:line="240" w:lineRule="auto"/>
        <w:ind w:firstLine="0" w:firstLineChars="0"/>
        <w:rPr>
          <w:rFonts w:eastAsia="仿宋_GB2312" w:cs="仿宋_GB2312"/>
          <w:sz w:val="36"/>
          <w:szCs w:val="36"/>
        </w:rPr>
      </w:pPr>
    </w:p>
    <w:p>
      <w:pPr>
        <w:spacing w:line="240" w:lineRule="auto"/>
        <w:ind w:firstLine="0" w:firstLineChars="0"/>
        <w:rPr>
          <w:rFonts w:eastAsia="仿宋_GB2312" w:cs="仿宋_GB2312"/>
          <w:sz w:val="36"/>
          <w:szCs w:val="36"/>
        </w:rPr>
      </w:pPr>
    </w:p>
    <w:p>
      <w:pPr>
        <w:spacing w:line="240" w:lineRule="auto"/>
        <w:ind w:firstLine="0" w:firstLineChars="0"/>
        <w:rPr>
          <w:rFonts w:eastAsia="仿宋_GB2312" w:cs="仿宋_GB2312"/>
          <w:sz w:val="36"/>
          <w:szCs w:val="36"/>
        </w:rPr>
      </w:pPr>
    </w:p>
    <w:p>
      <w:pPr>
        <w:spacing w:line="240" w:lineRule="auto"/>
        <w:ind w:firstLine="0" w:firstLineChars="0"/>
        <w:rPr>
          <w:rFonts w:eastAsia="仿宋_GB2312" w:cs="仿宋_GB2312"/>
          <w:sz w:val="36"/>
          <w:szCs w:val="36"/>
        </w:rPr>
      </w:pPr>
    </w:p>
    <w:p>
      <w:pPr>
        <w:adjustRightInd w:val="0"/>
        <w:snapToGrid w:val="0"/>
        <w:spacing w:line="240" w:lineRule="auto"/>
        <w:ind w:firstLine="0" w:firstLineChars="0"/>
        <w:jc w:val="center"/>
        <w:outlineLvl w:val="0"/>
        <w:rPr>
          <w:rFonts w:eastAsia="方正小标宋_GBK"/>
          <w:bCs/>
          <w:sz w:val="72"/>
          <w:szCs w:val="72"/>
        </w:rPr>
      </w:pPr>
      <w:r>
        <w:rPr>
          <w:rFonts w:hint="eastAsia" w:eastAsia="方正小标宋_GBK"/>
          <w:bCs/>
          <w:sz w:val="72"/>
          <w:szCs w:val="72"/>
        </w:rPr>
        <w:t>建设项目环境影响报告表</w:t>
      </w:r>
    </w:p>
    <w:p>
      <w:pPr>
        <w:adjustRightInd w:val="0"/>
        <w:snapToGrid w:val="0"/>
        <w:spacing w:before="192" w:beforeLines="80" w:line="240" w:lineRule="auto"/>
        <w:ind w:firstLine="0" w:firstLineChars="0"/>
        <w:jc w:val="center"/>
        <w:rPr>
          <w:rFonts w:eastAsia="楷体_GB2312"/>
          <w:bCs/>
          <w:sz w:val="48"/>
          <w:szCs w:val="48"/>
        </w:rPr>
      </w:pPr>
      <w:r>
        <w:rPr>
          <w:rFonts w:hint="eastAsia" w:eastAsia="楷体_GB2312"/>
          <w:bCs/>
          <w:sz w:val="48"/>
          <w:szCs w:val="48"/>
        </w:rPr>
        <w:t>（污染影响类）</w:t>
      </w:r>
    </w:p>
    <w:p>
      <w:pPr>
        <w:adjustRightInd w:val="0"/>
        <w:snapToGrid w:val="0"/>
        <w:spacing w:line="240" w:lineRule="auto"/>
        <w:ind w:firstLine="0" w:firstLineChars="0"/>
        <w:jc w:val="center"/>
        <w:outlineLvl w:val="0"/>
        <w:rPr>
          <w:rFonts w:eastAsia="华文仿宋" w:cs="华文仿宋"/>
          <w:kern w:val="44"/>
          <w:sz w:val="44"/>
          <w:szCs w:val="44"/>
        </w:rPr>
      </w:pPr>
    </w:p>
    <w:p>
      <w:pPr>
        <w:spacing w:line="240" w:lineRule="auto"/>
        <w:ind w:firstLine="0" w:firstLineChars="0"/>
        <w:jc w:val="center"/>
        <w:rPr>
          <w:rFonts w:eastAsia="仿宋"/>
          <w:sz w:val="52"/>
          <w:szCs w:val="52"/>
        </w:rPr>
      </w:pPr>
    </w:p>
    <w:p>
      <w:pPr>
        <w:spacing w:line="240" w:lineRule="auto"/>
        <w:ind w:firstLine="0" w:firstLineChars="0"/>
        <w:rPr>
          <w:rFonts w:eastAsia="仿宋"/>
          <w:sz w:val="44"/>
          <w:szCs w:val="44"/>
        </w:rPr>
      </w:pPr>
    </w:p>
    <w:p>
      <w:pPr>
        <w:spacing w:line="240" w:lineRule="auto"/>
        <w:ind w:firstLine="0" w:firstLineChars="0"/>
        <w:rPr>
          <w:rFonts w:eastAsia="仿宋"/>
          <w:sz w:val="44"/>
          <w:szCs w:val="44"/>
        </w:rPr>
      </w:pPr>
    </w:p>
    <w:p>
      <w:pPr>
        <w:spacing w:line="240" w:lineRule="auto"/>
        <w:ind w:firstLine="0" w:firstLineChars="0"/>
        <w:rPr>
          <w:rFonts w:eastAsia="仿宋"/>
          <w:sz w:val="44"/>
          <w:szCs w:val="44"/>
        </w:rPr>
      </w:pPr>
    </w:p>
    <w:p>
      <w:pPr>
        <w:spacing w:line="240" w:lineRule="auto"/>
        <w:ind w:firstLine="0" w:firstLineChars="0"/>
        <w:rPr>
          <w:rFonts w:eastAsia="仿宋"/>
          <w:sz w:val="44"/>
          <w:szCs w:val="44"/>
        </w:rPr>
      </w:pPr>
    </w:p>
    <w:p>
      <w:pPr>
        <w:adjustRightInd w:val="0"/>
        <w:snapToGrid w:val="0"/>
        <w:spacing w:line="288" w:lineRule="auto"/>
        <w:ind w:left="2340" w:leftChars="300" w:hanging="1620" w:hangingChars="450"/>
        <w:rPr>
          <w:rFonts w:hint="default" w:eastAsia="仿宋_GB2312"/>
          <w:sz w:val="36"/>
          <w:szCs w:val="36"/>
          <w:u w:val="single"/>
          <w:lang w:val="en-US" w:eastAsia="zh-CN"/>
        </w:rPr>
      </w:pPr>
      <w:r>
        <w:rPr>
          <w:rFonts w:hint="eastAsia" w:eastAsia="仿宋_GB2312"/>
          <w:sz w:val="36"/>
          <w:szCs w:val="36"/>
        </w:rPr>
        <w:t>项目名称：</w:t>
      </w:r>
      <w:r>
        <w:rPr>
          <w:rFonts w:hint="eastAsia" w:eastAsia="仿宋_GB2312"/>
          <w:sz w:val="36"/>
          <w:szCs w:val="36"/>
          <w:u w:val="single"/>
          <w:lang w:val="en-US" w:eastAsia="zh-CN"/>
        </w:rPr>
        <w:t>年产27000平方米装配式房屋水泥制品建设项目</w:t>
      </w:r>
    </w:p>
    <w:p>
      <w:pPr>
        <w:adjustRightInd w:val="0"/>
        <w:snapToGrid w:val="0"/>
        <w:spacing w:line="288" w:lineRule="auto"/>
        <w:ind w:firstLine="720"/>
        <w:rPr>
          <w:rFonts w:hint="default" w:eastAsia="仿宋_GB2312"/>
          <w:sz w:val="36"/>
          <w:szCs w:val="36"/>
          <w:u w:val="single"/>
          <w:lang w:val="en-US"/>
        </w:rPr>
      </w:pPr>
      <w:r>
        <w:rPr>
          <w:rFonts w:hint="eastAsia" w:eastAsia="仿宋_GB2312"/>
          <w:sz w:val="36"/>
          <w:szCs w:val="36"/>
        </w:rPr>
        <w:t>建设单位（盖章）：</w:t>
      </w:r>
      <w:r>
        <w:rPr>
          <w:rFonts w:hint="eastAsia" w:eastAsia="仿宋_GB2312"/>
          <w:sz w:val="36"/>
          <w:szCs w:val="36"/>
          <w:u w:val="single"/>
        </w:rPr>
        <w:t xml:space="preserve"> </w:t>
      </w:r>
      <w:r>
        <w:rPr>
          <w:rFonts w:hint="eastAsia" w:eastAsia="仿宋_GB2312"/>
          <w:sz w:val="36"/>
          <w:szCs w:val="36"/>
          <w:u w:val="single"/>
          <w:lang w:val="en-US" w:eastAsia="zh-CN"/>
        </w:rPr>
        <w:t xml:space="preserve"> </w:t>
      </w:r>
      <w:r>
        <w:rPr>
          <w:rFonts w:hint="eastAsia" w:eastAsia="仿宋_GB2312"/>
          <w:sz w:val="36"/>
          <w:szCs w:val="36"/>
          <w:u w:val="single"/>
          <w:lang w:eastAsia="zh-CN"/>
        </w:rPr>
        <w:t>新疆洪贵水泥制品有限公司</w:t>
      </w:r>
      <w:r>
        <w:rPr>
          <w:rFonts w:hint="eastAsia" w:eastAsia="仿宋_GB2312"/>
          <w:sz w:val="36"/>
          <w:szCs w:val="36"/>
          <w:u w:val="single"/>
          <w:lang w:val="en-US" w:eastAsia="zh-CN"/>
        </w:rPr>
        <w:t xml:space="preserve">  </w:t>
      </w:r>
    </w:p>
    <w:p>
      <w:pPr>
        <w:adjustRightInd w:val="0"/>
        <w:snapToGrid w:val="0"/>
        <w:spacing w:line="288" w:lineRule="auto"/>
        <w:ind w:firstLine="720"/>
        <w:rPr>
          <w:rFonts w:eastAsia="仿宋_GB2312"/>
          <w:sz w:val="36"/>
          <w:szCs w:val="36"/>
          <w:u w:val="single"/>
        </w:rPr>
      </w:pPr>
      <w:r>
        <w:rPr>
          <w:rFonts w:hint="eastAsia" w:eastAsia="仿宋_GB2312"/>
          <w:sz w:val="36"/>
          <w:szCs w:val="36"/>
        </w:rPr>
        <w:t>编制日期：</w:t>
      </w:r>
      <w:r>
        <w:rPr>
          <w:rFonts w:hint="eastAsia" w:eastAsia="仿宋_GB2312"/>
          <w:sz w:val="36"/>
          <w:szCs w:val="36"/>
          <w:u w:val="single"/>
        </w:rPr>
        <w:t xml:space="preserve"> </w:t>
      </w:r>
      <w:r>
        <w:rPr>
          <w:rFonts w:eastAsia="仿宋_GB2312"/>
          <w:sz w:val="36"/>
          <w:szCs w:val="36"/>
          <w:u w:val="single"/>
        </w:rPr>
        <w:t xml:space="preserve">   </w:t>
      </w:r>
      <w:r>
        <w:rPr>
          <w:rFonts w:hint="eastAsia" w:eastAsia="仿宋_GB2312"/>
          <w:sz w:val="36"/>
          <w:szCs w:val="36"/>
          <w:u w:val="single"/>
        </w:rPr>
        <w:t xml:space="preserve">    二</w:t>
      </w:r>
      <w:r>
        <w:rPr>
          <w:rFonts w:hint="eastAsia" w:cs="宋体"/>
          <w:sz w:val="36"/>
          <w:szCs w:val="36"/>
          <w:u w:val="single"/>
        </w:rPr>
        <w:t>〇二</w:t>
      </w:r>
      <w:r>
        <w:rPr>
          <w:rFonts w:hint="eastAsia" w:cs="宋体"/>
          <w:sz w:val="36"/>
          <w:szCs w:val="36"/>
          <w:u w:val="single"/>
          <w:lang w:eastAsia="zh-CN"/>
        </w:rPr>
        <w:t>二</w:t>
      </w:r>
      <w:r>
        <w:rPr>
          <w:rFonts w:hint="eastAsia" w:eastAsia="仿宋_GB2312"/>
          <w:sz w:val="36"/>
          <w:szCs w:val="36"/>
          <w:u w:val="single"/>
        </w:rPr>
        <w:t>年</w:t>
      </w:r>
      <w:r>
        <w:rPr>
          <w:rFonts w:hint="eastAsia" w:eastAsia="仿宋_GB2312"/>
          <w:sz w:val="36"/>
          <w:szCs w:val="36"/>
          <w:u w:val="single"/>
          <w:lang w:eastAsia="zh-CN"/>
        </w:rPr>
        <w:t>三</w:t>
      </w:r>
      <w:r>
        <w:rPr>
          <w:rFonts w:hint="eastAsia" w:eastAsia="仿宋_GB2312"/>
          <w:sz w:val="36"/>
          <w:szCs w:val="36"/>
          <w:u w:val="single"/>
        </w:rPr>
        <w:t>月</w:t>
      </w:r>
      <w:r>
        <w:rPr>
          <w:rFonts w:eastAsia="仿宋_GB2312"/>
          <w:sz w:val="36"/>
          <w:szCs w:val="36"/>
          <w:u w:val="single"/>
        </w:rPr>
        <w:t xml:space="preserve">     </w:t>
      </w:r>
      <w:r>
        <w:rPr>
          <w:rFonts w:hint="eastAsia" w:eastAsia="仿宋_GB2312"/>
          <w:sz w:val="36"/>
          <w:szCs w:val="36"/>
          <w:u w:val="single"/>
        </w:rPr>
        <w:t xml:space="preserve">    </w:t>
      </w:r>
      <w:r>
        <w:rPr>
          <w:rFonts w:eastAsia="仿宋_GB2312"/>
          <w:sz w:val="36"/>
          <w:szCs w:val="36"/>
          <w:u w:val="single"/>
        </w:rPr>
        <w:t xml:space="preserve"> </w:t>
      </w:r>
      <w:r>
        <w:rPr>
          <w:rFonts w:hint="eastAsia" w:eastAsia="仿宋_GB2312"/>
          <w:sz w:val="36"/>
          <w:szCs w:val="36"/>
          <w:u w:val="single"/>
          <w:lang w:val="en-US" w:eastAsia="zh-CN"/>
        </w:rPr>
        <w:t xml:space="preserve">  </w:t>
      </w:r>
      <w:r>
        <w:rPr>
          <w:rFonts w:eastAsia="仿宋_GB2312"/>
          <w:sz w:val="36"/>
          <w:szCs w:val="36"/>
          <w:u w:val="single"/>
        </w:rPr>
        <w:t xml:space="preserve"> </w:t>
      </w:r>
    </w:p>
    <w:p>
      <w:pPr>
        <w:adjustRightInd w:val="0"/>
        <w:snapToGrid w:val="0"/>
        <w:spacing w:line="240" w:lineRule="auto"/>
        <w:ind w:firstLine="0" w:firstLineChars="0"/>
        <w:rPr>
          <w:rFonts w:eastAsia="仿宋_GB2312"/>
          <w:sz w:val="36"/>
          <w:szCs w:val="36"/>
          <w:u w:val="single"/>
        </w:rPr>
      </w:pPr>
      <w:bookmarkStart w:id="0" w:name="_Hlk57884087"/>
    </w:p>
    <w:p>
      <w:pPr>
        <w:adjustRightInd w:val="0"/>
        <w:snapToGrid w:val="0"/>
        <w:spacing w:line="240" w:lineRule="auto"/>
        <w:ind w:firstLine="0" w:firstLineChars="0"/>
        <w:rPr>
          <w:rFonts w:eastAsia="仿宋_GB2312"/>
          <w:sz w:val="36"/>
          <w:szCs w:val="36"/>
        </w:rPr>
      </w:pPr>
    </w:p>
    <w:p>
      <w:pPr>
        <w:adjustRightInd w:val="0"/>
        <w:snapToGrid w:val="0"/>
        <w:spacing w:line="240" w:lineRule="auto"/>
        <w:ind w:firstLine="0" w:firstLineChars="0"/>
        <w:rPr>
          <w:rFonts w:eastAsia="仿宋_GB2312"/>
          <w:sz w:val="36"/>
          <w:szCs w:val="36"/>
        </w:rPr>
      </w:pPr>
    </w:p>
    <w:p>
      <w:pPr>
        <w:adjustRightInd w:val="0"/>
        <w:snapToGrid w:val="0"/>
        <w:spacing w:line="240" w:lineRule="auto"/>
        <w:ind w:firstLine="0" w:firstLineChars="0"/>
        <w:rPr>
          <w:rFonts w:eastAsia="仿宋_GB2312"/>
          <w:sz w:val="36"/>
          <w:szCs w:val="36"/>
        </w:rPr>
      </w:pPr>
    </w:p>
    <w:p>
      <w:pPr>
        <w:adjustRightInd w:val="0"/>
        <w:snapToGrid w:val="0"/>
        <w:spacing w:line="240" w:lineRule="auto"/>
        <w:ind w:firstLine="0" w:firstLineChars="0"/>
        <w:rPr>
          <w:rFonts w:eastAsia="仿宋_GB2312"/>
          <w:sz w:val="36"/>
          <w:szCs w:val="36"/>
        </w:rPr>
      </w:pPr>
    </w:p>
    <w:bookmarkEnd w:id="0"/>
    <w:p>
      <w:pPr>
        <w:adjustRightInd w:val="0"/>
        <w:snapToGrid w:val="0"/>
        <w:spacing w:line="240" w:lineRule="auto"/>
        <w:ind w:firstLine="0" w:firstLineChars="0"/>
        <w:jc w:val="center"/>
        <w:rPr>
          <w:rFonts w:eastAsia="楷体_GB2312"/>
          <w:sz w:val="36"/>
          <w:szCs w:val="36"/>
        </w:rPr>
      </w:pPr>
      <w:r>
        <w:rPr>
          <w:rFonts w:hint="eastAsia" w:eastAsia="楷体_GB2312"/>
          <w:sz w:val="36"/>
          <w:szCs w:val="36"/>
        </w:rPr>
        <w:t>中华人民共和国生态环境部制</w:t>
      </w:r>
    </w:p>
    <w:p>
      <w:pPr>
        <w:adjustRightInd w:val="0"/>
        <w:snapToGrid w:val="0"/>
        <w:spacing w:line="288" w:lineRule="auto"/>
        <w:ind w:firstLine="720"/>
        <w:rPr>
          <w:rFonts w:eastAsia="仿宋_GB2312"/>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titlePg/>
          <w:docGrid w:linePitch="326" w:charSpace="0"/>
        </w:sectPr>
      </w:pPr>
    </w:p>
    <w:p>
      <w:pPr>
        <w:adjustRightInd w:val="0"/>
        <w:snapToGrid w:val="0"/>
        <w:spacing w:line="288" w:lineRule="auto"/>
        <w:ind w:firstLine="720"/>
        <w:rPr>
          <w:rFonts w:eastAsia="仿宋_GB2312"/>
          <w:sz w:val="36"/>
          <w:szCs w:val="36"/>
        </w:rPr>
        <w:sectPr>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titlePg/>
          <w:docGrid w:linePitch="326" w:charSpace="0"/>
        </w:sectPr>
      </w:pPr>
    </w:p>
    <w:p>
      <w:pPr>
        <w:pStyle w:val="15"/>
        <w:spacing w:line="240" w:lineRule="auto"/>
        <w:ind w:firstLine="0" w:firstLineChars="0"/>
        <w:jc w:val="center"/>
        <w:outlineLvl w:val="0"/>
        <w:rPr>
          <w:rFonts w:ascii="Times New Roman" w:hAnsi="Times New Roman" w:eastAsia="黑体"/>
          <w:snapToGrid w:val="0"/>
          <w:sz w:val="30"/>
          <w:szCs w:val="30"/>
        </w:rPr>
      </w:pPr>
      <w:r>
        <w:rPr>
          <w:rFonts w:hint="eastAsia" w:ascii="Times New Roman" w:hAnsi="Times New Roman" w:eastAsia="黑体"/>
          <w:snapToGrid w:val="0"/>
          <w:sz w:val="30"/>
          <w:szCs w:val="30"/>
        </w:rPr>
        <w:t>一、建设项目基本情况</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68"/>
        <w:gridCol w:w="1312"/>
        <w:gridCol w:w="1939"/>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80" w:type="dxa"/>
            <w:gridSpan w:val="2"/>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建设项目名称</w:t>
            </w:r>
          </w:p>
        </w:tc>
        <w:tc>
          <w:tcPr>
            <w:tcW w:w="6790" w:type="dxa"/>
            <w:gridSpan w:val="3"/>
            <w:vAlign w:val="center"/>
          </w:tcPr>
          <w:p>
            <w:pPr>
              <w:adjustRightInd w:val="0"/>
              <w:snapToGrid w:val="0"/>
              <w:spacing w:line="240" w:lineRule="auto"/>
              <w:ind w:firstLine="0" w:firstLineChars="0"/>
              <w:jc w:val="center"/>
              <w:rPr>
                <w:rFonts w:hint="default" w:eastAsia="宋体" w:cs="宋体"/>
                <w:szCs w:val="21"/>
                <w:lang w:val="en-US" w:eastAsia="zh-CN"/>
              </w:rPr>
            </w:pPr>
            <w:r>
              <w:rPr>
                <w:rFonts w:hint="eastAsia" w:cs="宋体"/>
                <w:szCs w:val="21"/>
                <w:lang w:eastAsia="zh-CN"/>
              </w:rPr>
              <w:t>年产</w:t>
            </w:r>
            <w:r>
              <w:rPr>
                <w:rFonts w:hint="eastAsia" w:cs="宋体"/>
                <w:szCs w:val="21"/>
                <w:lang w:val="en-US" w:eastAsia="zh-CN"/>
              </w:rPr>
              <w:t>27000平方米装配式房屋水泥制品建设项目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80" w:type="dxa"/>
            <w:gridSpan w:val="2"/>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项目代码</w:t>
            </w:r>
          </w:p>
        </w:tc>
        <w:tc>
          <w:tcPr>
            <w:tcW w:w="6790" w:type="dxa"/>
            <w:gridSpan w:val="3"/>
            <w:vAlign w:val="center"/>
          </w:tcPr>
          <w:p>
            <w:pPr>
              <w:adjustRightInd w:val="0"/>
              <w:snapToGrid w:val="0"/>
              <w:spacing w:line="240" w:lineRule="auto"/>
              <w:ind w:firstLine="0" w:firstLineChars="0"/>
              <w:jc w:val="center"/>
              <w:rPr>
                <w:rFonts w:hint="default" w:eastAsia="宋体" w:cs="宋体"/>
                <w:szCs w:val="21"/>
                <w:lang w:val="en-US" w:eastAsia="zh-CN"/>
              </w:rPr>
            </w:pPr>
            <w:r>
              <w:rPr>
                <w:rFonts w:hint="eastAsia" w:cs="宋体"/>
                <w:szCs w:val="21"/>
                <w:lang w:val="en-US" w:eastAsia="zh-CN"/>
              </w:rPr>
              <w:t>2201-652312-04-01-312340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80" w:type="dxa"/>
            <w:gridSpan w:val="2"/>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建设单位联系人</w:t>
            </w:r>
          </w:p>
        </w:tc>
        <w:tc>
          <w:tcPr>
            <w:tcW w:w="1939" w:type="dxa"/>
            <w:vAlign w:val="center"/>
          </w:tcPr>
          <w:p>
            <w:pPr>
              <w:adjustRightInd w:val="0"/>
              <w:snapToGrid w:val="0"/>
              <w:spacing w:line="240" w:lineRule="auto"/>
              <w:ind w:firstLine="0" w:firstLineChars="0"/>
              <w:jc w:val="center"/>
              <w:rPr>
                <w:rFonts w:hint="eastAsia" w:eastAsia="宋体" w:cs="宋体"/>
                <w:szCs w:val="21"/>
                <w:lang w:eastAsia="zh-CN"/>
              </w:rPr>
            </w:pPr>
            <w:r>
              <w:rPr>
                <w:rFonts w:hint="eastAsia" w:cs="宋体"/>
                <w:szCs w:val="21"/>
                <w:lang w:eastAsia="zh-CN"/>
              </w:rPr>
              <w:t>杨希贵</w:t>
            </w:r>
          </w:p>
        </w:tc>
        <w:tc>
          <w:tcPr>
            <w:tcW w:w="2212" w:type="dxa"/>
            <w:vAlign w:val="center"/>
          </w:tcPr>
          <w:p>
            <w:pPr>
              <w:adjustRightInd w:val="0"/>
              <w:snapToGrid w:val="0"/>
              <w:spacing w:line="240" w:lineRule="auto"/>
              <w:ind w:firstLine="0" w:firstLineChars="0"/>
              <w:jc w:val="center"/>
              <w:rPr>
                <w:rFonts w:cs="宋体"/>
                <w:szCs w:val="21"/>
              </w:rPr>
            </w:pPr>
            <w:r>
              <w:rPr>
                <w:rFonts w:hint="eastAsia" w:cs="宋体"/>
                <w:szCs w:val="21"/>
              </w:rPr>
              <w:t>联系方式</w:t>
            </w:r>
          </w:p>
        </w:tc>
        <w:tc>
          <w:tcPr>
            <w:tcW w:w="2639" w:type="dxa"/>
            <w:vAlign w:val="center"/>
          </w:tcPr>
          <w:p>
            <w:pPr>
              <w:adjustRightInd w:val="0"/>
              <w:snapToGrid w:val="0"/>
              <w:spacing w:line="240" w:lineRule="auto"/>
              <w:ind w:firstLine="0" w:firstLineChars="0"/>
              <w:jc w:val="center"/>
              <w:rPr>
                <w:rFonts w:hint="default" w:eastAsia="宋体" w:cs="宋体"/>
                <w:szCs w:val="21"/>
                <w:lang w:val="en-US" w:eastAsia="zh-CN"/>
              </w:rPr>
            </w:pPr>
            <w:r>
              <w:rPr>
                <w:rFonts w:hint="eastAsia" w:cs="宋体"/>
                <w:szCs w:val="21"/>
                <w:lang w:val="en-US" w:eastAsia="zh-CN"/>
              </w:rPr>
              <w:t>13119949131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80" w:type="dxa"/>
            <w:gridSpan w:val="2"/>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建设地点</w:t>
            </w:r>
          </w:p>
        </w:tc>
        <w:tc>
          <w:tcPr>
            <w:tcW w:w="6790" w:type="dxa"/>
            <w:gridSpan w:val="3"/>
            <w:vAlign w:val="center"/>
          </w:tcPr>
          <w:p>
            <w:pPr>
              <w:adjustRightInd w:val="0"/>
              <w:snapToGrid w:val="0"/>
              <w:spacing w:line="240" w:lineRule="auto"/>
              <w:ind w:firstLine="0" w:firstLineChars="0"/>
              <w:jc w:val="center"/>
              <w:rPr>
                <w:rFonts w:hint="eastAsia" w:eastAsia="宋体" w:cs="宋体"/>
                <w:szCs w:val="21"/>
                <w:lang w:val="en-US" w:eastAsia="zh-CN"/>
              </w:rPr>
            </w:pPr>
            <w:r>
              <w:rPr>
                <w:rFonts w:hint="eastAsia" w:cs="宋体"/>
                <w:szCs w:val="21"/>
                <w:lang w:val="en-US" w:eastAsia="zh-CN"/>
              </w:rPr>
              <w:t>昌吉市高新区建材园区N-10块地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80" w:type="dxa"/>
            <w:gridSpan w:val="2"/>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地理坐标</w:t>
            </w:r>
          </w:p>
        </w:tc>
        <w:tc>
          <w:tcPr>
            <w:tcW w:w="6790" w:type="dxa"/>
            <w:gridSpan w:val="3"/>
            <w:vAlign w:val="center"/>
          </w:tcPr>
          <w:p>
            <w:pPr>
              <w:spacing w:line="240" w:lineRule="auto"/>
              <w:ind w:firstLine="0" w:firstLineChars="0"/>
              <w:jc w:val="center"/>
              <w:rPr>
                <w:rFonts w:cs="宋体"/>
                <w:szCs w:val="21"/>
              </w:rPr>
            </w:pPr>
            <w:r>
              <w:rPr>
                <w:rFonts w:hint="eastAsia" w:cs="宋体"/>
                <w:szCs w:val="21"/>
              </w:rPr>
              <w:t>（</w:t>
            </w:r>
            <w:r>
              <w:rPr>
                <w:rFonts w:cs="宋体"/>
                <w:szCs w:val="21"/>
                <w:u w:val="single"/>
              </w:rPr>
              <w:t xml:space="preserve"> 8</w:t>
            </w:r>
            <w:r>
              <w:rPr>
                <w:rFonts w:hint="eastAsia" w:cs="宋体"/>
                <w:szCs w:val="21"/>
                <w:u w:val="single"/>
              </w:rPr>
              <w:t>7</w:t>
            </w:r>
            <w:r>
              <w:rPr>
                <w:rFonts w:cs="宋体"/>
                <w:szCs w:val="21"/>
                <w:u w:val="single"/>
              </w:rPr>
              <w:t xml:space="preserve"> </w:t>
            </w:r>
            <w:r>
              <w:rPr>
                <w:rFonts w:hint="eastAsia" w:cs="宋体"/>
                <w:szCs w:val="21"/>
              </w:rPr>
              <w:t>度</w:t>
            </w:r>
            <w:r>
              <w:rPr>
                <w:rFonts w:cs="宋体"/>
                <w:szCs w:val="21"/>
                <w:u w:val="single"/>
              </w:rPr>
              <w:t xml:space="preserve"> </w:t>
            </w:r>
            <w:r>
              <w:rPr>
                <w:rFonts w:hint="eastAsia" w:cs="宋体"/>
                <w:szCs w:val="21"/>
                <w:u w:val="single"/>
                <w:lang w:val="en-US" w:eastAsia="zh-CN"/>
              </w:rPr>
              <w:t>0</w:t>
            </w:r>
            <w:r>
              <w:rPr>
                <w:rFonts w:hint="eastAsia" w:cs="宋体"/>
                <w:szCs w:val="21"/>
                <w:u w:val="single"/>
              </w:rPr>
              <w:t>8</w:t>
            </w:r>
            <w:r>
              <w:rPr>
                <w:rFonts w:cs="宋体"/>
                <w:szCs w:val="21"/>
                <w:u w:val="single"/>
              </w:rPr>
              <w:t xml:space="preserve"> </w:t>
            </w:r>
            <w:r>
              <w:rPr>
                <w:rFonts w:hint="eastAsia" w:cs="宋体"/>
                <w:szCs w:val="21"/>
              </w:rPr>
              <w:t>分</w:t>
            </w:r>
            <w:r>
              <w:rPr>
                <w:rFonts w:cs="宋体"/>
                <w:szCs w:val="21"/>
                <w:u w:val="single"/>
              </w:rPr>
              <w:t xml:space="preserve"> </w:t>
            </w:r>
            <w:r>
              <w:rPr>
                <w:rFonts w:hint="eastAsia" w:cs="宋体"/>
                <w:szCs w:val="21"/>
                <w:u w:val="single"/>
                <w:lang w:val="en-US" w:eastAsia="zh-CN"/>
              </w:rPr>
              <w:t>06</w:t>
            </w:r>
            <w:r>
              <w:rPr>
                <w:rFonts w:hint="eastAsia" w:cs="宋体"/>
                <w:szCs w:val="21"/>
                <w:u w:val="single"/>
              </w:rPr>
              <w:t>.</w:t>
            </w:r>
            <w:r>
              <w:rPr>
                <w:rFonts w:hint="eastAsia" w:cs="宋体"/>
                <w:szCs w:val="21"/>
                <w:u w:val="single"/>
                <w:lang w:val="en-US" w:eastAsia="zh-CN"/>
              </w:rPr>
              <w:t>200</w:t>
            </w:r>
            <w:r>
              <w:rPr>
                <w:rFonts w:cs="宋体"/>
                <w:szCs w:val="21"/>
                <w:u w:val="single"/>
              </w:rPr>
              <w:t xml:space="preserve"> </w:t>
            </w:r>
            <w:r>
              <w:rPr>
                <w:rFonts w:hint="eastAsia" w:cs="宋体"/>
                <w:szCs w:val="21"/>
              </w:rPr>
              <w:t>秒，</w:t>
            </w:r>
            <w:r>
              <w:rPr>
                <w:rFonts w:cs="宋体"/>
                <w:szCs w:val="21"/>
                <w:u w:val="single"/>
              </w:rPr>
              <w:t xml:space="preserve"> </w:t>
            </w:r>
            <w:r>
              <w:rPr>
                <w:rFonts w:hint="eastAsia" w:cs="宋体"/>
                <w:szCs w:val="21"/>
                <w:u w:val="single"/>
              </w:rPr>
              <w:t>44</w:t>
            </w:r>
            <w:r>
              <w:rPr>
                <w:rFonts w:cs="宋体"/>
                <w:szCs w:val="21"/>
                <w:u w:val="single"/>
              </w:rPr>
              <w:t xml:space="preserve"> </w:t>
            </w:r>
            <w:r>
              <w:rPr>
                <w:rFonts w:hint="eastAsia" w:cs="宋体"/>
                <w:szCs w:val="21"/>
              </w:rPr>
              <w:t>度</w:t>
            </w:r>
            <w:r>
              <w:rPr>
                <w:rFonts w:cs="宋体"/>
                <w:szCs w:val="21"/>
                <w:u w:val="single"/>
              </w:rPr>
              <w:t xml:space="preserve"> </w:t>
            </w:r>
            <w:r>
              <w:rPr>
                <w:rFonts w:hint="eastAsia" w:cs="宋体"/>
                <w:szCs w:val="21"/>
                <w:u w:val="single"/>
                <w:lang w:val="en-US" w:eastAsia="zh-CN"/>
              </w:rPr>
              <w:t>05</w:t>
            </w:r>
            <w:r>
              <w:rPr>
                <w:rFonts w:cs="宋体"/>
                <w:szCs w:val="21"/>
                <w:u w:val="single"/>
              </w:rPr>
              <w:t xml:space="preserve"> </w:t>
            </w:r>
            <w:r>
              <w:rPr>
                <w:rFonts w:hint="eastAsia" w:cs="宋体"/>
                <w:szCs w:val="21"/>
              </w:rPr>
              <w:t>分</w:t>
            </w:r>
            <w:r>
              <w:rPr>
                <w:rFonts w:cs="宋体"/>
                <w:szCs w:val="21"/>
                <w:u w:val="single"/>
              </w:rPr>
              <w:t xml:space="preserve"> </w:t>
            </w:r>
            <w:r>
              <w:rPr>
                <w:rFonts w:hint="eastAsia" w:cs="宋体"/>
                <w:szCs w:val="21"/>
                <w:u w:val="single"/>
                <w:lang w:val="en-US" w:eastAsia="zh-CN"/>
              </w:rPr>
              <w:t>19.606</w:t>
            </w:r>
            <w:r>
              <w:rPr>
                <w:rFonts w:cs="宋体"/>
                <w:szCs w:val="21"/>
                <w:u w:val="single"/>
              </w:rPr>
              <w:t xml:space="preserve"> </w:t>
            </w:r>
            <w:r>
              <w:rPr>
                <w:rFonts w:hint="eastAsia" w:cs="宋体"/>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080" w:type="dxa"/>
            <w:gridSpan w:val="2"/>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国民经济</w:t>
            </w:r>
          </w:p>
          <w:p>
            <w:pPr>
              <w:adjustRightInd w:val="0"/>
              <w:snapToGrid w:val="0"/>
              <w:spacing w:line="240" w:lineRule="auto"/>
              <w:ind w:firstLine="0" w:firstLineChars="0"/>
              <w:jc w:val="center"/>
              <w:rPr>
                <w:rFonts w:cs="宋体"/>
                <w:szCs w:val="21"/>
              </w:rPr>
            </w:pPr>
            <w:r>
              <w:rPr>
                <w:rFonts w:hint="eastAsia" w:cs="宋体"/>
                <w:szCs w:val="21"/>
              </w:rPr>
              <w:t>行业类别</w:t>
            </w:r>
          </w:p>
        </w:tc>
        <w:tc>
          <w:tcPr>
            <w:tcW w:w="1939" w:type="dxa"/>
            <w:vAlign w:val="center"/>
          </w:tcPr>
          <w:p>
            <w:pPr>
              <w:keepNext w:val="0"/>
              <w:keepLines w:val="0"/>
              <w:widowControl/>
              <w:suppressLineNumbers w:val="0"/>
              <w:ind w:left="0" w:leftChars="0" w:firstLine="0" w:firstLineChars="0"/>
              <w:jc w:val="center"/>
              <w:rPr>
                <w:rFonts w:hint="default" w:cs="宋体"/>
                <w:szCs w:val="21"/>
                <w:lang w:val="en-US" w:eastAsia="zh-CN"/>
              </w:rPr>
            </w:pPr>
            <w:r>
              <w:rPr>
                <w:rFonts w:hint="eastAsia" w:cs="宋体"/>
                <w:szCs w:val="21"/>
                <w:lang w:val="en-US" w:eastAsia="zh-CN"/>
              </w:rPr>
              <w:t>C3022</w:t>
            </w:r>
          </w:p>
          <w:p>
            <w:pPr>
              <w:keepNext w:val="0"/>
              <w:keepLines w:val="0"/>
              <w:widowControl/>
              <w:suppressLineNumbers w:val="0"/>
              <w:ind w:left="0" w:leftChars="0" w:firstLine="0" w:firstLineChars="0"/>
              <w:jc w:val="center"/>
              <w:rPr>
                <w:rFonts w:hint="default" w:eastAsia="宋体" w:cs="宋体"/>
                <w:szCs w:val="21"/>
                <w:lang w:val="en-US" w:eastAsia="zh-CN"/>
              </w:rPr>
            </w:pPr>
            <w:r>
              <w:rPr>
                <w:rFonts w:hint="eastAsia" w:ascii="宋体" w:hAnsi="宋体" w:eastAsia="宋体" w:cs="宋体"/>
                <w:color w:val="000000"/>
                <w:kern w:val="0"/>
                <w:sz w:val="24"/>
                <w:szCs w:val="24"/>
                <w:lang w:val="en-US" w:eastAsia="zh-CN" w:bidi="ar"/>
              </w:rPr>
              <w:t>砼</w:t>
            </w:r>
            <w:r>
              <w:rPr>
                <w:rFonts w:hint="eastAsia" w:ascii="宋体" w:hAnsi="宋体" w:cs="宋体"/>
                <w:color w:val="000000"/>
                <w:kern w:val="0"/>
                <w:sz w:val="24"/>
                <w:szCs w:val="24"/>
                <w:lang w:val="en-US" w:eastAsia="zh-CN" w:bidi="ar"/>
              </w:rPr>
              <w:t>结构构件制造</w:t>
            </w:r>
          </w:p>
        </w:tc>
        <w:tc>
          <w:tcPr>
            <w:tcW w:w="2212" w:type="dxa"/>
            <w:vAlign w:val="center"/>
          </w:tcPr>
          <w:p>
            <w:pPr>
              <w:adjustRightInd w:val="0"/>
              <w:snapToGrid w:val="0"/>
              <w:spacing w:line="240" w:lineRule="auto"/>
              <w:ind w:firstLine="0" w:firstLineChars="0"/>
              <w:jc w:val="center"/>
              <w:rPr>
                <w:rFonts w:cs="宋体"/>
                <w:szCs w:val="21"/>
              </w:rPr>
            </w:pPr>
            <w:bookmarkStart w:id="1" w:name="_Hlk49843745"/>
            <w:r>
              <w:rPr>
                <w:rFonts w:hint="eastAsia" w:cs="宋体"/>
                <w:szCs w:val="21"/>
              </w:rPr>
              <w:t>建设项目</w:t>
            </w:r>
          </w:p>
          <w:p>
            <w:pPr>
              <w:adjustRightInd w:val="0"/>
              <w:snapToGrid w:val="0"/>
              <w:spacing w:line="240" w:lineRule="auto"/>
              <w:ind w:firstLine="0" w:firstLineChars="0"/>
              <w:jc w:val="center"/>
              <w:rPr>
                <w:rFonts w:cs="宋体"/>
                <w:szCs w:val="21"/>
              </w:rPr>
            </w:pPr>
            <w:r>
              <w:rPr>
                <w:rFonts w:hint="eastAsia" w:cs="宋体"/>
                <w:szCs w:val="21"/>
              </w:rPr>
              <w:t>行业类别</w:t>
            </w:r>
            <w:bookmarkEnd w:id="1"/>
          </w:p>
        </w:tc>
        <w:tc>
          <w:tcPr>
            <w:tcW w:w="2639" w:type="dxa"/>
            <w:vAlign w:val="center"/>
          </w:tcPr>
          <w:p>
            <w:pPr>
              <w:adjustRightInd w:val="0"/>
              <w:snapToGrid w:val="0"/>
              <w:spacing w:line="240" w:lineRule="auto"/>
              <w:ind w:firstLine="0" w:firstLineChars="0"/>
              <w:rPr>
                <w:rFonts w:hint="eastAsia" w:eastAsia="宋体" w:cs="宋体"/>
                <w:szCs w:val="21"/>
                <w:lang w:val="en-US" w:eastAsia="zh-CN"/>
              </w:rPr>
            </w:pPr>
            <w:r>
              <w:rPr>
                <w:rFonts w:hint="eastAsia" w:cs="宋体"/>
                <w:szCs w:val="21"/>
                <w:lang w:val="en-US" w:eastAsia="zh-CN"/>
              </w:rPr>
              <w:t>二十七、非金属矿物制品业30</w:t>
            </w:r>
            <w:r>
              <w:rPr>
                <w:rFonts w:hint="eastAsia" w:cs="宋体"/>
                <w:szCs w:val="21"/>
              </w:rPr>
              <w:t>—</w:t>
            </w:r>
            <w:r>
              <w:rPr>
                <w:rFonts w:hint="eastAsia" w:cs="宋体"/>
                <w:szCs w:val="21"/>
                <w:lang w:val="en-US" w:eastAsia="zh-CN"/>
              </w:rPr>
              <w:t>55 石膏、水泥制品及类似制品制造302</w:t>
            </w:r>
            <w:r>
              <w:rPr>
                <w:rFonts w:hint="eastAsia" w:cs="宋体"/>
                <w:szCs w:val="21"/>
              </w:rPr>
              <w:t>—</w:t>
            </w:r>
            <w:r>
              <w:rPr>
                <w:rFonts w:hint="eastAsia" w:cs="宋体"/>
                <w:szCs w:val="21"/>
                <w:lang w:eastAsia="zh-CN"/>
              </w:rPr>
              <w:t>商品混凝土；</w:t>
            </w:r>
            <w:r>
              <w:rPr>
                <w:rFonts w:hint="eastAsia" w:ascii="宋体" w:hAnsi="宋体" w:eastAsia="宋体" w:cs="宋体"/>
                <w:color w:val="000000"/>
                <w:kern w:val="0"/>
                <w:sz w:val="24"/>
                <w:szCs w:val="24"/>
                <w:lang w:val="en-US" w:eastAsia="zh-CN" w:bidi="ar"/>
              </w:rPr>
              <w:t>砼</w:t>
            </w:r>
            <w:r>
              <w:rPr>
                <w:rFonts w:hint="eastAsia" w:ascii="宋体" w:hAnsi="宋体" w:cs="宋体"/>
                <w:color w:val="000000"/>
                <w:kern w:val="0"/>
                <w:sz w:val="24"/>
                <w:szCs w:val="24"/>
                <w:lang w:val="en-US" w:eastAsia="zh-CN" w:bidi="ar"/>
              </w:rPr>
              <w:t>结构构件制造；水泥制品制造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2080" w:type="dxa"/>
            <w:gridSpan w:val="2"/>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建设性质</w:t>
            </w:r>
          </w:p>
        </w:tc>
        <w:tc>
          <w:tcPr>
            <w:tcW w:w="1939" w:type="dxa"/>
            <w:vAlign w:val="center"/>
          </w:tcPr>
          <w:p>
            <w:pPr>
              <w:spacing w:line="240" w:lineRule="auto"/>
              <w:ind w:firstLine="0" w:firstLineChars="0"/>
              <w:jc w:val="left"/>
              <w:rPr>
                <w:rFonts w:cs="宋体"/>
                <w:szCs w:val="21"/>
              </w:rPr>
            </w:pPr>
            <w:r>
              <w:rPr>
                <w:rFonts w:hint="eastAsia" w:cs="宋体"/>
                <w:szCs w:val="21"/>
              </w:rPr>
              <w:sym w:font="Wingdings 2" w:char="F052"/>
            </w:r>
            <w:r>
              <w:rPr>
                <w:rFonts w:hint="eastAsia" w:cs="宋体"/>
                <w:szCs w:val="21"/>
              </w:rPr>
              <w:t>新建（迁建）</w:t>
            </w:r>
          </w:p>
          <w:p>
            <w:pPr>
              <w:spacing w:line="240" w:lineRule="auto"/>
              <w:ind w:firstLine="0" w:firstLineChars="0"/>
              <w:jc w:val="left"/>
              <w:rPr>
                <w:rFonts w:cs="宋体"/>
                <w:szCs w:val="21"/>
              </w:rPr>
            </w:pPr>
            <w:r>
              <w:rPr>
                <w:rFonts w:hint="eastAsia" w:cs="宋体"/>
                <w:szCs w:val="21"/>
              </w:rPr>
              <w:t>□改建</w:t>
            </w:r>
          </w:p>
          <w:p>
            <w:pPr>
              <w:spacing w:line="240" w:lineRule="auto"/>
              <w:ind w:firstLine="0" w:firstLineChars="0"/>
              <w:jc w:val="left"/>
              <w:rPr>
                <w:rFonts w:cs="宋体"/>
                <w:szCs w:val="21"/>
              </w:rPr>
            </w:pPr>
            <w:r>
              <w:rPr>
                <w:rFonts w:hint="eastAsia" w:cs="宋体"/>
                <w:szCs w:val="21"/>
              </w:rPr>
              <w:sym w:font="Wingdings 2" w:char="00A3"/>
            </w:r>
            <w:r>
              <w:rPr>
                <w:rFonts w:hint="eastAsia" w:cs="宋体"/>
                <w:szCs w:val="21"/>
              </w:rPr>
              <w:t>扩建</w:t>
            </w:r>
          </w:p>
          <w:p>
            <w:pPr>
              <w:spacing w:line="240" w:lineRule="auto"/>
              <w:ind w:firstLine="0" w:firstLineChars="0"/>
              <w:jc w:val="both"/>
              <w:rPr>
                <w:rFonts w:hint="eastAsia" w:eastAsia="宋体" w:cs="宋体"/>
                <w:szCs w:val="21"/>
                <w:lang w:eastAsia="zh-CN"/>
              </w:rPr>
            </w:pPr>
            <w:r>
              <w:rPr>
                <w:rFonts w:hint="eastAsia" w:cs="宋体"/>
                <w:szCs w:val="21"/>
              </w:rPr>
              <w:t>□技术改造</w:t>
            </w:r>
          </w:p>
        </w:tc>
        <w:tc>
          <w:tcPr>
            <w:tcW w:w="2212" w:type="dxa"/>
            <w:vAlign w:val="center"/>
          </w:tcPr>
          <w:p>
            <w:pPr>
              <w:adjustRightInd w:val="0"/>
              <w:snapToGrid w:val="0"/>
              <w:spacing w:line="240" w:lineRule="auto"/>
              <w:ind w:firstLine="0" w:firstLineChars="0"/>
              <w:jc w:val="center"/>
              <w:rPr>
                <w:rFonts w:cs="宋体"/>
                <w:szCs w:val="21"/>
              </w:rPr>
            </w:pPr>
            <w:r>
              <w:rPr>
                <w:rFonts w:hint="eastAsia" w:cs="宋体"/>
                <w:szCs w:val="21"/>
              </w:rPr>
              <w:t>建设项目</w:t>
            </w:r>
          </w:p>
          <w:p>
            <w:pPr>
              <w:adjustRightInd w:val="0"/>
              <w:snapToGrid w:val="0"/>
              <w:spacing w:line="240" w:lineRule="auto"/>
              <w:ind w:firstLine="0" w:firstLineChars="0"/>
              <w:jc w:val="center"/>
              <w:rPr>
                <w:rFonts w:cs="宋体"/>
                <w:szCs w:val="21"/>
              </w:rPr>
            </w:pPr>
            <w:r>
              <w:rPr>
                <w:rFonts w:hint="eastAsia" w:cs="宋体"/>
                <w:szCs w:val="21"/>
              </w:rPr>
              <w:t>申报情形</w:t>
            </w:r>
          </w:p>
        </w:tc>
        <w:tc>
          <w:tcPr>
            <w:tcW w:w="2639" w:type="dxa"/>
            <w:vAlign w:val="center"/>
          </w:tcPr>
          <w:p>
            <w:pPr>
              <w:spacing w:line="240" w:lineRule="auto"/>
              <w:ind w:firstLine="0" w:firstLineChars="0"/>
              <w:jc w:val="left"/>
              <w:rPr>
                <w:rFonts w:cs="宋体"/>
                <w:szCs w:val="21"/>
              </w:rPr>
            </w:pPr>
            <w:r>
              <w:rPr>
                <w:rFonts w:hint="eastAsia" w:cs="宋体"/>
                <w:szCs w:val="21"/>
              </w:rPr>
              <w:sym w:font="Wingdings 2" w:char="F052"/>
            </w:r>
            <w:r>
              <w:rPr>
                <w:rFonts w:hint="eastAsia" w:cs="宋体"/>
                <w:szCs w:val="21"/>
              </w:rPr>
              <w:t>首次申报项目</w:t>
            </w:r>
          </w:p>
          <w:p>
            <w:pPr>
              <w:spacing w:line="240" w:lineRule="auto"/>
              <w:ind w:firstLine="0" w:firstLineChars="0"/>
              <w:jc w:val="left"/>
              <w:rPr>
                <w:rFonts w:cs="宋体"/>
                <w:szCs w:val="21"/>
              </w:rPr>
            </w:pPr>
            <w:r>
              <w:rPr>
                <w:rFonts w:hint="eastAsia" w:cs="宋体"/>
                <w:szCs w:val="21"/>
              </w:rPr>
              <w:sym w:font="Wingdings 2" w:char="00A3"/>
            </w:r>
            <w:r>
              <w:rPr>
                <w:rFonts w:hint="eastAsia" w:cs="宋体"/>
                <w:szCs w:val="21"/>
              </w:rPr>
              <w:t>不予批准后再次申报项目</w:t>
            </w:r>
          </w:p>
          <w:p>
            <w:pPr>
              <w:spacing w:line="240" w:lineRule="auto"/>
              <w:ind w:firstLine="0" w:firstLineChars="0"/>
              <w:jc w:val="left"/>
              <w:rPr>
                <w:rFonts w:cs="宋体"/>
                <w:szCs w:val="21"/>
              </w:rPr>
            </w:pPr>
            <w:r>
              <w:rPr>
                <w:rFonts w:hint="eastAsia" w:cs="宋体"/>
                <w:szCs w:val="21"/>
              </w:rPr>
              <w:sym w:font="Wingdings 2" w:char="00A3"/>
            </w:r>
            <w:r>
              <w:rPr>
                <w:rFonts w:hint="eastAsia" w:cs="宋体"/>
                <w:szCs w:val="21"/>
              </w:rPr>
              <w:t>超五年重新审核项目</w:t>
            </w:r>
          </w:p>
          <w:p>
            <w:pPr>
              <w:spacing w:line="240" w:lineRule="auto"/>
              <w:ind w:firstLine="0" w:firstLineChars="0"/>
              <w:jc w:val="left"/>
              <w:rPr>
                <w:rFonts w:cs="宋体"/>
                <w:szCs w:val="21"/>
              </w:rPr>
            </w:pPr>
            <w:r>
              <w:rPr>
                <w:rFonts w:hint="eastAsia" w:cs="宋体"/>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080" w:type="dxa"/>
            <w:gridSpan w:val="2"/>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项目审批（核准</w:t>
            </w:r>
            <w:r>
              <w:rPr>
                <w:rFonts w:cs="宋体"/>
                <w:szCs w:val="21"/>
              </w:rPr>
              <w:t>/</w:t>
            </w:r>
          </w:p>
          <w:p>
            <w:pPr>
              <w:adjustRightInd w:val="0"/>
              <w:snapToGrid w:val="0"/>
              <w:spacing w:line="240" w:lineRule="auto"/>
              <w:ind w:firstLine="0" w:firstLineChars="0"/>
              <w:jc w:val="center"/>
              <w:rPr>
                <w:rFonts w:cs="宋体"/>
                <w:szCs w:val="21"/>
              </w:rPr>
            </w:pPr>
            <w:r>
              <w:rPr>
                <w:rFonts w:hint="eastAsia" w:cs="宋体"/>
                <w:szCs w:val="21"/>
              </w:rPr>
              <w:t>备案）部门（选填）</w:t>
            </w:r>
          </w:p>
        </w:tc>
        <w:tc>
          <w:tcPr>
            <w:tcW w:w="1939" w:type="dxa"/>
            <w:vAlign w:val="center"/>
          </w:tcPr>
          <w:p>
            <w:pPr>
              <w:adjustRightInd w:val="0"/>
              <w:snapToGrid w:val="0"/>
              <w:spacing w:line="240" w:lineRule="auto"/>
              <w:ind w:firstLine="0" w:firstLineChars="0"/>
              <w:jc w:val="center"/>
              <w:rPr>
                <w:rFonts w:cs="宋体"/>
                <w:szCs w:val="21"/>
              </w:rPr>
            </w:pPr>
            <w:r>
              <w:rPr>
                <w:rFonts w:hint="eastAsia" w:cs="宋体"/>
                <w:szCs w:val="21"/>
              </w:rPr>
              <w:t>昌吉高新技术产业开发区产业发展科技局</w:t>
            </w:r>
          </w:p>
        </w:tc>
        <w:tc>
          <w:tcPr>
            <w:tcW w:w="2212" w:type="dxa"/>
            <w:vAlign w:val="center"/>
          </w:tcPr>
          <w:p>
            <w:pPr>
              <w:adjustRightInd w:val="0"/>
              <w:snapToGrid w:val="0"/>
              <w:spacing w:line="240" w:lineRule="auto"/>
              <w:ind w:firstLine="0" w:firstLineChars="0"/>
              <w:jc w:val="center"/>
              <w:rPr>
                <w:rFonts w:cs="宋体"/>
                <w:szCs w:val="21"/>
              </w:rPr>
            </w:pPr>
            <w:r>
              <w:rPr>
                <w:rFonts w:hint="eastAsia" w:cs="宋体"/>
                <w:szCs w:val="21"/>
              </w:rPr>
              <w:t>项目审批（核准</w:t>
            </w:r>
            <w:r>
              <w:rPr>
                <w:rFonts w:cs="宋体"/>
                <w:szCs w:val="21"/>
              </w:rPr>
              <w:t>/</w:t>
            </w:r>
          </w:p>
          <w:p>
            <w:pPr>
              <w:adjustRightInd w:val="0"/>
              <w:snapToGrid w:val="0"/>
              <w:spacing w:line="240" w:lineRule="auto"/>
              <w:ind w:firstLine="0" w:firstLineChars="0"/>
              <w:jc w:val="center"/>
              <w:rPr>
                <w:rFonts w:cs="宋体"/>
                <w:szCs w:val="21"/>
              </w:rPr>
            </w:pPr>
            <w:r>
              <w:rPr>
                <w:rFonts w:hint="eastAsia" w:cs="宋体"/>
                <w:szCs w:val="21"/>
              </w:rPr>
              <w:t>备案）文号（选填）</w:t>
            </w:r>
          </w:p>
        </w:tc>
        <w:tc>
          <w:tcPr>
            <w:tcW w:w="2639" w:type="dxa"/>
            <w:vAlign w:val="center"/>
          </w:tcPr>
          <w:p>
            <w:pPr>
              <w:adjustRightInd w:val="0"/>
              <w:snapToGrid w:val="0"/>
              <w:spacing w:line="240" w:lineRule="auto"/>
              <w:ind w:firstLine="0" w:firstLineChars="0"/>
              <w:jc w:val="center"/>
              <w:rPr>
                <w:rFonts w:cs="宋体"/>
                <w:szCs w:val="21"/>
              </w:rPr>
            </w:pPr>
            <w:r>
              <w:rPr>
                <w:rFonts w:hint="eastAsia" w:cs="宋体"/>
                <w:szCs w:val="21"/>
              </w:rPr>
              <w:t>昌高产发[202</w:t>
            </w:r>
            <w:r>
              <w:rPr>
                <w:rFonts w:hint="eastAsia" w:cs="宋体"/>
                <w:szCs w:val="21"/>
                <w:lang w:val="en-US" w:eastAsia="zh-CN"/>
              </w:rPr>
              <w:t>2</w:t>
            </w:r>
            <w:r>
              <w:rPr>
                <w:rFonts w:hint="eastAsia" w:cs="宋体"/>
                <w:szCs w:val="21"/>
              </w:rPr>
              <w:t>]</w:t>
            </w:r>
            <w:r>
              <w:rPr>
                <w:rFonts w:hint="eastAsia" w:cs="宋体"/>
                <w:szCs w:val="21"/>
                <w:lang w:val="en-US" w:eastAsia="zh-CN"/>
              </w:rPr>
              <w:t>8</w:t>
            </w:r>
            <w:r>
              <w:rPr>
                <w:rFonts w:hint="eastAsia" w:cs="宋体"/>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80" w:type="dxa"/>
            <w:gridSpan w:val="2"/>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总投资（万元）</w:t>
            </w:r>
          </w:p>
        </w:tc>
        <w:tc>
          <w:tcPr>
            <w:tcW w:w="1939" w:type="dxa"/>
            <w:vAlign w:val="center"/>
          </w:tcPr>
          <w:p>
            <w:pPr>
              <w:adjustRightInd w:val="0"/>
              <w:snapToGrid w:val="0"/>
              <w:spacing w:line="240" w:lineRule="auto"/>
              <w:ind w:firstLine="0" w:firstLineChars="0"/>
              <w:jc w:val="center"/>
              <w:rPr>
                <w:rFonts w:cs="宋体"/>
                <w:szCs w:val="21"/>
              </w:rPr>
            </w:pPr>
            <w:r>
              <w:rPr>
                <w:rFonts w:hint="eastAsia" w:cs="宋体"/>
                <w:szCs w:val="21"/>
                <w:lang w:val="en-US" w:eastAsia="zh-CN"/>
              </w:rPr>
              <w:t>400</w:t>
            </w:r>
            <w:r>
              <w:rPr>
                <w:rFonts w:hint="eastAsia" w:cs="宋体"/>
                <w:szCs w:val="21"/>
              </w:rPr>
              <w:t>.00</w:t>
            </w:r>
          </w:p>
        </w:tc>
        <w:tc>
          <w:tcPr>
            <w:tcW w:w="2212" w:type="dxa"/>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环保投资（万元）</w:t>
            </w:r>
          </w:p>
        </w:tc>
        <w:tc>
          <w:tcPr>
            <w:tcW w:w="2639" w:type="dxa"/>
            <w:vAlign w:val="center"/>
          </w:tcPr>
          <w:p>
            <w:pPr>
              <w:adjustRightInd w:val="0"/>
              <w:snapToGrid w:val="0"/>
              <w:spacing w:line="240" w:lineRule="auto"/>
              <w:ind w:firstLine="0" w:firstLineChars="0"/>
              <w:jc w:val="center"/>
              <w:rPr>
                <w:rFonts w:hint="default" w:eastAsia="宋体" w:cs="宋体"/>
                <w:szCs w:val="21"/>
                <w:lang w:val="en-US" w:eastAsia="zh-CN"/>
              </w:rPr>
            </w:pPr>
            <w:r>
              <w:rPr>
                <w:rFonts w:hint="eastAsia" w:cs="宋体"/>
                <w:szCs w:val="21"/>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80" w:type="dxa"/>
            <w:gridSpan w:val="2"/>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环保投资占比（</w:t>
            </w:r>
            <w:r>
              <w:rPr>
                <w:rFonts w:cs="宋体"/>
                <w:szCs w:val="21"/>
              </w:rPr>
              <w:t>%</w:t>
            </w:r>
            <w:r>
              <w:rPr>
                <w:rFonts w:hint="eastAsia" w:cs="宋体"/>
                <w:szCs w:val="21"/>
              </w:rPr>
              <w:t>）</w:t>
            </w:r>
          </w:p>
        </w:tc>
        <w:tc>
          <w:tcPr>
            <w:tcW w:w="1939" w:type="dxa"/>
            <w:vAlign w:val="center"/>
          </w:tcPr>
          <w:p>
            <w:pPr>
              <w:adjustRightInd w:val="0"/>
              <w:snapToGrid w:val="0"/>
              <w:spacing w:line="240" w:lineRule="auto"/>
              <w:ind w:firstLine="0" w:firstLineChars="0"/>
              <w:jc w:val="center"/>
              <w:rPr>
                <w:rFonts w:hint="default" w:eastAsia="宋体" w:cs="宋体"/>
                <w:szCs w:val="21"/>
                <w:lang w:val="en-US" w:eastAsia="zh-CN"/>
              </w:rPr>
            </w:pPr>
            <w:r>
              <w:rPr>
                <w:rFonts w:hint="eastAsia" w:cs="宋体"/>
                <w:szCs w:val="21"/>
                <w:lang w:val="en-US" w:eastAsia="zh-CN"/>
              </w:rPr>
              <w:t>1.25%</w:t>
            </w:r>
          </w:p>
        </w:tc>
        <w:tc>
          <w:tcPr>
            <w:tcW w:w="2212" w:type="dxa"/>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施工工期</w:t>
            </w:r>
          </w:p>
        </w:tc>
        <w:tc>
          <w:tcPr>
            <w:tcW w:w="2639" w:type="dxa"/>
            <w:vAlign w:val="center"/>
          </w:tcPr>
          <w:p>
            <w:pPr>
              <w:adjustRightInd w:val="0"/>
              <w:snapToGrid w:val="0"/>
              <w:spacing w:line="240" w:lineRule="auto"/>
              <w:ind w:firstLine="0" w:firstLineChars="0"/>
              <w:jc w:val="center"/>
              <w:rPr>
                <w:rFonts w:hint="eastAsia" w:eastAsia="宋体" w:cs="宋体"/>
                <w:szCs w:val="21"/>
                <w:lang w:val="en-US" w:eastAsia="zh-CN"/>
              </w:rPr>
            </w:pPr>
            <w:r>
              <w:rPr>
                <w:rFonts w:hint="eastAsia" w:cs="宋体"/>
                <w:szCs w:val="21"/>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80" w:type="dxa"/>
            <w:gridSpan w:val="2"/>
            <w:tcMar>
              <w:top w:w="16" w:type="dxa"/>
              <w:left w:w="16" w:type="dxa"/>
              <w:right w:w="16" w:type="dxa"/>
            </w:tcMar>
            <w:vAlign w:val="center"/>
          </w:tcPr>
          <w:p>
            <w:pPr>
              <w:adjustRightInd w:val="0"/>
              <w:snapToGrid w:val="0"/>
              <w:spacing w:line="240" w:lineRule="auto"/>
              <w:ind w:firstLine="0" w:firstLineChars="0"/>
              <w:jc w:val="center"/>
              <w:rPr>
                <w:rFonts w:cs="宋体"/>
                <w:szCs w:val="21"/>
              </w:rPr>
            </w:pPr>
            <w:r>
              <w:rPr>
                <w:rFonts w:hint="eastAsia" w:cs="宋体"/>
                <w:szCs w:val="21"/>
              </w:rPr>
              <w:t>是否开工建设</w:t>
            </w:r>
          </w:p>
        </w:tc>
        <w:tc>
          <w:tcPr>
            <w:tcW w:w="1939" w:type="dxa"/>
            <w:vAlign w:val="center"/>
          </w:tcPr>
          <w:p>
            <w:pPr>
              <w:adjustRightInd w:val="0"/>
              <w:snapToGrid w:val="0"/>
              <w:spacing w:line="240" w:lineRule="auto"/>
              <w:ind w:firstLine="0" w:firstLineChars="0"/>
              <w:rPr>
                <w:rFonts w:cs="宋体"/>
                <w:szCs w:val="21"/>
              </w:rPr>
            </w:pPr>
            <w:r>
              <w:rPr>
                <w:rFonts w:hint="eastAsia" w:cs="宋体"/>
                <w:szCs w:val="21"/>
              </w:rPr>
              <w:sym w:font="Wingdings 2" w:char="0052"/>
            </w:r>
            <w:r>
              <w:rPr>
                <w:rFonts w:hint="eastAsia" w:cs="宋体"/>
                <w:szCs w:val="21"/>
              </w:rPr>
              <w:t>否</w:t>
            </w:r>
          </w:p>
          <w:p>
            <w:pPr>
              <w:adjustRightInd w:val="0"/>
              <w:snapToGrid w:val="0"/>
              <w:spacing w:line="240" w:lineRule="auto"/>
              <w:ind w:firstLine="0" w:firstLineChars="0"/>
              <w:rPr>
                <w:rFonts w:hint="eastAsia" w:cs="宋体"/>
                <w:spacing w:val="-6"/>
                <w:szCs w:val="21"/>
                <w:vertAlign w:val="baseline"/>
                <w:lang w:eastAsia="zh-CN"/>
              </w:rPr>
            </w:pPr>
            <w:r>
              <w:rPr>
                <w:rFonts w:hint="eastAsia" w:ascii="宋体" w:hAnsi="宋体" w:cs="宋体"/>
                <w:szCs w:val="21"/>
              </w:rPr>
              <w:sym w:font="Wingdings 2" w:char="00A3"/>
            </w:r>
            <w:r>
              <w:rPr>
                <w:rFonts w:hint="eastAsia" w:cs="宋体"/>
                <w:szCs w:val="21"/>
              </w:rPr>
              <w:t>是：</w:t>
            </w:r>
          </w:p>
        </w:tc>
        <w:tc>
          <w:tcPr>
            <w:tcW w:w="2212" w:type="dxa"/>
            <w:tcMar>
              <w:top w:w="16" w:type="dxa"/>
              <w:left w:w="16" w:type="dxa"/>
              <w:right w:w="16" w:type="dxa"/>
            </w:tcMar>
            <w:vAlign w:val="center"/>
          </w:tcPr>
          <w:p>
            <w:pPr>
              <w:adjustRightInd w:val="0"/>
              <w:snapToGrid w:val="0"/>
              <w:spacing w:line="240" w:lineRule="auto"/>
              <w:ind w:firstLine="0" w:firstLineChars="0"/>
              <w:jc w:val="center"/>
              <w:rPr>
                <w:rFonts w:cs="宋体"/>
                <w:spacing w:val="-6"/>
                <w:szCs w:val="21"/>
              </w:rPr>
            </w:pPr>
            <w:r>
              <w:rPr>
                <w:rFonts w:hint="eastAsia" w:cs="宋体"/>
                <w:spacing w:val="-6"/>
                <w:szCs w:val="21"/>
              </w:rPr>
              <w:t>用地（用海）</w:t>
            </w:r>
          </w:p>
          <w:p>
            <w:pPr>
              <w:adjustRightInd w:val="0"/>
              <w:snapToGrid w:val="0"/>
              <w:spacing w:line="240" w:lineRule="auto"/>
              <w:ind w:firstLine="0" w:firstLineChars="0"/>
              <w:jc w:val="center"/>
              <w:rPr>
                <w:rFonts w:cs="宋体"/>
                <w:szCs w:val="21"/>
              </w:rPr>
            </w:pPr>
            <w:r>
              <w:rPr>
                <w:rFonts w:hint="eastAsia" w:cs="宋体"/>
                <w:spacing w:val="-6"/>
                <w:szCs w:val="21"/>
              </w:rPr>
              <w:t>面积（</w:t>
            </w:r>
            <w:r>
              <w:rPr>
                <w:rFonts w:cs="宋体"/>
                <w:spacing w:val="-6"/>
                <w:szCs w:val="21"/>
              </w:rPr>
              <w:t>m</w:t>
            </w:r>
            <w:r>
              <w:rPr>
                <w:rFonts w:cs="宋体"/>
                <w:spacing w:val="-6"/>
                <w:szCs w:val="21"/>
                <w:vertAlign w:val="superscript"/>
              </w:rPr>
              <w:t>2</w:t>
            </w:r>
            <w:r>
              <w:rPr>
                <w:rFonts w:hint="eastAsia" w:cs="宋体"/>
                <w:spacing w:val="-6"/>
                <w:szCs w:val="21"/>
              </w:rPr>
              <w:t>）</w:t>
            </w:r>
          </w:p>
        </w:tc>
        <w:tc>
          <w:tcPr>
            <w:tcW w:w="2639" w:type="dxa"/>
            <w:vAlign w:val="center"/>
          </w:tcPr>
          <w:p>
            <w:pPr>
              <w:adjustRightInd w:val="0"/>
              <w:snapToGrid w:val="0"/>
              <w:spacing w:line="240" w:lineRule="auto"/>
              <w:ind w:firstLine="0" w:firstLineChars="0"/>
              <w:jc w:val="center"/>
              <w:rPr>
                <w:vertAlign w:val="superscript"/>
              </w:rPr>
            </w:pPr>
            <w:r>
              <w:rPr>
                <w:rFonts w:hint="default"/>
                <w:lang w:eastAsia="zh-CN"/>
              </w:rPr>
              <w:t>租用昌吉先导工程材料有限责任公司</w:t>
            </w:r>
            <w:r>
              <w:rPr>
                <w:rFonts w:hint="eastAsia"/>
                <w:lang w:eastAsia="zh-CN"/>
              </w:rPr>
              <w:t>东南侧空地，面积约</w:t>
            </w:r>
            <w:r>
              <w:rPr>
                <w:rFonts w:hint="eastAsia"/>
                <w:lang w:val="en-US" w:eastAsia="zh-CN"/>
              </w:rPr>
              <w:t>3300</w:t>
            </w:r>
            <w:r>
              <w:t>m</w:t>
            </w:r>
            <w:r>
              <w:rPr>
                <w:vertAlign w:val="superscript"/>
              </w:rPr>
              <w:t>2</w:t>
            </w:r>
          </w:p>
          <w:p>
            <w:pPr>
              <w:pStyle w:val="2"/>
              <w:ind w:left="0" w:leftChars="0" w:firstLine="0" w:firstLineChars="0"/>
              <w:rPr>
                <w:rFonts w:hint="default" w:eastAsia="宋体"/>
                <w:vertAlign w:val="baseline"/>
                <w:lang w:val="en-US" w:eastAsia="zh-CN"/>
              </w:rPr>
            </w:pPr>
            <w:r>
              <w:rPr>
                <w:rFonts w:hint="eastAsia"/>
                <w:vertAlign w:val="baseline"/>
                <w:lang w:val="en-US" w:eastAsia="zh-CN"/>
              </w:rPr>
              <w:t>新增用地面积：0</w:t>
            </w:r>
            <w:r>
              <w:rPr>
                <w:rFonts w:cs="宋体"/>
                <w:spacing w:val="-6"/>
                <w:szCs w:val="21"/>
              </w:rPr>
              <w:t>m</w:t>
            </w:r>
            <w:r>
              <w:rPr>
                <w:rFonts w:cs="宋体"/>
                <w:spacing w:val="-6"/>
                <w:szCs w:val="21"/>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68" w:type="dxa"/>
            <w:vAlign w:val="center"/>
          </w:tcPr>
          <w:p>
            <w:pPr>
              <w:autoSpaceDE w:val="0"/>
              <w:autoSpaceDN w:val="0"/>
              <w:adjustRightInd w:val="0"/>
              <w:snapToGrid w:val="0"/>
              <w:ind w:firstLine="0" w:firstLineChars="0"/>
              <w:jc w:val="center"/>
              <w:rPr>
                <w:rFonts w:cs="宋体"/>
                <w:kern w:val="0"/>
                <w:szCs w:val="21"/>
              </w:rPr>
            </w:pPr>
            <w:r>
              <w:rPr>
                <w:rFonts w:hint="eastAsia" w:cs="宋体"/>
                <w:kern w:val="0"/>
                <w:szCs w:val="21"/>
              </w:rPr>
              <w:t>专项评价设置情况</w:t>
            </w:r>
          </w:p>
        </w:tc>
        <w:tc>
          <w:tcPr>
            <w:tcW w:w="8102" w:type="dxa"/>
            <w:gridSpan w:val="4"/>
            <w:vAlign w:val="center"/>
          </w:tcPr>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 w:val="21"/>
                <w:szCs w:val="21"/>
              </w:rPr>
            </w:pPr>
            <w:r>
              <w:rPr>
                <w:rFonts w:hint="default" w:ascii="Times New Roman" w:hAnsi="Times New Roman" w:cs="Times New Roman" w:eastAsiaTheme="minorEastAsia"/>
                <w:sz w:val="21"/>
                <w:szCs w:val="21"/>
              </w:rPr>
              <w:t>表1  专项评价设置一览表</w:t>
            </w:r>
          </w:p>
          <w:tbl>
            <w:tblPr>
              <w:tblStyle w:val="18"/>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81"/>
              <w:gridCol w:w="5732"/>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 w:hRule="atLeast"/>
              </w:trPr>
              <w:tc>
                <w:tcPr>
                  <w:tcW w:w="75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专项评价的类别</w:t>
                  </w:r>
                </w:p>
              </w:tc>
              <w:tc>
                <w:tcPr>
                  <w:tcW w:w="363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设置原则</w:t>
                  </w:r>
                </w:p>
              </w:tc>
              <w:tc>
                <w:tcPr>
                  <w:tcW w:w="6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设置情况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 w:hRule="atLeast"/>
              </w:trPr>
              <w:tc>
                <w:tcPr>
                  <w:tcW w:w="750" w:type="pct"/>
                  <w:tcBorders>
                    <w:tl2br w:val="nil"/>
                    <w:tr2bl w:val="nil"/>
                  </w:tcBorders>
                  <w:vAlign w:val="center"/>
                </w:tcPr>
                <w:p>
                  <w:pPr>
                    <w:spacing w:line="240" w:lineRule="auto"/>
                    <w:ind w:firstLine="0" w:firstLineChars="0"/>
                    <w:jc w:val="center"/>
                    <w:rPr>
                      <w:sz w:val="21"/>
                      <w:szCs w:val="21"/>
                    </w:rPr>
                  </w:pPr>
                  <w:r>
                    <w:rPr>
                      <w:sz w:val="21"/>
                      <w:szCs w:val="21"/>
                    </w:rPr>
                    <w:t>大气</w:t>
                  </w:r>
                </w:p>
              </w:tc>
              <w:tc>
                <w:tcPr>
                  <w:tcW w:w="3638" w:type="pct"/>
                  <w:tcBorders>
                    <w:tl2br w:val="nil"/>
                    <w:tr2bl w:val="nil"/>
                  </w:tcBorders>
                  <w:vAlign w:val="center"/>
                </w:tcPr>
                <w:p>
                  <w:pPr>
                    <w:spacing w:line="240" w:lineRule="auto"/>
                    <w:ind w:firstLine="0" w:firstLineChars="0"/>
                    <w:jc w:val="left"/>
                    <w:rPr>
                      <w:sz w:val="21"/>
                      <w:szCs w:val="21"/>
                    </w:rPr>
                  </w:pPr>
                  <w:r>
                    <w:rPr>
                      <w:sz w:val="21"/>
                      <w:szCs w:val="21"/>
                    </w:rPr>
                    <w:t>排放废气含有毒有害污染物、二噁英、苯并[a]芘、氰化物、氯气且厂界外500</w:t>
                  </w:r>
                  <w:r>
                    <w:rPr>
                      <w:rFonts w:hint="eastAsia"/>
                      <w:sz w:val="21"/>
                      <w:szCs w:val="21"/>
                      <w:lang w:val="en-US" w:eastAsia="zh-CN"/>
                    </w:rPr>
                    <w:t>m</w:t>
                  </w:r>
                  <w:r>
                    <w:rPr>
                      <w:sz w:val="21"/>
                      <w:szCs w:val="21"/>
                    </w:rPr>
                    <w:t>范围内</w:t>
                  </w:r>
                  <w:r>
                    <w:rPr>
                      <w:rFonts w:hint="eastAsia"/>
                      <w:sz w:val="21"/>
                      <w:szCs w:val="21"/>
                      <w:lang w:eastAsia="zh-CN"/>
                    </w:rPr>
                    <w:t>无</w:t>
                  </w:r>
                  <w:r>
                    <w:rPr>
                      <w:sz w:val="21"/>
                      <w:szCs w:val="21"/>
                    </w:rPr>
                    <w:t>环境空气保护目标的建设项目</w:t>
                  </w:r>
                </w:p>
              </w:tc>
              <w:tc>
                <w:tcPr>
                  <w:tcW w:w="611" w:type="pct"/>
                  <w:tcBorders>
                    <w:tl2br w:val="nil"/>
                    <w:tr2bl w:val="nil"/>
                  </w:tcBorders>
                  <w:vAlign w:val="center"/>
                </w:tcPr>
                <w:p>
                  <w:pPr>
                    <w:spacing w:line="240" w:lineRule="auto"/>
                    <w:ind w:firstLine="0" w:firstLineChars="0"/>
                    <w:jc w:val="center"/>
                    <w:rPr>
                      <w:sz w:val="21"/>
                      <w:szCs w:val="21"/>
                    </w:rPr>
                  </w:pPr>
                  <w:r>
                    <w:rPr>
                      <w:rFonts w:hint="eastAsia"/>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 w:hRule="atLeast"/>
              </w:trPr>
              <w:tc>
                <w:tcPr>
                  <w:tcW w:w="750" w:type="pct"/>
                  <w:tcBorders>
                    <w:tl2br w:val="nil"/>
                    <w:tr2bl w:val="nil"/>
                  </w:tcBorders>
                  <w:vAlign w:val="center"/>
                </w:tcPr>
                <w:p>
                  <w:pPr>
                    <w:spacing w:line="240" w:lineRule="auto"/>
                    <w:ind w:firstLine="0" w:firstLineChars="0"/>
                    <w:jc w:val="center"/>
                    <w:rPr>
                      <w:sz w:val="21"/>
                      <w:szCs w:val="21"/>
                    </w:rPr>
                  </w:pPr>
                  <w:r>
                    <w:rPr>
                      <w:sz w:val="21"/>
                      <w:szCs w:val="21"/>
                    </w:rPr>
                    <w:t>地</w:t>
                  </w:r>
                  <w:r>
                    <w:rPr>
                      <w:rFonts w:hint="eastAsia"/>
                      <w:sz w:val="21"/>
                      <w:szCs w:val="21"/>
                    </w:rPr>
                    <w:t>表</w:t>
                  </w:r>
                  <w:r>
                    <w:rPr>
                      <w:sz w:val="21"/>
                      <w:szCs w:val="21"/>
                    </w:rPr>
                    <w:t>水</w:t>
                  </w:r>
                </w:p>
              </w:tc>
              <w:tc>
                <w:tcPr>
                  <w:tcW w:w="3638" w:type="pct"/>
                  <w:tcBorders>
                    <w:tl2br w:val="nil"/>
                    <w:tr2bl w:val="nil"/>
                  </w:tcBorders>
                  <w:vAlign w:val="center"/>
                </w:tcPr>
                <w:p>
                  <w:pPr>
                    <w:spacing w:line="240" w:lineRule="auto"/>
                    <w:ind w:firstLine="0" w:firstLineChars="0"/>
                    <w:jc w:val="left"/>
                    <w:rPr>
                      <w:sz w:val="21"/>
                      <w:szCs w:val="21"/>
                    </w:rPr>
                  </w:pPr>
                  <w:r>
                    <w:rPr>
                      <w:sz w:val="21"/>
                      <w:szCs w:val="21"/>
                    </w:rPr>
                    <w:t>新增工业废水直排建设项目（槽罐车外送污水处理厂的除外）；新增废水直排的污水集中处理厂</w:t>
                  </w:r>
                </w:p>
              </w:tc>
              <w:tc>
                <w:tcPr>
                  <w:tcW w:w="611" w:type="pct"/>
                  <w:tcBorders>
                    <w:tl2br w:val="nil"/>
                    <w:tr2bl w:val="nil"/>
                  </w:tcBorders>
                  <w:vAlign w:val="center"/>
                </w:tcPr>
                <w:p>
                  <w:pPr>
                    <w:spacing w:line="240" w:lineRule="auto"/>
                    <w:ind w:firstLine="0" w:firstLineChars="0"/>
                    <w:jc w:val="center"/>
                    <w:rPr>
                      <w:sz w:val="21"/>
                      <w:szCs w:val="21"/>
                    </w:rPr>
                  </w:pPr>
                  <w:r>
                    <w:rPr>
                      <w:rFonts w:hint="eastAsia"/>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 w:hRule="atLeast"/>
              </w:trPr>
              <w:tc>
                <w:tcPr>
                  <w:tcW w:w="750" w:type="pct"/>
                  <w:tcBorders>
                    <w:tl2br w:val="nil"/>
                    <w:tr2bl w:val="nil"/>
                  </w:tcBorders>
                  <w:vAlign w:val="center"/>
                </w:tcPr>
                <w:p>
                  <w:pPr>
                    <w:spacing w:line="240" w:lineRule="auto"/>
                    <w:ind w:firstLine="0" w:firstLineChars="0"/>
                    <w:jc w:val="center"/>
                    <w:rPr>
                      <w:sz w:val="21"/>
                      <w:szCs w:val="21"/>
                    </w:rPr>
                  </w:pPr>
                  <w:r>
                    <w:rPr>
                      <w:sz w:val="21"/>
                      <w:szCs w:val="21"/>
                    </w:rPr>
                    <w:t>环境风险</w:t>
                  </w:r>
                </w:p>
              </w:tc>
              <w:tc>
                <w:tcPr>
                  <w:tcW w:w="3638" w:type="pct"/>
                  <w:tcBorders>
                    <w:tl2br w:val="nil"/>
                    <w:tr2bl w:val="nil"/>
                  </w:tcBorders>
                  <w:vAlign w:val="center"/>
                </w:tcPr>
                <w:p>
                  <w:pPr>
                    <w:spacing w:line="240" w:lineRule="auto"/>
                    <w:ind w:firstLine="0" w:firstLineChars="0"/>
                    <w:jc w:val="left"/>
                    <w:rPr>
                      <w:sz w:val="21"/>
                      <w:szCs w:val="21"/>
                    </w:rPr>
                  </w:pPr>
                  <w:r>
                    <w:rPr>
                      <w:sz w:val="21"/>
                      <w:szCs w:val="21"/>
                    </w:rPr>
                    <w:t>有毒有害和易燃易爆危险物质存储量超过临界量的建设项目</w:t>
                  </w:r>
                </w:p>
              </w:tc>
              <w:tc>
                <w:tcPr>
                  <w:tcW w:w="611" w:type="pct"/>
                  <w:tcBorders>
                    <w:tl2br w:val="nil"/>
                    <w:tr2bl w:val="nil"/>
                  </w:tcBorders>
                  <w:vAlign w:val="center"/>
                </w:tcPr>
                <w:p>
                  <w:pPr>
                    <w:spacing w:line="240" w:lineRule="auto"/>
                    <w:ind w:firstLine="0" w:firstLineChars="0"/>
                    <w:jc w:val="center"/>
                    <w:rPr>
                      <w:sz w:val="21"/>
                      <w:szCs w:val="21"/>
                    </w:rPr>
                  </w:pPr>
                  <w:r>
                    <w:rPr>
                      <w:rFonts w:hint="eastAsia"/>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 w:hRule="atLeast"/>
              </w:trPr>
              <w:tc>
                <w:tcPr>
                  <w:tcW w:w="750" w:type="pct"/>
                  <w:tcBorders>
                    <w:tl2br w:val="nil"/>
                    <w:tr2bl w:val="nil"/>
                  </w:tcBorders>
                  <w:vAlign w:val="center"/>
                </w:tcPr>
                <w:p>
                  <w:pPr>
                    <w:spacing w:line="240" w:lineRule="auto"/>
                    <w:ind w:firstLine="0" w:firstLineChars="0"/>
                    <w:jc w:val="center"/>
                    <w:rPr>
                      <w:sz w:val="21"/>
                      <w:szCs w:val="21"/>
                    </w:rPr>
                  </w:pPr>
                  <w:r>
                    <w:rPr>
                      <w:sz w:val="21"/>
                      <w:szCs w:val="21"/>
                    </w:rPr>
                    <w:t>生态</w:t>
                  </w:r>
                </w:p>
              </w:tc>
              <w:tc>
                <w:tcPr>
                  <w:tcW w:w="3638" w:type="pct"/>
                  <w:tcBorders>
                    <w:tl2br w:val="nil"/>
                    <w:tr2bl w:val="nil"/>
                  </w:tcBorders>
                  <w:vAlign w:val="center"/>
                </w:tcPr>
                <w:p>
                  <w:pPr>
                    <w:spacing w:line="240" w:lineRule="auto"/>
                    <w:ind w:firstLine="0" w:firstLineChars="0"/>
                    <w:jc w:val="left"/>
                    <w:rPr>
                      <w:sz w:val="21"/>
                      <w:szCs w:val="21"/>
                    </w:rPr>
                  </w:pPr>
                  <w:r>
                    <w:rPr>
                      <w:sz w:val="21"/>
                      <w:szCs w:val="21"/>
                    </w:rPr>
                    <w:t>取水口下游500</w:t>
                  </w:r>
                  <w:r>
                    <w:rPr>
                      <w:rFonts w:hint="eastAsia"/>
                      <w:sz w:val="21"/>
                      <w:szCs w:val="21"/>
                      <w:lang w:val="en-US" w:eastAsia="zh-CN"/>
                    </w:rPr>
                    <w:t>m</w:t>
                  </w:r>
                  <w:r>
                    <w:rPr>
                      <w:sz w:val="21"/>
                      <w:szCs w:val="21"/>
                    </w:rPr>
                    <w:t>范围内有重要水生生物的自然产卵场、索饵场、越冬场和洄游通道的新增河道取水的污染类建设项目</w:t>
                  </w:r>
                </w:p>
              </w:tc>
              <w:tc>
                <w:tcPr>
                  <w:tcW w:w="611" w:type="pct"/>
                  <w:tcBorders>
                    <w:tl2br w:val="nil"/>
                    <w:tr2bl w:val="nil"/>
                  </w:tcBorders>
                  <w:vAlign w:val="center"/>
                </w:tcPr>
                <w:p>
                  <w:pPr>
                    <w:spacing w:line="240" w:lineRule="auto"/>
                    <w:ind w:firstLine="0" w:firstLineChars="0"/>
                    <w:jc w:val="center"/>
                    <w:rPr>
                      <w:sz w:val="21"/>
                      <w:szCs w:val="21"/>
                    </w:rPr>
                  </w:pPr>
                  <w:r>
                    <w:rPr>
                      <w:rFonts w:hint="eastAsia"/>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 w:hRule="atLeast"/>
              </w:trPr>
              <w:tc>
                <w:tcPr>
                  <w:tcW w:w="750" w:type="pct"/>
                  <w:tcBorders>
                    <w:tl2br w:val="nil"/>
                    <w:tr2bl w:val="nil"/>
                  </w:tcBorders>
                  <w:vAlign w:val="center"/>
                </w:tcPr>
                <w:p>
                  <w:pPr>
                    <w:spacing w:line="240" w:lineRule="auto"/>
                    <w:ind w:firstLine="0" w:firstLineChars="0"/>
                    <w:jc w:val="center"/>
                    <w:rPr>
                      <w:sz w:val="21"/>
                      <w:szCs w:val="21"/>
                    </w:rPr>
                  </w:pPr>
                  <w:r>
                    <w:rPr>
                      <w:sz w:val="21"/>
                      <w:szCs w:val="21"/>
                    </w:rPr>
                    <w:t>海洋</w:t>
                  </w:r>
                </w:p>
              </w:tc>
              <w:tc>
                <w:tcPr>
                  <w:tcW w:w="3638" w:type="pct"/>
                  <w:tcBorders>
                    <w:tl2br w:val="nil"/>
                    <w:tr2bl w:val="nil"/>
                  </w:tcBorders>
                  <w:vAlign w:val="center"/>
                </w:tcPr>
                <w:p>
                  <w:pPr>
                    <w:spacing w:line="240" w:lineRule="auto"/>
                    <w:ind w:firstLine="0" w:firstLineChars="0"/>
                    <w:jc w:val="left"/>
                    <w:rPr>
                      <w:sz w:val="21"/>
                      <w:szCs w:val="21"/>
                    </w:rPr>
                  </w:pPr>
                  <w:r>
                    <w:rPr>
                      <w:sz w:val="21"/>
                      <w:szCs w:val="21"/>
                    </w:rPr>
                    <w:t>直接向海排放污染物的海洋工程建设项目</w:t>
                  </w:r>
                </w:p>
              </w:tc>
              <w:tc>
                <w:tcPr>
                  <w:tcW w:w="611" w:type="pct"/>
                  <w:tcBorders>
                    <w:tl2br w:val="nil"/>
                    <w:tr2bl w:val="nil"/>
                  </w:tcBorders>
                  <w:vAlign w:val="center"/>
                </w:tcPr>
                <w:p>
                  <w:pPr>
                    <w:spacing w:line="240" w:lineRule="auto"/>
                    <w:ind w:firstLine="0" w:firstLineChars="0"/>
                    <w:jc w:val="center"/>
                    <w:rPr>
                      <w:sz w:val="21"/>
                      <w:szCs w:val="21"/>
                    </w:rPr>
                  </w:pPr>
                  <w:r>
                    <w:rPr>
                      <w:rFonts w:hint="eastAsia"/>
                      <w:sz w:val="21"/>
                      <w:szCs w:val="21"/>
                    </w:rPr>
                    <w:t>无</w:t>
                  </w:r>
                </w:p>
              </w:tc>
            </w:tr>
          </w:tbl>
          <w:p>
            <w:pPr>
              <w:autoSpaceDE w:val="0"/>
              <w:autoSpaceDN w:val="0"/>
              <w:adjustRightInd w:val="0"/>
              <w:snapToGrid w:val="0"/>
              <w:ind w:firstLine="0" w:firstLineChars="0"/>
              <w:jc w:val="both"/>
              <w:rPr>
                <w:rFonts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68" w:type="dxa"/>
            <w:vAlign w:val="center"/>
          </w:tcPr>
          <w:p>
            <w:pPr>
              <w:autoSpaceDE w:val="0"/>
              <w:autoSpaceDN w:val="0"/>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szCs w:val="21"/>
                <w:highlight w:val="none"/>
                <w14:textFill>
                  <w14:solidFill>
                    <w14:schemeClr w14:val="tx1"/>
                  </w14:solidFill>
                </w14:textFill>
              </w:rPr>
              <w:t>规划情况</w:t>
            </w:r>
          </w:p>
        </w:tc>
        <w:tc>
          <w:tcPr>
            <w:tcW w:w="8102" w:type="dxa"/>
            <w:gridSpan w:val="4"/>
            <w:vAlign w:val="center"/>
          </w:tcPr>
          <w:p>
            <w:pPr>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规划文件名称：《昌吉高新技术产业开发区总体规划（2014-2030年）》</w:t>
            </w:r>
          </w:p>
          <w:p>
            <w:pPr>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根据规划，昌吉高新技术产业开发区规划建设用地总面积5</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.0</w:t>
            </w:r>
            <w:r>
              <w:rPr>
                <w:rFonts w:hint="eastAsia"/>
                <w:color w:val="000000" w:themeColor="text1"/>
                <w:lang w:val="en-US" w:eastAsia="zh-CN"/>
                <w14:textFill>
                  <w14:solidFill>
                    <w14:schemeClr w14:val="tx1"/>
                  </w14:solidFill>
                </w14:textFill>
              </w:rPr>
              <w:t>0k</w:t>
            </w:r>
            <w:r>
              <w:rPr>
                <w:rFonts w:hint="eastAsia"/>
                <w:color w:val="000000" w:themeColor="text1"/>
                <w:sz w:val="21"/>
                <w:szCs w:val="21"/>
                <w14:textFill>
                  <w14:solidFill>
                    <w14:schemeClr w14:val="tx1"/>
                  </w14:solidFill>
                </w14:textFill>
              </w:rPr>
              <w:t>m</w:t>
            </w:r>
            <w:r>
              <w:rPr>
                <w:rFonts w:hint="eastAsia"/>
                <w:color w:val="000000" w:themeColor="text1"/>
                <w:sz w:val="21"/>
                <w:szCs w:val="21"/>
                <w:vertAlign w:val="superscript"/>
                <w14:textFill>
                  <w14:solidFill>
                    <w14:schemeClr w14:val="tx1"/>
                  </w14:solidFill>
                </w14:textFill>
              </w:rPr>
              <w:t>2</w:t>
            </w:r>
            <w:r>
              <w:rPr>
                <w:rFonts w:hint="eastAsia"/>
                <w:color w:val="000000" w:themeColor="text1"/>
                <w14:textFill>
                  <w14:solidFill>
                    <w14:schemeClr w14:val="tx1"/>
                  </w14:solidFill>
                </w14:textFill>
              </w:rPr>
              <w:t>。东到榆树沟镇行政边界，西到呼图壁边界，南到创新大道和乌奎高速路，北到S201省道和科兴路。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68" w:type="dxa"/>
            <w:vAlign w:val="center"/>
          </w:tcPr>
          <w:p>
            <w:pPr>
              <w:adjustRightInd w:val="0"/>
              <w:snapToGrid w:val="0"/>
              <w:ind w:firstLine="0" w:firstLineChars="0"/>
              <w:jc w:val="center"/>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规划环境影响</w:t>
            </w:r>
          </w:p>
          <w:p>
            <w:pPr>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szCs w:val="21"/>
                <w:highlight w:val="none"/>
                <w14:textFill>
                  <w14:solidFill>
                    <w14:schemeClr w14:val="tx1"/>
                  </w14:solidFill>
                </w14:textFill>
              </w:rPr>
              <w:t>评价情况</w:t>
            </w:r>
          </w:p>
        </w:tc>
        <w:tc>
          <w:tcPr>
            <w:tcW w:w="8102" w:type="dxa"/>
            <w:gridSpan w:val="4"/>
            <w:vAlign w:val="center"/>
          </w:tcPr>
          <w:p>
            <w:pPr>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规划环境影响评价文件名称：《昌吉高新技术产业开发区总体规划（2014-2030）环境影响报告书》</w:t>
            </w:r>
          </w:p>
          <w:p>
            <w:pPr>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召集审查机关：新疆维吾尔自治区</w:t>
            </w:r>
            <w:r>
              <w:rPr>
                <w:rFonts w:hint="eastAsia"/>
                <w:color w:val="000000" w:themeColor="text1"/>
                <w:lang w:eastAsia="zh-CN"/>
                <w14:textFill>
                  <w14:solidFill>
                    <w14:schemeClr w14:val="tx1"/>
                  </w14:solidFill>
                </w14:textFill>
              </w:rPr>
              <w:t>生态</w:t>
            </w:r>
            <w:r>
              <w:rPr>
                <w:rFonts w:hint="eastAsia"/>
                <w:color w:val="000000" w:themeColor="text1"/>
                <w14:textFill>
                  <w14:solidFill>
                    <w14:schemeClr w14:val="tx1"/>
                  </w14:solidFill>
                </w14:textFill>
              </w:rPr>
              <w:t>环境厅</w:t>
            </w:r>
          </w:p>
          <w:p>
            <w:pPr>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审查文件名称及文号：《新疆维吾尔自治区环境保护厅关于昌吉高新技术产业开发区总体规划（2014-2030）环境影响报告书的审查意见》（新环函[2015]306号）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68" w:type="dxa"/>
            <w:vAlign w:val="center"/>
          </w:tcPr>
          <w:p>
            <w:pPr>
              <w:autoSpaceDE w:val="0"/>
              <w:autoSpaceDN w:val="0"/>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规划及规划环境影响评价符合性分析</w:t>
            </w:r>
          </w:p>
        </w:tc>
        <w:tc>
          <w:tcPr>
            <w:tcW w:w="8102" w:type="dxa"/>
            <w:gridSpan w:val="4"/>
            <w:vAlign w:val="center"/>
          </w:tcPr>
          <w:p>
            <w:pPr>
              <w:keepNext w:val="0"/>
              <w:keepLines w:val="0"/>
              <w:pageBreakBefore w:val="0"/>
              <w:widowControl w:val="0"/>
              <w:kinsoku/>
              <w:wordWrap/>
              <w:overflowPunct/>
              <w:topLinePunct w:val="0"/>
              <w:autoSpaceDE/>
              <w:autoSpaceDN/>
              <w:bidi w:val="0"/>
              <w:adjustRightInd/>
              <w:snapToGrid w:val="0"/>
              <w:ind w:firstLine="48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根据《昌吉高新技术产业开发区总体规划（2014-2030年）》，昌吉高新技术产业开发区规划建设用地总面积5</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.0</w:t>
            </w:r>
            <w:r>
              <w:rPr>
                <w:rFonts w:hint="eastAsia"/>
                <w:color w:val="000000" w:themeColor="text1"/>
                <w:lang w:val="en-US" w:eastAsia="zh-CN"/>
                <w14:textFill>
                  <w14:solidFill>
                    <w14:schemeClr w14:val="tx1"/>
                  </w14:solidFill>
                </w14:textFill>
              </w:rPr>
              <w:t>0k</w:t>
            </w:r>
            <w:r>
              <w:rPr>
                <w:rFonts w:hint="eastAsia"/>
                <w:color w:val="000000" w:themeColor="text1"/>
                <w:sz w:val="21"/>
                <w:szCs w:val="21"/>
                <w14:textFill>
                  <w14:solidFill>
                    <w14:schemeClr w14:val="tx1"/>
                  </w14:solidFill>
                </w14:textFill>
              </w:rPr>
              <w:t>m</w:t>
            </w:r>
            <w:r>
              <w:rPr>
                <w:rFonts w:hint="eastAsia"/>
                <w:color w:val="000000" w:themeColor="text1"/>
                <w:sz w:val="21"/>
                <w:szCs w:val="21"/>
                <w:vertAlign w:val="superscript"/>
                <w14:textFill>
                  <w14:solidFill>
                    <w14:schemeClr w14:val="tx1"/>
                  </w14:solidFill>
                </w14:textFill>
              </w:rPr>
              <w:t>2</w:t>
            </w:r>
            <w:r>
              <w:rPr>
                <w:rFonts w:hint="eastAsia"/>
                <w:color w:val="000000" w:themeColor="text1"/>
                <w14:textFill>
                  <w14:solidFill>
                    <w14:schemeClr w14:val="tx1"/>
                  </w14:solidFill>
                </w14:textFill>
              </w:rPr>
              <w:t>，东到榆树沟镇行政边界，西到呼图壁边界，南到创新大道和乌奎高速路，北到S201省道和科兴路。本项目位于昌吉高新技术产业开发区总体规划（2014-2030年）所划定的范围内，土地属于昌吉高新技术产业开发区现规划的工业用地。</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园区发展定位：以装备制造业、新材料产业、生物科技和食品产业为主，配套现代服务业，将园区打造成全区重要先进制造业基地，昌吉州生产性服务业创新中心。园区划分为精细化工、工程机械装备制造业、综合产业园（管理服务、装备制造、建材加工）、新材料产业园（新型建材、节能环保材料）等分区。本项目生产的</w:t>
            </w:r>
            <w:r>
              <w:rPr>
                <w:rFonts w:hint="eastAsia"/>
                <w:color w:val="000000" w:themeColor="text1"/>
                <w:lang w:eastAsia="zh-CN"/>
                <w14:textFill>
                  <w14:solidFill>
                    <w14:schemeClr w14:val="tx1"/>
                  </w14:solidFill>
                </w14:textFill>
              </w:rPr>
              <w:t>装配式房屋水泥制品</w:t>
            </w:r>
            <w:r>
              <w:rPr>
                <w:rFonts w:hint="eastAsia"/>
                <w:color w:val="000000" w:themeColor="text1"/>
                <w14:textFill>
                  <w14:solidFill>
                    <w14:schemeClr w14:val="tx1"/>
                  </w14:solidFill>
                </w14:textFill>
              </w:rPr>
              <w:t>是节能环保建筑材料，产品具有</w:t>
            </w:r>
            <w:r>
              <w:rPr>
                <w:rFonts w:hint="eastAsia"/>
                <w:color w:val="000000" w:themeColor="text1"/>
                <w:lang w:eastAsia="zh-CN"/>
                <w14:textFill>
                  <w14:solidFill>
                    <w14:schemeClr w14:val="tx1"/>
                  </w14:solidFill>
                </w14:textFill>
              </w:rPr>
              <w:t>环保、</w:t>
            </w:r>
            <w:r>
              <w:rPr>
                <w:rFonts w:hint="eastAsia"/>
                <w:color w:val="000000" w:themeColor="text1"/>
                <w14:textFill>
                  <w14:solidFill>
                    <w14:schemeClr w14:val="tx1"/>
                  </w14:solidFill>
                </w14:textFill>
              </w:rPr>
              <w:t>节能、美观、轻便，能够回收利用的特点，本项目符合昌吉高新技术产业开发区相关要求，</w:t>
            </w:r>
            <w:r>
              <w:rPr>
                <w:rFonts w:hint="eastAsia"/>
                <w:color w:val="000000" w:themeColor="text1"/>
                <w:highlight w:val="none"/>
                <w14:textFill>
                  <w14:solidFill>
                    <w14:schemeClr w14:val="tx1"/>
                  </w14:solidFill>
                </w14:textFill>
              </w:rPr>
              <w:t>项目在园区</w:t>
            </w:r>
            <w:r>
              <w:rPr>
                <w:rFonts w:hint="eastAsia"/>
                <w:color w:val="000000" w:themeColor="text1"/>
                <w:highlight w:val="none"/>
                <w:lang w:eastAsia="zh-CN"/>
                <w14:textFill>
                  <w14:solidFill>
                    <w14:schemeClr w14:val="tx1"/>
                  </w14:solidFill>
                </w14:textFill>
              </w:rPr>
              <w:t>现状产业分区图的位置见附图</w:t>
            </w:r>
            <w:r>
              <w:rPr>
                <w:rFonts w:hint="eastAsia"/>
                <w:color w:val="000000" w:themeColor="text1"/>
                <w:highlight w:val="none"/>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根据《昌吉高新技术产业开发区总体规划（2014-2030年）》土地利用现状图（2013年），项目所在位置的土地性质为工业用地，项目的建设符合用地规定要求，项目土地利用在园区规划中的位置见附图</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color w:val="000000" w:themeColor="text1"/>
                <w14:textFill>
                  <w14:solidFill>
                    <w14:schemeClr w14:val="tx1"/>
                  </w14:solidFill>
                </w14:textFill>
              </w:rPr>
            </w:pPr>
            <w:r>
              <w:rPr>
                <w:rFonts w:hint="eastAsia"/>
                <w:color w:val="000000" w:themeColor="text1"/>
                <w:highlight w:val="none"/>
                <w14:textFill>
                  <w14:solidFill>
                    <w14:schemeClr w14:val="tx1"/>
                  </w14:solidFill>
                </w14:textFill>
              </w:rPr>
              <w:t>本项目用地，符合昌吉高新技术产业开发区土地利用规划，符合昌吉高新技术产业开发区产业定位、产业布局和用地规划。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68" w:type="dxa"/>
            <w:vAlign w:val="center"/>
          </w:tcPr>
          <w:p>
            <w:pPr>
              <w:autoSpaceDE w:val="0"/>
              <w:autoSpaceDN w:val="0"/>
              <w:adjustRightInd w:val="0"/>
              <w:snapToGrid w:val="0"/>
              <w:ind w:firstLine="0" w:firstLineChars="0"/>
              <w:jc w:val="center"/>
              <w:rPr>
                <w:rFonts w:cs="宋体"/>
                <w:color w:val="000000" w:themeColor="text1"/>
                <w:kern w:val="0"/>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其他符合性分析</w:t>
            </w:r>
          </w:p>
        </w:tc>
        <w:tc>
          <w:tcPr>
            <w:tcW w:w="8102" w:type="dxa"/>
            <w:gridSpan w:val="4"/>
            <w:vAlign w:val="center"/>
          </w:tcPr>
          <w:p>
            <w:pPr>
              <w:pStyle w:val="4"/>
              <w:pageBreakBefore w:val="0"/>
              <w:kinsoku/>
              <w:wordWrap/>
              <w:topLinePunct w:val="0"/>
              <w:autoSpaceDE/>
              <w:autoSpaceDN/>
              <w:bidi w:val="0"/>
              <w:adjustRightInd/>
              <w:snapToGrid w:val="0"/>
              <w:spacing w:before="0" w:after="0"/>
              <w:jc w:val="left"/>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1.1与《新疆维吾尔自治区“三线一单”生态环境分区管控方案》的符合性分析</w:t>
            </w:r>
          </w:p>
          <w:p>
            <w:pPr>
              <w:pageBreakBefore w:val="0"/>
              <w:kinsoku/>
              <w:wordWrap/>
              <w:topLinePunct w:val="0"/>
              <w:autoSpaceDE/>
              <w:autoSpaceDN/>
              <w:bidi w:val="0"/>
              <w:adjustRightInd/>
              <w:snapToGrid w:val="0"/>
              <w:ind w:firstLine="480"/>
              <w:jc w:val="left"/>
              <w:textAlignment w:val="auto"/>
              <w:rPr>
                <w:highlight w:val="none"/>
              </w:rPr>
            </w:pPr>
            <w:r>
              <w:rPr>
                <w:rFonts w:hint="eastAsia"/>
                <w:highlight w:val="none"/>
              </w:rPr>
              <w:t>根据《关于印发&lt;新疆维吾尔自治区“三线一单”生态环境分区管控方案&gt;的通知》（新政发[2021]18号），其主要</w:t>
            </w:r>
            <w:r>
              <w:rPr>
                <w:rFonts w:hint="eastAsia"/>
                <w:highlight w:val="none"/>
                <w:lang w:eastAsia="zh-CN"/>
              </w:rPr>
              <w:t>目标</w:t>
            </w:r>
            <w:r>
              <w:rPr>
                <w:rFonts w:hint="eastAsia"/>
                <w:highlight w:val="none"/>
              </w:rPr>
              <w:t>如下：</w:t>
            </w:r>
          </w:p>
          <w:p>
            <w:pPr>
              <w:pageBreakBefore w:val="0"/>
              <w:kinsoku/>
              <w:wordWrap/>
              <w:topLinePunct w:val="0"/>
              <w:autoSpaceDE/>
              <w:autoSpaceDN/>
              <w:bidi w:val="0"/>
              <w:adjustRightInd/>
              <w:snapToGrid w:val="0"/>
              <w:ind w:firstLine="480"/>
              <w:jc w:val="left"/>
              <w:textAlignment w:val="auto"/>
              <w:rPr>
                <w:highlight w:val="none"/>
              </w:rPr>
            </w:pPr>
            <w:r>
              <w:rPr>
                <w:rFonts w:hint="eastAsia"/>
                <w:highlight w:val="none"/>
              </w:rPr>
              <w:t>——到2025年，全区生态环境质量总体改善，环境风险得到有效管控。建立较为完善的生态环境分区管控体系与数据信息应用机制和共享系统，生态环境治理体系和治理能力现代化取得显著进展。</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highlight w:val="none"/>
              </w:rPr>
            </w:pPr>
            <w:r>
              <w:rPr>
                <w:rFonts w:hint="eastAsia"/>
                <w:highlight w:val="none"/>
              </w:rPr>
              <w:t>——生态保护红线</w:t>
            </w:r>
            <w:r>
              <w:rPr>
                <w:rFonts w:hint="eastAsia"/>
                <w:highlight w:val="none"/>
                <w:lang w:eastAsia="zh-CN"/>
              </w:rPr>
              <w:t>。</w:t>
            </w:r>
            <w:r>
              <w:rPr>
                <w:rFonts w:hint="eastAsia"/>
                <w:highlight w:val="none"/>
              </w:rPr>
              <w:t>按照“生态功能不降低、面积不减少、性质不改变”的基本要求，对划定的生态保护红线实施严格管控，保障和维护国家生态安全的底线和生命线。</w:t>
            </w:r>
          </w:p>
          <w:p>
            <w:pPr>
              <w:pageBreakBefore w:val="0"/>
              <w:kinsoku/>
              <w:wordWrap/>
              <w:topLinePunct w:val="0"/>
              <w:autoSpaceDE/>
              <w:autoSpaceDN/>
              <w:bidi w:val="0"/>
              <w:adjustRightInd/>
              <w:snapToGrid w:val="0"/>
              <w:ind w:firstLine="480"/>
              <w:jc w:val="left"/>
              <w:textAlignment w:val="auto"/>
              <w:rPr>
                <w:rFonts w:hint="eastAsia"/>
                <w:highlight w:val="none"/>
                <w:lang w:eastAsia="zh-CN"/>
              </w:rPr>
            </w:pPr>
            <w:r>
              <w:rPr>
                <w:rFonts w:hint="eastAsia"/>
                <w:highlight w:val="none"/>
              </w:rPr>
              <w:t>本项目位于昌吉高新技术产业开发区</w:t>
            </w:r>
            <w:r>
              <w:rPr>
                <w:rFonts w:hint="eastAsia"/>
                <w:highlight w:val="none"/>
                <w:lang w:eastAsia="zh-CN"/>
              </w:rPr>
              <w:t>建材区</w:t>
            </w:r>
            <w:r>
              <w:rPr>
                <w:rFonts w:hint="eastAsia"/>
                <w:highlight w:val="none"/>
              </w:rPr>
              <w:t>，</w:t>
            </w:r>
            <w:r>
              <w:rPr>
                <w:rFonts w:hint="eastAsia"/>
                <w:highlight w:val="none"/>
                <w:lang w:eastAsia="zh-CN"/>
              </w:rPr>
              <w:t>项目选址不涉及铁路、公路、航道、防洪、管道、干渠、通讯、输变电等重要基础设施。</w:t>
            </w:r>
            <w:r>
              <w:rPr>
                <w:rFonts w:hint="eastAsia"/>
                <w:highlight w:val="none"/>
              </w:rPr>
              <w:t>项目所在地周围无自然保护区、风景名胜区，同时不在生态保护红线管控范围内</w:t>
            </w:r>
            <w:r>
              <w:rPr>
                <w:rFonts w:hint="eastAsia"/>
                <w:highlight w:val="none"/>
                <w:lang w:eastAsia="zh-CN"/>
              </w:rPr>
              <w:t>，满足生态保护红线要求。</w:t>
            </w:r>
          </w:p>
          <w:p>
            <w:pPr>
              <w:pageBreakBefore w:val="0"/>
              <w:kinsoku/>
              <w:wordWrap/>
              <w:topLinePunct w:val="0"/>
              <w:autoSpaceDE/>
              <w:autoSpaceDN/>
              <w:bidi w:val="0"/>
              <w:adjustRightInd/>
              <w:snapToGrid w:val="0"/>
              <w:ind w:firstLine="480"/>
              <w:jc w:val="left"/>
              <w:textAlignment w:val="auto"/>
              <w:rPr>
                <w:highlight w:val="none"/>
              </w:rPr>
            </w:pPr>
            <w:r>
              <w:rPr>
                <w:rFonts w:hint="eastAsia"/>
                <w:highlight w:val="none"/>
              </w:rPr>
              <w:t>——环境质量底线</w:t>
            </w:r>
            <w:r>
              <w:rPr>
                <w:rFonts w:hint="eastAsia"/>
                <w:highlight w:val="none"/>
                <w:lang w:eastAsia="zh-CN"/>
              </w:rPr>
              <w:t>。</w:t>
            </w:r>
            <w:r>
              <w:rPr>
                <w:rFonts w:hint="eastAsia"/>
                <w:highlight w:val="none"/>
              </w:rPr>
              <w:t>全区水环境质量持续改善，受污染地表水体得到有效治理，饮用水安全保障水平持续提升，地下水超采得到严格控制，地下水水质保持稳定；全区环境空气质量有所提升，重污染天数持续减少，已达标城市环境空气质</w:t>
            </w:r>
            <w:r>
              <w:rPr>
                <w:rFonts w:hint="eastAsia"/>
                <w:highlight w:val="none"/>
                <w:lang w:eastAsia="zh-CN"/>
              </w:rPr>
              <w:t>量</w:t>
            </w:r>
            <w:r>
              <w:rPr>
                <w:rFonts w:hint="eastAsia"/>
                <w:highlight w:val="none"/>
              </w:rPr>
              <w:t>保持稳定，未达标城市环境空气质量持续改善，沙尘影响严重地区做好防风固沙、生态环境保护修复等工作；全区土壤环境质</w:t>
            </w:r>
            <w:r>
              <w:rPr>
                <w:rFonts w:hint="eastAsia"/>
                <w:highlight w:val="none"/>
                <w:lang w:eastAsia="zh-CN"/>
              </w:rPr>
              <w:t>量</w:t>
            </w:r>
            <w:r>
              <w:rPr>
                <w:rFonts w:hint="eastAsia"/>
                <w:highlight w:val="none"/>
              </w:rPr>
              <w:t>保持稳定，污染地块安全利用水平稳中有升，土壤环境风险得到进一步管控。</w:t>
            </w:r>
          </w:p>
          <w:p>
            <w:pPr>
              <w:pageBreakBefore w:val="0"/>
              <w:kinsoku/>
              <w:wordWrap/>
              <w:topLinePunct w:val="0"/>
              <w:autoSpaceDE/>
              <w:autoSpaceDN/>
              <w:bidi w:val="0"/>
              <w:adjustRightInd/>
              <w:snapToGrid w:val="0"/>
              <w:ind w:firstLine="480"/>
              <w:jc w:val="left"/>
              <w:textAlignment w:val="auto"/>
              <w:rPr>
                <w:highlight w:val="none"/>
              </w:rPr>
            </w:pPr>
            <w:r>
              <w:rPr>
                <w:rFonts w:hint="eastAsia"/>
                <w:highlight w:val="none"/>
              </w:rPr>
              <w:t>根据项目所在地环境现状调查和污染物排放影响</w:t>
            </w:r>
            <w:r>
              <w:rPr>
                <w:rFonts w:hint="eastAsia"/>
                <w:highlight w:val="none"/>
                <w:lang w:eastAsia="zh-CN"/>
              </w:rPr>
              <w:t>分析</w:t>
            </w:r>
            <w:r>
              <w:rPr>
                <w:rFonts w:hint="eastAsia"/>
                <w:highlight w:val="none"/>
              </w:rPr>
              <w:t>，本项目运营后对区域内环境影响较小，环境质量可以保持现有水平</w:t>
            </w:r>
            <w:r>
              <w:rPr>
                <w:rFonts w:hint="eastAsia"/>
                <w:highlight w:val="none"/>
                <w:lang w:eastAsia="zh-CN"/>
              </w:rPr>
              <w:t>。工程建设不会触及环境质量底线，满足环境质量标准，符合环境质量底线的要求。</w:t>
            </w:r>
          </w:p>
          <w:p>
            <w:pPr>
              <w:pageBreakBefore w:val="0"/>
              <w:kinsoku/>
              <w:wordWrap/>
              <w:topLinePunct w:val="0"/>
              <w:autoSpaceDE/>
              <w:autoSpaceDN/>
              <w:bidi w:val="0"/>
              <w:adjustRightInd/>
              <w:snapToGrid w:val="0"/>
              <w:ind w:firstLine="480"/>
              <w:jc w:val="left"/>
              <w:textAlignment w:val="auto"/>
              <w:rPr>
                <w:highlight w:val="none"/>
              </w:rPr>
            </w:pPr>
            <w:r>
              <w:rPr>
                <w:rFonts w:hint="eastAsia"/>
                <w:highlight w:val="none"/>
              </w:rPr>
              <w:t>——资源利用上线</w:t>
            </w:r>
            <w:r>
              <w:rPr>
                <w:rFonts w:hint="eastAsia"/>
                <w:highlight w:val="none"/>
                <w:lang w:eastAsia="zh-CN"/>
              </w:rPr>
              <w:t>。</w:t>
            </w:r>
            <w:r>
              <w:rPr>
                <w:rFonts w:hint="eastAsia"/>
                <w:highlight w:val="none"/>
              </w:rPr>
              <w:t>强化节约集约利用，持续提升资源能源利用效率，水资源、土地资源、能源消耗等达到国家、自治区下达的总量和强度控制目标。加快区域低碳发展，积极推动乌鲁木齐市、昌吉市、伊宁市、和田市等4个国家级低碳试点城市发挥低碳试点示范和引领作用。</w:t>
            </w:r>
          </w:p>
          <w:p>
            <w:pPr>
              <w:pageBreakBefore w:val="0"/>
              <w:kinsoku/>
              <w:wordWrap/>
              <w:topLinePunct w:val="0"/>
              <w:autoSpaceDE/>
              <w:autoSpaceDN/>
              <w:bidi w:val="0"/>
              <w:adjustRightInd/>
              <w:snapToGrid w:val="0"/>
              <w:ind w:firstLine="480"/>
              <w:jc w:val="left"/>
              <w:textAlignment w:val="auto"/>
              <w:rPr>
                <w:rFonts w:hint="eastAsia"/>
                <w:highlight w:val="none"/>
                <w:lang w:eastAsia="zh-CN"/>
              </w:rPr>
            </w:pPr>
            <w:r>
              <w:rPr>
                <w:rFonts w:hint="eastAsia"/>
                <w:highlight w:val="none"/>
              </w:rPr>
              <w:t>本项目</w:t>
            </w:r>
            <w:r>
              <w:rPr>
                <w:rFonts w:hint="eastAsia"/>
                <w:highlight w:val="none"/>
                <w:lang w:eastAsia="zh-CN"/>
              </w:rPr>
              <w:t>利用租赁场地进行建设，占地面积为</w:t>
            </w:r>
            <w:r>
              <w:rPr>
                <w:rFonts w:hint="eastAsia"/>
                <w:highlight w:val="none"/>
                <w:lang w:val="en-US" w:eastAsia="zh-CN"/>
              </w:rPr>
              <w:t>3300m</w:t>
            </w:r>
            <w:r>
              <w:rPr>
                <w:rFonts w:hint="eastAsia"/>
                <w:highlight w:val="none"/>
                <w:vertAlign w:val="superscript"/>
                <w:lang w:val="en-US" w:eastAsia="zh-CN"/>
              </w:rPr>
              <w:t>2</w:t>
            </w:r>
            <w:r>
              <w:rPr>
                <w:rFonts w:hint="eastAsia"/>
                <w:highlight w:val="none"/>
                <w:lang w:val="en-US" w:eastAsia="zh-CN"/>
              </w:rPr>
              <w:t>，该地块为建设用地，原昌吉市国土资源局出具了用地审查意见。本项目消耗一定量的电、水等资源，能源利用均在区域供水、供电负荷范围内，能源消耗均未超出区域负荷上限。</w:t>
            </w:r>
          </w:p>
          <w:p>
            <w:pPr>
              <w:pageBreakBefore w:val="0"/>
              <w:kinsoku/>
              <w:wordWrap/>
              <w:topLinePunct w:val="0"/>
              <w:autoSpaceDE/>
              <w:autoSpaceDN/>
              <w:bidi w:val="0"/>
              <w:adjustRightInd/>
              <w:snapToGrid w:val="0"/>
              <w:ind w:firstLine="480"/>
              <w:jc w:val="left"/>
              <w:textAlignment w:val="auto"/>
              <w:rPr>
                <w:rFonts w:hint="eastAsia"/>
                <w:highlight w:val="none"/>
              </w:rPr>
            </w:pPr>
            <w:r>
              <w:rPr>
                <w:rFonts w:hint="eastAsia"/>
                <w:highlight w:val="none"/>
              </w:rPr>
              <w:t>综上，本项目的建设符合《新疆维吾尔自治区“三线一单”生态环境分区管控方案》的相关规定。本项目在新疆维吾尔自治区环境管控单元图中的位置见附图</w:t>
            </w:r>
            <w:r>
              <w:rPr>
                <w:rFonts w:hint="eastAsia"/>
                <w:highlight w:val="none"/>
                <w:lang w:val="en-US" w:eastAsia="zh-CN"/>
              </w:rPr>
              <w:t>3</w:t>
            </w:r>
            <w:r>
              <w:rPr>
                <w:rFonts w:hint="eastAsia"/>
                <w:highlight w:val="none"/>
              </w:rPr>
              <w:t>。</w:t>
            </w:r>
          </w:p>
          <w:p>
            <w:pPr>
              <w:pStyle w:val="4"/>
              <w:pageBreakBefore w:val="0"/>
              <w:kinsoku/>
              <w:wordWrap/>
              <w:topLinePunct w:val="0"/>
              <w:autoSpaceDE/>
              <w:autoSpaceDN/>
              <w:bidi w:val="0"/>
              <w:adjustRightInd/>
              <w:snapToGrid w:val="0"/>
              <w:spacing w:before="0" w:after="0"/>
              <w:jc w:val="left"/>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w:t>
            </w:r>
            <w:r>
              <w:rPr>
                <w:rFonts w:hint="default" w:ascii="Times New Roman" w:hAnsi="Times New Roman" w:cs="Times New Roman"/>
                <w:sz w:val="28"/>
                <w:szCs w:val="28"/>
                <w:highlight w:val="none"/>
                <w:lang w:val="en-US" w:eastAsia="zh-CN"/>
              </w:rPr>
              <w:t>2</w:t>
            </w:r>
            <w:r>
              <w:rPr>
                <w:rFonts w:hint="default" w:ascii="Times New Roman" w:hAnsi="Times New Roman" w:cs="Times New Roman"/>
                <w:sz w:val="28"/>
                <w:szCs w:val="28"/>
                <w:highlight w:val="none"/>
              </w:rPr>
              <w:t>与《</w:t>
            </w:r>
            <w:r>
              <w:rPr>
                <w:rFonts w:hint="default" w:ascii="Times New Roman" w:hAnsi="Times New Roman" w:cs="Times New Roman"/>
                <w:sz w:val="28"/>
                <w:szCs w:val="28"/>
                <w:highlight w:val="none"/>
                <w:lang w:eastAsia="zh-CN"/>
              </w:rPr>
              <w:t>昌吉回族</w:t>
            </w:r>
            <w:r>
              <w:rPr>
                <w:rFonts w:hint="default" w:ascii="Times New Roman" w:hAnsi="Times New Roman" w:cs="Times New Roman"/>
                <w:sz w:val="28"/>
                <w:szCs w:val="28"/>
                <w:highlight w:val="none"/>
              </w:rPr>
              <w:t>自治州“三线一单”生态环境分区管控方案》的符合性分析</w:t>
            </w:r>
          </w:p>
          <w:p>
            <w:pPr>
              <w:pageBreakBefore w:val="0"/>
              <w:kinsoku/>
              <w:wordWrap/>
              <w:topLinePunct w:val="0"/>
              <w:autoSpaceDE/>
              <w:autoSpaceDN/>
              <w:bidi w:val="0"/>
              <w:adjustRightInd/>
              <w:snapToGrid w:val="0"/>
              <w:ind w:firstLine="480"/>
              <w:jc w:val="left"/>
              <w:textAlignment w:val="auto"/>
              <w:rPr>
                <w:highlight w:val="none"/>
              </w:rPr>
            </w:pPr>
            <w:r>
              <w:rPr>
                <w:rFonts w:hint="eastAsia"/>
                <w:highlight w:val="none"/>
              </w:rPr>
              <w:t>根据《</w:t>
            </w:r>
            <w:r>
              <w:rPr>
                <w:rFonts w:hint="eastAsia"/>
                <w:highlight w:val="none"/>
                <w:lang w:eastAsia="zh-CN"/>
              </w:rPr>
              <w:t>关于</w:t>
            </w:r>
            <w:r>
              <w:rPr>
                <w:rFonts w:hint="eastAsia"/>
                <w:highlight w:val="none"/>
                <w:lang w:val="en-US" w:eastAsia="zh-CN"/>
              </w:rPr>
              <w:t>&lt;</w:t>
            </w:r>
            <w:r>
              <w:rPr>
                <w:rFonts w:hint="eastAsia"/>
                <w:highlight w:val="none"/>
                <w:lang w:eastAsia="zh-CN"/>
              </w:rPr>
              <w:t>昌吉回族</w:t>
            </w:r>
            <w:r>
              <w:rPr>
                <w:rFonts w:hint="eastAsia"/>
                <w:highlight w:val="none"/>
              </w:rPr>
              <w:t>自治州“三线一单”生态环境分区管控方案</w:t>
            </w:r>
            <w:r>
              <w:rPr>
                <w:rFonts w:hint="eastAsia"/>
                <w:highlight w:val="none"/>
                <w:lang w:eastAsia="zh-CN"/>
              </w:rPr>
              <w:t>及生态环境准入清单</w:t>
            </w:r>
            <w:r>
              <w:rPr>
                <w:rFonts w:hint="eastAsia"/>
                <w:highlight w:val="none"/>
                <w:lang w:val="en-US" w:eastAsia="zh-CN"/>
              </w:rPr>
              <w:t>&gt;的公告</w:t>
            </w:r>
            <w:r>
              <w:rPr>
                <w:rFonts w:hint="eastAsia"/>
                <w:highlight w:val="none"/>
              </w:rPr>
              <w:t>》</w:t>
            </w:r>
            <w:r>
              <w:rPr>
                <w:rFonts w:hint="eastAsia"/>
                <w:highlight w:val="none"/>
                <w:lang w:eastAsia="zh-CN"/>
              </w:rPr>
              <w:t>（昌州政办发</w:t>
            </w:r>
            <w:r>
              <w:rPr>
                <w:rFonts w:hint="eastAsia"/>
                <w:highlight w:val="none"/>
              </w:rPr>
              <w:t>[2021]</w:t>
            </w:r>
            <w:r>
              <w:rPr>
                <w:rFonts w:hint="eastAsia"/>
                <w:highlight w:val="none"/>
                <w:lang w:val="en-US" w:eastAsia="zh-CN"/>
              </w:rPr>
              <w:t>41</w:t>
            </w:r>
            <w:r>
              <w:rPr>
                <w:rFonts w:hint="eastAsia"/>
                <w:highlight w:val="none"/>
              </w:rPr>
              <w:t>号</w:t>
            </w:r>
            <w:r>
              <w:rPr>
                <w:rFonts w:hint="eastAsia"/>
                <w:highlight w:val="none"/>
                <w:lang w:eastAsia="zh-CN"/>
              </w:rPr>
              <w:t>）文件</w:t>
            </w:r>
            <w:r>
              <w:rPr>
                <w:rFonts w:hint="eastAsia"/>
                <w:highlight w:val="none"/>
              </w:rPr>
              <w:t>，其主要</w:t>
            </w:r>
            <w:r>
              <w:rPr>
                <w:rFonts w:hint="eastAsia"/>
                <w:highlight w:val="none"/>
                <w:lang w:eastAsia="zh-CN"/>
              </w:rPr>
              <w:t>目标</w:t>
            </w:r>
            <w:r>
              <w:rPr>
                <w:rFonts w:hint="eastAsia"/>
                <w:highlight w:val="none"/>
              </w:rPr>
              <w:t>如下：</w:t>
            </w:r>
          </w:p>
          <w:p>
            <w:pPr>
              <w:pageBreakBefore w:val="0"/>
              <w:kinsoku/>
              <w:wordWrap/>
              <w:topLinePunct w:val="0"/>
              <w:autoSpaceDE/>
              <w:autoSpaceDN/>
              <w:bidi w:val="0"/>
              <w:adjustRightInd/>
              <w:snapToGrid w:val="0"/>
              <w:ind w:firstLine="480"/>
              <w:jc w:val="left"/>
              <w:textAlignment w:val="auto"/>
              <w:rPr>
                <w:highlight w:val="none"/>
              </w:rPr>
            </w:pPr>
            <w:r>
              <w:rPr>
                <w:rFonts w:hint="eastAsia"/>
                <w:highlight w:val="none"/>
              </w:rPr>
              <w:t>——到2025年，全州生态环境质量总体改善，环境风险得到有效管控。建立较为完善的生态环境分区管控体系与数据信息应用机制和共享系统，生态环境治理体系和治理能力现代化取得显著进展。</w:t>
            </w:r>
          </w:p>
          <w:p>
            <w:pPr>
              <w:pageBreakBefore w:val="0"/>
              <w:kinsoku/>
              <w:wordWrap/>
              <w:topLinePunct w:val="0"/>
              <w:autoSpaceDE/>
              <w:autoSpaceDN/>
              <w:bidi w:val="0"/>
              <w:adjustRightInd/>
              <w:snapToGrid w:val="0"/>
              <w:ind w:firstLine="480"/>
              <w:jc w:val="left"/>
              <w:textAlignment w:val="auto"/>
              <w:rPr>
                <w:rFonts w:hint="default"/>
                <w:highlight w:val="none"/>
                <w:lang w:val="en-US" w:eastAsia="zh-CN"/>
              </w:rPr>
            </w:pPr>
            <w:r>
              <w:rPr>
                <w:rFonts w:hint="eastAsia"/>
                <w:highlight w:val="none"/>
              </w:rPr>
              <w:t>——生态保护红线。按照“生态功能不降低、面积不减少、性质不改变”的基本要求，</w:t>
            </w:r>
            <w:r>
              <w:rPr>
                <w:rFonts w:hint="eastAsia"/>
                <w:highlight w:val="none"/>
                <w:lang w:eastAsia="zh-CN"/>
              </w:rPr>
              <w:t>生态空间得到优化和保护，生态保护红线得到严格管控。生态功能保持稳定，生物多样性水平稳步提升，生态空间保护体系基本建立。</w:t>
            </w:r>
          </w:p>
          <w:p>
            <w:pPr>
              <w:pageBreakBefore w:val="0"/>
              <w:kinsoku/>
              <w:wordWrap/>
              <w:topLinePunct w:val="0"/>
              <w:autoSpaceDE/>
              <w:autoSpaceDN/>
              <w:bidi w:val="0"/>
              <w:adjustRightInd/>
              <w:snapToGrid w:val="0"/>
              <w:ind w:firstLine="480"/>
              <w:jc w:val="left"/>
              <w:textAlignment w:val="auto"/>
              <w:rPr>
                <w:highlight w:val="none"/>
              </w:rPr>
            </w:pPr>
            <w:r>
              <w:rPr>
                <w:rFonts w:hint="eastAsia"/>
                <w:highlight w:val="none"/>
              </w:rPr>
              <w:t>——环境质量底线。全州环境空气质量有所提升，重污染天数持续减少，已达标城市环境空气质量保持稳定，未达标城市环境空气质量持续改善；</w:t>
            </w:r>
            <w:r>
              <w:rPr>
                <w:highlight w:val="none"/>
              </w:rPr>
              <w:t>全州河流、湖库及城镇集中式饮用水水源地水质稳中向好。地下水质量考核点位水质级别保持稳定，地下水污染风险得到有效控制</w:t>
            </w:r>
            <w:r>
              <w:rPr>
                <w:rFonts w:hint="eastAsia"/>
                <w:highlight w:val="none"/>
              </w:rPr>
              <w:t>，地下水超采得到严格控制；全州土壤环境质量保持稳定，污染地块安全利用水平稳中有升，土壤环境风险得到进一步管控。</w:t>
            </w:r>
          </w:p>
          <w:p>
            <w:pPr>
              <w:pageBreakBefore w:val="0"/>
              <w:kinsoku/>
              <w:wordWrap/>
              <w:topLinePunct w:val="0"/>
              <w:autoSpaceDE/>
              <w:autoSpaceDN/>
              <w:bidi w:val="0"/>
              <w:adjustRightInd/>
              <w:snapToGrid w:val="0"/>
              <w:ind w:firstLine="480" w:firstLineChars="200"/>
              <w:jc w:val="left"/>
              <w:textAlignment w:val="auto"/>
              <w:rPr>
                <w:rFonts w:hint="eastAsia"/>
                <w:highlight w:val="none"/>
              </w:rPr>
            </w:pPr>
            <w:r>
              <w:rPr>
                <w:rFonts w:hint="eastAsia"/>
                <w:highlight w:val="none"/>
              </w:rPr>
              <w:t>——资源利用上线。强化节约集约利用，持续提升资源能源利用效率，水资源、土地资源、能源消耗等达到自治区、自治州下达的总量和强度控制目标。加快区域低碳发展，积极推动昌吉市国家级低碳试点城市发挥低碳试点示范和引领作用。</w:t>
            </w:r>
          </w:p>
          <w:p>
            <w:pPr>
              <w:pageBreakBefore w:val="0"/>
              <w:kinsoku/>
              <w:wordWrap/>
              <w:topLinePunct w:val="0"/>
              <w:autoSpaceDE/>
              <w:autoSpaceDN/>
              <w:bidi w:val="0"/>
              <w:adjustRightInd/>
              <w:snapToGrid w:val="0"/>
              <w:ind w:firstLine="480"/>
              <w:jc w:val="left"/>
              <w:textAlignment w:val="auto"/>
              <w:rPr>
                <w:highlight w:val="none"/>
              </w:rPr>
            </w:pPr>
            <w:r>
              <w:rPr>
                <w:rFonts w:hint="eastAsia"/>
                <w:highlight w:val="none"/>
              </w:rPr>
              <w:t>到2035年，全州生态环境质量实现根本好转，节约资源和保护生态环境的空间格局、产业结构、生产方式、生活方式总体形成，生态系统健康和人群健康得到充分保障，环境经济实现良性循环。</w:t>
            </w:r>
          </w:p>
          <w:p>
            <w:pPr>
              <w:pageBreakBefore w:val="0"/>
              <w:kinsoku/>
              <w:wordWrap/>
              <w:topLinePunct w:val="0"/>
              <w:autoSpaceDE/>
              <w:autoSpaceDN/>
              <w:bidi w:val="0"/>
              <w:adjustRightInd/>
              <w:snapToGrid w:val="0"/>
              <w:ind w:firstLine="480"/>
              <w:jc w:val="left"/>
              <w:textAlignment w:val="auto"/>
              <w:rPr>
                <w:highlight w:val="none"/>
              </w:rPr>
            </w:pPr>
            <w:r>
              <w:rPr>
                <w:rFonts w:hint="default"/>
                <w:highlight w:val="none"/>
                <w:lang w:val="en-US" w:eastAsia="zh-CN"/>
              </w:rPr>
              <w:t>根据《</w:t>
            </w:r>
            <w:r>
              <w:rPr>
                <w:rFonts w:hint="eastAsia"/>
                <w:highlight w:val="none"/>
                <w:lang w:val="en-US" w:eastAsia="zh-CN"/>
              </w:rPr>
              <w:t>昌吉州</w:t>
            </w:r>
            <w:r>
              <w:rPr>
                <w:rFonts w:hint="default"/>
                <w:highlight w:val="none"/>
              </w:rPr>
              <w:t>“三线一单”生态环境分区管控方案》</w:t>
            </w:r>
            <w:r>
              <w:rPr>
                <w:rFonts w:hint="default"/>
                <w:highlight w:val="none"/>
                <w:lang w:eastAsia="zh-CN"/>
              </w:rPr>
              <w:t>，</w:t>
            </w:r>
            <w:r>
              <w:rPr>
                <w:rFonts w:hint="default"/>
                <w:highlight w:val="none"/>
                <w:lang w:val="en-US" w:eastAsia="zh-CN"/>
              </w:rPr>
              <w:t>本项目属于</w:t>
            </w:r>
            <w:r>
              <w:rPr>
                <w:rFonts w:hint="eastAsia"/>
                <w:highlight w:val="none"/>
                <w:lang w:val="en-US" w:eastAsia="zh-CN"/>
              </w:rPr>
              <w:t>“</w:t>
            </w:r>
            <w:r>
              <w:rPr>
                <w:highlight w:val="none"/>
              </w:rPr>
              <w:t>ZH6523</w:t>
            </w:r>
            <w:r>
              <w:rPr>
                <w:rFonts w:hint="eastAsia"/>
                <w:highlight w:val="none"/>
                <w:lang w:val="en-US" w:eastAsia="zh-CN"/>
              </w:rPr>
              <w:t>0120002昌吉高新技术产业开发区—</w:t>
            </w:r>
            <w:r>
              <w:rPr>
                <w:rFonts w:hint="default"/>
                <w:highlight w:val="none"/>
                <w:lang w:val="en-US" w:eastAsia="zh-CN"/>
              </w:rPr>
              <w:t>重点管控单元</w:t>
            </w:r>
            <w:r>
              <w:rPr>
                <w:rFonts w:hint="eastAsia"/>
                <w:highlight w:val="none"/>
                <w:lang w:val="en-US" w:eastAsia="zh-CN"/>
              </w:rPr>
              <w:t>”。</w:t>
            </w:r>
            <w:r>
              <w:rPr>
                <w:rFonts w:hint="eastAsia"/>
                <w:highlight w:val="none"/>
              </w:rPr>
              <w:t>本项目与《</w:t>
            </w:r>
            <w:r>
              <w:rPr>
                <w:rFonts w:hint="eastAsia"/>
                <w:highlight w:val="none"/>
                <w:lang w:eastAsia="zh-CN"/>
              </w:rPr>
              <w:t>昌吉回族</w:t>
            </w:r>
            <w:r>
              <w:rPr>
                <w:rFonts w:hint="eastAsia"/>
                <w:highlight w:val="none"/>
              </w:rPr>
              <w:t>自治州“三线一单”生态环境分区管控方案》相符性分析具体见表2。项目在</w:t>
            </w:r>
            <w:r>
              <w:rPr>
                <w:rFonts w:hint="eastAsia"/>
                <w:highlight w:val="none"/>
                <w:lang w:eastAsia="zh-CN"/>
              </w:rPr>
              <w:t>昌吉回族</w:t>
            </w:r>
            <w:r>
              <w:rPr>
                <w:rFonts w:hint="eastAsia"/>
                <w:highlight w:val="none"/>
              </w:rPr>
              <w:t>自治州环境管控单元中的位置见附图</w:t>
            </w:r>
            <w:r>
              <w:rPr>
                <w:rFonts w:hint="eastAsia"/>
                <w:highlight w:val="none"/>
                <w:lang w:val="en-US" w:eastAsia="zh-CN"/>
              </w:rPr>
              <w:t>4</w:t>
            </w:r>
            <w:r>
              <w:rPr>
                <w:rFonts w:hint="eastAsia"/>
                <w:highlight w:val="none"/>
              </w:rPr>
              <w:t>。</w:t>
            </w:r>
          </w:p>
          <w:p>
            <w:pPr>
              <w:pStyle w:val="6"/>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表2  与《</w:t>
            </w:r>
            <w:r>
              <w:rPr>
                <w:rFonts w:hint="default" w:ascii="Times New Roman" w:hAnsi="Times New Roman" w:cs="Times New Roman"/>
                <w:sz w:val="21"/>
                <w:szCs w:val="21"/>
                <w:highlight w:val="none"/>
                <w:lang w:eastAsia="zh-CN"/>
              </w:rPr>
              <w:t>昌吉回族</w:t>
            </w:r>
            <w:r>
              <w:rPr>
                <w:rFonts w:hint="default" w:ascii="Times New Roman" w:hAnsi="Times New Roman" w:cs="Times New Roman"/>
                <w:sz w:val="21"/>
                <w:szCs w:val="21"/>
                <w:highlight w:val="none"/>
              </w:rPr>
              <w:t>自治州“三线一单”生态环境分区管控方案》符合性分析</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3599"/>
              <w:gridCol w:w="3060"/>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管控</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类别</w:t>
                  </w:r>
                </w:p>
              </w:tc>
              <w:tc>
                <w:tcPr>
                  <w:tcW w:w="22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总体管控要求</w:t>
                  </w:r>
                </w:p>
              </w:tc>
              <w:tc>
                <w:tcPr>
                  <w:tcW w:w="19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本项目情况</w:t>
                  </w:r>
                </w:p>
              </w:tc>
              <w:tc>
                <w:tcPr>
                  <w:tcW w:w="3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空间布局约束</w:t>
                  </w:r>
                </w:p>
              </w:tc>
              <w:tc>
                <w:tcPr>
                  <w:tcW w:w="2284" w:type="pct"/>
                  <w:tcBorders>
                    <w:tl2br w:val="nil"/>
                    <w:tr2bl w:val="nil"/>
                  </w:tcBorders>
                  <w:vAlign w:val="center"/>
                </w:tcPr>
                <w:p>
                  <w:pPr>
                    <w:pStyle w:val="8"/>
                    <w:keepNext w:val="0"/>
                    <w:keepLines w:val="0"/>
                    <w:pageBreakBefore w:val="0"/>
                    <w:numPr>
                      <w:ilvl w:val="0"/>
                      <w:numId w:val="0"/>
                    </w:numPr>
                    <w:kinsoku/>
                    <w:wordWrap/>
                    <w:overflowPunct/>
                    <w:topLinePunct w:val="0"/>
                    <w:autoSpaceDE/>
                    <w:autoSpaceDN/>
                    <w:bidi w:val="0"/>
                    <w:adjustRightInd/>
                    <w:snapToGrid w:val="0"/>
                    <w:spacing w:before="0" w:after="0" w:line="240" w:lineRule="auto"/>
                    <w:ind w:right="0" w:rightChars="0"/>
                    <w:jc w:val="left"/>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val="en-US" w:eastAsia="zh-CN"/>
                    </w:rPr>
                    <w:t>1、</w:t>
                  </w:r>
                  <w:r>
                    <w:rPr>
                      <w:rFonts w:hint="default" w:ascii="Times New Roman" w:hAnsi="Times New Roman" w:cs="Times New Roman" w:eastAsiaTheme="minorEastAsia"/>
                      <w:sz w:val="21"/>
                      <w:szCs w:val="21"/>
                      <w:highlight w:val="none"/>
                    </w:rPr>
                    <w:t>执行自治区、乌昌石片区总体准入要求中关于重点管控单元空间布局约束的准入要求</w:t>
                  </w:r>
                  <w:r>
                    <w:rPr>
                      <w:rFonts w:hint="default" w:ascii="Times New Roman" w:hAnsi="Times New Roman" w:cs="Times New Roman" w:eastAsiaTheme="minorEastAsia"/>
                      <w:sz w:val="21"/>
                      <w:szCs w:val="21"/>
                      <w:highlight w:val="none"/>
                      <w:lang w:eastAsia="zh-CN"/>
                    </w:rPr>
                    <w:t>（</w:t>
                  </w:r>
                  <w:r>
                    <w:rPr>
                      <w:rFonts w:hint="default" w:ascii="Times New Roman" w:hAnsi="Times New Roman" w:cs="Times New Roman" w:eastAsiaTheme="minorEastAsia"/>
                      <w:sz w:val="21"/>
                      <w:szCs w:val="21"/>
                      <w:highlight w:val="none"/>
                    </w:rPr>
                    <w:t>大气环境重点管控区内：禁止引进国家和自治区明令禁止或淘汰的产业及工艺、园区规划的项目；引进符合国家产业政策和清洁生产要求的、采用先进生产工艺和设备的、自动化程度高的、具有可靠先进的污染治理技术的生产项目。</w:t>
                  </w:r>
                  <w:r>
                    <w:rPr>
                      <w:rFonts w:hint="default" w:ascii="Times New Roman" w:hAnsi="Times New Roman" w:cs="Times New Roman" w:eastAsiaTheme="minorEastAsia"/>
                      <w:sz w:val="21"/>
                      <w:szCs w:val="21"/>
                      <w:highlight w:val="none"/>
                      <w:lang w:eastAsia="zh-CN"/>
                    </w:rPr>
                    <w:t>）。</w:t>
                  </w:r>
                </w:p>
                <w:p>
                  <w:pPr>
                    <w:pStyle w:val="8"/>
                    <w:keepNext w:val="0"/>
                    <w:keepLines w:val="0"/>
                    <w:pageBreakBefore w:val="0"/>
                    <w:numPr>
                      <w:ilvl w:val="0"/>
                      <w:numId w:val="0"/>
                    </w:numPr>
                    <w:kinsoku/>
                    <w:wordWrap/>
                    <w:overflowPunct/>
                    <w:topLinePunct w:val="0"/>
                    <w:autoSpaceDE/>
                    <w:autoSpaceDN/>
                    <w:bidi w:val="0"/>
                    <w:adjustRightInd/>
                    <w:snapToGrid w:val="0"/>
                    <w:spacing w:before="0" w:after="0" w:line="240" w:lineRule="auto"/>
                    <w:ind w:right="0" w:rightChars="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lang w:val="en-US" w:eastAsia="zh-CN"/>
                    </w:rPr>
                    <w:t>2、</w:t>
                  </w:r>
                  <w:r>
                    <w:rPr>
                      <w:rFonts w:hint="default" w:ascii="Times New Roman" w:hAnsi="Times New Roman" w:cs="Times New Roman" w:eastAsiaTheme="minorEastAsia"/>
                      <w:sz w:val="21"/>
                      <w:szCs w:val="21"/>
                      <w:highlight w:val="none"/>
                    </w:rPr>
                    <w:t>入园企业需符合园区产业发展定位，产业发展以装备制造、新材料产业、生物科技、食品产业、现代服务业为主导</w:t>
                  </w:r>
                </w:p>
                <w:p>
                  <w:pPr>
                    <w:pStyle w:val="8"/>
                    <w:keepNext w:val="0"/>
                    <w:keepLines w:val="0"/>
                    <w:pageBreakBefore w:val="0"/>
                    <w:numPr>
                      <w:ilvl w:val="0"/>
                      <w:numId w:val="0"/>
                    </w:numPr>
                    <w:kinsoku/>
                    <w:wordWrap/>
                    <w:overflowPunct/>
                    <w:topLinePunct w:val="0"/>
                    <w:autoSpaceDE/>
                    <w:autoSpaceDN/>
                    <w:bidi w:val="0"/>
                    <w:adjustRightInd/>
                    <w:snapToGrid w:val="0"/>
                    <w:spacing w:before="0" w:after="0" w:line="240" w:lineRule="auto"/>
                    <w:ind w:right="0" w:rightChars="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3、</w:t>
                  </w:r>
                  <w:r>
                    <w:rPr>
                      <w:rFonts w:hint="default" w:ascii="Times New Roman" w:hAnsi="Times New Roman" w:cs="Times New Roman" w:eastAsiaTheme="minorEastAsia"/>
                      <w:sz w:val="21"/>
                      <w:szCs w:val="21"/>
                      <w:highlight w:val="none"/>
                    </w:rPr>
                    <w:t>以水定产，严格限制发展高耗水、环境影响较大的行业。</w:t>
                  </w:r>
                </w:p>
              </w:tc>
              <w:tc>
                <w:tcPr>
                  <w:tcW w:w="1942"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lang w:val="en-US" w:eastAsia="zh-CN"/>
                    </w:rPr>
                    <w:t>1、</w:t>
                  </w:r>
                  <w:r>
                    <w:rPr>
                      <w:rFonts w:hint="default" w:ascii="Times New Roman" w:hAnsi="Times New Roman" w:cs="Times New Roman" w:eastAsiaTheme="minorEastAsia"/>
                      <w:sz w:val="21"/>
                      <w:szCs w:val="21"/>
                      <w:highlight w:val="none"/>
                    </w:rPr>
                    <w:t>本项目建设地点位于昌吉高新技术产业开发</w:t>
                  </w:r>
                  <w:r>
                    <w:rPr>
                      <w:rFonts w:hint="default" w:ascii="Times New Roman" w:hAnsi="Times New Roman" w:cs="Times New Roman" w:eastAsiaTheme="minorEastAsia"/>
                      <w:sz w:val="21"/>
                      <w:szCs w:val="21"/>
                      <w:highlight w:val="none"/>
                      <w:lang w:eastAsia="zh-CN"/>
                    </w:rPr>
                    <w:t>区</w:t>
                  </w:r>
                  <w:r>
                    <w:rPr>
                      <w:rFonts w:hint="default" w:ascii="Times New Roman" w:hAnsi="Times New Roman" w:cs="Times New Roman" w:eastAsiaTheme="minorEastAsia"/>
                      <w:sz w:val="21"/>
                      <w:szCs w:val="21"/>
                      <w:highlight w:val="none"/>
                    </w:rPr>
                    <w:t>，属于“乌-昌-石”大气联防联控区域内，</w:t>
                  </w:r>
                  <w:r>
                    <w:rPr>
                      <w:rFonts w:hint="default" w:ascii="Times New Roman" w:hAnsi="Times New Roman" w:cs="Times New Roman" w:eastAsiaTheme="minorEastAsia"/>
                      <w:sz w:val="21"/>
                      <w:szCs w:val="21"/>
                      <w:highlight w:val="none"/>
                      <w:lang w:eastAsia="zh-CN"/>
                    </w:rPr>
                    <w:t>不属于</w:t>
                  </w:r>
                  <w:r>
                    <w:rPr>
                      <w:rFonts w:hint="default" w:ascii="Times New Roman" w:hAnsi="Times New Roman" w:cs="Times New Roman" w:eastAsiaTheme="minorEastAsia"/>
                      <w:sz w:val="21"/>
                      <w:szCs w:val="21"/>
                      <w:highlight w:val="none"/>
                    </w:rPr>
                    <w:t>《产业结构调整指导目录（2019年本）》中</w:t>
                  </w:r>
                  <w:r>
                    <w:rPr>
                      <w:rFonts w:hint="default" w:ascii="Times New Roman" w:hAnsi="Times New Roman" w:cs="Times New Roman" w:eastAsiaTheme="minorEastAsia"/>
                      <w:sz w:val="21"/>
                      <w:szCs w:val="21"/>
                      <w:highlight w:val="none"/>
                      <w:lang w:eastAsia="zh-CN"/>
                    </w:rPr>
                    <w:t>淘汰类及限制类项目</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sz w:val="21"/>
                      <w:szCs w:val="21"/>
                      <w:highlight w:val="none"/>
                      <w:lang w:eastAsia="zh-CN"/>
                    </w:rPr>
                    <w:t>，本项目为允许类项目</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sz w:val="21"/>
                      <w:szCs w:val="21"/>
                      <w:highlight w:val="none"/>
                      <w:lang w:eastAsia="zh-CN"/>
                    </w:rPr>
                    <w:t>符合国家产业政策等要求</w:t>
                  </w:r>
                  <w:r>
                    <w:rPr>
                      <w:rFonts w:hint="default" w:ascii="Times New Roman" w:hAnsi="Times New Roman" w:cs="Times New Roman" w:eastAsiaTheme="minorEastAsia"/>
                      <w:sz w:val="21"/>
                      <w:szCs w:val="21"/>
                      <w:highlight w:val="none"/>
                    </w:rPr>
                    <w:t>。</w:t>
                  </w:r>
                </w:p>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2、本项目为装配式房屋水泥制品，是一种节能环保建筑材料，符合《昌吉高新技术产业开发区总体规划（2014-2030年）》的要求。</w:t>
                  </w:r>
                </w:p>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3、本项目生产过程中主要用水为生活用水</w:t>
                  </w:r>
                  <w:r>
                    <w:rPr>
                      <w:rFonts w:hint="eastAsia" w:ascii="Times New Roman" w:hAnsi="Times New Roman" w:cs="Times New Roman" w:eastAsiaTheme="minorEastAsia"/>
                      <w:sz w:val="21"/>
                      <w:szCs w:val="21"/>
                      <w:highlight w:val="none"/>
                      <w:lang w:val="en-US" w:eastAsia="zh-CN"/>
                    </w:rPr>
                    <w:t>、产养护用水</w:t>
                  </w:r>
                  <w:r>
                    <w:rPr>
                      <w:rFonts w:hint="default" w:ascii="Times New Roman" w:hAnsi="Times New Roman" w:cs="Times New Roman" w:eastAsiaTheme="minorEastAsia"/>
                      <w:sz w:val="21"/>
                      <w:szCs w:val="21"/>
                      <w:highlight w:val="none"/>
                      <w:lang w:val="en-US" w:eastAsia="zh-CN"/>
                    </w:rPr>
                    <w:t>，大部分进入产品、少量自然损耗。本项目为水泥制品，不属于高耗能项目。</w:t>
                  </w:r>
                </w:p>
              </w:tc>
              <w:tc>
                <w:tcPr>
                  <w:tcW w:w="317"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污染物排放管控</w:t>
                  </w:r>
                </w:p>
              </w:tc>
              <w:tc>
                <w:tcPr>
                  <w:tcW w:w="2284" w:type="pct"/>
                  <w:tcBorders>
                    <w:tl2br w:val="nil"/>
                    <w:tr2bl w:val="nil"/>
                  </w:tcBorders>
                  <w:vAlign w:val="center"/>
                </w:tcPr>
                <w:p>
                  <w:pPr>
                    <w:pStyle w:val="8"/>
                    <w:keepNext w:val="0"/>
                    <w:keepLines w:val="0"/>
                    <w:pageBreakBefore w:val="0"/>
                    <w:kinsoku/>
                    <w:wordWrap/>
                    <w:overflowPunct/>
                    <w:topLinePunct w:val="0"/>
                    <w:autoSpaceDE/>
                    <w:autoSpaceDN/>
                    <w:bidi w:val="0"/>
                    <w:adjustRightInd/>
                    <w:snapToGrid w:val="0"/>
                    <w:spacing w:before="0" w:after="0" w:line="240" w:lineRule="auto"/>
                    <w:ind w:right="0" w:firstLine="0" w:firstLineChars="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w:t>
                  </w:r>
                  <w:r>
                    <w:rPr>
                      <w:rFonts w:hint="default" w:ascii="Times New Roman" w:hAnsi="Times New Roman" w:cs="Times New Roman" w:eastAsiaTheme="minorEastAsia"/>
                      <w:sz w:val="21"/>
                      <w:szCs w:val="21"/>
                      <w:highlight w:val="none"/>
                    </w:rPr>
                    <w:t>执行自治区、乌昌石片区总体准入要求中关于重点管控单元污染物排放管控的准入要求（严格实施污染物总量控制制度，根据区域环境质量改善目标，削减污染物排放总量）。</w:t>
                  </w:r>
                </w:p>
                <w:p>
                  <w:pPr>
                    <w:pStyle w:val="8"/>
                    <w:keepNext w:val="0"/>
                    <w:keepLines w:val="0"/>
                    <w:pageBreakBefore w:val="0"/>
                    <w:kinsoku/>
                    <w:wordWrap/>
                    <w:overflowPunct/>
                    <w:topLinePunct w:val="0"/>
                    <w:autoSpaceDE/>
                    <w:autoSpaceDN/>
                    <w:bidi w:val="0"/>
                    <w:adjustRightInd/>
                    <w:snapToGrid w:val="0"/>
                    <w:spacing w:before="0" w:after="0" w:line="240" w:lineRule="auto"/>
                    <w:ind w:right="0" w:firstLine="0" w:firstLineChars="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w:t>
                  </w:r>
                  <w:r>
                    <w:rPr>
                      <w:rFonts w:hint="default" w:ascii="Times New Roman" w:hAnsi="Times New Roman" w:cs="Times New Roman" w:eastAsiaTheme="minorEastAsia"/>
                      <w:sz w:val="21"/>
                      <w:szCs w:val="21"/>
                      <w:highlight w:val="none"/>
                    </w:rPr>
                    <w:t>新（改、扩）建项目应执行最严格的大气污染物排放标准。</w:t>
                  </w:r>
                </w:p>
                <w:p>
                  <w:pPr>
                    <w:pStyle w:val="8"/>
                    <w:keepNext w:val="0"/>
                    <w:keepLines w:val="0"/>
                    <w:pageBreakBefore w:val="0"/>
                    <w:kinsoku/>
                    <w:wordWrap/>
                    <w:overflowPunct/>
                    <w:topLinePunct w:val="0"/>
                    <w:autoSpaceDE/>
                    <w:autoSpaceDN/>
                    <w:bidi w:val="0"/>
                    <w:adjustRightInd/>
                    <w:snapToGrid w:val="0"/>
                    <w:spacing w:before="0" w:after="0" w:line="240" w:lineRule="auto"/>
                    <w:ind w:right="0" w:firstLine="0" w:firstLineChars="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3、</w:t>
                  </w:r>
                  <w:r>
                    <w:rPr>
                      <w:rFonts w:hint="default" w:ascii="Times New Roman" w:hAnsi="Times New Roman" w:cs="Times New Roman" w:eastAsiaTheme="minorEastAsia"/>
                      <w:sz w:val="21"/>
                      <w:szCs w:val="21"/>
                      <w:highlight w:val="none"/>
                    </w:rPr>
                    <w:t>PM2.5年均浓度不达标城市，禁止新（改、扩）建未落实SO2、NOx、烟粉尘、挥发性有机物（VOCs）等四项大气污染物总量指标昌吉州区域内倍量替代的项目。</w:t>
                  </w:r>
                </w:p>
                <w:p>
                  <w:pPr>
                    <w:pStyle w:val="8"/>
                    <w:keepNext w:val="0"/>
                    <w:keepLines w:val="0"/>
                    <w:pageBreakBefore w:val="0"/>
                    <w:kinsoku/>
                    <w:wordWrap/>
                    <w:overflowPunct/>
                    <w:topLinePunct w:val="0"/>
                    <w:autoSpaceDE/>
                    <w:autoSpaceDN/>
                    <w:bidi w:val="0"/>
                    <w:adjustRightInd/>
                    <w:snapToGrid w:val="0"/>
                    <w:spacing w:before="0" w:after="0" w:line="240" w:lineRule="auto"/>
                    <w:ind w:right="0" w:firstLine="0" w:firstLineChars="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lang w:val="en-US" w:eastAsia="zh-CN"/>
                    </w:rPr>
                    <w:t>4、</w:t>
                  </w:r>
                  <w:r>
                    <w:rPr>
                      <w:rFonts w:hint="default" w:ascii="Times New Roman" w:hAnsi="Times New Roman" w:cs="Times New Roman" w:eastAsiaTheme="minorEastAsia"/>
                      <w:sz w:val="21"/>
                      <w:szCs w:val="21"/>
                      <w:highlight w:val="none"/>
                    </w:rPr>
                    <w:t>严格限制石化、化工、包装印刷、工业涂装等高VOCs排放建设项目，严格涉VOCs建设项目环境影响评价，实行区域内VOCs排放倍量削减替代，并将替代方案落实到企业排污许可证中，纳入环境执法管理。新、改、扩建涉VOCs排放项目，应从源头加强控制，使用低（无）VOCs含量的原辅材料，加强废气收集，安装高效治理设施。</w:t>
                  </w:r>
                </w:p>
              </w:tc>
              <w:tc>
                <w:tcPr>
                  <w:tcW w:w="1942" w:type="pct"/>
                  <w:tcBorders>
                    <w:tl2br w:val="nil"/>
                    <w:tr2bl w:val="nil"/>
                  </w:tcBorders>
                  <w:vAlign w:val="center"/>
                </w:tcPr>
                <w:p>
                  <w:pPr>
                    <w:pStyle w:val="8"/>
                    <w:keepNext w:val="0"/>
                    <w:keepLines w:val="0"/>
                    <w:pageBreakBefore w:val="0"/>
                    <w:kinsoku/>
                    <w:wordWrap/>
                    <w:overflowPunct/>
                    <w:topLinePunct w:val="0"/>
                    <w:autoSpaceDE/>
                    <w:autoSpaceDN/>
                    <w:bidi w:val="0"/>
                    <w:adjustRightInd/>
                    <w:snapToGrid w:val="0"/>
                    <w:spacing w:before="0" w:after="0" w:line="240" w:lineRule="auto"/>
                    <w:ind w:right="0" w:firstLine="0" w:firstLineChars="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1、本项目不申请总量，产生的粉尘量较小，可达标排放。</w:t>
                  </w:r>
                </w:p>
                <w:p>
                  <w:pPr>
                    <w:pStyle w:val="8"/>
                    <w:keepNext w:val="0"/>
                    <w:keepLines w:val="0"/>
                    <w:pageBreakBefore w:val="0"/>
                    <w:kinsoku/>
                    <w:wordWrap/>
                    <w:overflowPunct/>
                    <w:topLinePunct w:val="0"/>
                    <w:autoSpaceDE/>
                    <w:autoSpaceDN/>
                    <w:bidi w:val="0"/>
                    <w:adjustRightInd/>
                    <w:snapToGrid w:val="0"/>
                    <w:spacing w:before="0" w:after="0" w:line="240" w:lineRule="auto"/>
                    <w:ind w:right="0" w:firstLine="0" w:firstLineChars="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2、本项目无总量申请指标。</w:t>
                  </w:r>
                </w:p>
                <w:p>
                  <w:pPr>
                    <w:pStyle w:val="8"/>
                    <w:keepNext w:val="0"/>
                    <w:keepLines w:val="0"/>
                    <w:pageBreakBefore w:val="0"/>
                    <w:kinsoku/>
                    <w:wordWrap/>
                    <w:overflowPunct/>
                    <w:topLinePunct w:val="0"/>
                    <w:autoSpaceDE/>
                    <w:autoSpaceDN/>
                    <w:bidi w:val="0"/>
                    <w:adjustRightInd/>
                    <w:snapToGrid w:val="0"/>
                    <w:spacing w:before="0" w:after="0" w:line="240" w:lineRule="auto"/>
                    <w:ind w:right="0" w:firstLine="0" w:firstLineChars="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3、本项目粉尘执行《水泥工业大气污染物排放标准》的标准限值。</w:t>
                  </w:r>
                </w:p>
                <w:p>
                  <w:pPr>
                    <w:pStyle w:val="8"/>
                    <w:keepNext w:val="0"/>
                    <w:keepLines w:val="0"/>
                    <w:pageBreakBefore w:val="0"/>
                    <w:kinsoku/>
                    <w:wordWrap/>
                    <w:overflowPunct/>
                    <w:topLinePunct w:val="0"/>
                    <w:autoSpaceDE/>
                    <w:autoSpaceDN/>
                    <w:bidi w:val="0"/>
                    <w:adjustRightInd/>
                    <w:snapToGrid w:val="0"/>
                    <w:spacing w:before="0" w:after="0" w:line="240" w:lineRule="auto"/>
                    <w:ind w:right="0" w:firstLine="0" w:firstLineChars="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4、本项目无VOCs产生。</w:t>
                  </w:r>
                </w:p>
              </w:tc>
              <w:tc>
                <w:tcPr>
                  <w:tcW w:w="317"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56"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环境风险防控</w:t>
                  </w:r>
                </w:p>
              </w:tc>
              <w:tc>
                <w:tcPr>
                  <w:tcW w:w="2284"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val="en-US" w:eastAsia="zh-CN"/>
                    </w:rPr>
                    <w:t>1、</w:t>
                  </w:r>
                  <w:r>
                    <w:rPr>
                      <w:rFonts w:hint="default" w:ascii="Times New Roman" w:hAnsi="Times New Roman" w:cs="Times New Roman" w:eastAsiaTheme="minorEastAsia"/>
                      <w:sz w:val="21"/>
                      <w:szCs w:val="21"/>
                      <w:highlight w:val="none"/>
                    </w:rPr>
                    <w:t>执行自治区、乌昌石片区总体准入要求中关于重点管控单元环境风险防控的准入要求</w:t>
                  </w:r>
                  <w:r>
                    <w:rPr>
                      <w:rFonts w:hint="default" w:ascii="Times New Roman" w:hAnsi="Times New Roman" w:cs="Times New Roman" w:eastAsiaTheme="minorEastAsia"/>
                      <w:sz w:val="21"/>
                      <w:szCs w:val="21"/>
                      <w:highlight w:val="none"/>
                      <w:lang w:eastAsia="zh-CN"/>
                    </w:rPr>
                    <w:t>（定期评估邻近环境敏感区的工业企业、工业集聚区环境和健康风险。）。</w:t>
                  </w:r>
                </w:p>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w:t>
                  </w:r>
                  <w:r>
                    <w:rPr>
                      <w:rFonts w:hint="default" w:ascii="Times New Roman" w:hAnsi="Times New Roman" w:cs="Times New Roman" w:eastAsiaTheme="minorEastAsia"/>
                      <w:sz w:val="21"/>
                      <w:szCs w:val="21"/>
                      <w:highlight w:val="none"/>
                    </w:rPr>
                    <w:t>严格落实错峰生产方案和重污染天气应急响应措施。</w:t>
                  </w:r>
                </w:p>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val="en-US" w:eastAsia="zh-CN"/>
                    </w:rPr>
                    <w:t>3、</w:t>
                  </w:r>
                  <w:r>
                    <w:rPr>
                      <w:rFonts w:hint="default" w:ascii="Times New Roman" w:hAnsi="Times New Roman" w:cs="Times New Roman" w:eastAsiaTheme="minorEastAsia"/>
                      <w:sz w:val="21"/>
                      <w:szCs w:val="21"/>
                      <w:highlight w:val="none"/>
                    </w:rPr>
                    <w:t>生产、使用、贮存、运输、回收、处置、排放有毒有害物质的单位和个人，应当采取措施，防止有毒有害物质渗漏、流失、扬散，避免土壤受到污染。</w:t>
                  </w:r>
                </w:p>
              </w:tc>
              <w:tc>
                <w:tcPr>
                  <w:tcW w:w="1942"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w:t>
                  </w:r>
                  <w:r>
                    <w:rPr>
                      <w:rFonts w:hint="default" w:ascii="Times New Roman" w:hAnsi="Times New Roman" w:cs="Times New Roman" w:eastAsiaTheme="minorEastAsia"/>
                      <w:sz w:val="21"/>
                      <w:szCs w:val="21"/>
                      <w:highlight w:val="none"/>
                    </w:rPr>
                    <w:t>本项目位于昌吉高新技术产业开发区建材区，项目所在区域及厂区周边不存在环境敏感区，项目区及周边企业环境风险在总体可控范围内。</w:t>
                  </w:r>
                </w:p>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w:t>
                  </w:r>
                  <w:r>
                    <w:rPr>
                      <w:rFonts w:hint="default" w:ascii="Times New Roman" w:hAnsi="Times New Roman" w:cs="Times New Roman" w:eastAsiaTheme="minorEastAsia"/>
                      <w:sz w:val="21"/>
                      <w:szCs w:val="21"/>
                      <w:highlight w:val="none"/>
                    </w:rPr>
                    <w:t>本项目错峰生产和重污染天气应急响应措施按照昌吉州人民政府或昌吉州生态环境局相关规定执行。</w:t>
                  </w:r>
                </w:p>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3、</w:t>
                  </w:r>
                  <w:r>
                    <w:rPr>
                      <w:rFonts w:hint="default" w:ascii="Times New Roman" w:hAnsi="Times New Roman" w:cs="Times New Roman" w:eastAsiaTheme="minorEastAsia"/>
                      <w:sz w:val="21"/>
                      <w:szCs w:val="21"/>
                      <w:highlight w:val="none"/>
                    </w:rPr>
                    <w:t>本项目</w:t>
                  </w:r>
                  <w:r>
                    <w:rPr>
                      <w:rFonts w:hint="default" w:ascii="Times New Roman" w:hAnsi="Times New Roman" w:cs="Times New Roman" w:eastAsiaTheme="minorEastAsia"/>
                      <w:sz w:val="21"/>
                      <w:szCs w:val="21"/>
                      <w:highlight w:val="none"/>
                      <w:lang w:eastAsia="zh-CN"/>
                    </w:rPr>
                    <w:t>无有毒有限物质的排放，</w:t>
                  </w:r>
                  <w:r>
                    <w:rPr>
                      <w:rFonts w:hint="default" w:ascii="Times New Roman" w:hAnsi="Times New Roman" w:cs="Times New Roman" w:eastAsiaTheme="minorEastAsia"/>
                      <w:sz w:val="21"/>
                      <w:szCs w:val="21"/>
                      <w:highlight w:val="none"/>
                    </w:rPr>
                    <w:t>不会对周边环境造成较大的影响。</w:t>
                  </w:r>
                </w:p>
              </w:tc>
              <w:tc>
                <w:tcPr>
                  <w:tcW w:w="317"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资源利用效率</w:t>
                  </w:r>
                </w:p>
              </w:tc>
              <w:tc>
                <w:tcPr>
                  <w:tcW w:w="2284"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val="en-US" w:eastAsia="zh-CN"/>
                    </w:rPr>
                    <w:t>1、</w:t>
                  </w:r>
                  <w:r>
                    <w:rPr>
                      <w:rFonts w:hint="default" w:ascii="Times New Roman" w:hAnsi="Times New Roman" w:cs="Times New Roman" w:eastAsiaTheme="minorEastAsia"/>
                      <w:sz w:val="21"/>
                      <w:szCs w:val="21"/>
                      <w:highlight w:val="none"/>
                    </w:rPr>
                    <w:t>执行自治区、乌昌石片区总体准入要求中关于重点管控单元资源利用效率的准入要求</w:t>
                  </w:r>
                  <w:r>
                    <w:rPr>
                      <w:rFonts w:hint="default" w:ascii="Times New Roman" w:hAnsi="Times New Roman" w:cs="Times New Roman" w:eastAsiaTheme="minorEastAsia"/>
                      <w:sz w:val="21"/>
                      <w:szCs w:val="21"/>
                      <w:highlight w:val="none"/>
                      <w:lang w:eastAsia="zh-CN"/>
                    </w:rPr>
                    <w:t>（推进工业集聚区生态化改造，强化企业清洁生产改造，推进节水型企业、节水型工业园区建设，提高资源能源利用效率）。</w:t>
                  </w:r>
                </w:p>
                <w:p>
                  <w:pPr>
                    <w:keepNext w:val="0"/>
                    <w:keepLines w:val="0"/>
                    <w:pageBreakBefore w:val="0"/>
                    <w:numPr>
                      <w:ilvl w:val="0"/>
                      <w:numId w:val="0"/>
                    </w:numPr>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w:t>
                  </w:r>
                  <w:r>
                    <w:rPr>
                      <w:rFonts w:hint="default" w:ascii="Times New Roman" w:hAnsi="Times New Roman" w:cs="Times New Roman" w:eastAsiaTheme="minorEastAsia"/>
                      <w:sz w:val="21"/>
                      <w:szCs w:val="21"/>
                      <w:highlight w:val="none"/>
                    </w:rPr>
                    <w:t>逐步停止开采地下水，优先使用地表水，地下水水源逐步转为备用水源</w:t>
                  </w:r>
                  <w:r>
                    <w:rPr>
                      <w:rFonts w:hint="default" w:ascii="Times New Roman" w:hAnsi="Times New Roman" w:cs="Times New Roman" w:eastAsiaTheme="minorEastAsia"/>
                      <w:sz w:val="21"/>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lang w:val="en-US" w:eastAsia="zh-CN"/>
                    </w:rPr>
                    <w:t>3、</w:t>
                  </w:r>
                  <w:r>
                    <w:rPr>
                      <w:rFonts w:hint="default" w:ascii="Times New Roman" w:hAnsi="Times New Roman" w:cs="Times New Roman" w:eastAsiaTheme="minorEastAsia"/>
                      <w:sz w:val="21"/>
                      <w:szCs w:val="21"/>
                      <w:highlight w:val="none"/>
                    </w:rPr>
                    <w:t>污水处理率达到90%以上，中水回用率达到95%以上。</w:t>
                  </w:r>
                </w:p>
                <w:p>
                  <w:pPr>
                    <w:keepNext w:val="0"/>
                    <w:keepLines w:val="0"/>
                    <w:pageBreakBefore w:val="0"/>
                    <w:numPr>
                      <w:ilvl w:val="0"/>
                      <w:numId w:val="0"/>
                    </w:numPr>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4、</w:t>
                  </w:r>
                  <w:r>
                    <w:rPr>
                      <w:rFonts w:hint="default" w:ascii="Times New Roman" w:hAnsi="Times New Roman" w:cs="Times New Roman" w:eastAsiaTheme="minorEastAsia"/>
                      <w:sz w:val="21"/>
                      <w:szCs w:val="21"/>
                      <w:highlight w:val="none"/>
                    </w:rPr>
                    <w:t>工业固体废物综合利用率达</w:t>
                  </w:r>
                  <w:r>
                    <w:rPr>
                      <w:rFonts w:hint="default" w:ascii="Times New Roman" w:hAnsi="Times New Roman" w:cs="Times New Roman" w:eastAsiaTheme="minorEastAsia"/>
                      <w:sz w:val="21"/>
                      <w:szCs w:val="21"/>
                      <w:highlight w:val="none"/>
                      <w:lang w:eastAsia="zh-CN"/>
                    </w:rPr>
                    <w:t>到</w:t>
                  </w:r>
                  <w:r>
                    <w:rPr>
                      <w:rFonts w:hint="default" w:ascii="Times New Roman" w:hAnsi="Times New Roman" w:cs="Times New Roman" w:eastAsiaTheme="minorEastAsia"/>
                      <w:sz w:val="21"/>
                      <w:szCs w:val="21"/>
                      <w:highlight w:val="none"/>
                    </w:rPr>
                    <w:t>90%以上。</w:t>
                  </w:r>
                </w:p>
                <w:p>
                  <w:pPr>
                    <w:keepNext w:val="0"/>
                    <w:keepLines w:val="0"/>
                    <w:pageBreakBefore w:val="0"/>
                    <w:numPr>
                      <w:ilvl w:val="0"/>
                      <w:numId w:val="0"/>
                    </w:numPr>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5、</w:t>
                  </w:r>
                  <w:r>
                    <w:rPr>
                      <w:rFonts w:hint="default" w:ascii="Times New Roman" w:hAnsi="Times New Roman" w:cs="Times New Roman" w:eastAsiaTheme="minorEastAsia"/>
                      <w:sz w:val="21"/>
                      <w:szCs w:val="21"/>
                      <w:highlight w:val="none"/>
                    </w:rPr>
                    <w:t>提高清洁能源使用占比，减少化石燃料使用量。</w:t>
                  </w:r>
                </w:p>
                <w:p>
                  <w:pPr>
                    <w:keepNext w:val="0"/>
                    <w:keepLines w:val="0"/>
                    <w:pageBreakBefore w:val="0"/>
                    <w:numPr>
                      <w:ilvl w:val="0"/>
                      <w:numId w:val="0"/>
                    </w:numPr>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val="en-US" w:eastAsia="zh-CN"/>
                    </w:rPr>
                    <w:t>6、</w:t>
                  </w:r>
                  <w:r>
                    <w:rPr>
                      <w:rFonts w:hint="default" w:ascii="Times New Roman" w:hAnsi="Times New Roman" w:cs="Times New Roman" w:eastAsiaTheme="minorEastAsia"/>
                      <w:sz w:val="21"/>
                      <w:szCs w:val="21"/>
                      <w:highlight w:val="none"/>
                    </w:rPr>
                    <w:t>园区水资源开发总量、土地投资强度、能耗消费增量等指标应达到水利、国土、能源等部门相应要求。</w:t>
                  </w:r>
                </w:p>
              </w:tc>
              <w:tc>
                <w:tcPr>
                  <w:tcW w:w="1942"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1、本项目生产过程中生产用水主要为</w:t>
                  </w:r>
                  <w:r>
                    <w:rPr>
                      <w:rFonts w:hint="eastAsia" w:ascii="Times New Roman" w:hAnsi="Times New Roman" w:cs="Times New Roman" w:eastAsiaTheme="minorEastAsia"/>
                      <w:sz w:val="21"/>
                      <w:szCs w:val="21"/>
                      <w:highlight w:val="none"/>
                      <w:lang w:val="en-US" w:eastAsia="zh-CN"/>
                    </w:rPr>
                    <w:t>产</w:t>
                  </w:r>
                  <w:r>
                    <w:rPr>
                      <w:rFonts w:hint="default" w:ascii="Times New Roman" w:hAnsi="Times New Roman" w:cs="Times New Roman" w:eastAsiaTheme="minorEastAsia"/>
                      <w:sz w:val="21"/>
                      <w:szCs w:val="21"/>
                      <w:highlight w:val="none"/>
                      <w:lang w:val="en-US" w:eastAsia="zh-CN"/>
                    </w:rPr>
                    <w:t>品养护用水，大部分进入产品，少量自然损耗，本项目用水为市政用水。</w:t>
                  </w:r>
                </w:p>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2、本项目污水主要为生活污水，全部排入市政管网至污水处理厂处理。</w:t>
                  </w:r>
                </w:p>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3、项目生产过程中产生的</w:t>
                  </w:r>
                  <w:r>
                    <w:rPr>
                      <w:rFonts w:hint="eastAsia" w:ascii="Times New Roman" w:hAnsi="Times New Roman" w:cs="Times New Roman" w:eastAsiaTheme="minorEastAsia"/>
                      <w:sz w:val="21"/>
                      <w:szCs w:val="21"/>
                      <w:highlight w:val="none"/>
                      <w:lang w:val="en-US" w:eastAsia="zh-CN"/>
                    </w:rPr>
                    <w:t>混凝土废渣</w:t>
                  </w:r>
                  <w:r>
                    <w:rPr>
                      <w:rFonts w:hint="default" w:ascii="Times New Roman" w:hAnsi="Times New Roman" w:cs="Times New Roman" w:eastAsiaTheme="minorEastAsia"/>
                      <w:sz w:val="21"/>
                      <w:szCs w:val="21"/>
                      <w:highlight w:val="none"/>
                      <w:lang w:val="en-US" w:eastAsia="zh-CN"/>
                    </w:rPr>
                    <w:t>，全部返回生产工序。</w:t>
                  </w:r>
                </w:p>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4、本项目涉及的能耗主要为电、水，均属于清洁能源。</w:t>
                  </w:r>
                </w:p>
              </w:tc>
              <w:tc>
                <w:tcPr>
                  <w:tcW w:w="317"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符合</w:t>
                  </w:r>
                </w:p>
              </w:tc>
            </w:tr>
          </w:tbl>
          <w:p>
            <w:pPr>
              <w:pStyle w:val="3"/>
              <w:keepLines w:val="0"/>
              <w:pageBreakBefore w:val="0"/>
              <w:widowControl w:val="0"/>
              <w:kinsoku/>
              <w:wordWrap/>
              <w:topLinePunct w:val="0"/>
              <w:autoSpaceDE/>
              <w:autoSpaceDN/>
              <w:bidi w:val="0"/>
              <w:adjustRightInd/>
              <w:snapToGrid w:val="0"/>
              <w:spacing w:before="0" w:after="0"/>
              <w:jc w:val="left"/>
              <w:textAlignment w:val="auto"/>
              <w:rPr>
                <w:highlight w:val="none"/>
              </w:rPr>
            </w:pPr>
            <w:r>
              <w:rPr>
                <w:rFonts w:hint="eastAsia"/>
                <w:highlight w:val="none"/>
              </w:rPr>
              <w:t>1</w:t>
            </w:r>
            <w:r>
              <w:rPr>
                <w:highlight w:val="none"/>
              </w:rPr>
              <w:t>.</w:t>
            </w:r>
            <w:r>
              <w:rPr>
                <w:rFonts w:hint="eastAsia"/>
                <w:highlight w:val="none"/>
                <w:lang w:val="en-US" w:eastAsia="zh-CN"/>
              </w:rPr>
              <w:t>3</w:t>
            </w:r>
            <w:r>
              <w:rPr>
                <w:rFonts w:hint="eastAsia"/>
                <w:highlight w:val="none"/>
              </w:rPr>
              <w:t>产业政策符合性分析</w:t>
            </w:r>
          </w:p>
          <w:p>
            <w:pPr>
              <w:keepLines w:val="0"/>
              <w:pageBreakBefore w:val="0"/>
              <w:widowControl w:val="0"/>
              <w:kinsoku/>
              <w:wordWrap/>
              <w:topLinePunct w:val="0"/>
              <w:autoSpaceDE/>
              <w:autoSpaceDN/>
              <w:bidi w:val="0"/>
              <w:adjustRightInd/>
              <w:snapToGrid w:val="0"/>
              <w:ind w:firstLine="480"/>
              <w:jc w:val="left"/>
              <w:textAlignment w:val="auto"/>
              <w:rPr>
                <w:highlight w:val="none"/>
              </w:rPr>
            </w:pPr>
            <w:r>
              <w:rPr>
                <w:rFonts w:hint="eastAsia"/>
                <w:highlight w:val="none"/>
                <w:lang w:eastAsia="zh-CN"/>
              </w:rPr>
              <w:t>本项目为水泥制品制造，</w:t>
            </w:r>
            <w:r>
              <w:rPr>
                <w:rFonts w:hint="eastAsia"/>
                <w:highlight w:val="none"/>
              </w:rPr>
              <w:t>对照《产业结构调整指导目录（2019年本）》的规定，</w:t>
            </w:r>
            <w:r>
              <w:rPr>
                <w:rFonts w:hint="eastAsia"/>
                <w:highlight w:val="none"/>
                <w:lang w:eastAsia="zh-CN"/>
              </w:rPr>
              <w:t>本项目</w:t>
            </w:r>
            <w:r>
              <w:rPr>
                <w:rFonts w:hint="eastAsia"/>
                <w:highlight w:val="none"/>
              </w:rPr>
              <w:t>不属于鼓励类、限制类和淘汰类</w:t>
            </w:r>
            <w:r>
              <w:rPr>
                <w:rFonts w:hint="eastAsia"/>
                <w:highlight w:val="none"/>
                <w:lang w:eastAsia="zh-CN"/>
              </w:rPr>
              <w:t>建设项目。</w:t>
            </w:r>
            <w:r>
              <w:rPr>
                <w:rFonts w:hint="eastAsia"/>
                <w:highlight w:val="none"/>
              </w:rPr>
              <w:t>根据国务院《促进产业结构调整暂行规定》（国发[2005]40号）中第十三条：“不属于鼓励类、限制类和淘汰类，且符合国家有关法律、法规和政策规定的，为允许类。允许类不列入《产业结构调整指导目录》”，故本项目为允许类项目，项目建设符合国家产业政策要求。</w:t>
            </w:r>
          </w:p>
          <w:p>
            <w:pPr>
              <w:pStyle w:val="3"/>
              <w:keepLines w:val="0"/>
              <w:pageBreakBefore w:val="0"/>
              <w:widowControl w:val="0"/>
              <w:kinsoku/>
              <w:wordWrap/>
              <w:topLinePunct w:val="0"/>
              <w:autoSpaceDE/>
              <w:autoSpaceDN/>
              <w:bidi w:val="0"/>
              <w:adjustRightInd/>
              <w:snapToGrid w:val="0"/>
              <w:spacing w:before="0" w:after="0"/>
              <w:jc w:val="left"/>
              <w:textAlignment w:val="auto"/>
              <w:rPr>
                <w:highlight w:val="none"/>
              </w:rPr>
            </w:pPr>
            <w:r>
              <w:rPr>
                <w:rFonts w:hint="eastAsia"/>
                <w:highlight w:val="none"/>
              </w:rPr>
              <w:t>1.</w:t>
            </w:r>
            <w:r>
              <w:rPr>
                <w:rFonts w:hint="eastAsia"/>
                <w:highlight w:val="none"/>
                <w:lang w:val="en-US" w:eastAsia="zh-CN"/>
              </w:rPr>
              <w:t>4</w:t>
            </w:r>
            <w:r>
              <w:rPr>
                <w:rFonts w:hint="eastAsia"/>
                <w:highlight w:val="none"/>
              </w:rPr>
              <w:t>与《关于加强乌鲁木齐、昌吉、石河子、五家渠区域环境同防同治的意见》（新政发[2016]140号）</w:t>
            </w:r>
            <w:r>
              <w:rPr>
                <w:rFonts w:hint="eastAsia"/>
                <w:highlight w:val="none"/>
                <w:lang w:eastAsia="zh-CN"/>
              </w:rPr>
              <w:t>的符合</w:t>
            </w:r>
            <w:r>
              <w:rPr>
                <w:rFonts w:hint="eastAsia"/>
                <w:highlight w:val="none"/>
              </w:rPr>
              <w:t>性分析</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highlight w:val="none"/>
                <w:lang w:val="en-US" w:eastAsia="zh-CN"/>
              </w:rPr>
            </w:pPr>
            <w:r>
              <w:rPr>
                <w:rFonts w:hint="default"/>
                <w:highlight w:val="none"/>
                <w:lang w:val="en-US" w:eastAsia="zh-CN"/>
              </w:rPr>
              <w:t>《关于加强</w:t>
            </w:r>
            <w:r>
              <w:rPr>
                <w:rFonts w:hint="default"/>
                <w:highlight w:val="none"/>
              </w:rPr>
              <w:t>乌鲁木齐、昌吉、石河子、五家渠区域环境同防同治的意见</w:t>
            </w:r>
            <w:r>
              <w:rPr>
                <w:rFonts w:hint="default"/>
                <w:highlight w:val="none"/>
                <w:lang w:val="en-US" w:eastAsia="zh-CN"/>
              </w:rPr>
              <w:t>》中</w:t>
            </w:r>
            <w:r>
              <w:rPr>
                <w:rFonts w:hint="eastAsia"/>
                <w:highlight w:val="none"/>
                <w:lang w:val="en-US" w:eastAsia="zh-CN"/>
              </w:rPr>
              <w:t>同防统治区域范包括乌鲁木齐市七区一县、昌吉市、阜康市、石河子市、五家渠市、玛纳斯县、呼图壁县、沙湾县、生产建设兵团第六师、第八师、第十二师。</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highlight w:val="none"/>
                <w:lang w:val="en-US" w:eastAsia="zh-CN"/>
              </w:rPr>
            </w:pPr>
            <w:r>
              <w:rPr>
                <w:rFonts w:hint="eastAsia"/>
                <w:highlight w:val="none"/>
                <w:lang w:val="en-US" w:eastAsia="zh-CN"/>
              </w:rPr>
              <w:t>本项目位于昌吉市高新技术产业开发区，为</w:t>
            </w:r>
            <w:r>
              <w:rPr>
                <w:rFonts w:hint="default"/>
                <w:highlight w:val="none"/>
              </w:rPr>
              <w:t>同防同治</w:t>
            </w:r>
            <w:r>
              <w:rPr>
                <w:rFonts w:hint="eastAsia"/>
                <w:highlight w:val="none"/>
                <w:lang w:val="en-US" w:eastAsia="zh-CN"/>
              </w:rPr>
              <w:t>区。</w:t>
            </w:r>
          </w:p>
          <w:p>
            <w:pPr>
              <w:keepLines w:val="0"/>
              <w:pageBreakBefore w:val="0"/>
              <w:widowControl w:val="0"/>
              <w:kinsoku/>
              <w:wordWrap/>
              <w:topLinePunct w:val="0"/>
              <w:autoSpaceDE/>
              <w:autoSpaceDN/>
              <w:bidi w:val="0"/>
              <w:adjustRightInd/>
              <w:snapToGrid w:val="0"/>
              <w:ind w:firstLine="480"/>
              <w:jc w:val="left"/>
              <w:textAlignment w:val="auto"/>
              <w:rPr>
                <w:rFonts w:hint="eastAsia"/>
                <w:highlight w:val="none"/>
              </w:rPr>
            </w:pPr>
            <w:r>
              <w:rPr>
                <w:rFonts w:hint="eastAsia"/>
                <w:highlight w:val="none"/>
                <w:lang w:val="en-US" w:eastAsia="zh-CN"/>
              </w:rPr>
              <w:t>①提高环境准入标准。严格执行国家产业、环境准入政策，防范过剩和落后产能跨地区转移。全面开展战略环评和行业、园区规划环评，将其作为项目环评审批的重要依据。</w:t>
            </w:r>
            <w:r>
              <w:rPr>
                <w:rFonts w:hint="eastAsia"/>
                <w:highlight w:val="none"/>
              </w:rPr>
              <w:t>重点区域不再布局建设煤化工、电解铝、燃煤存发电机组、金属硅、碳化硅、聚氯乙烯（电石法）、焦炭（含半焦）等行业的新增产能项目。</w:t>
            </w:r>
          </w:p>
          <w:p>
            <w:pPr>
              <w:pageBreakBefore w:val="0"/>
              <w:widowControl w:val="0"/>
              <w:kinsoku/>
              <w:wordWrap/>
              <w:topLinePunct w:val="0"/>
              <w:autoSpaceDE/>
              <w:autoSpaceDN/>
              <w:bidi w:val="0"/>
              <w:adjustRightInd/>
              <w:snapToGrid/>
              <w:ind w:firstLine="480"/>
              <w:textAlignment w:val="auto"/>
              <w:rPr>
                <w:rFonts w:hint="eastAsia"/>
                <w:highlight w:val="none"/>
              </w:rPr>
            </w:pPr>
            <w:r>
              <w:rPr>
                <w:rFonts w:hint="eastAsia"/>
                <w:highlight w:val="none"/>
              </w:rPr>
              <w:t>本项目不属于上述</w:t>
            </w:r>
            <w:r>
              <w:rPr>
                <w:rFonts w:hint="eastAsia"/>
                <w:highlight w:val="none"/>
                <w:lang w:eastAsia="zh-CN"/>
              </w:rPr>
              <w:t>禁止建设</w:t>
            </w:r>
            <w:r>
              <w:rPr>
                <w:rFonts w:hint="eastAsia"/>
                <w:highlight w:val="none"/>
              </w:rPr>
              <w:t>行业</w:t>
            </w:r>
            <w:r>
              <w:rPr>
                <w:rFonts w:hint="eastAsia"/>
                <w:highlight w:val="none"/>
                <w:lang w:eastAsia="zh-CN"/>
              </w:rPr>
              <w:t>，</w:t>
            </w:r>
            <w:r>
              <w:rPr>
                <w:rFonts w:hint="eastAsia"/>
                <w:highlight w:val="none"/>
              </w:rPr>
              <w:t>符合《关于加强乌鲁木齐、昌吉、石河子、五家渠区域环境同防同治的意见》中的相关要求。</w:t>
            </w:r>
          </w:p>
          <w:p>
            <w:pPr>
              <w:pageBreakBefore w:val="0"/>
              <w:widowControl w:val="0"/>
              <w:kinsoku/>
              <w:wordWrap/>
              <w:topLinePunct w:val="0"/>
              <w:autoSpaceDE/>
              <w:autoSpaceDN/>
              <w:bidi w:val="0"/>
              <w:adjustRightInd/>
              <w:snapToGrid/>
              <w:ind w:firstLine="480"/>
              <w:textAlignment w:val="auto"/>
              <w:rPr>
                <w:rFonts w:hint="eastAsia"/>
                <w:highlight w:val="none"/>
              </w:rPr>
            </w:pPr>
            <w:r>
              <w:rPr>
                <w:rFonts w:hint="eastAsia"/>
                <w:highlight w:val="none"/>
                <w:lang w:val="en-US" w:eastAsia="zh-CN"/>
              </w:rPr>
              <w:t>②</w:t>
            </w:r>
            <w:r>
              <w:rPr>
                <w:rFonts w:hint="eastAsia"/>
                <w:highlight w:val="none"/>
              </w:rPr>
              <w:t>严格污染物排放标准。认真落实《重点区域大气污染物排放特别限值的公告》（环保厅[2016]第45号）的要求，钢铁、石化、火电、水泥等行业和燃煤锅炉严格执行重点行业污染物特别排放限值要求。其他工业企业一律执行国家最新污染物排放标准，减少污染物排放总量。严格执行无组织排放监测浓度限值和恶臭污染物厂界标准。</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highlight w:val="none"/>
                <w:lang w:eastAsia="zh-CN"/>
              </w:rPr>
            </w:pPr>
            <w:r>
              <w:rPr>
                <w:rFonts w:hint="eastAsia"/>
                <w:highlight w:val="none"/>
                <w:lang w:eastAsia="zh-CN"/>
              </w:rPr>
              <w:t>本项目为水泥制品生产项目，颗粒物执行</w:t>
            </w:r>
            <w:r>
              <w:rPr>
                <w:rFonts w:hint="eastAsia"/>
                <w:highlight w:val="none"/>
              </w:rPr>
              <w:t>《</w:t>
            </w:r>
            <w:r>
              <w:rPr>
                <w:rFonts w:hint="eastAsia"/>
                <w:highlight w:val="none"/>
                <w:lang w:eastAsia="zh-CN"/>
              </w:rPr>
              <w:t>水泥工业大气污染物排放标准</w:t>
            </w:r>
            <w:r>
              <w:rPr>
                <w:rFonts w:hint="eastAsia"/>
                <w:highlight w:val="none"/>
              </w:rPr>
              <w:t>》（</w:t>
            </w:r>
            <w:r>
              <w:rPr>
                <w:highlight w:val="none"/>
              </w:rPr>
              <w:t>GB</w:t>
            </w:r>
            <w:r>
              <w:rPr>
                <w:rFonts w:hint="eastAsia"/>
                <w:highlight w:val="none"/>
                <w:lang w:val="en-US" w:eastAsia="zh-CN"/>
              </w:rPr>
              <w:t>4915-2013</w:t>
            </w:r>
            <w:r>
              <w:rPr>
                <w:rFonts w:hint="eastAsia"/>
                <w:highlight w:val="none"/>
              </w:rPr>
              <w:t>）</w:t>
            </w:r>
            <w:r>
              <w:rPr>
                <w:rFonts w:hint="eastAsia"/>
                <w:highlight w:val="none"/>
                <w:lang w:eastAsia="zh-CN"/>
              </w:rPr>
              <w:t>标准限值。</w:t>
            </w:r>
          </w:p>
          <w:p>
            <w:pPr>
              <w:keepLines w:val="0"/>
              <w:pageBreakBefore w:val="0"/>
              <w:widowControl w:val="0"/>
              <w:kinsoku/>
              <w:wordWrap/>
              <w:topLinePunct w:val="0"/>
              <w:autoSpaceDE/>
              <w:autoSpaceDN/>
              <w:bidi w:val="0"/>
              <w:adjustRightInd/>
              <w:snapToGrid w:val="0"/>
              <w:ind w:left="0" w:leftChars="0" w:firstLine="0" w:firstLineChars="0"/>
              <w:jc w:val="left"/>
              <w:textAlignment w:val="auto"/>
              <w:rPr>
                <w:rFonts w:hint="default" w:ascii="Times New Roman" w:hAnsi="Times New Roman" w:cs="Times New Roman"/>
                <w:b/>
                <w:bCs/>
                <w:sz w:val="28"/>
                <w:szCs w:val="28"/>
                <w:highlight w:val="none"/>
                <w:lang w:val="en-US" w:eastAsia="zh-CN"/>
              </w:rPr>
            </w:pPr>
            <w:r>
              <w:rPr>
                <w:rFonts w:hint="default" w:ascii="Times New Roman" w:hAnsi="Times New Roman" w:cs="Times New Roman"/>
                <w:b/>
                <w:bCs/>
                <w:sz w:val="28"/>
                <w:szCs w:val="28"/>
                <w:highlight w:val="none"/>
                <w:lang w:val="en-US" w:eastAsia="zh-CN"/>
              </w:rPr>
              <w:t>1.5与《新疆维吾尔自治区大气污染防治条理》的符合性分析</w:t>
            </w:r>
          </w:p>
          <w:p>
            <w:pPr>
              <w:pStyle w:val="15"/>
              <w:shd w:val="clear" w:color="auto" w:fill="FFFFFF"/>
              <w:spacing w:before="0" w:beforeAutospacing="0" w:after="0" w:afterAutospacing="0" w:line="360" w:lineRule="auto"/>
              <w:ind w:firstLine="480" w:firstLineChars="200"/>
              <w:jc w:val="both"/>
              <w:rPr>
                <w:highlight w:val="none"/>
              </w:rPr>
            </w:pPr>
            <w:r>
              <w:rPr>
                <w:rFonts w:hint="eastAsia"/>
                <w:highlight w:val="none"/>
              </w:rPr>
              <w:t>《新疆维吾尔自治区大气污染防治</w:t>
            </w:r>
            <w:r>
              <w:rPr>
                <w:rFonts w:hint="eastAsia"/>
                <w:highlight w:val="none"/>
                <w:lang w:eastAsia="zh-CN"/>
              </w:rPr>
              <w:t>条例</w:t>
            </w:r>
            <w:r>
              <w:rPr>
                <w:rFonts w:hint="eastAsia"/>
                <w:highlight w:val="none"/>
              </w:rPr>
              <w:t>》中</w:t>
            </w:r>
            <w:r>
              <w:rPr>
                <w:highlight w:val="none"/>
                <w:lang w:val="en-US"/>
              </w:rPr>
              <w:t>第四十三条：贮存易产生扬尘的煤炭、煤矸石、煤渣、煤灰、水泥、石灰、石膏、砂土等物料的堆场应当密闭；不能密闭的，贮存单位或者个人应当采取下列防尘措施：</w:t>
            </w:r>
          </w:p>
          <w:p>
            <w:pPr>
              <w:pStyle w:val="15"/>
              <w:shd w:val="clear" w:color="auto" w:fill="FFFFFF"/>
              <w:spacing w:before="0" w:beforeAutospacing="0" w:after="0" w:afterAutospacing="0" w:line="360" w:lineRule="auto"/>
              <w:ind w:firstLine="480" w:firstLineChars="200"/>
              <w:jc w:val="both"/>
              <w:rPr>
                <w:highlight w:val="none"/>
              </w:rPr>
            </w:pPr>
            <w:r>
              <w:rPr>
                <w:highlight w:val="none"/>
                <w:lang w:val="en-US"/>
              </w:rPr>
              <w:t>（一）堆场的场坪、路面应当进行硬化处理，并保持路面整洁；</w:t>
            </w:r>
          </w:p>
          <w:p>
            <w:pPr>
              <w:pStyle w:val="15"/>
              <w:shd w:val="clear" w:color="auto" w:fill="FFFFFF"/>
              <w:spacing w:before="0" w:beforeAutospacing="0" w:after="0" w:afterAutospacing="0" w:line="360" w:lineRule="auto"/>
              <w:ind w:firstLine="480" w:firstLineChars="200"/>
              <w:jc w:val="both"/>
              <w:rPr>
                <w:highlight w:val="none"/>
              </w:rPr>
            </w:pPr>
            <w:r>
              <w:rPr>
                <w:highlight w:val="none"/>
                <w:lang w:val="en-US"/>
              </w:rPr>
              <w:t>（二）堆场周边应当配备高于堆存物料的围挡、防风抑尘网等设施；</w:t>
            </w:r>
          </w:p>
          <w:p>
            <w:pPr>
              <w:pStyle w:val="15"/>
              <w:shd w:val="clear" w:color="auto" w:fill="FFFFFF"/>
              <w:spacing w:before="0" w:beforeAutospacing="0" w:after="0" w:afterAutospacing="0" w:line="360" w:lineRule="auto"/>
              <w:ind w:firstLine="480" w:firstLineChars="200"/>
              <w:jc w:val="both"/>
              <w:rPr>
                <w:highlight w:val="none"/>
              </w:rPr>
            </w:pPr>
            <w:r>
              <w:rPr>
                <w:highlight w:val="none"/>
                <w:lang w:val="en-US"/>
              </w:rPr>
              <w:t>（三）按照物料类别采取相应的覆盖、喷淋和围挡等防风抑尘措施。</w:t>
            </w:r>
          </w:p>
          <w:p>
            <w:pPr>
              <w:pStyle w:val="15"/>
              <w:shd w:val="clear" w:color="auto" w:fill="FFFFFF"/>
              <w:spacing w:before="0" w:beforeAutospacing="0" w:after="0" w:afterAutospacing="0" w:line="360" w:lineRule="auto"/>
              <w:ind w:firstLine="480" w:firstLineChars="200"/>
              <w:jc w:val="both"/>
              <w:rPr>
                <w:highlight w:val="none"/>
              </w:rPr>
            </w:pPr>
            <w:r>
              <w:rPr>
                <w:highlight w:val="none"/>
                <w:lang w:val="en-US"/>
              </w:rPr>
              <w:t>露天装卸物料应当采取密闭或者喷淋等抑尘措施；输送的物料应当在装料、卸料处配备吸尘、喷淋等防尘设施。</w:t>
            </w:r>
          </w:p>
          <w:p>
            <w:pPr>
              <w:pageBreakBefore w:val="0"/>
              <w:widowControl w:val="0"/>
              <w:kinsoku/>
              <w:wordWrap/>
              <w:topLinePunct w:val="0"/>
              <w:autoSpaceDE/>
              <w:autoSpaceDN/>
              <w:bidi w:val="0"/>
              <w:adjustRightInd/>
              <w:snapToGrid/>
              <w:ind w:firstLine="480"/>
              <w:textAlignment w:val="auto"/>
              <w:rPr>
                <w:rFonts w:hint="eastAsia"/>
                <w:highlight w:val="none"/>
                <w:lang w:eastAsia="zh-CN"/>
              </w:rPr>
            </w:pPr>
            <w:r>
              <w:rPr>
                <w:rFonts w:hint="eastAsia"/>
                <w:highlight w:val="none"/>
              </w:rPr>
              <w:t>本</w:t>
            </w:r>
            <w:r>
              <w:rPr>
                <w:rFonts w:hint="eastAsia"/>
                <w:highlight w:val="none"/>
                <w:lang w:eastAsia="zh-CN"/>
              </w:rPr>
              <w:t>项目堆场采用地面硬化、三面围挡的措施，并对物料进行编织覆盖，设置喷淋措施，满足</w:t>
            </w:r>
            <w:r>
              <w:rPr>
                <w:rFonts w:hint="eastAsia"/>
                <w:highlight w:val="none"/>
              </w:rPr>
              <w:t>《新疆维吾尔自治区大气污染防治</w:t>
            </w:r>
            <w:r>
              <w:rPr>
                <w:rFonts w:hint="eastAsia"/>
                <w:highlight w:val="none"/>
                <w:lang w:eastAsia="zh-CN"/>
              </w:rPr>
              <w:t>条例</w:t>
            </w:r>
            <w:r>
              <w:rPr>
                <w:rFonts w:hint="eastAsia"/>
                <w:highlight w:val="none"/>
              </w:rPr>
              <w:t>》</w:t>
            </w:r>
            <w:r>
              <w:rPr>
                <w:rFonts w:hint="eastAsia"/>
                <w:highlight w:val="none"/>
                <w:lang w:eastAsia="zh-CN"/>
              </w:rPr>
              <w:t>相关要求。</w:t>
            </w:r>
          </w:p>
          <w:p>
            <w:pPr>
              <w:pStyle w:val="3"/>
              <w:keepLines w:val="0"/>
              <w:pageBreakBefore w:val="0"/>
              <w:widowControl w:val="0"/>
              <w:kinsoku/>
              <w:wordWrap/>
              <w:topLinePunct w:val="0"/>
              <w:autoSpaceDE/>
              <w:autoSpaceDN/>
              <w:bidi w:val="0"/>
              <w:adjustRightInd/>
              <w:snapToGrid w:val="0"/>
              <w:spacing w:before="0" w:after="0" w:line="360" w:lineRule="auto"/>
              <w:jc w:val="left"/>
              <w:textAlignment w:val="auto"/>
              <w:rPr>
                <w:rFonts w:hint="default"/>
                <w:highlight w:val="none"/>
                <w:lang w:eastAsia="zh-CN"/>
              </w:rPr>
            </w:pPr>
            <w:r>
              <w:rPr>
                <w:rFonts w:hint="default"/>
                <w:highlight w:val="none"/>
                <w:lang w:val="en-US" w:eastAsia="zh-CN"/>
              </w:rPr>
              <w:t>1.6</w:t>
            </w:r>
            <w:r>
              <w:rPr>
                <w:rFonts w:hint="default"/>
                <w:highlight w:val="none"/>
              </w:rPr>
              <w:t>与《自治区打赢蓝天保卫战三年行动计划（2018-2020年）》</w:t>
            </w:r>
            <w:r>
              <w:rPr>
                <w:rFonts w:hint="default"/>
                <w:highlight w:val="none"/>
                <w:lang w:eastAsia="zh-CN"/>
              </w:rPr>
              <w:t>符合性分析</w:t>
            </w:r>
          </w:p>
          <w:p>
            <w:pPr>
              <w:keepLines w:val="0"/>
              <w:pageBreakBefore w:val="0"/>
              <w:widowControl w:val="0"/>
              <w:kinsoku/>
              <w:wordWrap/>
              <w:topLinePunct w:val="0"/>
              <w:autoSpaceDE/>
              <w:autoSpaceDN/>
              <w:bidi w:val="0"/>
              <w:adjustRightInd/>
              <w:snapToGrid w:val="0"/>
              <w:spacing w:line="360" w:lineRule="auto"/>
              <w:ind w:firstLine="480" w:firstLineChars="200"/>
              <w:jc w:val="left"/>
              <w:textAlignment w:val="auto"/>
              <w:rPr>
                <w:rFonts w:hint="default"/>
                <w:highlight w:val="none"/>
              </w:rPr>
            </w:pPr>
            <w:r>
              <w:rPr>
                <w:rFonts w:hint="default"/>
                <w:highlight w:val="none"/>
              </w:rPr>
              <w:t>《自治区打赢蓝天保卫战三年行动计划（2018-2020年）》</w:t>
            </w:r>
            <w:r>
              <w:rPr>
                <w:rFonts w:hint="default"/>
                <w:highlight w:val="none"/>
                <w:lang w:eastAsia="zh-CN"/>
              </w:rPr>
              <w:t>要求调整优化产业结构，推进绿色发展。严格项目准入——</w:t>
            </w:r>
            <w:r>
              <w:rPr>
                <w:rFonts w:hint="default"/>
                <w:highlight w:val="none"/>
              </w:rPr>
              <w:t>“乌-昌-石”区域</w:t>
            </w:r>
            <w:r>
              <w:rPr>
                <w:rFonts w:hint="default"/>
                <w:highlight w:val="none"/>
                <w:lang w:eastAsia="zh-CN"/>
              </w:rPr>
              <w:t>和“奎</w:t>
            </w:r>
            <w:r>
              <w:rPr>
                <w:rFonts w:hint="default"/>
                <w:highlight w:val="none"/>
                <w:lang w:val="en-US" w:eastAsia="zh-CN"/>
              </w:rPr>
              <w:t>-独-乌</w:t>
            </w:r>
            <w:r>
              <w:rPr>
                <w:rFonts w:hint="default"/>
                <w:highlight w:val="none"/>
                <w:lang w:eastAsia="zh-CN"/>
              </w:rPr>
              <w:t>”区域所有新（改、扩）建项目应</w:t>
            </w:r>
            <w:r>
              <w:rPr>
                <w:rFonts w:hint="default"/>
                <w:highlight w:val="none"/>
              </w:rPr>
              <w:t>执行</w:t>
            </w:r>
            <w:r>
              <w:rPr>
                <w:rFonts w:hint="default"/>
                <w:highlight w:val="none"/>
                <w:lang w:eastAsia="zh-CN"/>
              </w:rPr>
              <w:t>最严格的</w:t>
            </w:r>
            <w:r>
              <w:rPr>
                <w:rFonts w:hint="default"/>
                <w:highlight w:val="none"/>
              </w:rPr>
              <w:t>大气污染物排放标准。</w:t>
            </w:r>
          </w:p>
          <w:p>
            <w:pPr>
              <w:pStyle w:val="2"/>
              <w:keepLines w:val="0"/>
              <w:pageBreakBefore w:val="0"/>
              <w:widowControl w:val="0"/>
              <w:kinsoku/>
              <w:wordWrap/>
              <w:topLinePunct w:val="0"/>
              <w:autoSpaceDE/>
              <w:autoSpaceDN/>
              <w:bidi w:val="0"/>
              <w:adjustRightInd/>
              <w:snapToGrid w:val="0"/>
              <w:spacing w:line="360" w:lineRule="auto"/>
              <w:ind w:left="0" w:leftChars="0" w:firstLine="480" w:firstLineChars="200"/>
              <w:jc w:val="left"/>
              <w:textAlignment w:val="auto"/>
              <w:rPr>
                <w:rFonts w:hint="default"/>
                <w:highlight w:val="none"/>
                <w:lang w:val="en-US" w:eastAsia="zh-CN"/>
              </w:rPr>
            </w:pPr>
            <w:r>
              <w:rPr>
                <w:rFonts w:hint="default"/>
                <w:highlight w:val="none"/>
                <w:lang w:eastAsia="zh-CN"/>
              </w:rPr>
              <w:t>本项目为水泥制品生产项目，无组织排放颗粒物应执行</w:t>
            </w:r>
            <w:r>
              <w:rPr>
                <w:rFonts w:hint="default"/>
                <w:highlight w:val="none"/>
              </w:rPr>
              <w:t>《</w:t>
            </w:r>
            <w:r>
              <w:rPr>
                <w:rFonts w:hint="default"/>
                <w:highlight w:val="none"/>
                <w:lang w:eastAsia="zh-CN"/>
              </w:rPr>
              <w:t>水泥工业大气污染物排放标准</w:t>
            </w:r>
            <w:r>
              <w:rPr>
                <w:rFonts w:hint="default"/>
                <w:highlight w:val="none"/>
              </w:rPr>
              <w:t>》（GB</w:t>
            </w:r>
            <w:r>
              <w:rPr>
                <w:rFonts w:hint="eastAsia"/>
                <w:highlight w:val="none"/>
                <w:lang w:val="en-US" w:eastAsia="zh-CN"/>
              </w:rPr>
              <w:t xml:space="preserve"> </w:t>
            </w:r>
            <w:r>
              <w:rPr>
                <w:rFonts w:hint="default"/>
                <w:highlight w:val="none"/>
                <w:lang w:val="en-US" w:eastAsia="zh-CN"/>
              </w:rPr>
              <w:t>4915-2013</w:t>
            </w:r>
            <w:r>
              <w:rPr>
                <w:rFonts w:hint="default"/>
                <w:highlight w:val="none"/>
              </w:rPr>
              <w:t>）</w:t>
            </w:r>
            <w:r>
              <w:rPr>
                <w:rFonts w:hint="default"/>
                <w:highlight w:val="none"/>
                <w:lang w:eastAsia="zh-CN"/>
              </w:rPr>
              <w:t>标准限值要求，颗粒物为</w:t>
            </w:r>
            <w:r>
              <w:rPr>
                <w:rFonts w:hint="default"/>
                <w:highlight w:val="none"/>
                <w:lang w:val="en-US" w:eastAsia="zh-CN"/>
              </w:rPr>
              <w:t>0.5mg/m</w:t>
            </w:r>
            <w:r>
              <w:rPr>
                <w:rFonts w:hint="default"/>
                <w:highlight w:val="none"/>
                <w:vertAlign w:val="superscript"/>
                <w:lang w:val="en-US" w:eastAsia="zh-CN"/>
              </w:rPr>
              <w:t>3</w:t>
            </w:r>
            <w:r>
              <w:rPr>
                <w:rFonts w:hint="default"/>
                <w:highlight w:val="none"/>
                <w:lang w:val="en-US" w:eastAsia="zh-CN"/>
              </w:rPr>
              <w:t>。</w:t>
            </w:r>
          </w:p>
          <w:p>
            <w:pPr>
              <w:pStyle w:val="3"/>
              <w:pageBreakBefore w:val="0"/>
              <w:widowControl w:val="0"/>
              <w:kinsoku/>
              <w:wordWrap/>
              <w:topLinePunct w:val="0"/>
              <w:autoSpaceDE/>
              <w:autoSpaceDN/>
              <w:bidi w:val="0"/>
              <w:adjustRightInd/>
              <w:snapToGrid w:val="0"/>
              <w:spacing w:before="0" w:after="0"/>
              <w:jc w:val="left"/>
              <w:textAlignment w:val="auto"/>
              <w:rPr>
                <w:highlight w:val="none"/>
              </w:rPr>
            </w:pPr>
            <w:r>
              <w:rPr>
                <w:rFonts w:hint="eastAsia"/>
                <w:highlight w:val="none"/>
              </w:rPr>
              <w:t>1.</w:t>
            </w:r>
            <w:r>
              <w:rPr>
                <w:rFonts w:hint="eastAsia"/>
                <w:highlight w:val="none"/>
                <w:lang w:val="en-US" w:eastAsia="zh-CN"/>
              </w:rPr>
              <w:t>7</w:t>
            </w:r>
            <w:r>
              <w:rPr>
                <w:rFonts w:hint="eastAsia"/>
                <w:highlight w:val="none"/>
              </w:rPr>
              <w:t>选址合理性分析</w:t>
            </w:r>
          </w:p>
          <w:p>
            <w:pPr>
              <w:pageBreakBefore w:val="0"/>
              <w:widowControl w:val="0"/>
              <w:kinsoku/>
              <w:wordWrap/>
              <w:topLinePunct w:val="0"/>
              <w:autoSpaceDE/>
              <w:autoSpaceDN/>
              <w:bidi w:val="0"/>
              <w:adjustRightInd/>
              <w:snapToGrid w:val="0"/>
              <w:ind w:firstLine="480"/>
              <w:jc w:val="left"/>
              <w:textAlignment w:val="auto"/>
              <w:rPr>
                <w:rFonts w:hint="eastAsia"/>
                <w:highlight w:val="none"/>
                <w:lang w:val="en-US" w:eastAsia="zh-CN"/>
              </w:rPr>
            </w:pPr>
            <w:r>
              <w:rPr>
                <w:rFonts w:hint="eastAsia"/>
                <w:highlight w:val="none"/>
                <w:lang w:val="en-US" w:eastAsia="zh-CN"/>
              </w:rPr>
              <w:t>本项目位于</w:t>
            </w:r>
            <w:r>
              <w:rPr>
                <w:rFonts w:hint="eastAsia"/>
                <w:highlight w:val="none"/>
                <w:lang w:eastAsia="zh-CN"/>
              </w:rPr>
              <w:t>昌吉市高新区建材园区</w:t>
            </w:r>
            <w:r>
              <w:rPr>
                <w:rFonts w:hint="eastAsia"/>
                <w:highlight w:val="none"/>
                <w:lang w:val="en-US" w:eastAsia="zh-CN"/>
              </w:rPr>
              <w:t>N-10块地，租赁昌吉市先导工程材料有限责任公司现有生产场地，本项目周围附近无居民区等环境保护目标，无环境制约因素。</w:t>
            </w:r>
          </w:p>
          <w:p>
            <w:pPr>
              <w:pageBreakBefore w:val="0"/>
              <w:widowControl w:val="0"/>
              <w:kinsoku/>
              <w:wordWrap/>
              <w:topLinePunct w:val="0"/>
              <w:autoSpaceDE/>
              <w:autoSpaceDN/>
              <w:bidi w:val="0"/>
              <w:adjustRightInd/>
              <w:snapToGrid w:val="0"/>
              <w:ind w:firstLine="480"/>
              <w:jc w:val="left"/>
              <w:textAlignment w:val="auto"/>
              <w:rPr>
                <w:rFonts w:hint="eastAsia"/>
                <w:highlight w:val="none"/>
                <w:lang w:val="en-US" w:eastAsia="zh-CN"/>
              </w:rPr>
            </w:pPr>
            <w:r>
              <w:rPr>
                <w:rFonts w:hint="eastAsia"/>
                <w:highlight w:val="none"/>
                <w:lang w:val="en-US" w:eastAsia="zh-CN"/>
              </w:rPr>
              <w:t>本项目周边主要以机加工类生产型企业为主。项目所在地周围无学校、风景名胜、旅游景区、军事管理区、重要公共设施、水厂及水源保护区等重大环境制约因素。因此，项目外环境无重大环境制约因素。项目生产过程中在严格按照环评报告提出的污染防治措施做好生产管理，并确保废气、噪声等污染物实现达标外排的情况下，本项目运营后将不会对周边外环境造成明显不利影响，项目选址合理。</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1.8项目建设依托可行性</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昌吉高新技术产业开发区在昌吉市区以西12km处，距离自治区首府乌鲁木齐市不足50km。高新区规划范围为规划用地34km</w:t>
            </w:r>
            <w:r>
              <w:rPr>
                <w:rFonts w:hint="default" w:ascii="Times New Roman" w:hAnsi="Times New Roman" w:cs="Times New Roman" w:eastAsiaTheme="minorEastAsia"/>
                <w:highlight w:val="none"/>
                <w:vertAlign w:val="superscript"/>
              </w:rPr>
              <w:t>2</w:t>
            </w:r>
            <w:r>
              <w:rPr>
                <w:rFonts w:hint="default" w:ascii="Times New Roman" w:hAnsi="Times New Roman" w:cs="Times New Roman" w:eastAsiaTheme="minorEastAsia"/>
                <w:highlight w:val="none"/>
              </w:rPr>
              <w:t>，东起312国道与呼昌公路交汇处，从交汇处沿312国道向西延伸约12km，西到昌吉与呼图壁交界处，北临呼昌公路，南至312国道以南1km范围，高新区呈三角形带状布置。本项目位于昌吉高新技术产业开发区规划范围内，土地属于昌吉高新技术产业开发区现规划的工业用地。</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eastAsiaTheme="minorEastAsia"/>
                <w:highlight w:val="none"/>
                <w:lang w:eastAsia="zh-CN"/>
              </w:rPr>
            </w:pPr>
            <w:r>
              <w:rPr>
                <w:rFonts w:hint="default" w:ascii="Times New Roman" w:hAnsi="Times New Roman" w:cs="Times New Roman" w:eastAsiaTheme="minorEastAsia"/>
                <w:highlight w:val="none"/>
              </w:rPr>
              <w:t>项目区所在地在地貌上属于山前冲洪积倾斜平原的下部，地形由东北微倾向西南，地面坡降10‰，海拔高度542~553m，地貌变化不大。场地区域稳定性较好，属于可进行工程建设的一般型场地，工程地质条件较好</w:t>
            </w:r>
            <w:r>
              <w:rPr>
                <w:rFonts w:hint="default" w:ascii="Times New Roman" w:hAnsi="Times New Roman" w:cs="Times New Roman" w:eastAsiaTheme="minorEastAsia"/>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本项目主要依托昌吉高新技术产业开发区的公共设施有：项目给水水源为昌吉高新技术产业开发区自来水厂，能够满足生活用水需要。项目电力由高新区电网10kV变电站引线接入。项目对外交通依托高新区现有交通道路网络，交通十分便利。生活垃圾在厂区内定点统一收集后由高新区环卫部门统一处理。</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highlight w:val="none"/>
                <w:lang w:val="en-US"/>
              </w:rPr>
            </w:pPr>
            <w:r>
              <w:rPr>
                <w:rFonts w:hint="default" w:ascii="Times New Roman" w:hAnsi="Times New Roman" w:cs="Times New Roman" w:eastAsiaTheme="minorEastAsia"/>
                <w:b w:val="0"/>
                <w:bCs w:val="0"/>
                <w:color w:val="auto"/>
                <w:sz w:val="24"/>
                <w:szCs w:val="24"/>
                <w:highlight w:val="none"/>
              </w:rPr>
              <w:t>综上所述，本项目在区域条件、交通条件、资源条件等方面具有很好的优势，项目的建设可行</w:t>
            </w:r>
            <w:r>
              <w:rPr>
                <w:rFonts w:hint="default" w:ascii="Times New Roman" w:hAnsi="Times New Roman" w:cs="Times New Roman" w:eastAsiaTheme="minorEastAsia"/>
                <w:b w:val="0"/>
                <w:bCs w:val="0"/>
                <w:color w:val="auto"/>
                <w:sz w:val="24"/>
                <w:szCs w:val="24"/>
                <w:highlight w:val="none"/>
                <w:lang w:eastAsia="zh-CN"/>
              </w:rPr>
              <w:t>。</w:t>
            </w:r>
          </w:p>
        </w:tc>
      </w:tr>
    </w:tbl>
    <w:p>
      <w:pPr>
        <w:ind w:firstLine="600"/>
        <w:outlineLvl w:val="0"/>
        <w:rPr>
          <w:rFonts w:eastAsia="黑体"/>
          <w:sz w:val="30"/>
        </w:rPr>
        <w:sectPr>
          <w:footerReference r:id="rId11"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15"/>
        <w:spacing w:line="240" w:lineRule="auto"/>
        <w:ind w:firstLine="0" w:firstLineChars="0"/>
        <w:jc w:val="center"/>
        <w:outlineLvl w:val="0"/>
        <w:rPr>
          <w:rFonts w:ascii="Times New Roman" w:hAnsi="Times New Roman" w:eastAsia="黑体"/>
          <w:snapToGrid w:val="0"/>
          <w:sz w:val="30"/>
          <w:szCs w:val="30"/>
        </w:rPr>
      </w:pPr>
      <w:r>
        <w:rPr>
          <w:rFonts w:hint="eastAsia" w:ascii="Times New Roman" w:hAnsi="Times New Roman" w:eastAsia="黑体"/>
          <w:snapToGrid w:val="0"/>
          <w:sz w:val="30"/>
          <w:szCs w:val="30"/>
        </w:rPr>
        <w:t>二、建设项目工程分析</w:t>
      </w:r>
    </w:p>
    <w:tbl>
      <w:tblPr>
        <w:tblStyle w:val="18"/>
        <w:tblW w:w="88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83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6" w:type="dxa"/>
            <w:vAlign w:val="center"/>
          </w:tcPr>
          <w:p>
            <w:pPr>
              <w:pStyle w:val="15"/>
              <w:adjustRightInd w:val="0"/>
              <w:snapToGrid w:val="0"/>
              <w:spacing w:before="0" w:beforeAutospacing="0" w:after="0" w:afterAutospacing="0"/>
              <w:ind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建设内容</w:t>
            </w:r>
          </w:p>
        </w:tc>
        <w:tc>
          <w:tcPr>
            <w:tcW w:w="8195" w:type="dxa"/>
          </w:tcPr>
          <w:p>
            <w:pPr>
              <w:pStyle w:val="3"/>
              <w:pageBreakBefore w:val="0"/>
              <w:widowControl w:val="0"/>
              <w:kinsoku/>
              <w:wordWrap/>
              <w:topLinePunct w:val="0"/>
              <w:autoSpaceDE/>
              <w:autoSpaceDN/>
              <w:bidi w:val="0"/>
              <w:adjustRightInd/>
              <w:snapToGrid w:val="0"/>
              <w:spacing w:before="0" w:after="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建设内容</w:t>
            </w:r>
          </w:p>
          <w:p>
            <w:pPr>
              <w:pStyle w:val="3"/>
              <w:pageBreakBefore w:val="0"/>
              <w:widowControl w:val="0"/>
              <w:kinsoku/>
              <w:wordWrap/>
              <w:topLinePunct w:val="0"/>
              <w:autoSpaceDE/>
              <w:autoSpaceDN/>
              <w:bidi w:val="0"/>
              <w:adjustRightInd/>
              <w:snapToGrid w:val="0"/>
              <w:spacing w:before="0" w:after="0"/>
              <w:jc w:val="lef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2.1.1项目背景</w:t>
            </w:r>
          </w:p>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近年来，我国积极探索发展装配式建筑，但建造方式大多仍以现场浇筑为主，装配式建筑比例和规模程度较低，与发展绿色建筑的有关要求以及先进建造方式相比还有很大差距。现代化公路、桥梁工程的特点是工厂化、装配化、机械化和预应力化。目的是以最少的人力、最高得效率、最快的速度、最优的质量修建工程。</w:t>
            </w:r>
          </w:p>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根据</w:t>
            </w:r>
            <w:r>
              <w:rPr>
                <w:rFonts w:hint="default" w:ascii="Times New Roman" w:hAnsi="Times New Roman" w:cs="Times New Roman"/>
                <w:color w:val="000000" w:themeColor="text1"/>
                <w:lang w:val="en-US" w:eastAsia="zh-CN"/>
                <w14:textFill>
                  <w14:solidFill>
                    <w14:schemeClr w14:val="tx1"/>
                  </w14:solidFill>
                </w14:textFill>
              </w:rPr>
              <w:t>《产业结构调整指导目录（2019年本）》，本项目不属于鼓励类、限制类和淘汰类，属于允许建设项目，项目所用设备无该目录规定的淘汰类工艺设备，本项目为允许建设项目，符合国家产业政策的要求。该项目已获得</w:t>
            </w:r>
            <w:r>
              <w:rPr>
                <w:rFonts w:hint="eastAsia" w:cs="Times New Roman"/>
                <w:color w:val="000000" w:themeColor="text1"/>
                <w:lang w:val="en-US" w:eastAsia="zh-CN"/>
                <w14:textFill>
                  <w14:solidFill>
                    <w14:schemeClr w14:val="tx1"/>
                  </w14:solidFill>
                </w14:textFill>
              </w:rPr>
              <w:t>昌吉高新技术产业开发区</w:t>
            </w:r>
            <w:r>
              <w:rPr>
                <w:rFonts w:hint="default" w:ascii="Times New Roman" w:hAnsi="Times New Roman" w:cs="Times New Roman"/>
                <w:color w:val="000000" w:themeColor="text1"/>
                <w:lang w:val="en-US" w:eastAsia="zh-CN"/>
                <w14:textFill>
                  <w14:solidFill>
                    <w14:schemeClr w14:val="tx1"/>
                  </w14:solidFill>
                </w14:textFill>
              </w:rPr>
              <w:t>备案，</w:t>
            </w:r>
            <w:r>
              <w:rPr>
                <w:rFonts w:hint="eastAsia" w:cs="Times New Roman"/>
                <w:color w:val="000000" w:themeColor="text1"/>
                <w:lang w:val="en-US" w:eastAsia="zh-CN"/>
                <w14:textFill>
                  <w14:solidFill>
                    <w14:schemeClr w14:val="tx1"/>
                  </w14:solidFill>
                </w14:textFill>
              </w:rPr>
              <w:t>项目审批编码：2201-652312-04-01-312340，项目备案编号：昌高产发[2022]8号</w:t>
            </w:r>
            <w:r>
              <w:rPr>
                <w:rFonts w:hint="default"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为顺应市场发展需求，新疆洪贵水泥制品有限公司在昌吉市高新区建材园区建设年产</w:t>
            </w:r>
            <w:r>
              <w:rPr>
                <w:rFonts w:hint="default" w:ascii="Times New Roman" w:hAnsi="Times New Roman" w:cs="Times New Roman"/>
                <w:color w:val="000000" w:themeColor="text1"/>
                <w:lang w:val="en-US" w:eastAsia="zh-CN"/>
                <w14:textFill>
                  <w14:solidFill>
                    <w14:schemeClr w14:val="tx1"/>
                  </w14:solidFill>
                </w14:textFill>
              </w:rPr>
              <w:t>27000平方米装配式房屋水泥制品建设项目。</w:t>
            </w:r>
            <w:r>
              <w:rPr>
                <w:rFonts w:hint="eastAsia" w:cs="Times New Roman"/>
                <w:color w:val="000000" w:themeColor="text1"/>
                <w:lang w:val="en-US" w:eastAsia="zh-CN"/>
                <w14:textFill>
                  <w14:solidFill>
                    <w14:schemeClr w14:val="tx1"/>
                  </w14:solidFill>
                </w14:textFill>
              </w:rPr>
              <w:t>本项目主要建设内容为装配式房屋水泥制品生产线，购置配套生产设备，项目总投资400万元，资金企业自筹。</w:t>
            </w:r>
          </w:p>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根据《中华人民共和国环境保护法》、《中华人民共和国环境影响评价法》</w:t>
            </w:r>
            <w:r>
              <w:rPr>
                <w:rFonts w:hint="eastAsia" w:cs="Times New Roman"/>
                <w:color w:val="000000" w:themeColor="text1"/>
                <w:lang w:val="en-US" w:eastAsia="zh-CN"/>
                <w14:textFill>
                  <w14:solidFill>
                    <w14:schemeClr w14:val="tx1"/>
                  </w14:solidFill>
                </w14:textFill>
              </w:rPr>
              <w:t>（2018年修正版）及</w:t>
            </w:r>
            <w:r>
              <w:rPr>
                <w:rFonts w:hint="default" w:ascii="Times New Roman" w:hAnsi="Times New Roman" w:cs="Times New Roman"/>
                <w:color w:val="000000" w:themeColor="text1"/>
                <w:lang w:val="en-US" w:eastAsia="zh-CN"/>
                <w14:textFill>
                  <w14:solidFill>
                    <w14:schemeClr w14:val="tx1"/>
                  </w14:solidFill>
                </w14:textFill>
              </w:rPr>
              <w:t>《建设项目环境保护管理条例》（国务院第682号令）的</w:t>
            </w:r>
            <w:r>
              <w:rPr>
                <w:rFonts w:hint="eastAsia" w:cs="Times New Roman"/>
                <w:color w:val="000000" w:themeColor="text1"/>
                <w:lang w:val="en-US" w:eastAsia="zh-CN"/>
                <w14:textFill>
                  <w14:solidFill>
                    <w14:schemeClr w14:val="tx1"/>
                  </w14:solidFill>
                </w14:textFill>
              </w:rPr>
              <w:t>相关</w:t>
            </w:r>
            <w:r>
              <w:rPr>
                <w:rFonts w:hint="default" w:ascii="Times New Roman" w:hAnsi="Times New Roman" w:cs="Times New Roman"/>
                <w:color w:val="000000" w:themeColor="text1"/>
                <w:lang w:val="en-US" w:eastAsia="zh-CN"/>
                <w14:textFill>
                  <w14:solidFill>
                    <w14:schemeClr w14:val="tx1"/>
                  </w14:solidFill>
                </w14:textFill>
              </w:rPr>
              <w:t>要求，本项目应进行环境影响评价</w:t>
            </w:r>
            <w:r>
              <w:rPr>
                <w:rFonts w:hint="eastAsia" w:cs="Times New Roman"/>
                <w:color w:val="000000" w:themeColor="text1"/>
                <w:lang w:val="en-US" w:eastAsia="zh-CN"/>
                <w14:textFill>
                  <w14:solidFill>
                    <w14:schemeClr w14:val="tx1"/>
                  </w14:solidFill>
                </w14:textFill>
              </w:rPr>
              <w:t>工作</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根据</w:t>
            </w:r>
            <w:r>
              <w:rPr>
                <w:rFonts w:hint="default" w:ascii="Times New Roman" w:hAnsi="Times New Roman" w:cs="Times New Roman"/>
                <w:color w:val="000000" w:themeColor="text1"/>
                <w:lang w:val="en-US" w:eastAsia="zh-CN"/>
                <w14:textFill>
                  <w14:solidFill>
                    <w14:schemeClr w14:val="tx1"/>
                  </w14:solidFill>
                </w14:textFill>
              </w:rPr>
              <w:t>《建设项目环境影响评价分类管理名录》（</w:t>
            </w:r>
            <w:r>
              <w:rPr>
                <w:rFonts w:hint="eastAsia" w:cs="Times New Roman"/>
                <w:color w:val="000000" w:themeColor="text1"/>
                <w:lang w:val="en-US" w:eastAsia="zh-CN"/>
                <w14:textFill>
                  <w14:solidFill>
                    <w14:schemeClr w14:val="tx1"/>
                  </w14:solidFill>
                </w14:textFill>
              </w:rPr>
              <w:t>2021版</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中的</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二十七</w:t>
            </w:r>
            <w:r>
              <w:rPr>
                <w:rFonts w:hint="default" w:ascii="Times New Roman" w:hAnsi="Times New Roman" w:cs="Times New Roman"/>
                <w:color w:val="000000" w:themeColor="text1"/>
                <w:lang w:val="en-US" w:eastAsia="zh-CN"/>
                <w14:textFill>
                  <w14:solidFill>
                    <w14:schemeClr w14:val="tx1"/>
                  </w14:solidFill>
                </w14:textFill>
              </w:rPr>
              <w:t>、非金属矿物制品业</w:t>
            </w:r>
            <w:r>
              <w:rPr>
                <w:rFonts w:hint="eastAsia" w:cs="Times New Roman"/>
                <w:color w:val="000000" w:themeColor="text1"/>
                <w:lang w:val="en-US" w:eastAsia="zh-CN"/>
                <w14:textFill>
                  <w14:solidFill>
                    <w14:schemeClr w14:val="tx1"/>
                  </w14:solidFill>
                </w14:textFill>
              </w:rPr>
              <w:t>30-55</w:t>
            </w:r>
            <w:r>
              <w:rPr>
                <w:rFonts w:hint="default"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szCs w:val="21"/>
                <w:lang w:val="en-US" w:eastAsia="zh-CN"/>
                <w14:textFill>
                  <w14:solidFill>
                    <w14:schemeClr w14:val="tx1"/>
                  </w14:solidFill>
                </w14:textFill>
              </w:rPr>
              <w:t>石膏、水泥制品及类似制品制造302—商品混凝土；砼结构构件制造；水泥制品制造</w:t>
            </w:r>
            <w:r>
              <w:rPr>
                <w:rFonts w:hint="default"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的规定</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本项目</w:t>
            </w:r>
            <w:r>
              <w:rPr>
                <w:rFonts w:hint="default" w:ascii="Times New Roman" w:hAnsi="Times New Roman" w:cs="Times New Roman"/>
                <w:color w:val="000000" w:themeColor="text1"/>
                <w:lang w:val="en-US" w:eastAsia="zh-CN"/>
                <w14:textFill>
                  <w14:solidFill>
                    <w14:schemeClr w14:val="tx1"/>
                  </w14:solidFill>
                </w14:textFill>
              </w:rPr>
              <w:t>应编制环境影响报告表。</w:t>
            </w:r>
          </w:p>
          <w:p>
            <w:pPr>
              <w:keepNext w:val="0"/>
              <w:keepLines w:val="0"/>
              <w:pageBreakBefore w:val="0"/>
              <w:widowControl w:val="0"/>
              <w:kinsoku/>
              <w:wordWrap/>
              <w:overflowPunct/>
              <w:topLinePunct w:val="0"/>
              <w:autoSpaceDE/>
              <w:autoSpaceDN/>
              <w:bidi w:val="0"/>
              <w:adjustRightInd/>
              <w:snapToGrid w:val="0"/>
              <w:jc w:val="left"/>
              <w:textAlignment w:val="auto"/>
              <w:rPr>
                <w:color w:val="000000" w:themeColor="text1"/>
                <w:highlight w:val="gree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受新疆洪贵水泥制品有限公司委托，我公司承担了本项目的环境影响评价工作</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接受委托后，我公司评价人员在对项目建设现场勘查及收集有关资料进行分析的基础上，依据国家有关法规和环境影响评价技术导则，编制了该项目环境影响报告表，报请环保主管部门审查、审批，为项目决策、设计、建设和环境管理提供科学依据。</w:t>
            </w:r>
          </w:p>
          <w:p>
            <w:pPr>
              <w:pStyle w:val="4"/>
              <w:pageBreakBefore w:val="0"/>
              <w:widowControl w:val="0"/>
              <w:kinsoku/>
              <w:wordWrap/>
              <w:topLinePunct w:val="0"/>
              <w:autoSpaceDE/>
              <w:autoSpaceDN/>
              <w:bidi w:val="0"/>
              <w:adjustRightInd/>
              <w:snapToGrid w:val="0"/>
              <w:spacing w:before="0" w:after="0"/>
              <w:textAlignment w:val="auto"/>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项目</w:t>
            </w:r>
            <w:r>
              <w:rPr>
                <w:rFonts w:hint="eastAsia"/>
                <w:color w:val="000000" w:themeColor="text1"/>
                <w:highlight w:val="none"/>
                <w:lang w:eastAsia="zh-CN"/>
                <w14:textFill>
                  <w14:solidFill>
                    <w14:schemeClr w14:val="tx1"/>
                  </w14:solidFill>
                </w14:textFill>
              </w:rPr>
              <w:t>基本情况</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r>
              <w:rPr>
                <w:rFonts w:hint="eastAsia"/>
                <w:color w:val="000000" w:themeColor="text1"/>
                <w:lang w:eastAsia="zh-CN"/>
                <w14:textFill>
                  <w14:solidFill>
                    <w14:schemeClr w14:val="tx1"/>
                  </w14:solidFill>
                </w14:textFill>
              </w:rPr>
              <w:t>年产</w:t>
            </w:r>
            <w:r>
              <w:rPr>
                <w:rFonts w:hint="eastAsia"/>
                <w:color w:val="000000" w:themeColor="text1"/>
                <w:lang w:val="en-US" w:eastAsia="zh-CN"/>
                <w14:textFill>
                  <w14:solidFill>
                    <w14:schemeClr w14:val="tx1"/>
                  </w14:solidFill>
                </w14:textFill>
              </w:rPr>
              <w:t>27000平方米装配式房屋水泥制品建设项目</w:t>
            </w:r>
            <w:r>
              <w:rPr>
                <w:rFonts w:hint="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建设单位：</w:t>
            </w:r>
            <w:r>
              <w:rPr>
                <w:rFonts w:hint="eastAsia"/>
                <w:color w:val="000000" w:themeColor="text1"/>
                <w:lang w:eastAsia="zh-CN"/>
                <w14:textFill>
                  <w14:solidFill>
                    <w14:schemeClr w14:val="tx1"/>
                  </w14:solidFill>
                </w14:textFill>
              </w:rPr>
              <w:t>新疆洪贵水泥制品</w:t>
            </w:r>
            <w:r>
              <w:rPr>
                <w:rFonts w:hint="eastAsia"/>
                <w:color w:val="000000" w:themeColor="text1"/>
                <w14:textFill>
                  <w14:solidFill>
                    <w14:schemeClr w14:val="tx1"/>
                  </w14:solidFill>
                </w14:textFill>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default" w:eastAsia="宋体"/>
                <w:color w:val="000000" w:themeColor="text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建设性质：新建；</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项目</w:t>
            </w:r>
            <w:r>
              <w:rPr>
                <w:rFonts w:hint="eastAsia"/>
                <w:color w:val="000000" w:themeColor="text1"/>
                <w14:textFill>
                  <w14:solidFill>
                    <w14:schemeClr w14:val="tx1"/>
                  </w14:solidFill>
                </w14:textFill>
              </w:rPr>
              <w:t>总投资：项目总投资</w:t>
            </w:r>
            <w:r>
              <w:rPr>
                <w:rFonts w:hint="eastAsia"/>
                <w:color w:val="000000" w:themeColor="text1"/>
                <w:lang w:val="en-US" w:eastAsia="zh-CN"/>
                <w14:textFill>
                  <w14:solidFill>
                    <w14:schemeClr w14:val="tx1"/>
                  </w14:solidFill>
                </w14:textFill>
              </w:rPr>
              <w:t>400</w:t>
            </w:r>
            <w:r>
              <w:rPr>
                <w:rFonts w:hint="eastAsia"/>
                <w:color w:val="000000" w:themeColor="text1"/>
                <w14:textFill>
                  <w14:solidFill>
                    <w14:schemeClr w14:val="tx1"/>
                  </w14:solidFill>
                </w14:textFill>
              </w:rPr>
              <w:t>万元，通过企业自筹解决；</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color w:val="000000" w:themeColor="text1"/>
                <w14:textFill>
                  <w14:solidFill>
                    <w14:schemeClr w14:val="tx1"/>
                  </w14:solidFill>
                </w14:textFill>
              </w:rPr>
            </w:pPr>
            <w:r>
              <w:rPr>
                <w:rFonts w:hint="eastAsia"/>
                <w:color w:val="000000" w:themeColor="text1"/>
                <w:highlight w:val="none"/>
                <w:lang w:eastAsia="zh-CN"/>
                <w14:textFill>
                  <w14:solidFill>
                    <w14:schemeClr w14:val="tx1"/>
                  </w14:solidFill>
                </w14:textFill>
              </w:rPr>
              <w:t>建设内容：</w:t>
            </w:r>
            <w:r>
              <w:rPr>
                <w:rFonts w:hint="default" w:ascii="Times New Roman" w:hAnsi="Times New Roman" w:cs="Times New Roman"/>
                <w:color w:val="000000" w:themeColor="text1"/>
                <w:sz w:val="24"/>
                <w:szCs w:val="24"/>
                <w:highlight w:val="none"/>
                <w:lang w:eastAsia="zh-CN"/>
                <w14:textFill>
                  <w14:solidFill>
                    <w14:schemeClr w14:val="tx1"/>
                  </w14:solidFill>
                </w14:textFill>
              </w:rPr>
              <w:t>项目占地面积约</w:t>
            </w:r>
            <w:r>
              <w:rPr>
                <w:rFonts w:hint="eastAsia" w:cs="Times New Roman"/>
                <w:color w:val="000000" w:themeColor="text1"/>
                <w:sz w:val="24"/>
                <w:szCs w:val="24"/>
                <w:highlight w:val="none"/>
                <w:lang w:val="en-US" w:eastAsia="zh-CN"/>
                <w14:textFill>
                  <w14:solidFill>
                    <w14:schemeClr w14:val="tx1"/>
                  </w14:solidFill>
                </w14:textFill>
              </w:rPr>
              <w:t>3300</w:t>
            </w:r>
            <w:r>
              <w:rPr>
                <w:rFonts w:hint="default" w:ascii="Times New Roman" w:hAnsi="Times New Roman" w:cs="Times New Roman"/>
                <w:color w:val="000000" w:themeColor="text1"/>
                <w:sz w:val="24"/>
                <w:szCs w:val="24"/>
                <w:lang w:val="en-US" w:eastAsia="zh-CN"/>
                <w14:textFill>
                  <w14:solidFill>
                    <w14:schemeClr w14:val="tx1"/>
                  </w14:solidFill>
                </w14:textFill>
              </w:rPr>
              <w:t>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2</w:t>
            </w: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，用于建设</w:t>
            </w:r>
            <w:r>
              <w:rPr>
                <w:rFonts w:hint="eastAsia"/>
                <w:color w:val="000000" w:themeColor="text1"/>
                <w:lang w:eastAsia="zh-CN"/>
                <w14:textFill>
                  <w14:solidFill>
                    <w14:schemeClr w14:val="tx1"/>
                  </w14:solidFill>
                </w14:textFill>
              </w:rPr>
              <w:t>年产</w:t>
            </w:r>
            <w:r>
              <w:rPr>
                <w:rFonts w:hint="eastAsia"/>
                <w:color w:val="000000" w:themeColor="text1"/>
                <w:lang w:val="en-US" w:eastAsia="zh-CN"/>
                <w14:textFill>
                  <w14:solidFill>
                    <w14:schemeClr w14:val="tx1"/>
                  </w14:solidFill>
                </w14:textFill>
              </w:rPr>
              <w:t>27000平方米装配式房屋水泥制品建设项目。</w:t>
            </w:r>
          </w:p>
          <w:p>
            <w:pPr>
              <w:pStyle w:val="2"/>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color w:val="000000" w:themeColor="text1"/>
                <w:highlight w:val="none"/>
                <w:lang w:eastAsia="zh-CN"/>
                <w14:textFill>
                  <w14:solidFill>
                    <w14:schemeClr w14:val="tx1"/>
                  </w14:solidFill>
                </w14:textFill>
              </w:rPr>
            </w:pPr>
            <w:r>
              <w:rPr>
                <w:rFonts w:hint="eastAsia"/>
                <w:color w:val="000000" w:themeColor="text1"/>
                <w14:textFill>
                  <w14:solidFill>
                    <w14:schemeClr w14:val="tx1"/>
                  </w14:solidFill>
                </w14:textFill>
              </w:rPr>
              <w:t>建设地点：</w:t>
            </w:r>
            <w:r>
              <w:rPr>
                <w:rFonts w:hint="eastAsia"/>
                <w:color w:val="000000" w:themeColor="text1"/>
                <w:lang w:eastAsia="zh-CN"/>
                <w14:textFill>
                  <w14:solidFill>
                    <w14:schemeClr w14:val="tx1"/>
                  </w14:solidFill>
                </w14:textFill>
              </w:rPr>
              <w:t>本项目位于昌吉市高</w:t>
            </w:r>
            <w:bookmarkStart w:id="4" w:name="_GoBack"/>
            <w:bookmarkEnd w:id="4"/>
            <w:r>
              <w:rPr>
                <w:rFonts w:hint="eastAsia"/>
                <w:color w:val="000000" w:themeColor="text1"/>
                <w:lang w:eastAsia="zh-CN"/>
                <w14:textFill>
                  <w14:solidFill>
                    <w14:schemeClr w14:val="tx1"/>
                  </w14:solidFill>
                </w14:textFill>
              </w:rPr>
              <w:t>新区建材园区</w:t>
            </w:r>
            <w:r>
              <w:rPr>
                <w:rFonts w:hint="eastAsia"/>
                <w:color w:val="000000" w:themeColor="text1"/>
                <w:lang w:val="en-US" w:eastAsia="zh-CN"/>
                <w14:textFill>
                  <w14:solidFill>
                    <w14:schemeClr w14:val="tx1"/>
                  </w14:solidFill>
                </w14:textFill>
              </w:rPr>
              <w:t>N-10块地，租赁昌吉市先导工程材料有限责任公司现有生产场地作为本项目生产线场地</w:t>
            </w:r>
            <w:r>
              <w:rPr>
                <w:rFonts w:hint="eastAsia"/>
                <w:color w:val="000000" w:themeColor="text1"/>
                <w14:textFill>
                  <w14:solidFill>
                    <w14:schemeClr w14:val="tx1"/>
                  </w14:solidFill>
                </w14:textFill>
              </w:rPr>
              <w:t>。</w:t>
            </w:r>
            <w:r>
              <w:rPr>
                <w:rFonts w:hint="eastAsia"/>
                <w:color w:val="0000FF"/>
                <w:lang w:eastAsia="zh-CN"/>
              </w:rPr>
              <w:t>项目区</w:t>
            </w:r>
            <w:r>
              <w:rPr>
                <w:rFonts w:hint="eastAsia"/>
                <w:color w:val="0000FF"/>
                <w:highlight w:val="none"/>
              </w:rPr>
              <w:t>东侧</w:t>
            </w:r>
            <w:r>
              <w:rPr>
                <w:rFonts w:hint="eastAsia"/>
                <w:color w:val="0000FF"/>
                <w:highlight w:val="none"/>
                <w:lang w:eastAsia="zh-CN"/>
              </w:rPr>
              <w:t>隔锦绣路为市场公司</w:t>
            </w:r>
            <w:r>
              <w:rPr>
                <w:rFonts w:hint="eastAsia"/>
                <w:color w:val="0000FF"/>
                <w:highlight w:val="none"/>
              </w:rPr>
              <w:t>，南侧</w:t>
            </w:r>
            <w:r>
              <w:rPr>
                <w:rFonts w:hint="eastAsia"/>
                <w:color w:val="0000FF"/>
                <w:highlight w:val="none"/>
                <w:lang w:eastAsia="zh-CN"/>
              </w:rPr>
              <w:t>为新疆朝阳电缆有限公司</w:t>
            </w:r>
            <w:r>
              <w:rPr>
                <w:rFonts w:hint="eastAsia"/>
                <w:color w:val="0000FF"/>
                <w:highlight w:val="none"/>
              </w:rPr>
              <w:t>，西侧为</w:t>
            </w:r>
            <w:r>
              <w:rPr>
                <w:rFonts w:hint="eastAsia"/>
                <w:color w:val="0000FF"/>
                <w:highlight w:val="none"/>
                <w:lang w:eastAsia="zh-CN"/>
              </w:rPr>
              <w:t>新疆恒泰新型建材有限公司</w:t>
            </w:r>
            <w:r>
              <w:rPr>
                <w:rFonts w:hint="eastAsia"/>
                <w:color w:val="0000FF"/>
                <w:highlight w:val="none"/>
              </w:rPr>
              <w:t>，</w:t>
            </w:r>
            <w:r>
              <w:rPr>
                <w:rFonts w:hint="eastAsia"/>
                <w:color w:val="0000FF"/>
                <w:highlight w:val="none"/>
                <w:lang w:eastAsia="zh-CN"/>
              </w:rPr>
              <w:t>北</w:t>
            </w:r>
            <w:r>
              <w:rPr>
                <w:rFonts w:hint="eastAsia"/>
                <w:color w:val="0000FF"/>
                <w:highlight w:val="none"/>
              </w:rPr>
              <w:t>侧</w:t>
            </w:r>
            <w:r>
              <w:rPr>
                <w:rFonts w:hint="eastAsia"/>
                <w:color w:val="0000FF"/>
                <w:highlight w:val="none"/>
                <w:lang w:eastAsia="zh-CN"/>
              </w:rPr>
              <w:t>隔科韵路为新疆鑫润达建材有限公司。</w:t>
            </w:r>
          </w:p>
          <w:p>
            <w:pPr>
              <w:pStyle w:val="2"/>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项目所在地中心地理坐标为：</w:t>
            </w:r>
            <w:r>
              <w:rPr>
                <w:color w:val="000000" w:themeColor="text1"/>
                <w14:textFill>
                  <w14:solidFill>
                    <w14:schemeClr w14:val="tx1"/>
                  </w14:solidFill>
                </w14:textFill>
              </w:rPr>
              <w:t>87°</w:t>
            </w:r>
            <w:r>
              <w:rPr>
                <w:rFonts w:hint="eastAsia"/>
                <w:color w:val="000000" w:themeColor="text1"/>
                <w:lang w:val="en-US" w:eastAsia="zh-CN"/>
                <w14:textFill>
                  <w14:solidFill>
                    <w14:schemeClr w14:val="tx1"/>
                  </w14:solidFill>
                </w14:textFill>
              </w:rPr>
              <w:t>0</w:t>
            </w:r>
            <w:r>
              <w:rPr>
                <w:color w:val="000000" w:themeColor="text1"/>
                <w14:textFill>
                  <w14:solidFill>
                    <w14:schemeClr w14:val="tx1"/>
                  </w14:solidFill>
                </w14:textFill>
              </w:rPr>
              <w:t>8′</w:t>
            </w:r>
            <w:r>
              <w:rPr>
                <w:rFonts w:hint="eastAsia"/>
                <w:color w:val="000000" w:themeColor="text1"/>
                <w:lang w:val="en-US" w:eastAsia="zh-CN"/>
                <w14:textFill>
                  <w14:solidFill>
                    <w14:schemeClr w14:val="tx1"/>
                  </w14:solidFill>
                </w14:textFill>
              </w:rPr>
              <w:t>06</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200</w:t>
            </w:r>
            <w:r>
              <w:rPr>
                <w:color w:val="000000" w:themeColor="text1"/>
                <w14:textFill>
                  <w14:solidFill>
                    <w14:schemeClr w14:val="tx1"/>
                  </w14:solidFill>
                </w14:textFill>
              </w:rPr>
              <w:t>″ E，44°</w:t>
            </w:r>
            <w:r>
              <w:rPr>
                <w:rFonts w:hint="eastAsia"/>
                <w:color w:val="000000" w:themeColor="text1"/>
                <w:lang w:val="en-US" w:eastAsia="zh-CN"/>
                <w14:textFill>
                  <w14:solidFill>
                    <w14:schemeClr w14:val="tx1"/>
                  </w14:solidFill>
                </w14:textFill>
              </w:rPr>
              <w:t>05</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19</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606</w:t>
            </w:r>
            <w:r>
              <w:rPr>
                <w:color w:val="000000" w:themeColor="text1"/>
                <w14:textFill>
                  <w14:solidFill>
                    <w14:schemeClr w14:val="tx1"/>
                  </w14:solidFill>
                </w14:textFill>
              </w:rPr>
              <w:t>″ N</w:t>
            </w:r>
            <w:r>
              <w:rPr>
                <w:rFonts w:hint="eastAsia"/>
                <w:color w:val="000000" w:themeColor="text1"/>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color w:val="000000" w:themeColor="text1"/>
                <w:highlight w:val="none"/>
                <w14:textFill>
                  <w14:solidFill>
                    <w14:schemeClr w14:val="tx1"/>
                  </w14:solidFill>
                </w14:textFill>
              </w:rPr>
            </w:pPr>
            <w:r>
              <w:rPr>
                <w:rFonts w:hint="eastAsia"/>
                <w:color w:val="000000" w:themeColor="text1"/>
                <w14:textFill>
                  <w14:solidFill>
                    <w14:schemeClr w14:val="tx1"/>
                  </w14:solidFill>
                </w14:textFill>
              </w:rPr>
              <w:t>项目区地理位置示意图见附图</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rFonts w:hint="eastAsia"/>
                <w:color w:val="000000" w:themeColor="text1"/>
                <w:highlight w:val="none"/>
                <w14:textFill>
                  <w14:solidFill>
                    <w14:schemeClr w14:val="tx1"/>
                  </w14:solidFill>
                </w14:textFill>
              </w:rPr>
              <w:t>项目周边关系图见附图</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劳动定员：本项目</w:t>
            </w:r>
            <w:r>
              <w:rPr>
                <w:rFonts w:hint="eastAsia" w:ascii="Times New Roman" w:hAnsi="Times New Roman" w:cs="Times New Roman"/>
                <w:color w:val="000000" w:themeColor="text1"/>
                <w:highlight w:val="none"/>
                <w:lang w:eastAsia="zh-CN"/>
                <w14:textFill>
                  <w14:solidFill>
                    <w14:schemeClr w14:val="tx1"/>
                  </w14:solidFill>
                </w14:textFill>
              </w:rPr>
              <w:t>运营期</w:t>
            </w:r>
            <w:r>
              <w:rPr>
                <w:rFonts w:hint="default" w:ascii="Times New Roman" w:hAnsi="Times New Roman" w:cs="Times New Roman"/>
                <w:color w:val="000000" w:themeColor="text1"/>
                <w:highlight w:val="none"/>
                <w:lang w:eastAsia="zh-CN"/>
                <w14:textFill>
                  <w14:solidFill>
                    <w14:schemeClr w14:val="tx1"/>
                  </w14:solidFill>
                </w14:textFill>
              </w:rPr>
              <w:t>劳动定员</w:t>
            </w:r>
            <w:r>
              <w:rPr>
                <w:rFonts w:hint="default" w:ascii="Times New Roman" w:hAnsi="Times New Roman" w:cs="Times New Roman"/>
                <w:color w:val="000000" w:themeColor="text1"/>
                <w:highlight w:val="none"/>
                <w:lang w:val="en-US" w:eastAsia="zh-CN"/>
                <w14:textFill>
                  <w14:solidFill>
                    <w14:schemeClr w14:val="tx1"/>
                  </w14:solidFill>
                </w14:textFill>
              </w:rPr>
              <w:t>8人。</w:t>
            </w:r>
          </w:p>
          <w:p>
            <w:pPr>
              <w:pStyle w:val="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工作制度：本项目</w:t>
            </w:r>
            <w:r>
              <w:rPr>
                <w:rFonts w:hint="eastAsia" w:ascii="Times New Roman" w:hAnsi="Times New Roman" w:cs="Times New Roman"/>
                <w:color w:val="000000" w:themeColor="text1"/>
                <w:lang w:eastAsia="zh-CN"/>
                <w14:textFill>
                  <w14:solidFill>
                    <w14:schemeClr w14:val="tx1"/>
                  </w14:solidFill>
                </w14:textFill>
              </w:rPr>
              <w:t>年生产时间</w:t>
            </w:r>
            <w:r>
              <w:rPr>
                <w:rFonts w:hint="default" w:ascii="Times New Roman" w:hAnsi="Times New Roman" w:cs="Times New Roman"/>
                <w:color w:val="000000" w:themeColor="text1"/>
                <w:lang w:val="en-US" w:eastAsia="zh-CN"/>
                <w14:textFill>
                  <w14:solidFill>
                    <w14:schemeClr w14:val="tx1"/>
                  </w14:solidFill>
                </w14:textFill>
              </w:rPr>
              <w:t>200天，</w:t>
            </w:r>
            <w:r>
              <w:rPr>
                <w:rFonts w:hint="eastAsia" w:ascii="Times New Roman" w:hAnsi="Times New Roman" w:cs="Times New Roman"/>
                <w:color w:val="000000" w:themeColor="text1"/>
                <w:lang w:val="en-US" w:eastAsia="zh-CN"/>
                <w14:textFill>
                  <w14:solidFill>
                    <w14:schemeClr w14:val="tx1"/>
                  </w14:solidFill>
                </w14:textFill>
              </w:rPr>
              <w:t>每天</w:t>
            </w:r>
            <w:r>
              <w:rPr>
                <w:rFonts w:hint="default" w:ascii="Times New Roman" w:hAnsi="Times New Roman" w:cs="Times New Roman"/>
                <w:color w:val="000000" w:themeColor="text1"/>
                <w:lang w:val="en-US" w:eastAsia="zh-CN"/>
                <w14:textFill>
                  <w14:solidFill>
                    <w14:schemeClr w14:val="tx1"/>
                  </w14:solidFill>
                </w14:textFill>
              </w:rPr>
              <w:t>8小时。</w:t>
            </w:r>
          </w:p>
          <w:p>
            <w:pPr>
              <w:pStyle w:val="4"/>
              <w:pageBreakBefore w:val="0"/>
              <w:widowControl w:val="0"/>
              <w:kinsoku/>
              <w:wordWrap/>
              <w:topLinePunct w:val="0"/>
              <w:autoSpaceDE/>
              <w:autoSpaceDN/>
              <w:bidi w:val="0"/>
              <w:adjustRightInd/>
              <w:snapToGrid w:val="0"/>
              <w:spacing w:before="0" w:after="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工程内容</w:t>
            </w:r>
          </w:p>
          <w:p>
            <w:pPr>
              <w:pageBreakBefore w:val="0"/>
              <w:widowControl w:val="0"/>
              <w:kinsoku/>
              <w:wordWrap/>
              <w:topLinePunct w:val="0"/>
              <w:autoSpaceDE/>
              <w:autoSpaceDN/>
              <w:bidi w:val="0"/>
              <w:adjustRightInd/>
              <w:snapToGrid w:val="0"/>
              <w:ind w:firstLine="480"/>
              <w:textAlignment w:val="auto"/>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本项目场地</w:t>
            </w:r>
            <w:r>
              <w:rPr>
                <w:rFonts w:hint="eastAsia"/>
                <w:color w:val="000000" w:themeColor="text1"/>
                <w:lang w:val="en-US" w:eastAsia="zh-CN"/>
                <w14:textFill>
                  <w14:solidFill>
                    <w14:schemeClr w14:val="tx1"/>
                  </w14:solidFill>
                </w14:textFill>
              </w:rPr>
              <w:t>租赁昌吉市先导工程材料有限责任公司现有生产场地作为装配式房屋水泥制品生产线</w:t>
            </w:r>
            <w:r>
              <w:rPr>
                <w:rFonts w:hint="eastAsia"/>
                <w:color w:val="000000" w:themeColor="text1"/>
                <w:lang w:eastAsia="zh-CN"/>
                <w14:textFill>
                  <w14:solidFill>
                    <w14:schemeClr w14:val="tx1"/>
                  </w14:solidFill>
                </w14:textFill>
              </w:rPr>
              <w:t>，购置配套生产设备，公用工程基础设施依托</w:t>
            </w:r>
            <w:r>
              <w:rPr>
                <w:rFonts w:hint="eastAsia" w:cs="Times New Roman"/>
                <w:color w:val="000000" w:themeColor="text1"/>
                <w:sz w:val="24"/>
                <w:szCs w:val="24"/>
                <w:lang w:eastAsia="zh-CN"/>
                <w14:textFill>
                  <w14:solidFill>
                    <w14:schemeClr w14:val="tx1"/>
                  </w14:solidFill>
                </w14:textFill>
              </w:rPr>
              <w:t>昌吉市先导工程科技有限责任公司</w:t>
            </w:r>
            <w:r>
              <w:rPr>
                <w:rFonts w:hint="eastAsia"/>
                <w:color w:val="000000" w:themeColor="text1"/>
                <w:sz w:val="24"/>
                <w:szCs w:val="24"/>
                <w:lang w:eastAsia="zh-CN"/>
                <w14:textFill>
                  <w14:solidFill>
                    <w14:schemeClr w14:val="tx1"/>
                  </w14:solidFill>
                </w14:textFill>
              </w:rPr>
              <w:t>。</w:t>
            </w:r>
          </w:p>
          <w:p>
            <w:pPr>
              <w:pageBreakBefore w:val="0"/>
              <w:widowControl w:val="0"/>
              <w:kinsoku/>
              <w:wordWrap/>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项目组成及主要工程内容见表</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表</w:t>
            </w:r>
            <w:r>
              <w:rPr>
                <w:rFonts w:hint="eastAsia" w:cs="Times New Roman" w:eastAsia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项目组成及建设内容</w:t>
            </w:r>
            <w:r>
              <w:rPr>
                <w:rFonts w:hint="eastAsia" w:asciiTheme="minorEastAsia" w:hAnsiTheme="minorEastAsia" w:eastAsiaTheme="minorEastAsia" w:cstheme="minorEastAsia"/>
                <w:color w:val="000000" w:themeColor="text1"/>
                <w:sz w:val="21"/>
                <w:szCs w:val="21"/>
                <w14:textFill>
                  <w14:solidFill>
                    <w14:schemeClr w14:val="tx1"/>
                  </w14:solidFill>
                </w14:textFill>
              </w:rPr>
              <w:t>一览表</w:t>
            </w:r>
          </w:p>
          <w:tbl>
            <w:tblPr>
              <w:tblStyle w:val="1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3"/>
              <w:gridCol w:w="1066"/>
              <w:gridCol w:w="5041"/>
              <w:gridCol w:w="13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3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名称</w:t>
                  </w:r>
                </w:p>
              </w:tc>
              <w:tc>
                <w:tcPr>
                  <w:tcW w:w="6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项目</w:t>
                  </w:r>
                </w:p>
              </w:tc>
              <w:tc>
                <w:tcPr>
                  <w:tcW w:w="30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工程内容及规模</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43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主体</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工程</w:t>
                  </w:r>
                </w:p>
              </w:tc>
              <w:tc>
                <w:tcPr>
                  <w:tcW w:w="6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生产线</w:t>
                  </w:r>
                </w:p>
              </w:tc>
              <w:tc>
                <w:tcPr>
                  <w:tcW w:w="30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租用昌吉先导工程材料有限责任公司东南侧空地，占地面积约</w:t>
                  </w:r>
                  <w:r>
                    <w:rPr>
                      <w:rFonts w:hint="eastAsia" w:cs="Times New Roman"/>
                      <w:color w:val="000000" w:themeColor="text1"/>
                      <w:sz w:val="21"/>
                      <w:szCs w:val="21"/>
                      <w:lang w:val="en-US" w:eastAsia="zh-CN"/>
                      <w14:textFill>
                        <w14:solidFill>
                          <w14:schemeClr w14:val="tx1"/>
                        </w14:solidFill>
                      </w14:textFill>
                    </w:rPr>
                    <w:t>1</w:t>
                  </w:r>
                  <w:r>
                    <w:rPr>
                      <w:rFonts w:hint="default" w:ascii="Times New Roman" w:hAnsi="Times New Roman" w:cs="Times New Roman"/>
                      <w:color w:val="000000" w:themeColor="text1"/>
                      <w:sz w:val="21"/>
                      <w:szCs w:val="21"/>
                      <w:lang w:val="en-US" w:eastAsia="zh-CN"/>
                      <w14:textFill>
                        <w14:solidFill>
                          <w14:schemeClr w14:val="tx1"/>
                        </w14:solidFill>
                      </w14:textFill>
                    </w:rPr>
                    <w:t>300m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2</w:t>
                  </w:r>
                  <w:r>
                    <w:rPr>
                      <w:rFonts w:hint="eastAsia" w:cs="Times New Roman"/>
                      <w:color w:val="000000" w:themeColor="text1"/>
                      <w:sz w:val="21"/>
                      <w:szCs w:val="21"/>
                      <w:vertAlign w:val="baseline"/>
                      <w:lang w:val="en-US" w:eastAsia="zh-CN"/>
                      <w14:textFill>
                        <w14:solidFill>
                          <w14:schemeClr w14:val="tx1"/>
                        </w14:solidFill>
                      </w14:textFill>
                    </w:rPr>
                    <w:t>；新建年产27000平方米装配式房屋生产线2条及配套生产设备</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租赁场地，无土建工程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43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6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30t行车</w:t>
                  </w:r>
                </w:p>
              </w:tc>
              <w:tc>
                <w:tcPr>
                  <w:tcW w:w="30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新建一架</w:t>
                  </w:r>
                  <w:r>
                    <w:rPr>
                      <w:rFonts w:hint="eastAsia" w:cs="Times New Roman"/>
                      <w:color w:val="000000" w:themeColor="text1"/>
                      <w:sz w:val="21"/>
                      <w:szCs w:val="21"/>
                      <w:lang w:val="en-US" w:eastAsia="zh-CN"/>
                      <w14:textFill>
                        <w14:solidFill>
                          <w14:schemeClr w14:val="tx1"/>
                        </w14:solidFill>
                      </w14:textFill>
                    </w:rPr>
                    <w:t>30t行车及运行轨道</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43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6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s="Times New Roman"/>
                      <w:color w:val="0000FF"/>
                      <w:sz w:val="21"/>
                      <w:szCs w:val="21"/>
                      <w:lang w:val="en-US" w:eastAsia="zh-CN"/>
                    </w:rPr>
                  </w:pPr>
                  <w:r>
                    <w:rPr>
                      <w:rFonts w:hint="eastAsia" w:cs="Times New Roman"/>
                      <w:color w:val="0000FF"/>
                      <w:sz w:val="21"/>
                      <w:szCs w:val="21"/>
                      <w:lang w:val="en-US" w:eastAsia="zh-CN"/>
                    </w:rPr>
                    <w:t>生产车间</w:t>
                  </w:r>
                </w:p>
              </w:tc>
              <w:tc>
                <w:tcPr>
                  <w:tcW w:w="30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cs="Times New Roman"/>
                      <w:color w:val="0000FF"/>
                      <w:sz w:val="21"/>
                      <w:szCs w:val="21"/>
                      <w:lang w:val="en-US" w:eastAsia="zh-CN"/>
                    </w:rPr>
                  </w:pPr>
                  <w:r>
                    <w:rPr>
                      <w:rFonts w:hint="eastAsia" w:cs="Times New Roman"/>
                      <w:color w:val="0000FF"/>
                      <w:sz w:val="21"/>
                      <w:szCs w:val="21"/>
                      <w:lang w:val="en-US" w:eastAsia="zh-CN"/>
                    </w:rPr>
                    <w:t>1栋，</w:t>
                  </w:r>
                  <w:r>
                    <w:rPr>
                      <w:rFonts w:hint="eastAsia" w:cs="Times New Roman"/>
                      <w:color w:val="0000FF"/>
                      <w:sz w:val="21"/>
                      <w:szCs w:val="21"/>
                      <w:lang w:eastAsia="zh-CN"/>
                    </w:rPr>
                    <w:t>占地面积</w:t>
                  </w:r>
                  <w:r>
                    <w:rPr>
                      <w:rFonts w:hint="eastAsia" w:cs="Times New Roman"/>
                      <w:color w:val="0000FF"/>
                      <w:sz w:val="21"/>
                      <w:szCs w:val="21"/>
                      <w:lang w:val="en-US" w:eastAsia="zh-CN"/>
                    </w:rPr>
                    <w:t>30m</w:t>
                  </w:r>
                  <w:r>
                    <w:rPr>
                      <w:rFonts w:hint="eastAsia" w:cs="Times New Roman"/>
                      <w:color w:val="0000FF"/>
                      <w:sz w:val="21"/>
                      <w:szCs w:val="21"/>
                      <w:vertAlign w:val="superscript"/>
                      <w:lang w:val="en-US" w:eastAsia="zh-CN"/>
                    </w:rPr>
                    <w:t>2</w:t>
                  </w:r>
                  <w:r>
                    <w:rPr>
                      <w:rFonts w:hint="eastAsia" w:cs="Times New Roman"/>
                      <w:color w:val="0000FF"/>
                      <w:sz w:val="21"/>
                      <w:szCs w:val="21"/>
                      <w:lang w:val="en-US" w:eastAsia="zh-CN"/>
                    </w:rPr>
                    <w:t>，建筑面积30m</w:t>
                  </w:r>
                  <w:r>
                    <w:rPr>
                      <w:rFonts w:hint="eastAsia" w:cs="Times New Roman"/>
                      <w:color w:val="0000FF"/>
                      <w:sz w:val="21"/>
                      <w:szCs w:val="21"/>
                      <w:vertAlign w:val="superscript"/>
                      <w:lang w:val="en-US" w:eastAsia="zh-CN"/>
                    </w:rPr>
                    <w:t>2</w:t>
                  </w:r>
                  <w:r>
                    <w:rPr>
                      <w:rFonts w:hint="eastAsia" w:cs="Times New Roman"/>
                      <w:color w:val="0000FF"/>
                      <w:sz w:val="21"/>
                      <w:szCs w:val="21"/>
                      <w:lang w:val="en-US" w:eastAsia="zh-CN"/>
                    </w:rPr>
                    <w:t>，用于钢筋骨架制作</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s="Times New Roman"/>
                      <w:color w:val="0000FF"/>
                      <w:sz w:val="21"/>
                      <w:szCs w:val="21"/>
                      <w:lang w:eastAsia="zh-CN"/>
                    </w:rPr>
                  </w:pPr>
                  <w:r>
                    <w:rPr>
                      <w:rFonts w:hint="eastAsia" w:cs="Times New Roman"/>
                      <w:color w:val="0000FF"/>
                      <w:sz w:val="21"/>
                      <w:szCs w:val="21"/>
                      <w:lang w:eastAsia="zh-CN"/>
                    </w:rPr>
                    <w:t>彩钢结构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43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辅助工程</w:t>
                  </w:r>
                </w:p>
              </w:tc>
              <w:tc>
                <w:tcPr>
                  <w:tcW w:w="6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办公区</w:t>
                  </w:r>
                </w:p>
              </w:tc>
              <w:tc>
                <w:tcPr>
                  <w:tcW w:w="30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位于项目区南侧，占地面积约</w:t>
                  </w:r>
                  <w:r>
                    <w:rPr>
                      <w:rFonts w:hint="default" w:ascii="Times New Roman" w:hAnsi="Times New Roman" w:cs="Times New Roman"/>
                      <w:color w:val="000000" w:themeColor="text1"/>
                      <w:sz w:val="21"/>
                      <w:szCs w:val="21"/>
                      <w:lang w:val="en-US" w:eastAsia="zh-CN"/>
                      <w14:textFill>
                        <w14:solidFill>
                          <w14:schemeClr w14:val="tx1"/>
                        </w14:solidFill>
                      </w14:textFill>
                    </w:rPr>
                    <w:t>60</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2</w:t>
                  </w:r>
                </w:p>
              </w:tc>
              <w:tc>
                <w:tcPr>
                  <w:tcW w:w="80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依托</w:t>
                  </w:r>
                  <w:r>
                    <w:rPr>
                      <w:rFonts w:hint="eastAsia" w:cs="Times New Roman"/>
                      <w:color w:val="000000" w:themeColor="text1"/>
                      <w:sz w:val="21"/>
                      <w:szCs w:val="21"/>
                      <w:lang w:eastAsia="zh-CN"/>
                      <w14:textFill>
                        <w14:solidFill>
                          <w14:schemeClr w14:val="tx1"/>
                        </w14:solidFill>
                      </w14:textFill>
                    </w:rPr>
                    <w:t>昌吉市先导工程科技有限责任公司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3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公用</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工程</w:t>
                  </w:r>
                </w:p>
              </w:tc>
              <w:tc>
                <w:tcPr>
                  <w:tcW w:w="6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供电</w:t>
                  </w:r>
                </w:p>
              </w:tc>
              <w:tc>
                <w:tcPr>
                  <w:tcW w:w="30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依托园区供电管网统一供给</w:t>
                  </w:r>
                </w:p>
              </w:tc>
              <w:tc>
                <w:tcPr>
                  <w:tcW w:w="80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6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供水</w:t>
                  </w:r>
                </w:p>
              </w:tc>
              <w:tc>
                <w:tcPr>
                  <w:tcW w:w="30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依托园区供水管网统一供给</w:t>
                  </w:r>
                </w:p>
              </w:tc>
              <w:tc>
                <w:tcPr>
                  <w:tcW w:w="80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6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供热</w:t>
                  </w:r>
                </w:p>
              </w:tc>
              <w:tc>
                <w:tcPr>
                  <w:tcW w:w="30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本项目冬季不生产，厂区内无需供热</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储运工程</w:t>
                  </w:r>
                </w:p>
              </w:tc>
              <w:tc>
                <w:tcPr>
                  <w:tcW w:w="6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成品堆</w:t>
                  </w:r>
                  <w:r>
                    <w:rPr>
                      <w:rFonts w:hint="eastAsia" w:cs="Times New Roman"/>
                      <w:color w:val="000000" w:themeColor="text1"/>
                      <w:sz w:val="21"/>
                      <w:szCs w:val="21"/>
                      <w:lang w:eastAsia="zh-CN"/>
                      <w14:textFill>
                        <w14:solidFill>
                          <w14:schemeClr w14:val="tx1"/>
                        </w14:solidFill>
                      </w14:textFill>
                    </w:rPr>
                    <w:t>场</w:t>
                  </w:r>
                </w:p>
              </w:tc>
              <w:tc>
                <w:tcPr>
                  <w:tcW w:w="30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租用昌吉先导工程材料有限责任公司西</w:t>
                  </w:r>
                  <w:r>
                    <w:rPr>
                      <w:rFonts w:hint="default" w:ascii="Times New Roman" w:hAnsi="Times New Roman" w:cs="Times New Roman"/>
                      <w:color w:val="000000" w:themeColor="text1"/>
                      <w:sz w:val="21"/>
                      <w:szCs w:val="21"/>
                      <w14:textFill>
                        <w14:solidFill>
                          <w14:schemeClr w14:val="tx1"/>
                        </w14:solidFill>
                      </w14:textFill>
                    </w:rPr>
                    <w:t>侧</w:t>
                  </w:r>
                  <w:r>
                    <w:rPr>
                      <w:rFonts w:hint="eastAsia" w:cs="Times New Roman"/>
                      <w:color w:val="000000" w:themeColor="text1"/>
                      <w:sz w:val="21"/>
                      <w:szCs w:val="21"/>
                      <w:lang w:eastAsia="zh-CN"/>
                      <w14:textFill>
                        <w14:solidFill>
                          <w14:schemeClr w14:val="tx1"/>
                        </w14:solidFill>
                      </w14:textFill>
                    </w:rPr>
                    <w:t>空地</w:t>
                  </w:r>
                  <w:r>
                    <w:rPr>
                      <w:rFonts w:hint="default" w:ascii="Times New Roman" w:hAnsi="Times New Roman" w:cs="Times New Roman"/>
                      <w:color w:val="000000" w:themeColor="text1"/>
                      <w:sz w:val="21"/>
                      <w:szCs w:val="21"/>
                      <w:lang w:eastAsia="zh-CN"/>
                      <w14:textFill>
                        <w14:solidFill>
                          <w14:schemeClr w14:val="tx1"/>
                        </w14:solidFill>
                      </w14:textFill>
                    </w:rPr>
                    <w:t>，占地面积约</w:t>
                  </w:r>
                  <w:r>
                    <w:rPr>
                      <w:rFonts w:hint="default" w:ascii="Times New Roman" w:hAnsi="Times New Roman" w:cs="Times New Roman"/>
                      <w:color w:val="000000" w:themeColor="text1"/>
                      <w:sz w:val="21"/>
                      <w:szCs w:val="21"/>
                      <w:lang w:val="en-US" w:eastAsia="zh-CN"/>
                      <w14:textFill>
                        <w14:solidFill>
                          <w14:schemeClr w14:val="tx1"/>
                        </w14:solidFill>
                      </w14:textFill>
                    </w:rPr>
                    <w:t>2000</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2</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租赁场地，无土建工程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环保</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工程</w:t>
                  </w:r>
                </w:p>
              </w:tc>
              <w:tc>
                <w:tcPr>
                  <w:tcW w:w="6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废气</w:t>
                  </w:r>
                </w:p>
              </w:tc>
              <w:tc>
                <w:tcPr>
                  <w:tcW w:w="30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color w:val="0000FF"/>
                      <w:sz w:val="21"/>
                      <w:szCs w:val="21"/>
                      <w:lang w:eastAsia="zh-CN"/>
                    </w:rPr>
                    <w:t>焊接烟尘，经移动式焊烟除尘器处理后，以无组织排放</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钢筋切割过程中产生少量粉尘</w:t>
                  </w:r>
                  <w:r>
                    <w:rPr>
                      <w:rFonts w:hint="eastAsia"/>
                      <w:color w:val="000000" w:themeColor="text1"/>
                      <w:sz w:val="21"/>
                      <w:szCs w:val="21"/>
                      <w:lang w:eastAsia="zh-CN"/>
                      <w14:textFill>
                        <w14:solidFill>
                          <w14:schemeClr w14:val="tx1"/>
                        </w14:solidFill>
                      </w14:textFill>
                    </w:rPr>
                    <w:t>以</w:t>
                  </w:r>
                  <w:r>
                    <w:rPr>
                      <w:color w:val="000000" w:themeColor="text1"/>
                      <w:sz w:val="21"/>
                      <w:szCs w:val="21"/>
                      <w14:textFill>
                        <w14:solidFill>
                          <w14:schemeClr w14:val="tx1"/>
                        </w14:solidFill>
                      </w14:textFill>
                    </w:rPr>
                    <w:t>无组织排放</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highlight w:val="yellow"/>
                      <w14:textFill>
                        <w14:solidFill>
                          <w14:schemeClr w14:val="tx1"/>
                        </w14:solidFill>
                      </w14:textFill>
                    </w:rPr>
                  </w:pPr>
                </w:p>
              </w:tc>
              <w:tc>
                <w:tcPr>
                  <w:tcW w:w="6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废水</w:t>
                  </w:r>
                </w:p>
              </w:tc>
              <w:tc>
                <w:tcPr>
                  <w:tcW w:w="30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生活污水排入</w:t>
                  </w:r>
                  <w:r>
                    <w:rPr>
                      <w:rFonts w:hint="default" w:ascii="Times New Roman" w:hAnsi="Times New Roman" w:cs="Times New Roman"/>
                      <w:color w:val="000000" w:themeColor="text1"/>
                      <w:sz w:val="21"/>
                      <w:szCs w:val="21"/>
                      <w:lang w:eastAsia="zh-CN"/>
                      <w14:textFill>
                        <w14:solidFill>
                          <w14:schemeClr w14:val="tx1"/>
                        </w14:solidFill>
                      </w14:textFill>
                    </w:rPr>
                    <w:t>园区管网</w:t>
                  </w:r>
                  <w:r>
                    <w:rPr>
                      <w:rFonts w:hint="eastAsia" w:cs="Times New Roman"/>
                      <w:color w:val="000000" w:themeColor="text1"/>
                      <w:sz w:val="21"/>
                      <w:szCs w:val="21"/>
                      <w:lang w:eastAsia="zh-CN"/>
                      <w14:textFill>
                        <w14:solidFill>
                          <w14:schemeClr w14:val="tx1"/>
                        </w14:solidFill>
                      </w14:textFill>
                    </w:rPr>
                    <w:t>，最终进入昌吉高新区污水厂处置</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highlight w:val="yellow"/>
                      <w14:textFill>
                        <w14:solidFill>
                          <w14:schemeClr w14:val="tx1"/>
                        </w14:solidFill>
                      </w14:textFill>
                    </w:rPr>
                  </w:pPr>
                </w:p>
              </w:tc>
              <w:tc>
                <w:tcPr>
                  <w:tcW w:w="6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噪声</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治理</w:t>
                  </w:r>
                </w:p>
              </w:tc>
              <w:tc>
                <w:tcPr>
                  <w:tcW w:w="30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选用低噪声设备，基础减振装置和柔性连接等措施</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43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highlight w:val="yellow"/>
                      <w14:textFill>
                        <w14:solidFill>
                          <w14:schemeClr w14:val="tx1"/>
                        </w14:solidFill>
                      </w14:textFill>
                    </w:rPr>
                  </w:pPr>
                </w:p>
              </w:tc>
              <w:tc>
                <w:tcPr>
                  <w:tcW w:w="6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固废</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治理</w:t>
                  </w:r>
                </w:p>
              </w:tc>
              <w:tc>
                <w:tcPr>
                  <w:tcW w:w="30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eastAsia="宋体"/>
                      <w:color w:val="000000" w:themeColor="text1"/>
                      <w:sz w:val="21"/>
                      <w:szCs w:val="21"/>
                      <w:lang w:eastAsia="zh-CN"/>
                      <w14:textFill>
                        <w14:solidFill>
                          <w14:schemeClr w14:val="tx1"/>
                        </w14:solidFill>
                      </w14:textFill>
                    </w:rPr>
                  </w:pPr>
                  <w:r>
                    <w:rPr>
                      <w:rFonts w:hint="default"/>
                      <w:color w:val="000000" w:themeColor="text1"/>
                      <w:sz w:val="21"/>
                      <w:szCs w:val="21"/>
                      <w14:textFill>
                        <w14:solidFill>
                          <w14:schemeClr w14:val="tx1"/>
                        </w14:solidFill>
                      </w14:textFill>
                    </w:rPr>
                    <w:t>生活垃圾：集中收集后交由环卫部门处理</w:t>
                  </w:r>
                  <w:r>
                    <w:rPr>
                      <w:rFonts w:hint="eastAsia"/>
                      <w:color w:val="000000" w:themeColor="text1"/>
                      <w:sz w:val="21"/>
                      <w:szCs w:val="21"/>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生产固废：少量废钢筋、商品混凝土渣全部回用生产工序，均不外排。</w:t>
                  </w:r>
                </w:p>
              </w:tc>
              <w:tc>
                <w:tcPr>
                  <w:tcW w:w="8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bl>
          <w:p>
            <w:pPr>
              <w:pStyle w:val="4"/>
              <w:pageBreakBefore w:val="0"/>
              <w:widowControl w:val="0"/>
              <w:kinsoku/>
              <w:wordWrap/>
              <w:overflowPunct/>
              <w:topLinePunct w:val="0"/>
              <w:autoSpaceDE/>
              <w:autoSpaceDN/>
              <w:bidi w:val="0"/>
              <w:adjustRightInd/>
              <w:snapToGrid w:val="0"/>
              <w:spacing w:before="0" w:after="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产品方案</w:t>
            </w:r>
          </w:p>
          <w:p>
            <w:pPr>
              <w:pageBreakBefore w:val="0"/>
              <w:widowControl w:val="0"/>
              <w:kinsoku/>
              <w:wordWrap/>
              <w:overflowPunct/>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本项目年产</w:t>
            </w:r>
            <w:r>
              <w:rPr>
                <w:rFonts w:hint="eastAsia"/>
                <w:color w:val="000000" w:themeColor="text1"/>
                <w:lang w:val="en-US" w:eastAsia="zh-CN"/>
                <w14:textFill>
                  <w14:solidFill>
                    <w14:schemeClr w14:val="tx1"/>
                  </w14:solidFill>
                </w14:textFill>
              </w:rPr>
              <w:t>27000平方米装配式房屋水泥制品</w:t>
            </w:r>
            <w:r>
              <w:rPr>
                <w:rFonts w:hint="eastAsia"/>
                <w:color w:val="000000" w:themeColor="text1"/>
                <w:lang w:eastAsia="zh-CN"/>
                <w14:textFill>
                  <w14:solidFill>
                    <w14:schemeClr w14:val="tx1"/>
                  </w14:solidFill>
                </w14:textFill>
              </w:rPr>
              <w:t>项目</w:t>
            </w:r>
            <w:r>
              <w:rPr>
                <w:rFonts w:hint="eastAsia"/>
                <w:color w:val="000000" w:themeColor="text1"/>
                <w14:textFill>
                  <w14:solidFill>
                    <w14:schemeClr w14:val="tx1"/>
                  </w14:solidFill>
                </w14:textFill>
              </w:rPr>
              <w:t>，产品规格型号根据客户要求确定。具体产品方案见表</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表</w:t>
            </w:r>
            <w:r>
              <w:rPr>
                <w:rFonts w:hint="eastAsia" w:cs="Times New Roman" w:eastAsiaTheme="minorEastAsia"/>
                <w:color w:val="000000" w:themeColor="text1"/>
                <w:sz w:val="21"/>
                <w:szCs w:val="2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项目产品方案</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8"/>
              <w:gridCol w:w="939"/>
              <w:gridCol w:w="1834"/>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产品</w:t>
                  </w:r>
                  <w:r>
                    <w:rPr>
                      <w:color w:val="000000" w:themeColor="text1"/>
                      <w:sz w:val="21"/>
                      <w:szCs w:val="21"/>
                      <w14:textFill>
                        <w14:solidFill>
                          <w14:schemeClr w14:val="tx1"/>
                        </w14:solidFill>
                      </w14:textFill>
                    </w:rPr>
                    <w:t>名称</w:t>
                  </w:r>
                </w:p>
              </w:tc>
              <w:tc>
                <w:tcPr>
                  <w:tcW w:w="57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年产量</w:t>
                  </w:r>
                </w:p>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(万m</w:t>
                  </w:r>
                  <w:r>
                    <w:rPr>
                      <w:rFonts w:hint="eastAsia"/>
                      <w:color w:val="000000" w:themeColor="text1"/>
                      <w:sz w:val="21"/>
                      <w:szCs w:val="21"/>
                      <w:vertAlign w:val="superscript"/>
                      <w:lang w:val="en-US" w:eastAsia="zh-CN"/>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w:t>
                  </w:r>
                </w:p>
              </w:tc>
              <w:tc>
                <w:tcPr>
                  <w:tcW w:w="11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储存位置</w:t>
                  </w:r>
                </w:p>
              </w:tc>
              <w:tc>
                <w:tcPr>
                  <w:tcW w:w="15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产品规格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93" w:type="pct"/>
                  <w:tcBorders>
                    <w:tl2br w:val="nil"/>
                    <w:tr2bl w:val="nil"/>
                  </w:tcBorders>
                  <w:vAlign w:val="center"/>
                </w:tcPr>
                <w:p>
                  <w:pPr>
                    <w:spacing w:line="240" w:lineRule="auto"/>
                    <w:ind w:firstLine="0" w:firstLineChars="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建筑式装备房屋大</w:t>
                  </w:r>
                </w:p>
              </w:tc>
              <w:tc>
                <w:tcPr>
                  <w:tcW w:w="577" w:type="pct"/>
                  <w:tcBorders>
                    <w:tl2br w:val="nil"/>
                    <w:tr2bl w:val="nil"/>
                  </w:tcBorders>
                  <w:vAlign w:val="center"/>
                </w:tcPr>
                <w:p>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w:t>
                  </w:r>
                </w:p>
              </w:tc>
              <w:tc>
                <w:tcPr>
                  <w:tcW w:w="1127" w:type="pct"/>
                  <w:tcBorders>
                    <w:tl2br w:val="nil"/>
                    <w:tr2bl w:val="nil"/>
                  </w:tcBorders>
                  <w:vAlign w:val="center"/>
                </w:tcPr>
                <w:p>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项目区西侧空地</w:t>
                  </w:r>
                </w:p>
              </w:tc>
              <w:tc>
                <w:tcPr>
                  <w:tcW w:w="1501" w:type="pct"/>
                  <w:tcBorders>
                    <w:tl2br w:val="nil"/>
                    <w:tr2bl w:val="nil"/>
                  </w:tcBorders>
                  <w:vAlign w:val="center"/>
                </w:tcPr>
                <w:p>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3.6m×7.5m×3.1m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93" w:type="pct"/>
                  <w:tcBorders>
                    <w:tl2br w:val="nil"/>
                    <w:tr2bl w:val="nil"/>
                  </w:tcBorders>
                  <w:vAlign w:val="center"/>
                </w:tcPr>
                <w:p>
                  <w:pPr>
                    <w:spacing w:line="240" w:lineRule="auto"/>
                    <w:ind w:firstLine="0" w:firstLineChars="0"/>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建筑式装备房屋小</w:t>
                  </w:r>
                </w:p>
              </w:tc>
              <w:tc>
                <w:tcPr>
                  <w:tcW w:w="577"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1.1</w:t>
                  </w:r>
                </w:p>
              </w:tc>
              <w:tc>
                <w:tcPr>
                  <w:tcW w:w="1127" w:type="pct"/>
                  <w:tcBorders>
                    <w:tl2br w:val="nil"/>
                    <w:tr2bl w:val="nil"/>
                  </w:tcBorders>
                  <w:vAlign w:val="center"/>
                </w:tcPr>
                <w:p>
                  <w:pPr>
                    <w:spacing w:line="240" w:lineRule="auto"/>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项目区西侧空地</w:t>
                  </w:r>
                </w:p>
              </w:tc>
              <w:tc>
                <w:tcPr>
                  <w:tcW w:w="1501" w:type="pct"/>
                  <w:tcBorders>
                    <w:tl2br w:val="nil"/>
                    <w:tr2bl w:val="nil"/>
                  </w:tcBorders>
                  <w:vAlign w:val="center"/>
                </w:tcPr>
                <w:p>
                  <w:pPr>
                    <w:spacing w:line="240" w:lineRule="auto"/>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3.3m×6.6m×2.8m</w:t>
                  </w:r>
                </w:p>
              </w:tc>
            </w:tr>
          </w:tbl>
          <w:p>
            <w:pPr>
              <w:pStyle w:val="4"/>
              <w:pageBreakBefore w:val="0"/>
              <w:widowControl w:val="0"/>
              <w:kinsoku/>
              <w:wordWrap/>
              <w:overflowPunct/>
              <w:topLinePunct w:val="0"/>
              <w:autoSpaceDE/>
              <w:autoSpaceDN/>
              <w:bidi w:val="0"/>
              <w:adjustRightInd/>
              <w:snapToGrid w:val="0"/>
              <w:spacing w:before="0" w:after="0"/>
              <w:textAlignment w:val="auto"/>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主要原辅材料</w:t>
            </w:r>
            <w:r>
              <w:rPr>
                <w:rFonts w:hint="eastAsia"/>
                <w:color w:val="000000" w:themeColor="text1"/>
                <w:highlight w:val="none"/>
                <w:lang w:eastAsia="zh-CN"/>
                <w14:textFill>
                  <w14:solidFill>
                    <w14:schemeClr w14:val="tx1"/>
                  </w14:solidFill>
                </w14:textFill>
              </w:rPr>
              <w:t>及能耗</w:t>
            </w:r>
          </w:p>
          <w:p>
            <w:pPr>
              <w:pageBreakBefore w:val="0"/>
              <w:widowControl w:val="0"/>
              <w:kinsoku/>
              <w:wordWrap/>
              <w:overflowPunct/>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本项目生产所需原辅材料为</w:t>
            </w:r>
            <w:r>
              <w:rPr>
                <w:rFonts w:hint="eastAsia"/>
                <w:color w:val="000000" w:themeColor="text1"/>
                <w:lang w:eastAsia="zh-CN"/>
                <w14:textFill>
                  <w14:solidFill>
                    <w14:schemeClr w14:val="tx1"/>
                  </w14:solidFill>
                </w14:textFill>
              </w:rPr>
              <w:t>钢筋、混凝土、脱模剂</w:t>
            </w:r>
            <w:r>
              <w:rPr>
                <w:rFonts w:hint="eastAsia"/>
                <w:color w:val="000000" w:themeColor="text1"/>
                <w:sz w:val="24"/>
                <w:szCs w:val="24"/>
                <w:lang w:eastAsia="zh-CN"/>
                <w14:textFill>
                  <w14:solidFill>
                    <w14:schemeClr w14:val="tx1"/>
                  </w14:solidFill>
                </w14:textFill>
              </w:rPr>
              <w:t>等</w:t>
            </w:r>
            <w:r>
              <w:rPr>
                <w:rFonts w:hint="eastAsia"/>
                <w:color w:val="000000" w:themeColor="text1"/>
                <w14:textFill>
                  <w14:solidFill>
                    <w14:schemeClr w14:val="tx1"/>
                  </w14:solidFill>
                </w14:textFill>
              </w:rPr>
              <w:t>。本项目原辅材料</w:t>
            </w:r>
            <w:r>
              <w:rPr>
                <w:rFonts w:hint="eastAsia"/>
                <w:color w:val="000000" w:themeColor="text1"/>
                <w:lang w:eastAsia="zh-CN"/>
                <w14:textFill>
                  <w14:solidFill>
                    <w14:schemeClr w14:val="tx1"/>
                  </w14:solidFill>
                </w14:textFill>
              </w:rPr>
              <w:t>及能源</w:t>
            </w:r>
            <w:r>
              <w:rPr>
                <w:rFonts w:hint="eastAsia"/>
                <w:color w:val="000000" w:themeColor="text1"/>
                <w14:textFill>
                  <w14:solidFill>
                    <w14:schemeClr w14:val="tx1"/>
                  </w14:solidFill>
                </w14:textFill>
              </w:rPr>
              <w:t>消耗</w:t>
            </w:r>
            <w:r>
              <w:rPr>
                <w:rFonts w:hint="eastAsia"/>
                <w:color w:val="000000" w:themeColor="text1"/>
                <w:lang w:eastAsia="zh-CN"/>
                <w14:textFill>
                  <w14:solidFill>
                    <w14:schemeClr w14:val="tx1"/>
                  </w14:solidFill>
                </w14:textFill>
              </w:rPr>
              <w:t>情况</w:t>
            </w:r>
            <w:r>
              <w:rPr>
                <w:rFonts w:hint="eastAsia"/>
                <w:color w:val="000000" w:themeColor="text1"/>
                <w14:textFill>
                  <w14:solidFill>
                    <w14:schemeClr w14:val="tx1"/>
                  </w14:solidFill>
                </w14:textFill>
              </w:rPr>
              <w:t>见表</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表</w:t>
            </w:r>
            <w:r>
              <w:rPr>
                <w:rFonts w:hint="eastAsia" w:cs="Times New Roman" w:eastAsiaTheme="minorEastAsia"/>
                <w:color w:val="000000" w:themeColor="text1"/>
                <w:sz w:val="21"/>
                <w:szCs w:val="2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主要原辅材料</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及能源</w:t>
            </w:r>
            <w:r>
              <w:rPr>
                <w:rFonts w:hint="eastAsia" w:asciiTheme="minorEastAsia" w:hAnsiTheme="minorEastAsia" w:eastAsiaTheme="minorEastAsia" w:cstheme="minorEastAsia"/>
                <w:color w:val="000000" w:themeColor="text1"/>
                <w:sz w:val="21"/>
                <w:szCs w:val="21"/>
                <w14:textFill>
                  <w14:solidFill>
                    <w14:schemeClr w14:val="tx1"/>
                  </w14:solidFill>
                </w14:textFill>
              </w:rPr>
              <w:t>消耗</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一览表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1601"/>
              <w:gridCol w:w="1323"/>
              <w:gridCol w:w="1440"/>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Align w:val="center"/>
                </w:tcPr>
                <w:p>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eastAsia="zh-CN"/>
                      <w14:textFill>
                        <w14:solidFill>
                          <w14:schemeClr w14:val="tx1"/>
                        </w14:solidFill>
                      </w14:textFill>
                    </w:rPr>
                    <w:t>序号</w:t>
                  </w:r>
                </w:p>
              </w:tc>
              <w:tc>
                <w:tcPr>
                  <w:tcW w:w="984" w:type="pct"/>
                  <w:vAlign w:val="center"/>
                </w:tcPr>
                <w:p>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eastAsia="zh-CN"/>
                      <w14:textFill>
                        <w14:solidFill>
                          <w14:schemeClr w14:val="tx1"/>
                        </w14:solidFill>
                      </w14:textFill>
                    </w:rPr>
                    <w:t>名称</w:t>
                  </w:r>
                </w:p>
              </w:tc>
              <w:tc>
                <w:tcPr>
                  <w:tcW w:w="813" w:type="pct"/>
                  <w:vAlign w:val="center"/>
                </w:tcPr>
                <w:p>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cs="Times New Roman"/>
                      <w:color w:val="000000" w:themeColor="text1"/>
                      <w:sz w:val="21"/>
                      <w:szCs w:val="21"/>
                      <w:vertAlign w:val="baseline"/>
                      <w:lang w:eastAsia="zh-CN"/>
                      <w14:textFill>
                        <w14:solidFill>
                          <w14:schemeClr w14:val="tx1"/>
                        </w14:solidFill>
                      </w14:textFill>
                    </w:rPr>
                    <w:t>年消耗</w:t>
                  </w:r>
                  <w:r>
                    <w:rPr>
                      <w:rFonts w:hint="default" w:ascii="Times New Roman" w:hAnsi="Times New Roman" w:cs="Times New Roman"/>
                      <w:color w:val="000000" w:themeColor="text1"/>
                      <w:sz w:val="21"/>
                      <w:szCs w:val="21"/>
                      <w:vertAlign w:val="baseline"/>
                      <w:lang w:eastAsia="zh-CN"/>
                      <w14:textFill>
                        <w14:solidFill>
                          <w14:schemeClr w14:val="tx1"/>
                        </w14:solidFill>
                      </w14:textFill>
                    </w:rPr>
                    <w:t>量</w:t>
                  </w:r>
                </w:p>
              </w:tc>
              <w:tc>
                <w:tcPr>
                  <w:tcW w:w="885" w:type="pct"/>
                  <w:vAlign w:val="center"/>
                </w:tcPr>
                <w:p>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cs="Times New Roman"/>
                      <w:color w:val="000000" w:themeColor="text1"/>
                      <w:sz w:val="21"/>
                      <w:szCs w:val="21"/>
                      <w:vertAlign w:val="baseline"/>
                      <w:lang w:eastAsia="zh-CN"/>
                      <w14:textFill>
                        <w14:solidFill>
                          <w14:schemeClr w14:val="tx1"/>
                        </w14:solidFill>
                      </w14:textFill>
                    </w:rPr>
                    <w:t>单位</w:t>
                  </w:r>
                </w:p>
              </w:tc>
              <w:tc>
                <w:tcPr>
                  <w:tcW w:w="1735" w:type="pct"/>
                  <w:vAlign w:val="center"/>
                </w:tcPr>
                <w:p>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Align w:val="center"/>
                </w:tcPr>
                <w:p>
                  <w:pPr>
                    <w:ind w:left="0" w:leftChars="0" w:firstLine="0" w:firstLineChars="0"/>
                    <w:jc w:val="cente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eastAsia="zh-CN"/>
                      <w14:textFill>
                        <w14:solidFill>
                          <w14:schemeClr w14:val="tx1"/>
                        </w14:solidFill>
                      </w14:textFill>
                    </w:rPr>
                    <w:t>一</w:t>
                  </w:r>
                </w:p>
              </w:tc>
              <w:tc>
                <w:tcPr>
                  <w:tcW w:w="4419" w:type="pct"/>
                  <w:gridSpan w:val="4"/>
                  <w:vAlign w:val="center"/>
                </w:tcPr>
                <w:p>
                  <w:pPr>
                    <w:ind w:left="0" w:leftChars="0" w:firstLine="0" w:firstLineChars="0"/>
                    <w:jc w:val="cente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eastAsia="zh-CN"/>
                      <w14:textFill>
                        <w14:solidFill>
                          <w14:schemeClr w14:val="tx1"/>
                        </w14:solidFill>
                      </w14:textFill>
                    </w:rPr>
                    <w:t>原辅材料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Align w:val="center"/>
                </w:tcPr>
                <w:p>
                  <w:pPr>
                    <w:ind w:left="0" w:leftChars="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w:t>
                  </w:r>
                </w:p>
              </w:tc>
              <w:tc>
                <w:tcPr>
                  <w:tcW w:w="984" w:type="pct"/>
                  <w:vAlign w:val="center"/>
                </w:tcPr>
                <w:p>
                  <w:pPr>
                    <w:ind w:left="0" w:leftChars="0" w:firstLine="0" w:firstLineChars="0"/>
                    <w:jc w:val="cente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钢筋</w:t>
                  </w:r>
                </w:p>
              </w:tc>
              <w:tc>
                <w:tcPr>
                  <w:tcW w:w="813" w:type="pct"/>
                  <w:vAlign w:val="center"/>
                </w:tcPr>
                <w:p>
                  <w:pPr>
                    <w:ind w:left="0" w:leftChars="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360</w:t>
                  </w:r>
                </w:p>
              </w:tc>
              <w:tc>
                <w:tcPr>
                  <w:tcW w:w="885" w:type="pct"/>
                  <w:vAlign w:val="center"/>
                </w:tcPr>
                <w:p>
                  <w:pPr>
                    <w:ind w:left="0" w:leftChars="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t/a</w:t>
                  </w:r>
                </w:p>
              </w:tc>
              <w:tc>
                <w:tcPr>
                  <w:tcW w:w="1735" w:type="pct"/>
                  <w:vAlign w:val="center"/>
                </w:tcPr>
                <w:p>
                  <w:pPr>
                    <w:ind w:left="0" w:leftChars="0" w:firstLine="0" w:firstLineChars="0"/>
                    <w:jc w:val="center"/>
                    <w:rPr>
                      <w:rFonts w:hint="default" w:ascii="Times New Roman" w:hAnsi="Times New Roman" w:cs="Times New Roman"/>
                      <w:color w:val="000000" w:themeColor="text1"/>
                      <w:sz w:val="21"/>
                      <w:szCs w:val="21"/>
                      <w:vertAlign w:val="baseline"/>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Align w:val="center"/>
                </w:tcPr>
                <w:p>
                  <w:pPr>
                    <w:ind w:left="0" w:leftChars="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2</w:t>
                  </w:r>
                </w:p>
              </w:tc>
              <w:tc>
                <w:tcPr>
                  <w:tcW w:w="984" w:type="pct"/>
                  <w:vAlign w:val="center"/>
                </w:tcPr>
                <w:p>
                  <w:pPr>
                    <w:ind w:left="0" w:leftChars="0" w:firstLine="0" w:firstLineChars="0"/>
                    <w:jc w:val="cente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混凝土</w:t>
                  </w:r>
                </w:p>
              </w:tc>
              <w:tc>
                <w:tcPr>
                  <w:tcW w:w="813" w:type="pct"/>
                  <w:vAlign w:val="center"/>
                </w:tcPr>
                <w:p>
                  <w:pPr>
                    <w:ind w:left="0" w:leftChars="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7500</w:t>
                  </w:r>
                </w:p>
              </w:tc>
              <w:tc>
                <w:tcPr>
                  <w:tcW w:w="885" w:type="pct"/>
                  <w:vAlign w:val="center"/>
                </w:tcPr>
                <w:p>
                  <w:pPr>
                    <w:ind w:left="0" w:leftChars="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m</w:t>
                  </w:r>
                  <w:r>
                    <w:rPr>
                      <w:rFonts w:hint="eastAsia" w:cs="Times New Roman"/>
                      <w:color w:val="000000" w:themeColor="text1"/>
                      <w:sz w:val="21"/>
                      <w:szCs w:val="21"/>
                      <w:vertAlign w:val="superscript"/>
                      <w:lang w:val="en-US" w:eastAsia="zh-CN"/>
                      <w14:textFill>
                        <w14:solidFill>
                          <w14:schemeClr w14:val="tx1"/>
                        </w14:solidFill>
                      </w14:textFill>
                    </w:rPr>
                    <w:t>3</w:t>
                  </w:r>
                  <w:r>
                    <w:rPr>
                      <w:rFonts w:hint="eastAsia" w:cs="Times New Roman"/>
                      <w:color w:val="000000" w:themeColor="text1"/>
                      <w:sz w:val="21"/>
                      <w:szCs w:val="21"/>
                      <w:vertAlign w:val="baseline"/>
                      <w:lang w:val="en-US" w:eastAsia="zh-CN"/>
                      <w14:textFill>
                        <w14:solidFill>
                          <w14:schemeClr w14:val="tx1"/>
                        </w14:solidFill>
                      </w14:textFill>
                    </w:rPr>
                    <w:t>/a</w:t>
                  </w:r>
                </w:p>
              </w:tc>
              <w:tc>
                <w:tcPr>
                  <w:tcW w:w="1735" w:type="pct"/>
                  <w:vAlign w:val="center"/>
                </w:tcPr>
                <w:p>
                  <w:pPr>
                    <w:ind w:left="0" w:leftChars="0" w:firstLine="0" w:firstLineChars="0"/>
                    <w:jc w:val="cente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Align w:val="center"/>
                </w:tcPr>
                <w:p>
                  <w:pPr>
                    <w:ind w:left="0" w:leftChars="0" w:firstLine="0" w:firstLineChars="0"/>
                    <w:jc w:val="center"/>
                    <w:rPr>
                      <w:rFonts w:hint="default"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3</w:t>
                  </w:r>
                </w:p>
              </w:tc>
              <w:tc>
                <w:tcPr>
                  <w:tcW w:w="984" w:type="pct"/>
                  <w:vAlign w:val="center"/>
                </w:tcPr>
                <w:p>
                  <w:pPr>
                    <w:ind w:left="0" w:leftChars="0" w:firstLine="0" w:firstLineChars="0"/>
                    <w:jc w:val="center"/>
                    <w:rPr>
                      <w:rFonts w:hint="eastAsia" w:ascii="Times New Roman" w:hAnsi="Times New Roman" w:cs="Times New Roman"/>
                      <w:color w:val="000000" w:themeColor="text1"/>
                      <w:sz w:val="21"/>
                      <w:szCs w:val="21"/>
                      <w:highlight w:val="none"/>
                      <w:vertAlign w:val="baseline"/>
                      <w:lang w:eastAsia="zh-CN"/>
                      <w14:textFill>
                        <w14:solidFill>
                          <w14:schemeClr w14:val="tx1"/>
                        </w14:solidFill>
                      </w14:textFill>
                    </w:rPr>
                  </w:pPr>
                  <w:r>
                    <w:rPr>
                      <w:rFonts w:hint="eastAsia" w:cs="Times New Roman"/>
                      <w:color w:val="000000" w:themeColor="text1"/>
                      <w:sz w:val="21"/>
                      <w:szCs w:val="21"/>
                      <w:highlight w:val="none"/>
                      <w:vertAlign w:val="baseline"/>
                      <w:lang w:eastAsia="zh-CN"/>
                      <w14:textFill>
                        <w14:solidFill>
                          <w14:schemeClr w14:val="tx1"/>
                        </w14:solidFill>
                      </w14:textFill>
                    </w:rPr>
                    <w:t>脱模剂</w:t>
                  </w:r>
                </w:p>
              </w:tc>
              <w:tc>
                <w:tcPr>
                  <w:tcW w:w="813" w:type="pct"/>
                  <w:vAlign w:val="center"/>
                </w:tcPr>
                <w:p>
                  <w:pPr>
                    <w:ind w:left="0" w:leftChars="0" w:firstLine="0" w:firstLineChars="0"/>
                    <w:jc w:val="center"/>
                    <w:rPr>
                      <w:rFonts w:hint="default"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2.5</w:t>
                  </w:r>
                </w:p>
              </w:tc>
              <w:tc>
                <w:tcPr>
                  <w:tcW w:w="885" w:type="pct"/>
                  <w:vAlign w:val="center"/>
                </w:tcPr>
                <w:p>
                  <w:pPr>
                    <w:ind w:left="0" w:leftChars="0" w:firstLine="0" w:firstLineChars="0"/>
                    <w:jc w:val="center"/>
                    <w:rPr>
                      <w:rFonts w:hint="default"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t/a</w:t>
                  </w:r>
                </w:p>
              </w:tc>
              <w:tc>
                <w:tcPr>
                  <w:tcW w:w="1735" w:type="pct"/>
                  <w:vAlign w:val="center"/>
                </w:tcPr>
                <w:p>
                  <w:pPr>
                    <w:ind w:left="0" w:leftChars="0" w:firstLine="0" w:firstLineChars="0"/>
                    <w:jc w:val="center"/>
                    <w:rPr>
                      <w:rFonts w:hint="eastAsia" w:ascii="Times New Roman" w:hAnsi="Times New Roman" w:cs="Times New Roman"/>
                      <w:color w:val="000000" w:themeColor="text1"/>
                      <w:sz w:val="21"/>
                      <w:szCs w:val="21"/>
                      <w:highlight w:val="none"/>
                      <w:vertAlign w:val="baseline"/>
                      <w:lang w:eastAsia="zh-CN"/>
                      <w14:textFill>
                        <w14:solidFill>
                          <w14:schemeClr w14:val="tx1"/>
                        </w14:solidFill>
                      </w14:textFill>
                    </w:rPr>
                  </w:pPr>
                  <w:r>
                    <w:rPr>
                      <w:rFonts w:hint="eastAsia" w:cs="Times New Roman"/>
                      <w:color w:val="000000" w:themeColor="text1"/>
                      <w:sz w:val="21"/>
                      <w:szCs w:val="21"/>
                      <w:highlight w:val="none"/>
                      <w:vertAlign w:val="baseline"/>
                      <w:lang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0" w:type="pct"/>
                  <w:vAlign w:val="center"/>
                </w:tcPr>
                <w:p>
                  <w:pPr>
                    <w:ind w:left="0" w:leftChars="0" w:firstLine="0" w:firstLineChars="0"/>
                    <w:jc w:val="cente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二</w:t>
                  </w:r>
                </w:p>
              </w:tc>
              <w:tc>
                <w:tcPr>
                  <w:tcW w:w="4419" w:type="pct"/>
                  <w:gridSpan w:val="4"/>
                  <w:vAlign w:val="center"/>
                </w:tcPr>
                <w:p>
                  <w:pPr>
                    <w:ind w:left="0" w:leftChars="0" w:firstLine="0" w:firstLineChars="0"/>
                    <w:jc w:val="cente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80" w:type="pct"/>
                  <w:vAlign w:val="center"/>
                </w:tcPr>
                <w:p>
                  <w:pPr>
                    <w:ind w:left="0" w:leftChars="0" w:firstLine="0" w:firstLineChars="0"/>
                    <w:jc w:val="cente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w:t>
                  </w:r>
                </w:p>
              </w:tc>
              <w:tc>
                <w:tcPr>
                  <w:tcW w:w="984" w:type="pct"/>
                  <w:vAlign w:val="center"/>
                </w:tcPr>
                <w:p>
                  <w:pPr>
                    <w:ind w:left="0" w:leftChars="0" w:firstLine="0" w:firstLineChars="0"/>
                    <w:jc w:val="cente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新鲜水</w:t>
                  </w:r>
                </w:p>
              </w:tc>
              <w:tc>
                <w:tcPr>
                  <w:tcW w:w="813" w:type="pct"/>
                  <w:vAlign w:val="center"/>
                </w:tcPr>
                <w:p>
                  <w:pPr>
                    <w:ind w:left="0" w:leftChars="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228</w:t>
                  </w:r>
                </w:p>
              </w:tc>
              <w:tc>
                <w:tcPr>
                  <w:tcW w:w="885" w:type="pct"/>
                  <w:vAlign w:val="center"/>
                </w:tcPr>
                <w:p>
                  <w:pPr>
                    <w:ind w:left="0" w:leftChars="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m</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/a</w:t>
                  </w:r>
                </w:p>
              </w:tc>
              <w:tc>
                <w:tcPr>
                  <w:tcW w:w="1735" w:type="pct"/>
                  <w:vAlign w:val="center"/>
                </w:tcPr>
                <w:p>
                  <w:pPr>
                    <w:ind w:left="0" w:leftChars="0" w:firstLine="0" w:firstLineChars="0"/>
                    <w:jc w:val="center"/>
                    <w:rPr>
                      <w:rFonts w:hint="default" w:ascii="Times New Roman" w:hAnsi="Times New Roman" w:cs="Times New Roman"/>
                      <w:color w:val="000000" w:themeColor="text1"/>
                      <w:sz w:val="21"/>
                      <w:szCs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由园区供水管网统一供给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80" w:type="pct"/>
                  <w:vAlign w:val="center"/>
                </w:tcPr>
                <w:p>
                  <w:pPr>
                    <w:ind w:left="0" w:leftChars="0" w:firstLine="0" w:firstLineChars="0"/>
                    <w:jc w:val="cente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2</w:t>
                  </w:r>
                </w:p>
              </w:tc>
              <w:tc>
                <w:tcPr>
                  <w:tcW w:w="984" w:type="pct"/>
                  <w:vAlign w:val="center"/>
                </w:tcPr>
                <w:p>
                  <w:pPr>
                    <w:ind w:left="0" w:leftChars="0" w:firstLine="0" w:firstLineChars="0"/>
                    <w:jc w:val="cente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电</w:t>
                  </w:r>
                </w:p>
              </w:tc>
              <w:tc>
                <w:tcPr>
                  <w:tcW w:w="813" w:type="pct"/>
                  <w:vAlign w:val="center"/>
                </w:tcPr>
                <w:p>
                  <w:pPr>
                    <w:ind w:left="0" w:leftChars="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9000</w:t>
                  </w:r>
                </w:p>
              </w:tc>
              <w:tc>
                <w:tcPr>
                  <w:tcW w:w="885" w:type="pct"/>
                  <w:vAlign w:val="center"/>
                </w:tcPr>
                <w:p>
                  <w:pPr>
                    <w:ind w:left="0" w:leftChars="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Kw h/a</w:t>
                  </w:r>
                </w:p>
              </w:tc>
              <w:tc>
                <w:tcPr>
                  <w:tcW w:w="1735" w:type="pct"/>
                  <w:vAlign w:val="center"/>
                </w:tcPr>
                <w:p>
                  <w:pPr>
                    <w:ind w:left="0" w:leftChars="0" w:firstLine="0" w:firstLineChars="0"/>
                    <w:jc w:val="center"/>
                    <w:rPr>
                      <w:rFonts w:hint="default" w:ascii="Times New Roman" w:hAnsi="Times New Roman" w:cs="Times New Roman"/>
                      <w:color w:val="000000" w:themeColor="text1"/>
                      <w:sz w:val="21"/>
                      <w:szCs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由园区供电网统一供给</w:t>
                  </w:r>
                </w:p>
              </w:tc>
            </w:tr>
          </w:tbl>
          <w:p>
            <w:pPr>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原辅材料理化性质：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lang w:eastAsia="zh-CN"/>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lang w:eastAsia="zh-CN"/>
                <w14:textFill>
                  <w14:solidFill>
                    <w14:schemeClr w14:val="tx1"/>
                  </w14:solidFill>
                </w14:textFill>
              </w:rPr>
              <w:t>钢筋：钢筋是指钢筋混凝土用和预应力钢筋混凝土用钢材，其横截面为圆形本项目使用的钢筋是钢筋混凝土配筋用的直条状钢材。钢筋在混凝土中主要承受拉应力。变形钢筋由于肋的作用，和混凝土由较大的粘结能力，因而能更好地承受外力的作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14:textFill>
                  <w14:solidFill>
                    <w14:schemeClr w14:val="tx1"/>
                  </w14:solidFill>
                </w14:textFill>
              </w:rPr>
              <w:t>脱模剂</w:t>
            </w:r>
            <w:r>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14:textFill>
                  <w14:solidFill>
                    <w14:schemeClr w14:val="tx1"/>
                  </w14:solidFill>
                </w14:textFill>
              </w:rPr>
              <w:t>是一种介于模具和成品之间的功能性物质。脱模剂有耐化学性，在与不同树脂的化学成份（特别是苯乙烯和胺类）接触时不被溶解。脱模剂还具有耐热及应力性能，不易分解或磨损；脱模剂粘合到模具上而不转移到被加工的制件上，不妨碍喷漆或其他二次加工操作。由于注塑、挤出、压延、模压、层压等工艺的迅速发展，脱模剂的用量也大幅度地提高。</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14:textFill>
                  <w14:solidFill>
                    <w14:schemeClr w14:val="tx1"/>
                  </w14:solidFill>
                </w14:textFill>
              </w:rPr>
              <w:t>脱模剂的具体作用原理如下：</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lang w:eastAsia="zh-CN"/>
                <w14:textFill>
                  <w14:solidFill>
                    <w14:schemeClr w14:val="tx1"/>
                  </w14:solidFill>
                </w14:textFill>
              </w:rPr>
              <w:t>①</w:t>
            </w:r>
            <w:r>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14:textFill>
                  <w14:solidFill>
                    <w14:schemeClr w14:val="tx1"/>
                  </w14:solidFill>
                </w14:textFill>
              </w:rPr>
              <w:t>极性化学键与模具表面通过相互作用形成具有再生力的吸附型薄膜；</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lang w:eastAsia="zh-CN"/>
                <w14:textFill>
                  <w14:solidFill>
                    <w14:schemeClr w14:val="tx1"/>
                  </w14:solidFill>
                </w14:textFill>
              </w:rPr>
              <w:t>②</w:t>
            </w:r>
            <w:r>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14:textFill>
                  <w14:solidFill>
                    <w14:schemeClr w14:val="tx1"/>
                  </w14:solidFill>
                </w14:textFill>
              </w:rPr>
              <w:t>聚硅氧烷中的硅氧键可视为弱偶极子（Si+-O-),当脱模剂在模具表面铺展成单取向排列时，分子采取特有的伸展链构型；</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lang w:eastAsia="zh-CN"/>
                <w14:textFill>
                  <w14:solidFill>
                    <w14:schemeClr w14:val="tx1"/>
                  </w14:solidFill>
                </w14:textFill>
              </w:rPr>
              <w:t>③</w:t>
            </w:r>
            <w:r>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14:textFill>
                  <w14:solidFill>
                    <w14:schemeClr w14:val="tx1"/>
                  </w14:solidFill>
                </w14:textFill>
              </w:rPr>
              <w:t>自由表面被烷基以密集堆积方式覆盖，脱模能力随烷基密度而递增；但当烷基占有较大空间位阻时，伸展构型受到限制，脱模能力又会降低；</w:t>
            </w:r>
          </w:p>
          <w:p>
            <w:pPr>
              <w:pStyle w:val="4"/>
              <w:keepNext/>
              <w:keepLines/>
              <w:pageBreakBefore w:val="0"/>
              <w:widowControl w:val="0"/>
              <w:kinsoku/>
              <w:wordWrap/>
              <w:overflowPunct/>
              <w:topLinePunct w:val="0"/>
              <w:autoSpaceDE/>
              <w:autoSpaceDN/>
              <w:bidi w:val="0"/>
              <w:adjustRightInd/>
              <w:snapToGrid w:val="0"/>
              <w:spacing w:before="0" w:after="0"/>
              <w:ind w:firstLine="480" w:firstLineChars="200"/>
              <w:jc w:val="left"/>
              <w:textAlignment w:val="auto"/>
              <w:rPr>
                <w:rFonts w:hint="eastAsia" w:eastAsia="宋体"/>
                <w:b w:val="0"/>
                <w:bCs w:val="0"/>
                <w:color w:val="000000" w:themeColor="text1"/>
                <w:lang w:eastAsia="zh-CN"/>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lang w:eastAsia="zh-CN"/>
                <w14:textFill>
                  <w14:solidFill>
                    <w14:schemeClr w14:val="tx1"/>
                  </w14:solidFill>
                </w14:textFill>
              </w:rPr>
              <w:t>④</w:t>
            </w:r>
            <w:r>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14:textFill>
                  <w14:solidFill>
                    <w14:schemeClr w14:val="tx1"/>
                  </w14:solidFill>
                </w14:textFill>
              </w:rPr>
              <w:t>脱模剂分子量大小和粘度也与脱模能力相关，分子量小时，铺展性好，但耐热能力差。</w:t>
            </w:r>
          </w:p>
          <w:p>
            <w:pPr>
              <w:pStyle w:val="4"/>
              <w:pageBreakBefore w:val="0"/>
              <w:widowControl w:val="0"/>
              <w:kinsoku/>
              <w:wordWrap/>
              <w:overflowPunct/>
              <w:topLinePunct w:val="0"/>
              <w:autoSpaceDE/>
              <w:autoSpaceDN/>
              <w:bidi w:val="0"/>
              <w:adjustRightInd/>
              <w:snapToGrid w:val="0"/>
              <w:spacing w:before="0" w:after="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主要生产设备</w:t>
            </w:r>
          </w:p>
          <w:p>
            <w:pPr>
              <w:pageBreakBefore w:val="0"/>
              <w:widowControl w:val="0"/>
              <w:kinsoku/>
              <w:wordWrap/>
              <w:overflowPunct/>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本项目主要生产设备见表</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表</w:t>
            </w:r>
            <w:r>
              <w:rPr>
                <w:rFonts w:hint="eastAsia" w:cs="Times New Roman" w:eastAsiaTheme="minorEastAsia"/>
                <w:color w:val="000000" w:themeColor="text1"/>
                <w:sz w:val="21"/>
                <w:szCs w:val="2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主要生产设备一览表</w:t>
            </w:r>
          </w:p>
          <w:tbl>
            <w:tblPr>
              <w:tblStyle w:val="18"/>
              <w:tblW w:w="4947"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3123"/>
              <w:gridCol w:w="986"/>
              <w:gridCol w:w="1100"/>
              <w:gridCol w:w="1243"/>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序号</w:t>
                  </w:r>
                </w:p>
              </w:tc>
              <w:tc>
                <w:tcPr>
                  <w:tcW w:w="193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设备名称</w:t>
                  </w:r>
                </w:p>
              </w:tc>
              <w:tc>
                <w:tcPr>
                  <w:tcW w:w="6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规格</w:t>
                  </w:r>
                </w:p>
              </w:tc>
              <w:tc>
                <w:tcPr>
                  <w:tcW w:w="6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单位</w:t>
                  </w:r>
                </w:p>
              </w:tc>
              <w:tc>
                <w:tcPr>
                  <w:tcW w:w="77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数量</w:t>
                  </w:r>
                </w:p>
              </w:tc>
              <w:tc>
                <w:tcPr>
                  <w:tcW w:w="55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33"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939" w:type="pct"/>
                  <w:tcBorders>
                    <w:tl2br w:val="nil"/>
                    <w:tr2bl w:val="nil"/>
                  </w:tcBorders>
                  <w:vAlign w:val="center"/>
                </w:tcPr>
                <w:p>
                  <w:pPr>
                    <w:spacing w:line="240" w:lineRule="auto"/>
                    <w:ind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数控自动切割机</w:t>
                  </w:r>
                </w:p>
              </w:tc>
              <w:tc>
                <w:tcPr>
                  <w:tcW w:w="612"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683" w:type="pct"/>
                  <w:tcBorders>
                    <w:tl2br w:val="nil"/>
                    <w:tr2bl w:val="nil"/>
                  </w:tcBorders>
                  <w:vAlign w:val="center"/>
                </w:tcPr>
                <w:p>
                  <w:pPr>
                    <w:spacing w:line="240" w:lineRule="auto"/>
                    <w:ind w:firstLine="0" w:firstLineChars="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台</w:t>
                  </w:r>
                </w:p>
              </w:tc>
              <w:tc>
                <w:tcPr>
                  <w:tcW w:w="772" w:type="pct"/>
                  <w:tcBorders>
                    <w:tl2br w:val="nil"/>
                    <w:tr2bl w:val="nil"/>
                  </w:tcBorders>
                  <w:vAlign w:val="center"/>
                </w:tcPr>
                <w:p>
                  <w:pPr>
                    <w:spacing w:line="240" w:lineRule="auto"/>
                    <w:ind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59"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33"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939" w:type="pct"/>
                  <w:tcBorders>
                    <w:tl2br w:val="nil"/>
                    <w:tr2bl w:val="nil"/>
                  </w:tcBorders>
                  <w:vAlign w:val="center"/>
                </w:tcPr>
                <w:p>
                  <w:pPr>
                    <w:spacing w:line="240" w:lineRule="auto"/>
                    <w:ind w:firstLine="0" w:firstLineChars="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装配式房屋制品模具生产线</w:t>
                  </w:r>
                </w:p>
              </w:tc>
              <w:tc>
                <w:tcPr>
                  <w:tcW w:w="612"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683" w:type="pct"/>
                  <w:tcBorders>
                    <w:tl2br w:val="nil"/>
                    <w:tr2bl w:val="nil"/>
                  </w:tcBorders>
                  <w:vAlign w:val="center"/>
                </w:tcPr>
                <w:p>
                  <w:pPr>
                    <w:spacing w:line="240" w:lineRule="auto"/>
                    <w:ind w:firstLine="0" w:firstLineChars="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套</w:t>
                  </w:r>
                </w:p>
              </w:tc>
              <w:tc>
                <w:tcPr>
                  <w:tcW w:w="772" w:type="pct"/>
                  <w:tcBorders>
                    <w:tl2br w:val="nil"/>
                    <w:tr2bl w:val="nil"/>
                  </w:tcBorders>
                  <w:vAlign w:val="center"/>
                </w:tcPr>
                <w:p>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559"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33"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c>
                <w:tcPr>
                  <w:tcW w:w="1939" w:type="pct"/>
                  <w:tcBorders>
                    <w:tl2br w:val="nil"/>
                    <w:tr2bl w:val="nil"/>
                  </w:tcBorders>
                  <w:vAlign w:val="center"/>
                </w:tcPr>
                <w:p>
                  <w:pPr>
                    <w:spacing w:line="240" w:lineRule="auto"/>
                    <w:ind w:firstLine="0" w:firstLineChars="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30t</w:t>
                  </w:r>
                  <w:r>
                    <w:rPr>
                      <w:rFonts w:hint="eastAsia"/>
                      <w:color w:val="000000" w:themeColor="text1"/>
                      <w:sz w:val="21"/>
                      <w:szCs w:val="21"/>
                      <w:lang w:eastAsia="zh-CN"/>
                      <w14:textFill>
                        <w14:solidFill>
                          <w14:schemeClr w14:val="tx1"/>
                        </w14:solidFill>
                      </w14:textFill>
                    </w:rPr>
                    <w:t>行车</w:t>
                  </w:r>
                </w:p>
              </w:tc>
              <w:tc>
                <w:tcPr>
                  <w:tcW w:w="612"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683" w:type="pct"/>
                  <w:tcBorders>
                    <w:tl2br w:val="nil"/>
                    <w:tr2bl w:val="nil"/>
                  </w:tcBorders>
                  <w:vAlign w:val="center"/>
                </w:tcPr>
                <w:p>
                  <w:pPr>
                    <w:spacing w:line="240" w:lineRule="auto"/>
                    <w:ind w:firstLine="0" w:firstLineChars="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台</w:t>
                  </w:r>
                </w:p>
              </w:tc>
              <w:tc>
                <w:tcPr>
                  <w:tcW w:w="772" w:type="pct"/>
                  <w:tcBorders>
                    <w:tl2br w:val="nil"/>
                    <w:tr2bl w:val="nil"/>
                  </w:tcBorders>
                  <w:vAlign w:val="center"/>
                </w:tcPr>
                <w:p>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59"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33"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1939" w:type="pct"/>
                  <w:tcBorders>
                    <w:tl2br w:val="nil"/>
                    <w:tr2bl w:val="nil"/>
                  </w:tcBorders>
                  <w:vAlign w:val="center"/>
                </w:tcPr>
                <w:p>
                  <w:pPr>
                    <w:spacing w:line="240" w:lineRule="auto"/>
                    <w:ind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折弯机</w:t>
                  </w:r>
                </w:p>
              </w:tc>
              <w:tc>
                <w:tcPr>
                  <w:tcW w:w="612"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683" w:type="pct"/>
                  <w:tcBorders>
                    <w:tl2br w:val="nil"/>
                    <w:tr2bl w:val="nil"/>
                  </w:tcBorders>
                  <w:vAlign w:val="center"/>
                </w:tcPr>
                <w:p>
                  <w:pPr>
                    <w:spacing w:line="240" w:lineRule="auto"/>
                    <w:ind w:firstLine="0" w:firstLineChars="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台</w:t>
                  </w:r>
                </w:p>
              </w:tc>
              <w:tc>
                <w:tcPr>
                  <w:tcW w:w="772" w:type="pct"/>
                  <w:tcBorders>
                    <w:tl2br w:val="nil"/>
                    <w:tr2bl w:val="nil"/>
                  </w:tcBorders>
                  <w:vAlign w:val="center"/>
                </w:tcPr>
                <w:p>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59"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33" w:type="pct"/>
                  <w:tcBorders>
                    <w:tl2br w:val="nil"/>
                    <w:tr2bl w:val="nil"/>
                  </w:tcBorders>
                  <w:vAlign w:val="center"/>
                </w:tcPr>
                <w:p>
                  <w:pPr>
                    <w:spacing w:line="240" w:lineRule="auto"/>
                    <w:ind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1939" w:type="pct"/>
                  <w:tcBorders>
                    <w:tl2br w:val="nil"/>
                    <w:tr2bl w:val="nil"/>
                  </w:tcBorders>
                  <w:vAlign w:val="center"/>
                </w:tcPr>
                <w:p>
                  <w:pPr>
                    <w:spacing w:line="240" w:lineRule="auto"/>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电焊机</w:t>
                  </w:r>
                </w:p>
              </w:tc>
              <w:tc>
                <w:tcPr>
                  <w:tcW w:w="612"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683" w:type="pct"/>
                  <w:tcBorders>
                    <w:tl2br w:val="nil"/>
                    <w:tr2bl w:val="nil"/>
                  </w:tcBorders>
                  <w:vAlign w:val="center"/>
                </w:tcPr>
                <w:p>
                  <w:pPr>
                    <w:spacing w:line="240" w:lineRule="auto"/>
                    <w:ind w:firstLine="0" w:firstLineChars="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台</w:t>
                  </w:r>
                </w:p>
              </w:tc>
              <w:tc>
                <w:tcPr>
                  <w:tcW w:w="772" w:type="pct"/>
                  <w:tcBorders>
                    <w:tl2br w:val="nil"/>
                    <w:tr2bl w:val="nil"/>
                  </w:tcBorders>
                  <w:vAlign w:val="center"/>
                </w:tcPr>
                <w:p>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559"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33"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w:t>
                  </w:r>
                </w:p>
              </w:tc>
              <w:tc>
                <w:tcPr>
                  <w:tcW w:w="1939" w:type="pct"/>
                  <w:tcBorders>
                    <w:tl2br w:val="nil"/>
                    <w:tr2bl w:val="nil"/>
                  </w:tcBorders>
                  <w:vAlign w:val="center"/>
                </w:tcPr>
                <w:p>
                  <w:pPr>
                    <w:spacing w:line="240" w:lineRule="auto"/>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调直机</w:t>
                  </w:r>
                </w:p>
              </w:tc>
              <w:tc>
                <w:tcPr>
                  <w:tcW w:w="612"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683" w:type="pct"/>
                  <w:tcBorders>
                    <w:tl2br w:val="nil"/>
                    <w:tr2bl w:val="nil"/>
                  </w:tcBorders>
                  <w:vAlign w:val="center"/>
                </w:tcPr>
                <w:p>
                  <w:pPr>
                    <w:spacing w:line="240" w:lineRule="auto"/>
                    <w:ind w:firstLine="0" w:firstLineChars="0"/>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台</w:t>
                  </w:r>
                </w:p>
              </w:tc>
              <w:tc>
                <w:tcPr>
                  <w:tcW w:w="772"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59" w:type="pct"/>
                  <w:tcBorders>
                    <w:tl2br w:val="nil"/>
                    <w:tr2bl w:val="nil"/>
                  </w:tcBorders>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r>
          </w:tbl>
          <w:p>
            <w:pPr>
              <w:pStyle w:val="4"/>
              <w:pageBreakBefore w:val="0"/>
              <w:widowControl w:val="0"/>
              <w:kinsoku/>
              <w:wordWrap/>
              <w:overflowPunct/>
              <w:topLinePunct w:val="0"/>
              <w:autoSpaceDE/>
              <w:autoSpaceDN/>
              <w:bidi w:val="0"/>
              <w:adjustRightInd/>
              <w:snapToGrid w:val="0"/>
              <w:spacing w:before="0" w:after="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公用工程</w:t>
            </w:r>
          </w:p>
          <w:p>
            <w:pPr>
              <w:pageBreakBefore w:val="0"/>
              <w:widowControl w:val="0"/>
              <w:kinsoku/>
              <w:wordWrap/>
              <w:overflowPunct/>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（1）供电</w:t>
            </w:r>
          </w:p>
          <w:p>
            <w:pPr>
              <w:pageBreakBefore w:val="0"/>
              <w:widowControl w:val="0"/>
              <w:kinsoku/>
              <w:wordWrap/>
              <w:overflowPunct/>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本项目电源由园区供电网统一供给，电力设施基础完好，能满足项目用电需求；</w:t>
            </w:r>
          </w:p>
          <w:p>
            <w:pPr>
              <w:pageBreakBefore w:val="0"/>
              <w:widowControl w:val="0"/>
              <w:kinsoku/>
              <w:wordWrap/>
              <w:overflowPunct/>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（2）给排水</w:t>
            </w:r>
          </w:p>
          <w:p>
            <w:pPr>
              <w:pageBreakBefore w:val="0"/>
              <w:widowControl w:val="0"/>
              <w:kinsoku/>
              <w:wordWrap/>
              <w:overflowPunct/>
              <w:topLinePunct w:val="0"/>
              <w:autoSpaceDE/>
              <w:autoSpaceDN/>
              <w:bidi w:val="0"/>
              <w:adjustRightInd/>
              <w:snapToGrid w:val="0"/>
              <w:ind w:firstLine="480"/>
              <w:textAlignment w:val="auto"/>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本项目用水主要为生活用水</w:t>
            </w:r>
            <w:r>
              <w:rPr>
                <w:rFonts w:hint="eastAsia"/>
                <w:color w:val="000000" w:themeColor="text1"/>
                <w:lang w:eastAsia="zh-CN"/>
                <w14:textFill>
                  <w14:solidFill>
                    <w14:schemeClr w14:val="tx1"/>
                  </w14:solidFill>
                </w14:textFill>
              </w:rPr>
              <w:t>和养护用水</w:t>
            </w:r>
            <w:r>
              <w:rPr>
                <w:rFonts w:hint="eastAsia"/>
                <w:color w:val="000000" w:themeColor="text1"/>
                <w14:textFill>
                  <w14:solidFill>
                    <w14:schemeClr w14:val="tx1"/>
                  </w14:solidFill>
                </w14:textFill>
              </w:rPr>
              <w:t>，由园区供水管网统一供给；</w:t>
            </w:r>
          </w:p>
          <w:p>
            <w:pPr>
              <w:pageBreakBefore w:val="0"/>
              <w:widowControl w:val="0"/>
              <w:kinsoku/>
              <w:wordWrap/>
              <w:topLinePunct w:val="0"/>
              <w:autoSpaceDE/>
              <w:autoSpaceDN/>
              <w:bidi w:val="0"/>
              <w:adjustRightInd/>
              <w:snapToGrid w:val="0"/>
              <w:ind w:firstLine="480"/>
              <w:textAlignment w:val="auto"/>
              <w:rPr>
                <w:rFonts w:hint="eastAsia"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本项目</w:t>
            </w:r>
            <w:r>
              <w:rPr>
                <w:rFonts w:hint="eastAsia"/>
                <w:color w:val="000000" w:themeColor="text1"/>
                <w:lang w:eastAsia="zh-CN"/>
                <w14:textFill>
                  <w14:solidFill>
                    <w14:schemeClr w14:val="tx1"/>
                  </w14:solidFill>
                </w14:textFill>
              </w:rPr>
              <w:t>劳动定员为</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人，按照《新疆维吾尔自治区生活用水定额》，本项目生活用水量按</w:t>
            </w:r>
            <w:r>
              <w:rPr>
                <w:rFonts w:hint="eastAsia"/>
                <w:color w:val="000000" w:themeColor="text1"/>
                <w:lang w:val="en-US" w:eastAsia="zh-CN"/>
                <w14:textFill>
                  <w14:solidFill>
                    <w14:schemeClr w14:val="tx1"/>
                  </w14:solidFill>
                </w14:textFill>
              </w:rPr>
              <w:t>80</w:t>
            </w:r>
            <w:r>
              <w:rPr>
                <w:rFonts w:hint="eastAsia"/>
                <w:color w:val="000000" w:themeColor="text1"/>
                <w14:textFill>
                  <w14:solidFill>
                    <w14:schemeClr w14:val="tx1"/>
                  </w14:solidFill>
                </w14:textFill>
              </w:rPr>
              <w:t>L/人</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d计，则产生的生活用水量</w:t>
            </w:r>
            <w:r>
              <w:rPr>
                <w:rFonts w:hint="eastAsia"/>
                <w:color w:val="000000" w:themeColor="text1"/>
                <w:lang w:val="en-US" w:eastAsia="zh-CN"/>
                <w14:textFill>
                  <w14:solidFill>
                    <w14:schemeClr w14:val="tx1"/>
                  </w14:solidFill>
                </w14:textFill>
              </w:rPr>
              <w:t>128</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/a，排污系数按照0.8</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计</w:t>
            </w:r>
            <w:r>
              <w:rPr>
                <w:rFonts w:hint="eastAsia"/>
                <w:color w:val="000000" w:themeColor="text1"/>
                <w:lang w:eastAsia="zh-CN"/>
                <w14:textFill>
                  <w14:solidFill>
                    <w14:schemeClr w14:val="tx1"/>
                  </w14:solidFill>
                </w14:textFill>
              </w:rPr>
              <w:t>算</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生活污水每天排放量为</w:t>
            </w:r>
            <w:r>
              <w:rPr>
                <w:rFonts w:hint="eastAsia"/>
                <w:color w:val="000000" w:themeColor="text1"/>
                <w:lang w:val="en-US" w:eastAsia="zh-CN"/>
                <w14:textFill>
                  <w14:solidFill>
                    <w14:schemeClr w14:val="tx1"/>
                  </w14:solidFill>
                </w14:textFill>
              </w:rPr>
              <w:t>68L/人</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d</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生活污水</w:t>
            </w:r>
            <w:r>
              <w:rPr>
                <w:rFonts w:hint="eastAsia"/>
                <w:color w:val="000000" w:themeColor="text1"/>
                <w:lang w:eastAsia="zh-CN"/>
                <w14:textFill>
                  <w14:solidFill>
                    <w14:schemeClr w14:val="tx1"/>
                  </w14:solidFill>
                </w14:textFill>
              </w:rPr>
              <w:t>年</w:t>
            </w:r>
            <w:r>
              <w:rPr>
                <w:rFonts w:hint="eastAsia"/>
                <w:color w:val="000000" w:themeColor="text1"/>
                <w14:textFill>
                  <w14:solidFill>
                    <w14:schemeClr w14:val="tx1"/>
                  </w14:solidFill>
                </w14:textFill>
              </w:rPr>
              <w:t>排放量为</w:t>
            </w:r>
            <w:r>
              <w:rPr>
                <w:rFonts w:hint="eastAsia"/>
                <w:color w:val="000000" w:themeColor="text1"/>
                <w:lang w:val="en-US" w:eastAsia="zh-CN"/>
                <w14:textFill>
                  <w14:solidFill>
                    <w14:schemeClr w14:val="tx1"/>
                  </w14:solidFill>
                </w14:textFill>
              </w:rPr>
              <w:t>108.8</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/a（全年工作日按照</w:t>
            </w:r>
            <w:r>
              <w:rPr>
                <w:rFonts w:hint="eastAsia"/>
                <w:color w:val="000000" w:themeColor="text1"/>
                <w:lang w:val="en-US" w:eastAsia="zh-CN"/>
                <w14:textFill>
                  <w14:solidFill>
                    <w14:schemeClr w14:val="tx1"/>
                  </w14:solidFill>
                </w14:textFill>
              </w:rPr>
              <w:t>200</w:t>
            </w:r>
            <w:r>
              <w:rPr>
                <w:rFonts w:hint="eastAsia"/>
                <w:color w:val="000000" w:themeColor="text1"/>
                <w14:textFill>
                  <w14:solidFill>
                    <w14:schemeClr w14:val="tx1"/>
                  </w14:solidFill>
                </w14:textFill>
              </w:rPr>
              <w:t>天计）</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生活污水排入</w:t>
            </w:r>
            <w:r>
              <w:rPr>
                <w:rFonts w:hint="eastAsia"/>
                <w:color w:val="000000" w:themeColor="text1"/>
                <w:lang w:eastAsia="zh-CN"/>
                <w14:textFill>
                  <w14:solidFill>
                    <w14:schemeClr w14:val="tx1"/>
                  </w14:solidFill>
                </w14:textFill>
              </w:rPr>
              <w:t>园区管网，最终进入高新区污水处理厂处置。</w:t>
            </w:r>
          </w:p>
          <w:p>
            <w:pPr>
              <w:pageBreakBefore w:val="0"/>
              <w:widowControl w:val="0"/>
              <w:kinsoku/>
              <w:wordWrap/>
              <w:overflowPunct/>
              <w:topLinePunct w:val="0"/>
              <w:autoSpaceDE/>
              <w:autoSpaceDN/>
              <w:bidi w:val="0"/>
              <w:adjustRightInd/>
              <w:snapToGrid w:val="0"/>
              <w:ind w:firstLine="480"/>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本项目采用外购商品混凝土为主要原材料，生产过程中不产生生产废水产品养护用水量为</w:t>
            </w:r>
            <w:r>
              <w:rPr>
                <w:rFonts w:hint="eastAsia"/>
                <w:color w:val="000000" w:themeColor="text1"/>
                <w:lang w:val="en-US" w:eastAsia="zh-CN"/>
                <w14:textFill>
                  <w14:solidFill>
                    <w14:schemeClr w14:val="tx1"/>
                  </w14:solidFill>
                </w14:textFill>
              </w:rPr>
              <w:t>100m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/a</w:t>
            </w:r>
            <w:r>
              <w:rPr>
                <w:rFonts w:hint="eastAsia"/>
                <w:color w:val="000000" w:themeColor="text1"/>
                <w:lang w:eastAsia="zh-CN"/>
                <w14:textFill>
                  <w14:solidFill>
                    <w14:schemeClr w14:val="tx1"/>
                  </w14:solidFill>
                </w14:textFill>
              </w:rPr>
              <w:t>，养护用水全部自然蒸发及损耗。废水主要为员工生活污水，生活污水全部排入污水管网。本项目水平衡图见图</w:t>
            </w:r>
            <w:r>
              <w:rPr>
                <w:rFonts w:hint="eastAsia"/>
                <w:color w:val="000000" w:themeColor="text1"/>
                <w:lang w:val="en-US" w:eastAsia="zh-CN"/>
                <w14:textFill>
                  <w14:solidFill>
                    <w14:schemeClr w14:val="tx1"/>
                  </w14:solidFill>
                </w14:textFill>
              </w:rPr>
              <w:t>7。</w:t>
            </w:r>
          </w:p>
          <w:p>
            <w:pPr>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3921125" cy="1875155"/>
                  <wp:effectExtent l="0" t="0" r="3175"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3921125" cy="1875155"/>
                          </a:xfrm>
                          <a:prstGeom prst="rect">
                            <a:avLst/>
                          </a:prstGeom>
                          <a:noFill/>
                          <a:ln>
                            <a:noFill/>
                          </a:ln>
                        </pic:spPr>
                      </pic:pic>
                    </a:graphicData>
                  </a:graphic>
                </wp:inline>
              </w:drawing>
            </w:r>
          </w:p>
          <w:p>
            <w:pPr>
              <w:pStyle w:val="6"/>
              <w:pageBreakBefore w:val="0"/>
              <w:widowControl w:val="0"/>
              <w:kinsoku/>
              <w:wordWrap/>
              <w:overflowPunct/>
              <w:topLinePunct w:val="0"/>
              <w:autoSpaceDE/>
              <w:autoSpaceDN/>
              <w:bidi w:val="0"/>
              <w:adjustRightInd/>
              <w:snapToGrid w:val="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图</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 xml:space="preserve">  项目水平衡图（单位：m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p>
            <w:pPr>
              <w:pageBreakBefore w:val="0"/>
              <w:widowControl w:val="0"/>
              <w:kinsoku/>
              <w:wordWrap/>
              <w:overflowPunct/>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）供热</w:t>
            </w:r>
          </w:p>
          <w:p>
            <w:pPr>
              <w:pageBreakBefore w:val="0"/>
              <w:widowControl w:val="0"/>
              <w:kinsoku/>
              <w:wordWrap/>
              <w:overflowPunct/>
              <w:topLinePunct w:val="0"/>
              <w:autoSpaceDE/>
              <w:autoSpaceDN/>
              <w:bidi w:val="0"/>
              <w:adjustRightInd/>
              <w:snapToGrid w:val="0"/>
              <w:ind w:firstLine="480"/>
              <w:textAlignment w:val="auto"/>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本项目冬季不生产，厂区内无需供热</w:t>
            </w:r>
            <w:r>
              <w:rPr>
                <w:rFonts w:hint="eastAsia"/>
                <w:color w:val="000000" w:themeColor="text1"/>
                <w:lang w:eastAsia="zh-CN"/>
                <w14:textFill>
                  <w14:solidFill>
                    <w14:schemeClr w14:val="tx1"/>
                  </w14:solidFill>
                </w14:textFill>
              </w:rPr>
              <w:t>。</w:t>
            </w:r>
          </w:p>
          <w:p>
            <w:pPr>
              <w:pStyle w:val="4"/>
              <w:pageBreakBefore w:val="0"/>
              <w:widowControl w:val="0"/>
              <w:kinsoku/>
              <w:wordWrap/>
              <w:overflowPunct/>
              <w:topLinePunct w:val="0"/>
              <w:autoSpaceDE/>
              <w:autoSpaceDN/>
              <w:bidi w:val="0"/>
              <w:adjustRightInd/>
              <w:snapToGrid w:val="0"/>
              <w:spacing w:before="0" w:after="0"/>
              <w:textAlignment w:val="auto"/>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劳动定员及工作制度</w:t>
            </w:r>
          </w:p>
          <w:p>
            <w:pPr>
              <w:pageBreakBefore w:val="0"/>
              <w:widowControl w:val="0"/>
              <w:kinsoku/>
              <w:wordWrap/>
              <w:overflowPunct/>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本项目</w:t>
            </w:r>
            <w:r>
              <w:rPr>
                <w:rFonts w:hint="eastAsia"/>
                <w:color w:val="000000" w:themeColor="text1"/>
                <w14:textFill>
                  <w14:solidFill>
                    <w14:schemeClr w14:val="tx1"/>
                  </w14:solidFill>
                </w14:textFill>
              </w:rPr>
              <w:t>劳动定员为</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人，8小时工作制，年工作</w:t>
            </w:r>
            <w:r>
              <w:rPr>
                <w:rFonts w:hint="eastAsia"/>
                <w:color w:val="000000" w:themeColor="text1"/>
                <w:lang w:val="en-US" w:eastAsia="zh-CN"/>
                <w14:textFill>
                  <w14:solidFill>
                    <w14:schemeClr w14:val="tx1"/>
                  </w14:solidFill>
                </w14:textFill>
              </w:rPr>
              <w:t>200</w:t>
            </w:r>
            <w:r>
              <w:rPr>
                <w:rFonts w:hint="eastAsia"/>
                <w:color w:val="000000" w:themeColor="text1"/>
                <w14:textFill>
                  <w14:solidFill>
                    <w14:schemeClr w14:val="tx1"/>
                  </w14:solidFill>
                </w14:textFill>
              </w:rPr>
              <w:t>天。</w:t>
            </w:r>
          </w:p>
          <w:p>
            <w:pPr>
              <w:pStyle w:val="4"/>
              <w:pageBreakBefore w:val="0"/>
              <w:widowControl w:val="0"/>
              <w:kinsoku/>
              <w:wordWrap/>
              <w:overflowPunct/>
              <w:topLinePunct w:val="0"/>
              <w:autoSpaceDE/>
              <w:autoSpaceDN/>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1.9</w:t>
            </w:r>
            <w:r>
              <w:rPr>
                <w:rFonts w:hint="eastAsia"/>
                <w:color w:val="000000" w:themeColor="text1"/>
                <w14:textFill>
                  <w14:solidFill>
                    <w14:schemeClr w14:val="tx1"/>
                  </w14:solidFill>
                </w14:textFill>
              </w:rPr>
              <w:t>平面布置</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本项目总占地面积约为</w:t>
            </w:r>
            <w:r>
              <w:rPr>
                <w:rFonts w:hint="eastAsia"/>
                <w:color w:val="000000" w:themeColor="text1"/>
                <w:highlight w:val="none"/>
                <w:lang w:val="en-US" w:eastAsia="zh-CN"/>
                <w14:textFill>
                  <w14:solidFill>
                    <w14:schemeClr w14:val="tx1"/>
                  </w14:solidFill>
                </w14:textFill>
              </w:rPr>
              <w:t>3300m</w:t>
            </w:r>
            <w:r>
              <w:rPr>
                <w:rFonts w:hint="eastAsia"/>
                <w:color w:val="000000" w:themeColor="text1"/>
                <w:highlight w:val="none"/>
                <w:vertAlign w:val="superscript"/>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，项目建设用地租赁</w:t>
            </w:r>
            <w:r>
              <w:rPr>
                <w:rFonts w:hint="eastAsia"/>
                <w:color w:val="000000" w:themeColor="text1"/>
                <w:lang w:val="en-US" w:eastAsia="zh-CN"/>
                <w14:textFill>
                  <w14:solidFill>
                    <w14:schemeClr w14:val="tx1"/>
                  </w14:solidFill>
                </w14:textFill>
              </w:rPr>
              <w:t>昌吉市先导工程材料有限责任公司现有生产场地作为本项目的生产线场地，本项目由于产品的特殊性露天生产，不建设厂房。供水、供电系统依托原有。</w:t>
            </w:r>
            <w:r>
              <w:rPr>
                <w:rFonts w:hint="eastAsia"/>
                <w:color w:val="000000" w:themeColor="text1"/>
                <w:highlight w:val="none"/>
                <w:lang w:eastAsia="zh-CN"/>
                <w14:textFill>
                  <w14:solidFill>
                    <w14:schemeClr w14:val="tx1"/>
                  </w14:solidFill>
                </w14:textFill>
              </w:rPr>
              <w:t>生产线场地位于厂区东侧，办公区位于厂区南侧。</w:t>
            </w:r>
            <w:r>
              <w:rPr>
                <w:rFonts w:hint="eastAsia"/>
                <w:color w:val="000000" w:themeColor="text1"/>
                <w:lang w:eastAsia="zh-CN"/>
                <w14:textFill>
                  <w14:solidFill>
                    <w14:schemeClr w14:val="tx1"/>
                  </w14:solidFill>
                </w14:textFill>
              </w:rPr>
              <w:t>项目区</w:t>
            </w:r>
            <w:r>
              <w:rPr>
                <w:rFonts w:hint="eastAsia"/>
                <w:color w:val="000000" w:themeColor="text1"/>
                <w:highlight w:val="none"/>
                <w14:textFill>
                  <w14:solidFill>
                    <w14:schemeClr w14:val="tx1"/>
                  </w14:solidFill>
                </w14:textFill>
              </w:rPr>
              <w:t>东侧</w:t>
            </w:r>
            <w:r>
              <w:rPr>
                <w:rFonts w:hint="eastAsia"/>
                <w:color w:val="000000" w:themeColor="text1"/>
                <w:highlight w:val="none"/>
                <w:lang w:eastAsia="zh-CN"/>
                <w14:textFill>
                  <w14:solidFill>
                    <w14:schemeClr w14:val="tx1"/>
                  </w14:solidFill>
                </w14:textFill>
              </w:rPr>
              <w:t>隔锦绣路为市场公司</w:t>
            </w:r>
            <w:r>
              <w:rPr>
                <w:rFonts w:hint="eastAsia"/>
                <w:color w:val="000000" w:themeColor="text1"/>
                <w:highlight w:val="none"/>
                <w14:textFill>
                  <w14:solidFill>
                    <w14:schemeClr w14:val="tx1"/>
                  </w14:solidFill>
                </w14:textFill>
              </w:rPr>
              <w:t>，南侧</w:t>
            </w:r>
            <w:r>
              <w:rPr>
                <w:rFonts w:hint="eastAsia"/>
                <w:color w:val="000000" w:themeColor="text1"/>
                <w:highlight w:val="none"/>
                <w:lang w:eastAsia="zh-CN"/>
                <w14:textFill>
                  <w14:solidFill>
                    <w14:schemeClr w14:val="tx1"/>
                  </w14:solidFill>
                </w14:textFill>
              </w:rPr>
              <w:t>为新疆朝阳电缆有限公司</w:t>
            </w:r>
            <w:r>
              <w:rPr>
                <w:rFonts w:hint="eastAsia"/>
                <w:color w:val="000000" w:themeColor="text1"/>
                <w:highlight w:val="none"/>
                <w14:textFill>
                  <w14:solidFill>
                    <w14:schemeClr w14:val="tx1"/>
                  </w14:solidFill>
                </w14:textFill>
              </w:rPr>
              <w:t>，西侧为</w:t>
            </w:r>
            <w:r>
              <w:rPr>
                <w:rFonts w:hint="eastAsia"/>
                <w:color w:val="000000" w:themeColor="text1"/>
                <w:highlight w:val="none"/>
                <w:lang w:eastAsia="zh-CN"/>
                <w14:textFill>
                  <w14:solidFill>
                    <w14:schemeClr w14:val="tx1"/>
                  </w14:solidFill>
                </w14:textFill>
              </w:rPr>
              <w:t>新疆恒泰新型建材有限公司</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北</w:t>
            </w:r>
            <w:r>
              <w:rPr>
                <w:rFonts w:hint="eastAsia"/>
                <w:color w:val="000000" w:themeColor="text1"/>
                <w:highlight w:val="none"/>
                <w14:textFill>
                  <w14:solidFill>
                    <w14:schemeClr w14:val="tx1"/>
                  </w14:solidFill>
                </w14:textFill>
              </w:rPr>
              <w:t>侧</w:t>
            </w:r>
            <w:r>
              <w:rPr>
                <w:rFonts w:hint="eastAsia"/>
                <w:color w:val="000000" w:themeColor="text1"/>
                <w:highlight w:val="none"/>
                <w:lang w:eastAsia="zh-CN"/>
                <w14:textFill>
                  <w14:solidFill>
                    <w14:schemeClr w14:val="tx1"/>
                  </w14:solidFill>
                </w14:textFill>
              </w:rPr>
              <w:t>隔科韵路为新疆鑫润达建材有限公司。项目区有一条主路通往各生产线位置，因场地原有建筑物为</w:t>
            </w:r>
            <w:r>
              <w:rPr>
                <w:rFonts w:hint="eastAsia"/>
                <w:color w:val="000000" w:themeColor="text1"/>
                <w:lang w:val="en-US" w:eastAsia="zh-CN"/>
                <w14:textFill>
                  <w14:solidFill>
                    <w14:schemeClr w14:val="tx1"/>
                  </w14:solidFill>
                </w14:textFill>
              </w:rPr>
              <w:t>昌吉市先导工程材料有限责任公司所有，本环评仅对项目生产线布设情况进行规划，对其他建筑物不做考虑。本项目生产线包括生产场地、成品堆场、养护场地、配套生产线设备等，鉴于本项目产品的特殊性，养护场地及成品堆场无划定区域，均布设在生产线附近。本项目2条生产线集中进行生产。</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项目平面布置充分考虑了生产需求，使生产过程中物料输送距离短，便于节能降耗、提高生产效率，兼顾了附近环境情况。从方便生产、安全管理、保护环境角度考虑，项目布局合理，满足企业有关标准规范要求。</w:t>
            </w:r>
            <w:r>
              <w:rPr>
                <w:rFonts w:hint="eastAsia"/>
                <w:color w:val="000000" w:themeColor="text1"/>
                <w14:textFill>
                  <w14:solidFill>
                    <w14:schemeClr w14:val="tx1"/>
                  </w14:solidFill>
                </w14:textFill>
              </w:rPr>
              <w:t>厂区平面布置图见附图</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6" w:type="dxa"/>
            <w:vAlign w:val="center"/>
          </w:tcPr>
          <w:p>
            <w:pPr>
              <w:pStyle w:val="15"/>
              <w:adjustRightInd w:val="0"/>
              <w:snapToGrid w:val="0"/>
              <w:spacing w:before="0" w:beforeAutospacing="0" w:after="0" w:afterAutospacing="0"/>
              <w:ind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工艺流程和产排污环节</w:t>
            </w:r>
          </w:p>
        </w:tc>
        <w:tc>
          <w:tcPr>
            <w:tcW w:w="8195" w:type="dxa"/>
          </w:tcPr>
          <w:p>
            <w:pPr>
              <w:pStyle w:val="3"/>
              <w:keepNext/>
              <w:keepLines w:val="0"/>
              <w:pageBreakBefore w:val="0"/>
              <w:widowControl w:val="0"/>
              <w:kinsoku/>
              <w:wordWrap/>
              <w:topLinePunct w:val="0"/>
              <w:autoSpaceDE/>
              <w:autoSpaceDN/>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工艺流程和产排污环节</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2.</w:t>
            </w:r>
            <w:r>
              <w:rPr>
                <w:rFonts w:hint="eastAsia"/>
                <w:b/>
                <w:bCs/>
                <w:color w:val="000000" w:themeColor="text1"/>
                <w:lang w:val="en-US" w:eastAsia="zh-CN"/>
                <w14:textFill>
                  <w14:solidFill>
                    <w14:schemeClr w14:val="tx1"/>
                  </w14:solidFill>
                </w14:textFill>
              </w:rPr>
              <w:t>2</w:t>
            </w:r>
            <w:r>
              <w:rPr>
                <w:rFonts w:hint="default"/>
                <w:b/>
                <w:bCs/>
                <w:color w:val="000000" w:themeColor="text1"/>
                <w:lang w:val="en-US" w:eastAsia="zh-CN"/>
                <w14:textFill>
                  <w14:solidFill>
                    <w14:schemeClr w14:val="tx1"/>
                  </w14:solidFill>
                </w14:textFill>
              </w:rPr>
              <w:t>.1施工期工艺流程简述</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本项目场地租赁昌吉市先导工程材料有限责任公司现有生产场地，施工期主要污染物为：场地平整、地面硬化、行车架设及其他设备安装中产生的固体废物、噪声、施工废水、生活污水、生活垃圾等。</w:t>
            </w:r>
            <w:r>
              <w:rPr>
                <w:rFonts w:hint="eastAsia"/>
                <w:color w:val="000000" w:themeColor="text1"/>
                <w:lang w:eastAsia="zh-CN"/>
                <w14:textFill>
                  <w14:solidFill>
                    <w14:schemeClr w14:val="tx1"/>
                  </w14:solidFill>
                </w14:textFill>
              </w:rPr>
              <w:t>由于施工期简单且污染将随着施工期的结束而消失，因此，施工期对周围环境影响较小。</w:t>
            </w:r>
          </w:p>
          <w:p>
            <w:pPr>
              <w:pStyle w:val="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本项目施工期工艺流程及产污环节见图9。</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color w:val="000000" w:themeColor="text1"/>
                <w14:textFill>
                  <w14:solidFill>
                    <w14:schemeClr w14:val="tx1"/>
                  </w14:solidFill>
                </w14:textFill>
              </w:rPr>
            </w:pPr>
            <w:r>
              <w:drawing>
                <wp:inline distT="0" distB="0" distL="114300" distR="114300">
                  <wp:extent cx="4914900" cy="17145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a:stretch>
                            <a:fillRect/>
                          </a:stretch>
                        </pic:blipFill>
                        <pic:spPr>
                          <a:xfrm>
                            <a:off x="0" y="0"/>
                            <a:ext cx="4914900" cy="1714500"/>
                          </a:xfrm>
                          <a:prstGeom prst="rect">
                            <a:avLst/>
                          </a:prstGeom>
                          <a:noFill/>
                          <a:ln>
                            <a:noFill/>
                          </a:ln>
                        </pic:spPr>
                      </pic:pic>
                    </a:graphicData>
                  </a:graphic>
                </wp:inline>
              </w:drawing>
            </w:r>
          </w:p>
          <w:p>
            <w:pPr>
              <w:jc w:val="center"/>
              <w:rPr>
                <w:rFonts w:hint="default"/>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图9  项目施工期工艺流程及产污环节</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2.</w:t>
            </w:r>
            <w:r>
              <w:rPr>
                <w:rFonts w:hint="eastAsia"/>
                <w:b/>
                <w:bCs/>
                <w:color w:val="000000" w:themeColor="text1"/>
                <w:lang w:val="en-US" w:eastAsia="zh-CN"/>
                <w14:textFill>
                  <w14:solidFill>
                    <w14:schemeClr w14:val="tx1"/>
                  </w14:solidFill>
                </w14:textFill>
              </w:rPr>
              <w:t>2</w:t>
            </w:r>
            <w:r>
              <w:rPr>
                <w:rFonts w:hint="default"/>
                <w:b/>
                <w:bCs/>
                <w:color w:val="000000" w:themeColor="text1"/>
                <w:lang w:val="en-US" w:eastAsia="zh-CN"/>
                <w14:textFill>
                  <w14:solidFill>
                    <w14:schemeClr w14:val="tx1"/>
                  </w14:solidFill>
                </w14:textFill>
              </w:rPr>
              <w:t>.2运营期工艺流程简述</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本项目运营期</w:t>
            </w:r>
            <w:r>
              <w:rPr>
                <w:rFonts w:hint="default"/>
                <w:color w:val="000000" w:themeColor="text1"/>
                <w:lang w:val="en-US" w:eastAsia="zh-CN"/>
                <w14:textFill>
                  <w14:solidFill>
                    <w14:schemeClr w14:val="tx1"/>
                  </w14:solidFill>
                </w14:textFill>
              </w:rPr>
              <w:t>工艺流程及产污环节图</w:t>
            </w:r>
            <w:r>
              <w:rPr>
                <w:rFonts w:hint="eastAsia"/>
                <w:color w:val="000000" w:themeColor="text1"/>
                <w:lang w:val="en-US" w:eastAsia="zh-CN"/>
                <w14:textFill>
                  <w14:solidFill>
                    <w14:schemeClr w14:val="tx1"/>
                  </w14:solidFill>
                </w14:textFill>
              </w:rPr>
              <w:t>10。</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732655" cy="3014345"/>
                  <wp:effectExtent l="0" t="0" r="10795" b="1460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6"/>
                          <a:stretch>
                            <a:fillRect/>
                          </a:stretch>
                        </pic:blipFill>
                        <pic:spPr>
                          <a:xfrm>
                            <a:off x="0" y="0"/>
                            <a:ext cx="4732655" cy="301434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ind w:left="0" w:leftChars="0" w:firstLine="0" w:firstLineChars="0"/>
              <w:jc w:val="center"/>
              <w:textAlignment w:val="auto"/>
              <w:rPr>
                <w:rFonts w:hint="default"/>
                <w:color w:val="000000" w:themeColor="text1"/>
                <w:lang w:val="en-US" w:eastAsia="zh-CN"/>
                <w14:textFill>
                  <w14:solidFill>
                    <w14:schemeClr w14:val="tx1"/>
                  </w14:solidFill>
                </w14:textFill>
              </w:rPr>
            </w:pPr>
            <w:r>
              <w:rPr>
                <w:rFonts w:hint="default"/>
                <w:b/>
                <w:bCs/>
                <w:color w:val="000000" w:themeColor="text1"/>
                <w:lang w:eastAsia="zh-CN"/>
                <w14:textFill>
                  <w14:solidFill>
                    <w14:schemeClr w14:val="tx1"/>
                  </w14:solidFill>
                </w14:textFill>
              </w:rPr>
              <w:t>图</w:t>
            </w:r>
            <w:r>
              <w:rPr>
                <w:rFonts w:hint="default"/>
                <w:b/>
                <w:bCs/>
                <w:color w:val="000000" w:themeColor="text1"/>
                <w:lang w:val="en-US" w:eastAsia="zh-CN"/>
                <w14:textFill>
                  <w14:solidFill>
                    <w14:schemeClr w14:val="tx1"/>
                  </w14:solidFill>
                </w14:textFill>
              </w:rPr>
              <w:t xml:space="preserve">10  </w:t>
            </w:r>
            <w:r>
              <w:rPr>
                <w:rFonts w:hint="eastAsia"/>
                <w:b/>
                <w:bCs/>
                <w:color w:val="000000" w:themeColor="text1"/>
                <w:lang w:val="en-US" w:eastAsia="zh-CN"/>
                <w14:textFill>
                  <w14:solidFill>
                    <w14:schemeClr w14:val="tx1"/>
                  </w14:solidFill>
                </w14:textFill>
              </w:rPr>
              <w:t>项目运营期</w:t>
            </w:r>
            <w:r>
              <w:rPr>
                <w:rFonts w:hint="default"/>
                <w:b/>
                <w:bCs/>
                <w:color w:val="000000" w:themeColor="text1"/>
                <w:lang w:val="en-US" w:eastAsia="zh-CN"/>
                <w14:textFill>
                  <w14:solidFill>
                    <w14:schemeClr w14:val="tx1"/>
                  </w14:solidFill>
                </w14:textFill>
              </w:rPr>
              <w:t>工艺流程及产污环节</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工艺流程简述：</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调直：钢筋运输来是卷装的，需要先用调直机进行调直。</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骨架制作：将拉直的钢筋根据生产需要，先按尺寸切割成小段，然后进行弯曲，并进行捆扎，最后通过焊机进行焊接组装，该工序产生的污染物主要为机械噪声和焊接产生的少量烟尘。</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模具成型：将房屋预制构件模具用行车精确放入浇筑成型模具坑，而后再使用行车将前一工序前期加工好的钢筋骨架放入模具内，之后将外购搅拌好的混凝土倒入模具进行浇筑，该工序产生的污染物主要为噪声和少量浇筑混凝土渣。</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养护：成型后的混凝土活动房在模具内静置数个小时，并每</w:t>
            </w:r>
            <w:r>
              <w:rPr>
                <w:rFonts w:hint="default" w:ascii="Times New Roman" w:hAnsi="Times New Roman" w:cs="Times New Roman"/>
                <w:color w:val="000000" w:themeColor="text1"/>
                <w:lang w:val="en-US" w:eastAsia="zh-CN"/>
                <w14:textFill>
                  <w14:solidFill>
                    <w14:schemeClr w14:val="tx1"/>
                  </w14:solidFill>
                </w14:textFill>
              </w:rPr>
              <w:t>2小时洒水一次进行养护，该水分通过蒸发损失。养护可使混凝土活动房固化成型，以达到脱模的要求。</w:t>
            </w:r>
          </w:p>
          <w:p>
            <w:pPr>
              <w:pStyle w:val="2"/>
              <w:keepNext w:val="0"/>
              <w:keepLines w:val="0"/>
              <w:pageBreakBefore w:val="0"/>
              <w:widowControl w:val="0"/>
              <w:kinsoku/>
              <w:wordWrap/>
              <w:overflowPunct/>
              <w:topLinePunct w:val="0"/>
              <w:autoSpaceDE/>
              <w:autoSpaceDN/>
              <w:bidi w:val="0"/>
              <w:adjustRightInd/>
              <w:spacing w:line="360" w:lineRule="auto"/>
              <w:jc w:val="left"/>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脱模：静置后的混凝土活动房</w:t>
            </w:r>
            <w:r>
              <w:rPr>
                <w:rFonts w:hint="eastAsia" w:cs="Times New Roman"/>
                <w:color w:val="000000" w:themeColor="text1"/>
                <w:lang w:val="en-US" w:eastAsia="zh-CN"/>
                <w14:textFill>
                  <w14:solidFill>
                    <w14:schemeClr w14:val="tx1"/>
                  </w14:solidFill>
                </w14:textFill>
              </w:rPr>
              <w:t>达到强度要求后</w:t>
            </w:r>
            <w:r>
              <w:rPr>
                <w:rFonts w:hint="default" w:ascii="Times New Roman" w:hAnsi="Times New Roman" w:cs="Times New Roman"/>
                <w:color w:val="000000" w:themeColor="text1"/>
                <w:lang w:val="en-US" w:eastAsia="zh-CN"/>
                <w14:textFill>
                  <w14:solidFill>
                    <w14:schemeClr w14:val="tx1"/>
                  </w14:solidFill>
                </w14:textFill>
              </w:rPr>
              <w:t>，将其模具去除，使用行吊将产品送至成品堆放场进一步</w:t>
            </w:r>
            <w:r>
              <w:rPr>
                <w:rFonts w:hint="eastAsia" w:cs="Times New Roman"/>
                <w:color w:val="000000" w:themeColor="text1"/>
                <w:lang w:val="en-US" w:eastAsia="zh-CN"/>
                <w14:textFill>
                  <w14:solidFill>
                    <w14:schemeClr w14:val="tx1"/>
                  </w14:solidFill>
                </w14:textFill>
              </w:rPr>
              <w:t>养护</w:t>
            </w:r>
            <w:r>
              <w:rPr>
                <w:rFonts w:hint="default" w:ascii="Times New Roman" w:hAnsi="Times New Roman" w:cs="Times New Roman"/>
                <w:color w:val="000000" w:themeColor="text1"/>
                <w:lang w:val="en-US" w:eastAsia="zh-CN"/>
                <w14:textFill>
                  <w14:solidFill>
                    <w14:schemeClr w14:val="tx1"/>
                  </w14:solidFill>
                </w14:textFill>
              </w:rPr>
              <w:t>后即为成品。</w:t>
            </w:r>
            <w:r>
              <w:rPr>
                <w:rFonts w:hint="eastAsia"/>
                <w:color w:val="000000" w:themeColor="text1"/>
                <w:lang w:eastAsia="zh-CN"/>
                <w14:textFill>
                  <w14:solidFill>
                    <w14:schemeClr w14:val="tx1"/>
                  </w14:solidFill>
                </w14:textFill>
              </w:rPr>
              <w:t>该工序产生的污染物主要为噪声。</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成品检验：产品的检验按照标准要求和相关的工艺文件进行，产品的堆放符合标准规定并在出厂检验合格后运输交付客户。</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2.2.3施工期主要污染工序</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本项目场地租赁昌吉市先导工程材料有限责任公司现有生产场地。施工期主要污染源为生产设备的安装产生的噪声、施工人员生活污水、施工人员生活垃圾及车辆运输过程中产生的废气。</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jc w:val="left"/>
              <w:textAlignment w:val="auto"/>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1、水环境污染源分析</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本项目场地租赁昌吉市先导工程材料有限责任公司现有生产场地。施工过程中产生的废水主要为施工人员生活污水，无生产废水产生。</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color w:val="000000" w:themeColor="text1"/>
                <w:vertAlign w:val="baseline"/>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施工期间，施工人员不在施工现场食宿，施工人员每日用水量较小，施工人员为5人，用水量按20L/d 人计算，施工期总的用水量为3m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，污水产生量按用水量的85%计算，则施工期间的施工人员生活污水产生量为2.55m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vertAlign w:val="baseline"/>
                <w:lang w:val="en-US" w:eastAsia="zh-CN"/>
                <w14:textFill>
                  <w14:solidFill>
                    <w14:schemeClr w14:val="tx1"/>
                  </w14:solidFill>
                </w14:textFill>
              </w:rPr>
              <w:t>，生活污水排入园区管网，最终排入高新区污水处理厂统一处置。</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jc w:val="left"/>
              <w:textAlignment w:val="auto"/>
              <w:rPr>
                <w:rFonts w:hint="default"/>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2、大气环境污染源分析</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施工过程中的废气污染源主要来自施工车辆、机械排放的尾气。排放的尾气污染物主要有一氧化碳、碳氢化合物、氮氧化合物等。由于生产设备少，安装简单，则施工期产生的废气量较少，对周边的环境影响较小。</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jc w:val="left"/>
              <w:textAlignment w:val="auto"/>
              <w:rPr>
                <w:rFonts w:hint="default"/>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3、噪声污染源分析</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default"/>
                <w:b w:val="0"/>
                <w:bCs w:val="0"/>
                <w:color w:val="000000" w:themeColor="text1"/>
                <w:lang w:val="en-US" w:eastAsia="zh-CN"/>
                <w14:textFill>
                  <w14:solidFill>
                    <w14:schemeClr w14:val="tx1"/>
                  </w14:solidFill>
                </w14:textFill>
              </w:rPr>
            </w:pPr>
            <w:r>
              <w:rPr>
                <w:rFonts w:hint="default" w:ascii="Times New Roman" w:hAnsi="Times New Roman" w:cs="Times New Roman"/>
                <w:b w:val="0"/>
                <w:bCs w:val="0"/>
                <w:color w:val="000000" w:themeColor="text1"/>
                <w:lang w:val="en-US" w:eastAsia="zh-CN"/>
                <w14:textFill>
                  <w14:solidFill>
                    <w14:schemeClr w14:val="tx1"/>
                  </w14:solidFill>
                </w14:textFill>
              </w:rPr>
              <w:t>施工期噪声主要来源运输车辆噪声和设备安装产生的噪声等，噪声强度均在75~80dB（A）之间。</w:t>
            </w:r>
          </w:p>
          <w:p>
            <w:pPr>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4、固体废物</w:t>
            </w:r>
          </w:p>
          <w:p>
            <w:pPr>
              <w:pStyle w:val="2"/>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施工期的固体废物主要为施工人员生活垃圾。</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施工人员按5人计，施工人员不在施工场地食宿，产生的生活垃圾产生量按0.5kg/人 d，施工期施工人员产生的生活垃圾量为2.5kg/d，生活垃圾经垃圾桶收集后，由当地环卫部门定期清运。</w:t>
            </w:r>
          </w:p>
          <w:p>
            <w:pPr>
              <w:pStyle w:val="2"/>
              <w:keepNext w:val="0"/>
              <w:keepLines w:val="0"/>
              <w:pageBreakBefore w:val="0"/>
              <w:widowControl w:val="0"/>
              <w:kinsoku/>
              <w:wordWrap/>
              <w:overflowPunct/>
              <w:topLinePunct w:val="0"/>
              <w:autoSpaceDE/>
              <w:autoSpaceDN/>
              <w:bidi w:val="0"/>
              <w:adjustRightInd/>
              <w:spacing w:line="360" w:lineRule="auto"/>
              <w:ind w:left="0" w:leftChars="0" w:firstLine="0" w:firstLineChars="0"/>
              <w:jc w:val="left"/>
              <w:textAlignment w:val="auto"/>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2.2.4运营期主要污染工序</w:t>
            </w:r>
          </w:p>
          <w:p>
            <w:pPr>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default"/>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1、水环境污染源分析</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本项目运营期的用水主要为水泥制品养护用水和生活用水。</w:t>
            </w:r>
          </w:p>
          <w:p>
            <w:pPr>
              <w:pStyle w:val="2"/>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①养护用水</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水泥制品自然养护用水量约为100m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/a，全部进入产品和损耗，不外排。</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②生活用水</w:t>
            </w:r>
          </w:p>
          <w:p>
            <w:pPr>
              <w:pStyle w:val="2"/>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本项目劳动定员为8人，全年工作200天，生活用水量按80L/d 人，则总的用水量为128m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/a，污水产生量按用水量的85%计算，则生活污水排放量为108.8m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/a，生活污水进入园区管网，最终进入昌吉高新区污水处理厂处置。</w:t>
            </w:r>
          </w:p>
          <w:p>
            <w:pPr>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default"/>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2、大气环境污染源分析</w:t>
            </w:r>
          </w:p>
          <w:p>
            <w:pPr>
              <w:pStyle w:val="2"/>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根据工程产污流程分析，本项目营运过程中大气污染源主要为车辆运输过程中产生的少量粉尘和钢骨架成型产生的少量焊接烟尘。</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运输过程产生的粉尘通过洒水降尘可以有效降低粉尘对大气环境的污染。</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焊接过程产生少量的烟尘，</w:t>
            </w:r>
            <w:r>
              <w:rPr>
                <w:rFonts w:hint="eastAsia"/>
                <w:color w:val="0000FF"/>
                <w:lang w:val="en-US" w:eastAsia="zh-CN"/>
              </w:rPr>
              <w:t>经移动式焊烟除尘器处理后，</w:t>
            </w:r>
            <w:r>
              <w:rPr>
                <w:rFonts w:hint="eastAsia"/>
                <w:color w:val="000000" w:themeColor="text1"/>
                <w:lang w:val="en-US" w:eastAsia="zh-CN"/>
                <w14:textFill>
                  <w14:solidFill>
                    <w14:schemeClr w14:val="tx1"/>
                  </w14:solidFill>
                </w14:textFill>
              </w:rPr>
              <w:t>以无组织排放。</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jc w:val="left"/>
              <w:textAlignment w:val="auto"/>
              <w:rPr>
                <w:rFonts w:hint="default"/>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3、噪声污染源分析</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本项目主要高噪声设备有焊机、切割机等，其源强在70~95dB（A）之间。主要噪声源源强见下表。</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default"/>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8</w:t>
            </w:r>
            <w:r>
              <w:rPr>
                <w:rFonts w:hint="default" w:ascii="Times New Roman" w:hAnsi="Times New Roman" w:cs="Times New Roman"/>
                <w:b/>
                <w:bCs/>
                <w:color w:val="000000" w:themeColor="text1"/>
                <w:sz w:val="21"/>
                <w:szCs w:val="21"/>
                <w:lang w:val="en-US" w:eastAsia="zh-CN"/>
                <w14:textFill>
                  <w14:solidFill>
                    <w14:schemeClr w14:val="tx1"/>
                  </w14:solidFill>
                </w14:textFill>
              </w:rPr>
              <w:t xml:space="preserve">  主要噪声源强</w:t>
            </w:r>
          </w:p>
          <w:tbl>
            <w:tblPr>
              <w:tblStyle w:val="19"/>
              <w:tblW w:w="8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020"/>
              <w:gridCol w:w="1755"/>
              <w:gridCol w:w="1380"/>
              <w:gridCol w:w="1852"/>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序号</w:t>
                  </w:r>
                </w:p>
              </w:tc>
              <w:tc>
                <w:tcPr>
                  <w:tcW w:w="10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名称</w:t>
                  </w:r>
                </w:p>
              </w:tc>
              <w:tc>
                <w:tcPr>
                  <w:tcW w:w="17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噪声源dB（A）</w:t>
                  </w:r>
                </w:p>
              </w:tc>
              <w:tc>
                <w:tcPr>
                  <w:tcW w:w="13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持续时间</w:t>
                  </w:r>
                </w:p>
              </w:tc>
              <w:tc>
                <w:tcPr>
                  <w:tcW w:w="18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降噪措施</w:t>
                  </w:r>
                </w:p>
              </w:tc>
              <w:tc>
                <w:tcPr>
                  <w:tcW w:w="135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降噪效果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1</w:t>
                  </w:r>
                </w:p>
              </w:tc>
              <w:tc>
                <w:tcPr>
                  <w:tcW w:w="10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焊机</w:t>
                  </w:r>
                </w:p>
              </w:tc>
              <w:tc>
                <w:tcPr>
                  <w:tcW w:w="17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80~85</w:t>
                  </w:r>
                </w:p>
              </w:tc>
              <w:tc>
                <w:tcPr>
                  <w:tcW w:w="13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间歇</w:t>
                  </w:r>
                </w:p>
              </w:tc>
              <w:tc>
                <w:tcPr>
                  <w:tcW w:w="18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隔声、减震</w:t>
                  </w:r>
                </w:p>
              </w:tc>
              <w:tc>
                <w:tcPr>
                  <w:tcW w:w="135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2</w:t>
                  </w:r>
                </w:p>
              </w:tc>
              <w:tc>
                <w:tcPr>
                  <w:tcW w:w="10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切割机</w:t>
                  </w:r>
                </w:p>
              </w:tc>
              <w:tc>
                <w:tcPr>
                  <w:tcW w:w="17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85~90</w:t>
                  </w:r>
                </w:p>
              </w:tc>
              <w:tc>
                <w:tcPr>
                  <w:tcW w:w="13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间歇</w:t>
                  </w:r>
                </w:p>
              </w:tc>
              <w:tc>
                <w:tcPr>
                  <w:tcW w:w="18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隔声、减震</w:t>
                  </w:r>
                </w:p>
              </w:tc>
              <w:tc>
                <w:tcPr>
                  <w:tcW w:w="135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20</w:t>
                  </w:r>
                </w:p>
              </w:tc>
            </w:tr>
          </w:tbl>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jc w:val="left"/>
              <w:textAlignment w:val="auto"/>
              <w:rPr>
                <w:rFonts w:hint="default"/>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4、固体废物</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本项目固体废物主要为生活垃圾、混凝土渣和废钢筋。</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本项目生产产生的混凝土渣、废钢筋全部回用于生产，其混凝土渣产生量为5.0t/a，废钢筋产生量为3.0t/a，不外排。</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本项目劳动定员为8人，生活垃圾按1.0kg/d 人计算，则生活垃圾产生量为8.0kg/d，约1.6t/a，垃圾袋装收集后送市政环卫部门统一处置。</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9</w:t>
            </w:r>
            <w:r>
              <w:rPr>
                <w:rFonts w:hint="default" w:ascii="Times New Roman" w:hAnsi="Times New Roman"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b/>
                <w:bCs w:val="0"/>
                <w:color w:val="000000" w:themeColor="text1"/>
                <w:sz w:val="21"/>
                <w:szCs w:val="21"/>
                <w:lang w:val="en-US" w:eastAsia="zh-CN"/>
                <w14:textFill>
                  <w14:solidFill>
                    <w14:schemeClr w14:val="tx1"/>
                  </w14:solidFill>
                </w14:textFill>
              </w:rPr>
              <w:t>项目</w:t>
            </w:r>
            <w:r>
              <w:rPr>
                <w:rFonts w:hint="eastAsia" w:cs="Times New Roman"/>
                <w:b/>
                <w:bCs w:val="0"/>
                <w:color w:val="000000" w:themeColor="text1"/>
                <w:sz w:val="21"/>
                <w:szCs w:val="21"/>
                <w:lang w:val="en-US" w:eastAsia="zh-CN"/>
                <w14:textFill>
                  <w14:solidFill>
                    <w14:schemeClr w14:val="tx1"/>
                  </w14:solidFill>
                </w14:textFill>
              </w:rPr>
              <w:t>主要污染物产生及预计排放情况</w:t>
            </w:r>
          </w:p>
          <w:tbl>
            <w:tblPr>
              <w:tblStyle w:val="19"/>
              <w:tblW w:w="8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106"/>
              <w:gridCol w:w="1266"/>
              <w:gridCol w:w="2563"/>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类别</w:t>
                  </w:r>
                </w:p>
              </w:tc>
              <w:tc>
                <w:tcPr>
                  <w:tcW w:w="110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排放源</w:t>
                  </w:r>
                </w:p>
              </w:tc>
              <w:tc>
                <w:tcPr>
                  <w:tcW w:w="1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主要污染物</w:t>
                  </w:r>
                </w:p>
              </w:tc>
              <w:tc>
                <w:tcPr>
                  <w:tcW w:w="25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处理前产生浓度及产生量</w:t>
                  </w:r>
                </w:p>
              </w:tc>
              <w:tc>
                <w:tcPr>
                  <w:tcW w:w="21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排放浓度及排放量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vertAlign w:val="baseline"/>
                      <w:lang w:val="en-US" w:eastAsia="zh-CN"/>
                      <w14:textFill>
                        <w14:solidFill>
                          <w14:schemeClr w14:val="tx1"/>
                        </w14:solidFill>
                      </w14:textFill>
                    </w:rPr>
                    <w:t>废气</w:t>
                  </w:r>
                </w:p>
              </w:tc>
              <w:tc>
                <w:tcPr>
                  <w:tcW w:w="110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w:t>
                  </w:r>
                </w:p>
              </w:tc>
              <w:tc>
                <w:tcPr>
                  <w:tcW w:w="1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w:t>
                  </w:r>
                </w:p>
              </w:tc>
              <w:tc>
                <w:tcPr>
                  <w:tcW w:w="25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w:t>
                  </w:r>
                </w:p>
              </w:tc>
              <w:tc>
                <w:tcPr>
                  <w:tcW w:w="21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废水</w:t>
                  </w:r>
                </w:p>
              </w:tc>
              <w:tc>
                <w:tcPr>
                  <w:tcW w:w="1106"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eastAsia" w:cs="Times New Roman" w:eastAsiaTheme="minorEastAsia"/>
                      <w:bCs/>
                      <w:color w:val="000000" w:themeColor="text1"/>
                      <w:sz w:val="21"/>
                      <w:szCs w:val="21"/>
                      <w:vertAlign w:val="baseline"/>
                      <w:lang w:val="en-US" w:eastAsia="zh-CN"/>
                      <w14:textFill>
                        <w14:solidFill>
                          <w14:schemeClr w14:val="tx1"/>
                        </w14:solidFill>
                      </w14:textFill>
                    </w:rPr>
                    <w:t>职工生活</w:t>
                  </w:r>
                </w:p>
              </w:tc>
              <w:tc>
                <w:tcPr>
                  <w:tcW w:w="1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生活污水</w:t>
                  </w:r>
                </w:p>
              </w:tc>
              <w:tc>
                <w:tcPr>
                  <w:tcW w:w="25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108.8m</w:t>
                  </w:r>
                  <w:r>
                    <w:rPr>
                      <w:rFonts w:hint="eastAsia" w:ascii="Times New Roman" w:hAnsi="Times New Roman" w:cs="Times New Roman" w:eastAsiaTheme="minorEastAsia"/>
                      <w:bCs/>
                      <w:color w:val="000000" w:themeColor="text1"/>
                      <w:sz w:val="21"/>
                      <w:szCs w:val="21"/>
                      <w:vertAlign w:val="superscript"/>
                      <w:lang w:val="en-US" w:eastAsia="zh-CN"/>
                      <w14:textFill>
                        <w14:solidFill>
                          <w14:schemeClr w14:val="tx1"/>
                        </w14:solidFill>
                      </w14:textFill>
                    </w:rPr>
                    <w:t>3</w:t>
                  </w:r>
                  <w:r>
                    <w:rPr>
                      <w:rFonts w:hint="eastAsia"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/a</w:t>
                  </w:r>
                </w:p>
              </w:tc>
              <w:tc>
                <w:tcPr>
                  <w:tcW w:w="21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108.8m</w:t>
                  </w:r>
                  <w:r>
                    <w:rPr>
                      <w:rFonts w:hint="eastAsia" w:ascii="Times New Roman" w:hAnsi="Times New Roman" w:cs="Times New Roman" w:eastAsiaTheme="minorEastAsia"/>
                      <w:bCs/>
                      <w:color w:val="000000" w:themeColor="text1"/>
                      <w:sz w:val="21"/>
                      <w:szCs w:val="21"/>
                      <w:vertAlign w:val="superscript"/>
                      <w:lang w:val="en-US" w:eastAsia="zh-CN"/>
                      <w14:textFill>
                        <w14:solidFill>
                          <w14:schemeClr w14:val="tx1"/>
                        </w14:solidFill>
                      </w14:textFill>
                    </w:rPr>
                    <w:t>3</w:t>
                  </w:r>
                  <w:r>
                    <w:rPr>
                      <w:rFonts w:hint="eastAsia"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p>
              </w:tc>
              <w:tc>
                <w:tcPr>
                  <w:tcW w:w="110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p>
              </w:tc>
              <w:tc>
                <w:tcPr>
                  <w:tcW w:w="1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COD</w:t>
                  </w:r>
                  <w:r>
                    <w:rPr>
                      <w:rFonts w:hint="default" w:ascii="Times New Roman" w:hAnsi="Times New Roman" w:cs="Times New Roman" w:eastAsiaTheme="minorEastAsia"/>
                      <w:bCs/>
                      <w:color w:val="000000" w:themeColor="text1"/>
                      <w:sz w:val="21"/>
                      <w:szCs w:val="21"/>
                      <w:vertAlign w:val="subscript"/>
                      <w:lang w:val="en-US" w:eastAsia="zh-CN"/>
                      <w14:textFill>
                        <w14:solidFill>
                          <w14:schemeClr w14:val="tx1"/>
                        </w14:solidFill>
                      </w14:textFill>
                    </w:rPr>
                    <w:t>cr</w:t>
                  </w:r>
                </w:p>
              </w:tc>
              <w:tc>
                <w:tcPr>
                  <w:tcW w:w="25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350mg/L，0.0381t/a</w:t>
                  </w:r>
                </w:p>
              </w:tc>
              <w:tc>
                <w:tcPr>
                  <w:tcW w:w="2141"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eastAsia" w:cs="Times New Roman" w:eastAsiaTheme="minorEastAsia"/>
                      <w:bCs/>
                      <w:color w:val="000000" w:themeColor="text1"/>
                      <w:sz w:val="21"/>
                      <w:szCs w:val="21"/>
                      <w:vertAlign w:val="baseline"/>
                      <w:lang w:val="en-US" w:eastAsia="zh-CN"/>
                      <w14:textFill>
                        <w14:solidFill>
                          <w14:schemeClr w14:val="tx1"/>
                        </w14:solidFill>
                      </w14:textFill>
                    </w:rPr>
                    <w:t>排入园区管网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p>
              </w:tc>
              <w:tc>
                <w:tcPr>
                  <w:tcW w:w="110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p>
              </w:tc>
              <w:tc>
                <w:tcPr>
                  <w:tcW w:w="1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BOD</w:t>
                  </w:r>
                  <w:r>
                    <w:rPr>
                      <w:rFonts w:hint="default" w:ascii="Times New Roman" w:hAnsi="Times New Roman" w:cs="Times New Roman" w:eastAsiaTheme="minorEastAsia"/>
                      <w:bCs/>
                      <w:color w:val="000000" w:themeColor="text1"/>
                      <w:sz w:val="21"/>
                      <w:szCs w:val="21"/>
                      <w:vertAlign w:val="subscript"/>
                      <w:lang w:val="en-US" w:eastAsia="zh-CN"/>
                      <w14:textFill>
                        <w14:solidFill>
                          <w14:schemeClr w14:val="tx1"/>
                        </w14:solidFill>
                      </w14:textFill>
                    </w:rPr>
                    <w:t>5</w:t>
                  </w:r>
                </w:p>
              </w:tc>
              <w:tc>
                <w:tcPr>
                  <w:tcW w:w="25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200mg/L，0.0218t/a</w:t>
                  </w:r>
                </w:p>
              </w:tc>
              <w:tc>
                <w:tcPr>
                  <w:tcW w:w="21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p>
              </w:tc>
              <w:tc>
                <w:tcPr>
                  <w:tcW w:w="110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p>
              </w:tc>
              <w:tc>
                <w:tcPr>
                  <w:tcW w:w="1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SS</w:t>
                  </w:r>
                </w:p>
              </w:tc>
              <w:tc>
                <w:tcPr>
                  <w:tcW w:w="25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250mg/L，0.0272t/a</w:t>
                  </w:r>
                </w:p>
              </w:tc>
              <w:tc>
                <w:tcPr>
                  <w:tcW w:w="21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p>
              </w:tc>
              <w:tc>
                <w:tcPr>
                  <w:tcW w:w="110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p>
              </w:tc>
              <w:tc>
                <w:tcPr>
                  <w:tcW w:w="1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NH</w:t>
                  </w:r>
                  <w:r>
                    <w:rPr>
                      <w:rFonts w:hint="default" w:ascii="Times New Roman" w:hAnsi="Times New Roman" w:cs="Times New Roman" w:eastAsiaTheme="minorEastAsia"/>
                      <w:bCs/>
                      <w:color w:val="000000" w:themeColor="text1"/>
                      <w:sz w:val="21"/>
                      <w:szCs w:val="21"/>
                      <w:vertAlign w:val="subscript"/>
                      <w:lang w:val="en-US" w:eastAsia="zh-CN"/>
                      <w14:textFill>
                        <w14:solidFill>
                          <w14:schemeClr w14:val="tx1"/>
                        </w14:solidFill>
                      </w14:textFill>
                    </w:rPr>
                    <w:t>3</w:t>
                  </w: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-N</w:t>
                  </w:r>
                </w:p>
              </w:tc>
              <w:tc>
                <w:tcPr>
                  <w:tcW w:w="25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35mg/L，0.0038t/a</w:t>
                  </w:r>
                </w:p>
              </w:tc>
              <w:tc>
                <w:tcPr>
                  <w:tcW w:w="21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噪声</w:t>
                  </w:r>
                </w:p>
              </w:tc>
              <w:tc>
                <w:tcPr>
                  <w:tcW w:w="7076"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焊机、切割机等生产设备运行产生的噪声，其噪声在70~85dB（A）之间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固体废物</w:t>
                  </w:r>
                </w:p>
              </w:tc>
              <w:tc>
                <w:tcPr>
                  <w:tcW w:w="110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职工生活</w:t>
                  </w:r>
                </w:p>
              </w:tc>
              <w:tc>
                <w:tcPr>
                  <w:tcW w:w="1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生活垃圾</w:t>
                  </w:r>
                </w:p>
              </w:tc>
              <w:tc>
                <w:tcPr>
                  <w:tcW w:w="25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1.6t/a</w:t>
                  </w:r>
                </w:p>
              </w:tc>
              <w:tc>
                <w:tcPr>
                  <w:tcW w:w="21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p>
              </w:tc>
              <w:tc>
                <w:tcPr>
                  <w:tcW w:w="1106"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eastAsia" w:cs="Times New Roman" w:eastAsiaTheme="minorEastAsia"/>
                      <w:bCs/>
                      <w:color w:val="000000" w:themeColor="text1"/>
                      <w:sz w:val="21"/>
                      <w:szCs w:val="21"/>
                      <w:vertAlign w:val="baseline"/>
                      <w:lang w:val="en-US" w:eastAsia="zh-CN"/>
                      <w14:textFill>
                        <w14:solidFill>
                          <w14:schemeClr w14:val="tx1"/>
                        </w14:solidFill>
                      </w14:textFill>
                    </w:rPr>
                    <w:t>生产固废</w:t>
                  </w:r>
                </w:p>
              </w:tc>
              <w:tc>
                <w:tcPr>
                  <w:tcW w:w="1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eastAsia" w:cs="Times New Roman" w:eastAsiaTheme="minorEastAsia"/>
                      <w:bCs/>
                      <w:color w:val="000000" w:themeColor="text1"/>
                      <w:sz w:val="21"/>
                      <w:szCs w:val="21"/>
                      <w:vertAlign w:val="baseline"/>
                      <w:lang w:val="en-US" w:eastAsia="zh-CN"/>
                      <w14:textFill>
                        <w14:solidFill>
                          <w14:schemeClr w14:val="tx1"/>
                        </w14:solidFill>
                      </w14:textFill>
                    </w:rPr>
                    <w:t>混凝土渣</w:t>
                  </w:r>
                </w:p>
              </w:tc>
              <w:tc>
                <w:tcPr>
                  <w:tcW w:w="25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eastAsia" w:cs="Times New Roman" w:eastAsiaTheme="minorEastAsia"/>
                      <w:bCs/>
                      <w:color w:val="000000" w:themeColor="text1"/>
                      <w:sz w:val="21"/>
                      <w:szCs w:val="21"/>
                      <w:vertAlign w:val="baseline"/>
                      <w:lang w:val="en-US" w:eastAsia="zh-CN"/>
                      <w14:textFill>
                        <w14:solidFill>
                          <w14:schemeClr w14:val="tx1"/>
                        </w14:solidFill>
                      </w14:textFill>
                    </w:rPr>
                    <w:t>5.0t/a</w:t>
                  </w:r>
                </w:p>
              </w:tc>
              <w:tc>
                <w:tcPr>
                  <w:tcW w:w="21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eastAsia" w:cs="Times New Roman" w:eastAsiaTheme="minorEastAsia"/>
                      <w:bCs/>
                      <w:color w:val="000000" w:themeColor="text1"/>
                      <w:sz w:val="21"/>
                      <w:szCs w:val="21"/>
                      <w:vertAlign w:val="baselin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p>
              </w:tc>
              <w:tc>
                <w:tcPr>
                  <w:tcW w:w="110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p>
              </w:tc>
              <w:tc>
                <w:tcPr>
                  <w:tcW w:w="12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eastAsia" w:cs="Times New Roman" w:eastAsiaTheme="minorEastAsia"/>
                      <w:bCs/>
                      <w:color w:val="000000" w:themeColor="text1"/>
                      <w:sz w:val="21"/>
                      <w:szCs w:val="21"/>
                      <w:vertAlign w:val="baseline"/>
                      <w:lang w:val="en-US" w:eastAsia="zh-CN"/>
                      <w14:textFill>
                        <w14:solidFill>
                          <w14:schemeClr w14:val="tx1"/>
                        </w14:solidFill>
                      </w14:textFill>
                    </w:rPr>
                    <w:t>废钢筋</w:t>
                  </w:r>
                </w:p>
              </w:tc>
              <w:tc>
                <w:tcPr>
                  <w:tcW w:w="25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eastAsia" w:cs="Times New Roman" w:eastAsiaTheme="minorEastAsia"/>
                      <w:bCs/>
                      <w:color w:val="000000" w:themeColor="text1"/>
                      <w:sz w:val="21"/>
                      <w:szCs w:val="21"/>
                      <w:vertAlign w:val="baseline"/>
                      <w:lang w:val="en-US" w:eastAsia="zh-CN"/>
                      <w14:textFill>
                        <w14:solidFill>
                          <w14:schemeClr w14:val="tx1"/>
                        </w14:solidFill>
                      </w14:textFill>
                    </w:rPr>
                    <w:t>3.0t/a</w:t>
                  </w:r>
                </w:p>
              </w:tc>
              <w:tc>
                <w:tcPr>
                  <w:tcW w:w="21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eastAsiaTheme="minorEastAsia"/>
                      <w:bCs/>
                      <w:color w:val="000000" w:themeColor="text1"/>
                      <w:sz w:val="21"/>
                      <w:szCs w:val="21"/>
                      <w:vertAlign w:val="baseline"/>
                      <w:lang w:val="en-US" w:eastAsia="zh-CN"/>
                      <w14:textFill>
                        <w14:solidFill>
                          <w14:schemeClr w14:val="tx1"/>
                        </w14:solidFill>
                      </w14:textFill>
                    </w:rPr>
                  </w:pPr>
                  <w:r>
                    <w:rPr>
                      <w:rFonts w:hint="eastAsia" w:cs="Times New Roman" w:eastAsiaTheme="minorEastAsia"/>
                      <w:bCs/>
                      <w:color w:val="000000" w:themeColor="text1"/>
                      <w:sz w:val="21"/>
                      <w:szCs w:val="21"/>
                      <w:vertAlign w:val="baseline"/>
                      <w:lang w:val="en-US" w:eastAsia="zh-CN"/>
                      <w14:textFill>
                        <w14:solidFill>
                          <w14:schemeClr w14:val="tx1"/>
                        </w14:solidFill>
                      </w14:textFill>
                    </w:rPr>
                    <w:t>0</w:t>
                  </w:r>
                </w:p>
              </w:tc>
            </w:tr>
          </w:tbl>
          <w:p>
            <w:pPr>
              <w:pStyle w:val="8"/>
              <w:bidi w:val="0"/>
              <w:ind w:left="0" w:leftChars="0" w:firstLine="0" w:firstLineChars="0"/>
              <w:jc w:val="left"/>
              <w:rPr>
                <w:rFonts w:hint="default"/>
                <w:color w:val="000000" w:themeColor="text1"/>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6" w:type="dxa"/>
            <w:vAlign w:val="center"/>
          </w:tcPr>
          <w:p>
            <w:pPr>
              <w:pStyle w:val="15"/>
              <w:adjustRightInd w:val="0"/>
              <w:snapToGrid w:val="0"/>
              <w:spacing w:before="0" w:beforeAutospacing="0" w:after="0" w:afterAutospacing="0"/>
              <w:ind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bCs/>
                <w:color w:val="000000" w:themeColor="text1"/>
                <w:kern w:val="2"/>
                <w:szCs w:val="21"/>
                <w14:textFill>
                  <w14:solidFill>
                    <w14:schemeClr w14:val="tx1"/>
                  </w14:solidFill>
                </w14:textFill>
              </w:rPr>
              <w:t>与项目有关的原有环境污染问题</w:t>
            </w:r>
          </w:p>
        </w:tc>
        <w:tc>
          <w:tcPr>
            <w:tcW w:w="8195" w:type="dxa"/>
          </w:tcPr>
          <w:p>
            <w:pPr>
              <w:keepNext w:val="0"/>
              <w:keepLines w:val="0"/>
              <w:pageBreakBefore w:val="0"/>
              <w:widowControl/>
              <w:suppressLineNumbers w:val="0"/>
              <w:kinsoku/>
              <w:wordWrap/>
              <w:overflowPunct/>
              <w:topLinePunct w:val="0"/>
              <w:autoSpaceDE/>
              <w:autoSpaceDN/>
              <w:bidi w:val="0"/>
              <w:adjustRightInd/>
              <w:snapToGrid w:val="0"/>
              <w:ind w:left="0" w:leftChars="0" w:firstLine="480" w:firstLineChars="200"/>
              <w:jc w:val="left"/>
              <w:textAlignment w:val="auto"/>
              <w:rPr>
                <w:rFonts w:hint="default"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本项目为新建项目，利用租赁场地进行建设，租用场地现状为空地，不存在与本项目有关的原有环境污染问题。</w:t>
            </w:r>
          </w:p>
        </w:tc>
      </w:tr>
    </w:tbl>
    <w:p>
      <w:pPr>
        <w:pStyle w:val="15"/>
        <w:ind w:firstLine="720"/>
        <w:jc w:val="center"/>
        <w:rPr>
          <w:rFonts w:hint="eastAsia" w:ascii="Times New Roman" w:hAnsi="Times New Roman" w:eastAsia="黑体"/>
          <w:snapToGrid w:val="0"/>
          <w:sz w:val="36"/>
          <w:szCs w:val="36"/>
          <w:lang w:val="en-US" w:eastAsia="zh-CN"/>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15"/>
        <w:adjustRightInd w:val="0"/>
        <w:snapToGrid w:val="0"/>
        <w:spacing w:before="0" w:beforeAutospacing="0" w:after="0" w:afterAutospacing="0" w:line="14" w:lineRule="auto"/>
        <w:ind w:firstLine="600"/>
        <w:jc w:val="center"/>
        <w:outlineLvl w:val="0"/>
        <w:rPr>
          <w:rFonts w:ascii="Times New Roman" w:hAnsi="Times New Roman" w:eastAsia="黑体"/>
          <w:snapToGrid w:val="0"/>
          <w:sz w:val="30"/>
          <w:szCs w:val="30"/>
        </w:rPr>
      </w:pPr>
    </w:p>
    <w:p>
      <w:pPr>
        <w:pStyle w:val="15"/>
        <w:spacing w:line="240" w:lineRule="auto"/>
        <w:ind w:firstLine="0" w:firstLineChars="0"/>
        <w:jc w:val="center"/>
        <w:outlineLvl w:val="0"/>
        <w:rPr>
          <w:rFonts w:ascii="Times New Roman" w:hAnsi="Times New Roman" w:eastAsia="黑体"/>
          <w:snapToGrid w:val="0"/>
          <w:sz w:val="30"/>
          <w:szCs w:val="30"/>
        </w:rPr>
      </w:pPr>
      <w:r>
        <w:rPr>
          <w:rFonts w:hint="eastAsia" w:ascii="Times New Roman" w:hAnsi="Times New Roman" w:eastAsia="黑体"/>
          <w:snapToGrid w:val="0"/>
          <w:sz w:val="30"/>
          <w:szCs w:val="30"/>
        </w:rPr>
        <w:t>三、区域环境质量现状、环境保护目标及评价标准</w:t>
      </w:r>
    </w:p>
    <w:tbl>
      <w:tblPr>
        <w:tblStyle w:val="18"/>
        <w:tblW w:w="496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81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443" w:type="pct"/>
            <w:vAlign w:val="center"/>
          </w:tcPr>
          <w:p>
            <w:pPr>
              <w:adjustRightInd w:val="0"/>
              <w:snapToGrid w:val="0"/>
              <w:ind w:firstLine="0" w:firstLineChars="0"/>
              <w:jc w:val="center"/>
              <w:rPr>
                <w:rFonts w:cs="宋体"/>
                <w:kern w:val="0"/>
                <w:szCs w:val="21"/>
              </w:rPr>
            </w:pPr>
            <w:r>
              <w:rPr>
                <w:rFonts w:hint="eastAsia" w:cs="宋体"/>
                <w:kern w:val="0"/>
                <w:szCs w:val="21"/>
              </w:rPr>
              <w:t>区域</w:t>
            </w:r>
          </w:p>
          <w:p>
            <w:pPr>
              <w:adjustRightInd w:val="0"/>
              <w:snapToGrid w:val="0"/>
              <w:ind w:firstLine="0" w:firstLineChars="0"/>
              <w:jc w:val="center"/>
              <w:rPr>
                <w:rFonts w:cs="宋体"/>
                <w:kern w:val="0"/>
                <w:szCs w:val="21"/>
              </w:rPr>
            </w:pPr>
            <w:r>
              <w:rPr>
                <w:rFonts w:hint="eastAsia" w:cs="宋体"/>
                <w:kern w:val="0"/>
                <w:szCs w:val="21"/>
              </w:rPr>
              <w:t>环境</w:t>
            </w:r>
          </w:p>
          <w:p>
            <w:pPr>
              <w:adjustRightInd w:val="0"/>
              <w:snapToGrid w:val="0"/>
              <w:ind w:firstLine="0" w:firstLineChars="0"/>
              <w:jc w:val="center"/>
              <w:rPr>
                <w:rFonts w:cs="宋体"/>
                <w:kern w:val="0"/>
                <w:szCs w:val="21"/>
              </w:rPr>
            </w:pPr>
            <w:r>
              <w:rPr>
                <w:rFonts w:hint="eastAsia" w:cs="宋体"/>
                <w:kern w:val="0"/>
                <w:szCs w:val="21"/>
              </w:rPr>
              <w:t>质量</w:t>
            </w:r>
          </w:p>
          <w:p>
            <w:pPr>
              <w:adjustRightInd w:val="0"/>
              <w:snapToGrid w:val="0"/>
              <w:ind w:firstLine="0" w:firstLineChars="0"/>
              <w:jc w:val="center"/>
              <w:rPr>
                <w:rFonts w:cs="宋体"/>
                <w:kern w:val="0"/>
                <w:szCs w:val="21"/>
              </w:rPr>
            </w:pPr>
            <w:r>
              <w:rPr>
                <w:rFonts w:hint="eastAsia" w:cs="宋体"/>
                <w:kern w:val="0"/>
                <w:szCs w:val="21"/>
              </w:rPr>
              <w:t>现状</w:t>
            </w:r>
          </w:p>
        </w:tc>
        <w:tc>
          <w:tcPr>
            <w:tcW w:w="4556" w:type="pct"/>
            <w:vAlign w:val="center"/>
          </w:tcPr>
          <w:p>
            <w:pPr>
              <w:pStyle w:val="3"/>
              <w:pageBreakBefore w:val="0"/>
              <w:widowControl w:val="0"/>
              <w:kinsoku/>
              <w:wordWrap/>
              <w:topLinePunct w:val="0"/>
              <w:autoSpaceDE/>
              <w:autoSpaceDN/>
              <w:bidi w:val="0"/>
              <w:adjustRightInd/>
              <w:snapToGrid w:val="0"/>
              <w:spacing w:before="0" w:after="0"/>
              <w:jc w:val="left"/>
              <w:textAlignment w:val="auto"/>
              <w:rPr>
                <w:color w:val="auto"/>
              </w:rPr>
            </w:pPr>
            <w:r>
              <w:rPr>
                <w:rFonts w:hint="eastAsia"/>
                <w:color w:val="auto"/>
              </w:rPr>
              <w:t>3</w:t>
            </w:r>
            <w:r>
              <w:rPr>
                <w:color w:val="auto"/>
              </w:rPr>
              <w:t>.1</w:t>
            </w:r>
            <w:r>
              <w:rPr>
                <w:rFonts w:hint="eastAsia"/>
                <w:color w:val="auto"/>
              </w:rPr>
              <w:t>区域环境质量现状</w:t>
            </w:r>
          </w:p>
          <w:p>
            <w:pPr>
              <w:pStyle w:val="4"/>
              <w:pageBreakBefore w:val="0"/>
              <w:widowControl w:val="0"/>
              <w:kinsoku/>
              <w:wordWrap/>
              <w:topLinePunct w:val="0"/>
              <w:autoSpaceDE/>
              <w:autoSpaceDN/>
              <w:bidi w:val="0"/>
              <w:adjustRightInd/>
              <w:snapToGrid w:val="0"/>
              <w:spacing w:before="0" w:after="0"/>
              <w:jc w:val="left"/>
              <w:textAlignment w:val="auto"/>
            </w:pPr>
            <w:r>
              <w:t>3.1.</w:t>
            </w:r>
            <w:r>
              <w:rPr>
                <w:rFonts w:hint="eastAsia"/>
              </w:rPr>
              <w:t>1环境空气质量现状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olor w:val="auto"/>
                <w:sz w:val="24"/>
                <w:szCs w:val="32"/>
              </w:rPr>
            </w:pPr>
            <w:r>
              <w:rPr>
                <w:rFonts w:hint="default"/>
                <w:color w:val="auto"/>
                <w:sz w:val="24"/>
                <w:szCs w:val="32"/>
              </w:rPr>
              <w:t>根据《环境影响评价技术导则 大气环境》（HJ2.2-2018）</w:t>
            </w:r>
            <w:r>
              <w:rPr>
                <w:rFonts w:hint="default"/>
                <w:color w:val="auto"/>
                <w:sz w:val="24"/>
                <w:szCs w:val="32"/>
                <w:lang w:val="en-US" w:eastAsia="zh-CN"/>
              </w:rPr>
              <w:t>的要求对评价区内</w:t>
            </w:r>
            <w:r>
              <w:rPr>
                <w:rFonts w:hint="default"/>
                <w:color w:val="auto"/>
                <w:sz w:val="24"/>
                <w:szCs w:val="32"/>
              </w:rPr>
              <w:t>基本污染物的环境质量现状进行评价。</w:t>
            </w:r>
          </w:p>
          <w:p>
            <w:pPr>
              <w:ind w:firstLine="480"/>
              <w:jc w:val="left"/>
              <w:rPr>
                <w:rFonts w:hint="default"/>
                <w:color w:val="auto"/>
                <w:sz w:val="24"/>
                <w:szCs w:val="32"/>
                <w:lang w:val="en-US" w:eastAsia="zh-CN"/>
              </w:rPr>
            </w:pPr>
            <w:r>
              <w:rPr>
                <w:rFonts w:hint="default"/>
                <w:color w:val="auto"/>
                <w:sz w:val="24"/>
                <w:szCs w:val="32"/>
                <w:lang w:val="en-US" w:eastAsia="zh-CN"/>
              </w:rPr>
              <w:t>基本污染物：收集了</w:t>
            </w:r>
            <w:r>
              <w:rPr>
                <w:rFonts w:hint="eastAsia"/>
                <w:color w:val="auto"/>
              </w:rPr>
              <w:t>环境质量现状评价采用</w:t>
            </w:r>
            <w:r>
              <w:rPr>
                <w:rFonts w:hint="eastAsia"/>
              </w:rPr>
              <w:t>真气网</w:t>
            </w:r>
            <w:r>
              <w:rPr>
                <w:rFonts w:hint="eastAsia"/>
                <w:lang w:eastAsia="zh-CN"/>
              </w:rPr>
              <w:t>站</w:t>
            </w:r>
            <w:r>
              <w:rPr>
                <w:rFonts w:hint="eastAsia"/>
              </w:rPr>
              <w:t>（</w:t>
            </w:r>
            <w:r>
              <w:t>https://www.zq12369.com/environment.php?city=%E6%98%8C%E5%90%89%E5%B7%9E&amp;tab=city</w:t>
            </w:r>
            <w:r>
              <w:rPr>
                <w:rFonts w:hint="eastAsia"/>
              </w:rPr>
              <w:t>）</w:t>
            </w:r>
            <w:r>
              <w:rPr>
                <w:rFonts w:hint="default"/>
                <w:color w:val="auto"/>
                <w:sz w:val="24"/>
                <w:szCs w:val="32"/>
                <w:lang w:eastAsia="zh-CN"/>
              </w:rPr>
              <w:t>发布的</w:t>
            </w:r>
            <w:r>
              <w:rPr>
                <w:rFonts w:hint="eastAsia"/>
                <w:color w:val="auto"/>
              </w:rPr>
              <w:t>202</w:t>
            </w:r>
            <w:r>
              <w:rPr>
                <w:rFonts w:hint="eastAsia"/>
                <w:color w:val="auto"/>
                <w:lang w:val="en-US" w:eastAsia="zh-CN"/>
              </w:rPr>
              <w:t>1</w:t>
            </w:r>
            <w:r>
              <w:rPr>
                <w:rFonts w:hint="eastAsia"/>
                <w:color w:val="auto"/>
              </w:rPr>
              <w:t>年1月1日至202</w:t>
            </w:r>
            <w:r>
              <w:rPr>
                <w:rFonts w:hint="eastAsia"/>
                <w:color w:val="auto"/>
                <w:lang w:val="en-US" w:eastAsia="zh-CN"/>
              </w:rPr>
              <w:t>1</w:t>
            </w:r>
            <w:r>
              <w:rPr>
                <w:rFonts w:hint="eastAsia"/>
                <w:color w:val="auto"/>
              </w:rPr>
              <w:t>年12月31日</w:t>
            </w:r>
            <w:r>
              <w:rPr>
                <w:rFonts w:hint="eastAsia"/>
                <w:color w:val="auto"/>
                <w:lang w:eastAsia="zh-CN"/>
              </w:rPr>
              <w:t>昌吉市</w:t>
            </w:r>
            <w:r>
              <w:rPr>
                <w:rFonts w:hint="eastAsia"/>
              </w:rPr>
              <w:t>新区政务中心</w:t>
            </w:r>
            <w:r>
              <w:rPr>
                <w:rFonts w:hint="eastAsia"/>
                <w:color w:val="auto"/>
                <w:lang w:eastAsia="zh-CN"/>
              </w:rPr>
              <w:t>站点</w:t>
            </w:r>
            <w:r>
              <w:rPr>
                <w:rFonts w:hint="default"/>
                <w:color w:val="auto"/>
                <w:sz w:val="24"/>
                <w:szCs w:val="32"/>
              </w:rPr>
              <w:t>NO</w:t>
            </w:r>
            <w:r>
              <w:rPr>
                <w:rFonts w:hint="default"/>
                <w:color w:val="auto"/>
                <w:sz w:val="24"/>
                <w:szCs w:val="32"/>
                <w:vertAlign w:val="subscript"/>
              </w:rPr>
              <w:t>2</w:t>
            </w:r>
            <w:r>
              <w:rPr>
                <w:rFonts w:hint="default"/>
                <w:color w:val="auto"/>
                <w:sz w:val="24"/>
                <w:szCs w:val="32"/>
              </w:rPr>
              <w:t>、SO</w:t>
            </w:r>
            <w:r>
              <w:rPr>
                <w:rFonts w:hint="default"/>
                <w:color w:val="auto"/>
                <w:sz w:val="24"/>
                <w:szCs w:val="32"/>
                <w:vertAlign w:val="subscript"/>
              </w:rPr>
              <w:t>2</w:t>
            </w:r>
            <w:r>
              <w:rPr>
                <w:rFonts w:hint="default"/>
                <w:color w:val="auto"/>
                <w:sz w:val="24"/>
                <w:szCs w:val="32"/>
              </w:rPr>
              <w:t>、PM</w:t>
            </w:r>
            <w:r>
              <w:rPr>
                <w:rFonts w:hint="default"/>
                <w:color w:val="auto"/>
                <w:sz w:val="24"/>
                <w:szCs w:val="32"/>
                <w:vertAlign w:val="subscript"/>
              </w:rPr>
              <w:t>10</w:t>
            </w:r>
            <w:r>
              <w:rPr>
                <w:rFonts w:hint="default"/>
                <w:color w:val="auto"/>
                <w:sz w:val="24"/>
                <w:szCs w:val="32"/>
              </w:rPr>
              <w:t>、PM</w:t>
            </w:r>
            <w:r>
              <w:rPr>
                <w:rFonts w:hint="default"/>
                <w:color w:val="auto"/>
                <w:sz w:val="24"/>
                <w:szCs w:val="32"/>
                <w:vertAlign w:val="subscript"/>
              </w:rPr>
              <w:t>2.5</w:t>
            </w:r>
            <w:r>
              <w:rPr>
                <w:rFonts w:hint="default"/>
                <w:color w:val="auto"/>
                <w:sz w:val="24"/>
                <w:szCs w:val="32"/>
                <w:lang w:eastAsia="zh-CN"/>
              </w:rPr>
              <w:t>、</w:t>
            </w:r>
            <w:r>
              <w:rPr>
                <w:rFonts w:hint="default"/>
                <w:color w:val="auto"/>
                <w:sz w:val="24"/>
                <w:szCs w:val="32"/>
              </w:rPr>
              <w:t>CO、O</w:t>
            </w:r>
            <w:r>
              <w:rPr>
                <w:rFonts w:hint="default"/>
                <w:color w:val="auto"/>
                <w:sz w:val="24"/>
                <w:szCs w:val="32"/>
                <w:vertAlign w:val="subscript"/>
              </w:rPr>
              <w:t>3</w:t>
            </w:r>
            <w:r>
              <w:rPr>
                <w:rFonts w:hint="default"/>
                <w:color w:val="auto"/>
                <w:sz w:val="24"/>
                <w:szCs w:val="32"/>
                <w:lang w:val="en-US" w:eastAsia="zh-CN"/>
              </w:rPr>
              <w:t>六项基本污染物的2</w:t>
            </w:r>
            <w:r>
              <w:rPr>
                <w:rFonts w:hint="eastAsia"/>
                <w:color w:val="auto"/>
                <w:sz w:val="24"/>
                <w:szCs w:val="32"/>
                <w:lang w:val="en-US" w:eastAsia="zh-CN"/>
              </w:rPr>
              <w:t>021</w:t>
            </w:r>
            <w:r>
              <w:rPr>
                <w:rFonts w:hint="default"/>
                <w:color w:val="auto"/>
                <w:sz w:val="24"/>
                <w:szCs w:val="32"/>
                <w:lang w:val="en-US" w:eastAsia="zh-CN"/>
              </w:rPr>
              <w:t>年全年监测数据</w:t>
            </w:r>
            <w:r>
              <w:rPr>
                <w:rFonts w:hint="eastAsia"/>
                <w:color w:val="auto"/>
                <w:sz w:val="24"/>
                <w:szCs w:val="32"/>
                <w:lang w:val="en-US" w:eastAsia="zh-CN"/>
              </w:rPr>
              <w:t>作为本次评价依据</w:t>
            </w:r>
            <w:r>
              <w:rPr>
                <w:rFonts w:hint="default"/>
                <w:color w:val="auto"/>
                <w:sz w:val="24"/>
                <w:szCs w:val="32"/>
                <w:lang w:val="en-US" w:eastAsia="zh-CN"/>
              </w:rPr>
              <w:t>。</w:t>
            </w:r>
            <w:r>
              <w:rPr>
                <w:rFonts w:hint="eastAsia"/>
                <w:color w:val="auto"/>
                <w:sz w:val="24"/>
                <w:szCs w:val="32"/>
                <w:lang w:val="en-US" w:eastAsia="zh-CN"/>
              </w:rPr>
              <w:t>本工程位于高新技术产业开发区，根据建设项目环境影响报告表编制指南，常规污染物引用与建设项目距离近的有效数据，故本次引用</w:t>
            </w:r>
            <w:r>
              <w:rPr>
                <w:rFonts w:hint="eastAsia"/>
              </w:rPr>
              <w:t>新区政务中心</w:t>
            </w:r>
            <w:r>
              <w:rPr>
                <w:rFonts w:hint="eastAsia"/>
                <w:color w:val="auto"/>
                <w:lang w:eastAsia="zh-CN"/>
              </w:rPr>
              <w:t>站点</w:t>
            </w:r>
            <w:r>
              <w:rPr>
                <w:rFonts w:hint="eastAsia"/>
                <w:color w:val="auto"/>
                <w:sz w:val="24"/>
                <w:szCs w:val="32"/>
                <w:lang w:val="en-US" w:eastAsia="zh-CN"/>
              </w:rPr>
              <w:t>国控点的数据，该监测点位于昌吉市乌伊路与世纪大道交汇处，</w:t>
            </w:r>
            <w:r>
              <w:rPr>
                <w:rFonts w:hint="eastAsia"/>
                <w:color w:val="auto"/>
                <w:sz w:val="24"/>
                <w:szCs w:val="32"/>
                <w:highlight w:val="none"/>
                <w:lang w:val="en-US" w:eastAsia="zh-CN"/>
              </w:rPr>
              <w:t>在本项目东南方向10km处</w:t>
            </w:r>
            <w:r>
              <w:rPr>
                <w:rFonts w:hint="eastAsia"/>
                <w:color w:val="auto"/>
                <w:sz w:val="24"/>
                <w:szCs w:val="32"/>
                <w:lang w:val="en-US" w:eastAsia="zh-CN"/>
              </w:rPr>
              <w:t>。</w:t>
            </w:r>
          </w:p>
          <w:p>
            <w:pPr>
              <w:ind w:firstLine="480"/>
              <w:jc w:val="left"/>
              <w:rPr>
                <w:rFonts w:hint="eastAsia"/>
              </w:rPr>
            </w:pPr>
            <w:r>
              <w:rPr>
                <w:rFonts w:hint="default" w:ascii="Times New Roman" w:hAnsi="Times New Roman" w:cs="Times New Roman"/>
                <w:color w:val="auto"/>
                <w:sz w:val="24"/>
                <w:szCs w:val="32"/>
                <w:lang w:val="en-US" w:eastAsia="zh-CN"/>
              </w:rPr>
              <w:t>其他污染物：</w:t>
            </w:r>
            <w:r>
              <w:rPr>
                <w:rFonts w:hint="default" w:ascii="Times New Roman" w:hAnsi="Times New Roman" w:cs="Times New Roman"/>
              </w:rPr>
              <w:t>根据《建设项目环境影响报告表编制技术指南（污染影响类）》</w:t>
            </w:r>
            <w:r>
              <w:rPr>
                <w:rFonts w:hint="default" w:ascii="Times New Roman" w:hAnsi="Times New Roman" w:cs="Times New Roman"/>
                <w:lang w:eastAsia="zh-CN"/>
              </w:rPr>
              <w:t>（</w:t>
            </w:r>
            <w:r>
              <w:rPr>
                <w:rFonts w:hint="default" w:ascii="Times New Roman" w:hAnsi="Times New Roman" w:cs="Times New Roman"/>
              </w:rPr>
              <w:t>试行</w:t>
            </w:r>
            <w:r>
              <w:rPr>
                <w:rFonts w:hint="default" w:ascii="Times New Roman" w:hAnsi="Times New Roman" w:cs="Times New Roman"/>
                <w:lang w:eastAsia="zh-CN"/>
              </w:rPr>
              <w:t>）</w:t>
            </w:r>
            <w:r>
              <w:rPr>
                <w:rFonts w:hint="default" w:ascii="Times New Roman" w:hAnsi="Times New Roman" w:cs="Times New Roman"/>
              </w:rPr>
              <w:t>，本项目环境空气污染物其他项目选取《环境空气质量标准》（GB3095-2012）表2中的TSP作为特征污染物来评价项目区域环境空气质量现状，其数据来源于新疆环疆绿源环保科技有限公司对</w:t>
            </w:r>
            <w:r>
              <w:rPr>
                <w:rFonts w:hint="eastAsia" w:cs="Times New Roman"/>
                <w:lang w:eastAsia="zh-CN"/>
              </w:rPr>
              <w:t>《</w:t>
            </w:r>
            <w:r>
              <w:rPr>
                <w:rFonts w:hint="default" w:ascii="Times New Roman" w:hAnsi="Times New Roman" w:cs="Times New Roman"/>
                <w:sz w:val="24"/>
                <w:szCs w:val="24"/>
              </w:rPr>
              <w:t>高聚物改性沥青防水卷材生产线技术改造项目</w:t>
            </w:r>
            <w:r>
              <w:rPr>
                <w:rFonts w:hint="eastAsia" w:cs="Times New Roman"/>
                <w:lang w:eastAsia="zh-CN"/>
              </w:rPr>
              <w:t>》</w:t>
            </w:r>
            <w:r>
              <w:rPr>
                <w:rFonts w:hint="default" w:ascii="Times New Roman" w:hAnsi="Times New Roman" w:cs="Times New Roman"/>
              </w:rPr>
              <w:t>的现状监测</w:t>
            </w:r>
            <w:r>
              <w:rPr>
                <w:rFonts w:hint="default" w:ascii="Times New Roman" w:hAnsi="Times New Roman" w:cs="Times New Roman"/>
                <w:lang w:eastAsia="zh-CN"/>
              </w:rPr>
              <w:t>，</w:t>
            </w:r>
            <w:r>
              <w:rPr>
                <w:rFonts w:hint="eastAsia"/>
              </w:rPr>
              <w:t>监测时间为2021年11月17日~11月19日</w:t>
            </w:r>
            <w:r>
              <w:rPr>
                <w:rFonts w:hint="eastAsia"/>
                <w:lang w:eastAsia="zh-CN"/>
              </w:rPr>
              <w:t>，该</w:t>
            </w:r>
            <w:r>
              <w:rPr>
                <w:rFonts w:hint="default" w:ascii="Times New Roman" w:hAnsi="Times New Roman" w:cs="Times New Roman"/>
                <w:lang w:eastAsia="zh-CN"/>
              </w:rPr>
              <w:t>监测点</w:t>
            </w:r>
            <w:r>
              <w:rPr>
                <w:rFonts w:hint="default" w:ascii="Times New Roman" w:hAnsi="Times New Roman" w:cs="Times New Roman"/>
                <w:szCs w:val="21"/>
                <w:lang w:eastAsia="zh-CN"/>
              </w:rPr>
              <w:t>坐标为经度：87°08′</w:t>
            </w:r>
            <w:r>
              <w:rPr>
                <w:rFonts w:hint="default" w:ascii="Times New Roman" w:hAnsi="Times New Roman" w:cs="Times New Roman"/>
                <w:szCs w:val="21"/>
                <w:lang w:val="en-US" w:eastAsia="zh-CN"/>
              </w:rPr>
              <w:t>38.863</w:t>
            </w:r>
            <w:r>
              <w:rPr>
                <w:rFonts w:hint="default" w:ascii="Times New Roman" w:hAnsi="Times New Roman" w:cs="Times New Roman"/>
                <w:szCs w:val="21"/>
                <w:lang w:eastAsia="zh-CN"/>
              </w:rPr>
              <w:t>″，</w:t>
            </w:r>
            <w:r>
              <w:rPr>
                <w:rFonts w:hint="eastAsia" w:ascii="Times New Roman" w:hAnsi="Times New Roman" w:cs="Times New Roman"/>
                <w:szCs w:val="21"/>
                <w:lang w:eastAsia="zh-CN"/>
              </w:rPr>
              <w:t>纬度：</w:t>
            </w:r>
            <w:r>
              <w:rPr>
                <w:rFonts w:hint="default" w:ascii="Times New Roman" w:hAnsi="Times New Roman" w:cs="Times New Roman"/>
                <w:szCs w:val="21"/>
                <w:lang w:eastAsia="zh-CN"/>
              </w:rPr>
              <w:t>44°04′</w:t>
            </w:r>
            <w:r>
              <w:rPr>
                <w:rFonts w:hint="default" w:ascii="Times New Roman" w:hAnsi="Times New Roman" w:cs="Times New Roman"/>
                <w:szCs w:val="21"/>
                <w:lang w:val="en-US" w:eastAsia="zh-CN"/>
              </w:rPr>
              <w:t>53.995</w:t>
            </w:r>
            <w:r>
              <w:rPr>
                <w:rFonts w:hint="default" w:ascii="Times New Roman" w:hAnsi="Times New Roman" w:cs="Times New Roman"/>
                <w:szCs w:val="21"/>
                <w:lang w:eastAsia="zh-CN"/>
              </w:rPr>
              <w:t>″，</w:t>
            </w:r>
            <w:r>
              <w:rPr>
                <w:rFonts w:hint="eastAsia" w:ascii="Times New Roman" w:hAnsi="Times New Roman" w:cs="Times New Roman"/>
                <w:szCs w:val="21"/>
                <w:lang w:eastAsia="zh-CN"/>
              </w:rPr>
              <w:t>位于本项目东侧</w:t>
            </w:r>
            <w:r>
              <w:rPr>
                <w:rFonts w:hint="eastAsia" w:ascii="Times New Roman" w:hAnsi="Times New Roman" w:cs="Times New Roman"/>
                <w:szCs w:val="21"/>
                <w:lang w:val="en-US" w:eastAsia="zh-CN"/>
              </w:rPr>
              <w:t>1km处</w:t>
            </w:r>
            <w:r>
              <w:rPr>
                <w:rFonts w:hint="eastAsia"/>
              </w:rPr>
              <w:t>。</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b/>
                <w:bCs/>
                <w:color w:val="auto"/>
                <w:sz w:val="21"/>
                <w:szCs w:val="21"/>
              </w:rPr>
              <w:t>表</w:t>
            </w:r>
            <w:r>
              <w:rPr>
                <w:rFonts w:hint="eastAsia" w:cs="Times New Roman"/>
                <w:b/>
                <w:bCs/>
                <w:color w:val="auto"/>
                <w:sz w:val="21"/>
                <w:szCs w:val="21"/>
                <w:lang w:val="en-US" w:eastAsia="zh-CN"/>
              </w:rPr>
              <w:t>10</w:t>
            </w:r>
            <w:r>
              <w:rPr>
                <w:rFonts w:hint="default" w:ascii="Times New Roman" w:hAnsi="Times New Roman" w:cs="Times New Roman"/>
                <w:b/>
                <w:bCs/>
                <w:color w:val="auto"/>
                <w:sz w:val="21"/>
                <w:szCs w:val="21"/>
              </w:rPr>
              <w:t xml:space="preserve">  </w:t>
            </w:r>
            <w:r>
              <w:rPr>
                <w:rFonts w:hint="eastAsia" w:cs="Times New Roman"/>
                <w:b/>
                <w:bCs/>
                <w:color w:val="auto"/>
                <w:sz w:val="21"/>
                <w:szCs w:val="21"/>
                <w:lang w:eastAsia="zh-CN"/>
              </w:rPr>
              <w:t>区域空气质量现状评价表</w:t>
            </w:r>
            <w:r>
              <w:rPr>
                <w:rFonts w:hint="eastAsia" w:cs="Times New Roman"/>
                <w:b/>
                <w:bCs/>
                <w:color w:val="auto"/>
                <w:sz w:val="21"/>
                <w:szCs w:val="21"/>
                <w:lang w:val="en-US" w:eastAsia="zh-CN"/>
              </w:rPr>
              <w:t xml:space="preserve">     单位：</w:t>
            </w:r>
            <w:r>
              <w:rPr>
                <w:b/>
                <w:bCs/>
                <w:sz w:val="21"/>
                <w:szCs w:val="21"/>
              </w:rPr>
              <w:t>μg/m</w:t>
            </w:r>
            <w:r>
              <w:rPr>
                <w:b/>
                <w:bCs/>
                <w:sz w:val="21"/>
                <w:szCs w:val="21"/>
                <w:vertAlign w:val="superscript"/>
              </w:rPr>
              <w:t>3</w:t>
            </w:r>
          </w:p>
          <w:tbl>
            <w:tblPr>
              <w:tblStyle w:val="18"/>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495"/>
              <w:gridCol w:w="1185"/>
              <w:gridCol w:w="1155"/>
              <w:gridCol w:w="1155"/>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rPr>
                    <w:t>污染物</w:t>
                  </w:r>
                </w:p>
              </w:tc>
              <w:tc>
                <w:tcPr>
                  <w:tcW w:w="24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年评价指标</w:t>
                  </w:r>
                </w:p>
              </w:tc>
              <w:tc>
                <w:tcPr>
                  <w:tcW w:w="118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现状浓度</w:t>
                  </w: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rPr>
                    <w:t>评价</w:t>
                  </w:r>
                  <w:r>
                    <w:rPr>
                      <w:rFonts w:hint="default" w:ascii="Times New Roman" w:hAnsi="Times New Roman" w:eastAsia="宋体" w:cs="Times New Roman"/>
                      <w:color w:val="auto"/>
                      <w:sz w:val="21"/>
                      <w:szCs w:val="21"/>
                    </w:rPr>
                    <w:t>标准</w:t>
                  </w: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占标率</w:t>
                  </w:r>
                </w:p>
              </w:tc>
              <w:tc>
                <w:tcPr>
                  <w:tcW w:w="108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24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年平均质量浓度</w:t>
                  </w:r>
                </w:p>
              </w:tc>
              <w:tc>
                <w:tcPr>
                  <w:tcW w:w="118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sz w:val="21"/>
                      <w:szCs w:val="21"/>
                      <w:lang w:val="en-US"/>
                    </w:rPr>
                  </w:pPr>
                  <w:r>
                    <w:rPr>
                      <w:rFonts w:hint="eastAsia"/>
                      <w:sz w:val="21"/>
                    </w:rPr>
                    <w:t>10</w:t>
                  </w:r>
                </w:p>
              </w:tc>
              <w:tc>
                <w:tcPr>
                  <w:tcW w:w="115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sz w:val="21"/>
                      <w:szCs w:val="21"/>
                    </w:rPr>
                  </w:pPr>
                  <w:r>
                    <w:rPr>
                      <w:sz w:val="21"/>
                    </w:rPr>
                    <w:t>60</w:t>
                  </w:r>
                </w:p>
              </w:tc>
              <w:tc>
                <w:tcPr>
                  <w:tcW w:w="1155" w:type="dxa"/>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sz w:val="21"/>
                    </w:rPr>
                    <w:t>16.67</w:t>
                  </w:r>
                </w:p>
              </w:tc>
              <w:tc>
                <w:tcPr>
                  <w:tcW w:w="1083"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sz w:val="21"/>
                      <w:szCs w:val="21"/>
                    </w:rPr>
                  </w:pPr>
                  <w:r>
                    <w:rPr>
                      <w:sz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2</w:t>
                  </w:r>
                </w:p>
              </w:tc>
              <w:tc>
                <w:tcPr>
                  <w:tcW w:w="24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年平均质量浓度</w:t>
                  </w:r>
                </w:p>
              </w:tc>
              <w:tc>
                <w:tcPr>
                  <w:tcW w:w="118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sz w:val="21"/>
                      <w:szCs w:val="21"/>
                      <w:lang w:val="en-US"/>
                    </w:rPr>
                  </w:pPr>
                  <w:r>
                    <w:rPr>
                      <w:rFonts w:hint="eastAsia"/>
                      <w:sz w:val="21"/>
                    </w:rPr>
                    <w:t>34</w:t>
                  </w:r>
                </w:p>
              </w:tc>
              <w:tc>
                <w:tcPr>
                  <w:tcW w:w="115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sz w:val="21"/>
                      <w:szCs w:val="21"/>
                    </w:rPr>
                  </w:pPr>
                  <w:r>
                    <w:rPr>
                      <w:sz w:val="21"/>
                    </w:rPr>
                    <w:t>40</w:t>
                  </w:r>
                </w:p>
              </w:tc>
              <w:tc>
                <w:tcPr>
                  <w:tcW w:w="1155" w:type="dxa"/>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sz w:val="21"/>
                    </w:rPr>
                    <w:t>85.00</w:t>
                  </w:r>
                </w:p>
              </w:tc>
              <w:tc>
                <w:tcPr>
                  <w:tcW w:w="1083"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sz w:val="21"/>
                      <w:szCs w:val="21"/>
                    </w:rPr>
                  </w:pPr>
                  <w:r>
                    <w:rPr>
                      <w:sz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10</w:t>
                  </w:r>
                </w:p>
              </w:tc>
              <w:tc>
                <w:tcPr>
                  <w:tcW w:w="24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年平均质量浓度</w:t>
                  </w:r>
                </w:p>
              </w:tc>
              <w:tc>
                <w:tcPr>
                  <w:tcW w:w="1185" w:type="dxa"/>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sz w:val="21"/>
                    </w:rPr>
                    <w:t>84</w:t>
                  </w:r>
                </w:p>
              </w:tc>
              <w:tc>
                <w:tcPr>
                  <w:tcW w:w="115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sz w:val="21"/>
                      <w:szCs w:val="21"/>
                    </w:rPr>
                  </w:pPr>
                  <w:r>
                    <w:rPr>
                      <w:sz w:val="21"/>
                    </w:rPr>
                    <w:t>70</w:t>
                  </w:r>
                </w:p>
              </w:tc>
              <w:tc>
                <w:tcPr>
                  <w:tcW w:w="1155" w:type="dxa"/>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sz w:val="21"/>
                    </w:rPr>
                    <w:t>120.00</w:t>
                  </w:r>
                </w:p>
              </w:tc>
              <w:tc>
                <w:tcPr>
                  <w:tcW w:w="1083"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sz w:val="21"/>
                      <w:szCs w:val="21"/>
                    </w:rPr>
                  </w:pPr>
                  <w:r>
                    <w:rPr>
                      <w:rFonts w:hint="eastAsia"/>
                      <w:sz w:val="21"/>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2.5</w:t>
                  </w:r>
                </w:p>
              </w:tc>
              <w:tc>
                <w:tcPr>
                  <w:tcW w:w="24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年平均质量浓度</w:t>
                  </w:r>
                </w:p>
              </w:tc>
              <w:tc>
                <w:tcPr>
                  <w:tcW w:w="118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sz w:val="21"/>
                      <w:szCs w:val="21"/>
                      <w:lang w:val="en-US"/>
                    </w:rPr>
                  </w:pPr>
                  <w:r>
                    <w:rPr>
                      <w:rFonts w:hint="eastAsia"/>
                      <w:sz w:val="21"/>
                    </w:rPr>
                    <w:t>49</w:t>
                  </w:r>
                </w:p>
              </w:tc>
              <w:tc>
                <w:tcPr>
                  <w:tcW w:w="115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sz w:val="21"/>
                      <w:szCs w:val="21"/>
                    </w:rPr>
                  </w:pPr>
                  <w:r>
                    <w:rPr>
                      <w:sz w:val="21"/>
                    </w:rPr>
                    <w:t>35</w:t>
                  </w:r>
                </w:p>
              </w:tc>
              <w:tc>
                <w:tcPr>
                  <w:tcW w:w="1155" w:type="dxa"/>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sz w:val="21"/>
                    </w:rPr>
                    <w:t>140.00</w:t>
                  </w:r>
                </w:p>
              </w:tc>
              <w:tc>
                <w:tcPr>
                  <w:tcW w:w="1083"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sz w:val="21"/>
                      <w:szCs w:val="21"/>
                    </w:rPr>
                  </w:pPr>
                  <w:r>
                    <w:rPr>
                      <w:rFonts w:hint="eastAsia"/>
                      <w:sz w:val="21"/>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w:t>
                  </w:r>
                </w:p>
              </w:tc>
              <w:tc>
                <w:tcPr>
                  <w:tcW w:w="24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日平均第</w:t>
                  </w:r>
                  <w:r>
                    <w:rPr>
                      <w:rFonts w:hint="default" w:ascii="Times New Roman" w:hAnsi="Times New Roman" w:eastAsia="宋体" w:cs="Times New Roman"/>
                      <w:color w:val="auto"/>
                      <w:sz w:val="21"/>
                      <w:szCs w:val="21"/>
                      <w:lang w:val="en-US"/>
                    </w:rPr>
                    <w:t>95百分位数</w:t>
                  </w:r>
                </w:p>
              </w:tc>
              <w:tc>
                <w:tcPr>
                  <w:tcW w:w="118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sz w:val="21"/>
                      <w:szCs w:val="21"/>
                      <w:lang w:val="en-US"/>
                    </w:rPr>
                  </w:pPr>
                  <w:r>
                    <w:rPr>
                      <w:rFonts w:hint="eastAsia"/>
                      <w:sz w:val="21"/>
                    </w:rPr>
                    <w:t>2.8</w:t>
                  </w:r>
                  <w:r>
                    <w:rPr>
                      <w:sz w:val="21"/>
                    </w:rPr>
                    <w:t>mg/m</w:t>
                  </w:r>
                  <w:r>
                    <w:rPr>
                      <w:sz w:val="21"/>
                      <w:vertAlign w:val="superscript"/>
                    </w:rPr>
                    <w:t>3</w:t>
                  </w:r>
                </w:p>
              </w:tc>
              <w:tc>
                <w:tcPr>
                  <w:tcW w:w="115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sz w:val="21"/>
                      <w:szCs w:val="21"/>
                    </w:rPr>
                  </w:pPr>
                  <w:r>
                    <w:rPr>
                      <w:sz w:val="21"/>
                    </w:rPr>
                    <w:t>4mg/m</w:t>
                  </w:r>
                  <w:r>
                    <w:rPr>
                      <w:sz w:val="21"/>
                      <w:vertAlign w:val="superscript"/>
                    </w:rPr>
                    <w:t>3</w:t>
                  </w:r>
                </w:p>
              </w:tc>
              <w:tc>
                <w:tcPr>
                  <w:tcW w:w="1155" w:type="dxa"/>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sz w:val="21"/>
                    </w:rPr>
                    <w:t>70.00</w:t>
                  </w:r>
                </w:p>
              </w:tc>
              <w:tc>
                <w:tcPr>
                  <w:tcW w:w="1083"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sz w:val="21"/>
                      <w:szCs w:val="21"/>
                    </w:rPr>
                  </w:pPr>
                  <w:r>
                    <w:rPr>
                      <w:sz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O</w:t>
                  </w:r>
                  <w:r>
                    <w:rPr>
                      <w:rFonts w:hint="default" w:ascii="Times New Roman" w:hAnsi="Times New Roman" w:eastAsia="宋体" w:cs="Times New Roman"/>
                      <w:color w:val="auto"/>
                      <w:sz w:val="21"/>
                      <w:szCs w:val="21"/>
                      <w:vertAlign w:val="subscript"/>
                    </w:rPr>
                    <w:t>3</w:t>
                  </w:r>
                </w:p>
              </w:tc>
              <w:tc>
                <w:tcPr>
                  <w:tcW w:w="24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rPr>
                    <w:t>8h最大平均</w:t>
                  </w:r>
                  <w:r>
                    <w:rPr>
                      <w:rFonts w:hint="default" w:ascii="Times New Roman" w:hAnsi="Times New Roman" w:eastAsia="宋体" w:cs="Times New Roman"/>
                      <w:color w:val="auto"/>
                      <w:sz w:val="21"/>
                      <w:szCs w:val="21"/>
                    </w:rPr>
                    <w:t>第</w:t>
                  </w:r>
                  <w:r>
                    <w:rPr>
                      <w:rFonts w:hint="default" w:ascii="Times New Roman" w:hAnsi="Times New Roman" w:eastAsia="宋体" w:cs="Times New Roman"/>
                      <w:color w:val="auto"/>
                      <w:sz w:val="21"/>
                      <w:szCs w:val="21"/>
                      <w:lang w:val="en-US"/>
                    </w:rPr>
                    <w:t>90百分位</w:t>
                  </w:r>
                </w:p>
              </w:tc>
              <w:tc>
                <w:tcPr>
                  <w:tcW w:w="118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sz w:val="21"/>
                      <w:szCs w:val="21"/>
                      <w:lang w:val="en-US"/>
                    </w:rPr>
                  </w:pPr>
                  <w:r>
                    <w:rPr>
                      <w:rFonts w:hint="eastAsia"/>
                      <w:sz w:val="21"/>
                    </w:rPr>
                    <w:t>138</w:t>
                  </w:r>
                </w:p>
              </w:tc>
              <w:tc>
                <w:tcPr>
                  <w:tcW w:w="115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sz w:val="21"/>
                      <w:szCs w:val="21"/>
                    </w:rPr>
                  </w:pPr>
                  <w:r>
                    <w:rPr>
                      <w:sz w:val="21"/>
                    </w:rPr>
                    <w:t>160</w:t>
                  </w:r>
                </w:p>
              </w:tc>
              <w:tc>
                <w:tcPr>
                  <w:tcW w:w="1155" w:type="dxa"/>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sz w:val="21"/>
                    </w:rPr>
                    <w:t>86.25</w:t>
                  </w:r>
                </w:p>
              </w:tc>
              <w:tc>
                <w:tcPr>
                  <w:tcW w:w="1083"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sz w:val="21"/>
                      <w:szCs w:val="21"/>
                    </w:rPr>
                  </w:pPr>
                  <w:r>
                    <w:rPr>
                      <w:sz w:val="21"/>
                    </w:rPr>
                    <w:t>达标</w:t>
                  </w:r>
                </w:p>
              </w:tc>
            </w:tr>
          </w:tbl>
          <w:p>
            <w:pPr>
              <w:keepNext w:val="0"/>
              <w:keepLines w:val="0"/>
              <w:pageBreakBefore w:val="0"/>
              <w:widowControl w:val="0"/>
              <w:kinsoku/>
              <w:wordWrap/>
              <w:overflowPunct/>
              <w:topLinePunct w:val="0"/>
              <w:autoSpaceDE/>
              <w:autoSpaceDN/>
              <w:bidi w:val="0"/>
              <w:adjustRightInd/>
              <w:snapToGrid/>
              <w:spacing w:before="157" w:beforeLines="50"/>
              <w:ind w:firstLine="480"/>
              <w:jc w:val="left"/>
              <w:textAlignment w:val="auto"/>
              <w:rPr>
                <w:color w:val="auto"/>
              </w:rPr>
            </w:pPr>
            <w:r>
              <w:rPr>
                <w:rFonts w:hint="default"/>
                <w:color w:val="auto"/>
                <w:sz w:val="24"/>
                <w:szCs w:val="32"/>
                <w:lang w:val="en-US" w:eastAsia="zh-CN"/>
              </w:rPr>
              <w:t>根据统计数据分析，</w:t>
            </w:r>
            <w:r>
              <w:rPr>
                <w:rFonts w:hint="eastAsia"/>
                <w:color w:val="auto"/>
              </w:rPr>
              <w:t>本项目所在区域SO</w:t>
            </w:r>
            <w:r>
              <w:rPr>
                <w:rFonts w:hint="eastAsia"/>
                <w:color w:val="auto"/>
                <w:vertAlign w:val="subscript"/>
              </w:rPr>
              <w:t>2</w:t>
            </w:r>
            <w:r>
              <w:rPr>
                <w:rFonts w:hint="eastAsia"/>
                <w:color w:val="auto"/>
              </w:rPr>
              <w:t>、NO</w:t>
            </w:r>
            <w:r>
              <w:rPr>
                <w:rFonts w:hint="eastAsia"/>
                <w:color w:val="auto"/>
                <w:vertAlign w:val="subscript"/>
              </w:rPr>
              <w:t>2</w:t>
            </w:r>
            <w:r>
              <w:rPr>
                <w:rFonts w:hint="eastAsia"/>
                <w:color w:val="auto"/>
              </w:rPr>
              <w:t>、CO、O</w:t>
            </w:r>
            <w:r>
              <w:rPr>
                <w:rFonts w:hint="eastAsia"/>
                <w:color w:val="auto"/>
                <w:vertAlign w:val="subscript"/>
              </w:rPr>
              <w:t>3</w:t>
            </w:r>
            <w:r>
              <w:rPr>
                <w:rFonts w:hint="eastAsia"/>
                <w:color w:val="auto"/>
              </w:rPr>
              <w:t>的浓度均可满足《环境空气质量标准》（GB3095-2012）二级浓度限值，PM</w:t>
            </w:r>
            <w:r>
              <w:rPr>
                <w:rFonts w:hint="eastAsia"/>
                <w:color w:val="auto"/>
                <w:vertAlign w:val="subscript"/>
              </w:rPr>
              <w:t>10</w:t>
            </w:r>
            <w:r>
              <w:rPr>
                <w:rFonts w:hint="eastAsia"/>
                <w:color w:val="auto"/>
              </w:rPr>
              <w:t>、PM</w:t>
            </w:r>
            <w:r>
              <w:rPr>
                <w:rFonts w:hint="eastAsia"/>
                <w:color w:val="auto"/>
                <w:vertAlign w:val="subscript"/>
              </w:rPr>
              <w:t>2.5</w:t>
            </w:r>
            <w:r>
              <w:rPr>
                <w:rFonts w:hint="eastAsia"/>
                <w:color w:val="auto"/>
              </w:rPr>
              <w:t>浓度超过《环境空气质量标准》（GB3095-2012）二级浓度限值，因此项目所在区域为环境空气质量不达标区。</w:t>
            </w:r>
          </w:p>
          <w:p>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textAlignment w:val="auto"/>
              <w:rPr>
                <w:sz w:val="21"/>
                <w:szCs w:val="21"/>
              </w:rPr>
            </w:pPr>
            <w:r>
              <w:rPr>
                <w:rFonts w:hint="eastAsia"/>
                <w:sz w:val="21"/>
                <w:szCs w:val="21"/>
              </w:rPr>
              <w:t>表</w:t>
            </w:r>
            <w:r>
              <w:rPr>
                <w:rFonts w:hint="eastAsia"/>
                <w:sz w:val="21"/>
                <w:szCs w:val="21"/>
                <w:lang w:val="en-US" w:eastAsia="zh-CN"/>
              </w:rPr>
              <w:t>11</w:t>
            </w:r>
            <w:r>
              <w:rPr>
                <w:rFonts w:hint="eastAsia"/>
                <w:sz w:val="21"/>
                <w:szCs w:val="21"/>
              </w:rPr>
              <w:t xml:space="preserve">  </w:t>
            </w:r>
            <w:r>
              <w:rPr>
                <w:rFonts w:hint="eastAsia"/>
                <w:sz w:val="21"/>
                <w:szCs w:val="21"/>
                <w:lang w:eastAsia="zh-CN"/>
              </w:rPr>
              <w:t>其他污染物环境质量现状（</w:t>
            </w:r>
            <w:r>
              <w:rPr>
                <w:rFonts w:hint="eastAsia"/>
                <w:sz w:val="21"/>
                <w:szCs w:val="21"/>
              </w:rPr>
              <w:t>监测结果</w:t>
            </w:r>
            <w:r>
              <w:rPr>
                <w:rFonts w:hint="eastAsia"/>
                <w:sz w:val="21"/>
                <w:szCs w:val="21"/>
                <w:lang w:eastAsia="zh-CN"/>
              </w:rPr>
              <w:t>）</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2101"/>
              <w:gridCol w:w="632"/>
              <w:gridCol w:w="699"/>
              <w:gridCol w:w="753"/>
              <w:gridCol w:w="981"/>
              <w:gridCol w:w="901"/>
              <w:gridCol w:w="483"/>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1"/>
                      <w:szCs w:val="21"/>
                      <w:lang w:eastAsia="zh-CN"/>
                    </w:rPr>
                  </w:pPr>
                  <w:r>
                    <w:rPr>
                      <w:rFonts w:hint="eastAsia"/>
                      <w:sz w:val="21"/>
                      <w:szCs w:val="21"/>
                      <w:lang w:eastAsia="zh-CN"/>
                    </w:rPr>
                    <w:t>监测</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1"/>
                      <w:szCs w:val="21"/>
                    </w:rPr>
                  </w:pPr>
                  <w:r>
                    <w:rPr>
                      <w:sz w:val="21"/>
                      <w:szCs w:val="21"/>
                    </w:rPr>
                    <w:t>点位</w:t>
                  </w:r>
                </w:p>
              </w:tc>
              <w:tc>
                <w:tcPr>
                  <w:tcW w:w="131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sz w:val="21"/>
                      <w:szCs w:val="21"/>
                      <w:lang w:eastAsia="zh-CN"/>
                    </w:rPr>
                  </w:pPr>
                  <w:r>
                    <w:rPr>
                      <w:rFonts w:hint="eastAsia"/>
                      <w:sz w:val="21"/>
                      <w:szCs w:val="21"/>
                      <w:lang w:eastAsia="zh-CN"/>
                    </w:rPr>
                    <w:t>监测点坐标</w:t>
                  </w:r>
                </w:p>
              </w:tc>
              <w:tc>
                <w:tcPr>
                  <w:tcW w:w="39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sz w:val="21"/>
                      <w:szCs w:val="21"/>
                      <w:lang w:eastAsia="zh-CN"/>
                    </w:rPr>
                  </w:pPr>
                  <w:r>
                    <w:rPr>
                      <w:rFonts w:hint="eastAsia"/>
                      <w:sz w:val="21"/>
                      <w:szCs w:val="21"/>
                      <w:lang w:eastAsia="zh-CN"/>
                    </w:rPr>
                    <w:t>污染物</w:t>
                  </w:r>
                </w:p>
              </w:tc>
              <w:tc>
                <w:tcPr>
                  <w:tcW w:w="43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sz w:val="21"/>
                      <w:szCs w:val="21"/>
                      <w:lang w:eastAsia="zh-CN"/>
                    </w:rPr>
                  </w:pPr>
                  <w:r>
                    <w:rPr>
                      <w:rFonts w:hint="eastAsia"/>
                      <w:sz w:val="21"/>
                      <w:szCs w:val="21"/>
                      <w:lang w:eastAsia="zh-CN"/>
                    </w:rPr>
                    <w:t>平均时间</w:t>
                  </w:r>
                </w:p>
              </w:tc>
              <w:tc>
                <w:tcPr>
                  <w:tcW w:w="47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1"/>
                      <w:szCs w:val="21"/>
                      <w:lang w:eastAsia="zh-CN"/>
                    </w:rPr>
                  </w:pPr>
                  <w:r>
                    <w:rPr>
                      <w:rFonts w:hint="eastAsia"/>
                      <w:sz w:val="21"/>
                      <w:szCs w:val="21"/>
                      <w:lang w:eastAsia="zh-CN"/>
                    </w:rPr>
                    <w:t>评价标准</w:t>
                  </w:r>
                </w:p>
              </w:tc>
              <w:tc>
                <w:tcPr>
                  <w:tcW w:w="6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1"/>
                      <w:szCs w:val="21"/>
                      <w:lang w:eastAsia="zh-CN"/>
                    </w:rPr>
                  </w:pPr>
                  <w:r>
                    <w:rPr>
                      <w:rFonts w:hint="eastAsia"/>
                      <w:sz w:val="21"/>
                      <w:szCs w:val="21"/>
                      <w:lang w:eastAsia="zh-CN"/>
                    </w:rPr>
                    <w:t>监测浓度范围</w:t>
                  </w:r>
                </w:p>
              </w:tc>
              <w:tc>
                <w:tcPr>
                  <w:tcW w:w="56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sz w:val="21"/>
                      <w:szCs w:val="21"/>
                      <w:lang w:eastAsia="zh-CN"/>
                    </w:rPr>
                  </w:pPr>
                  <w:r>
                    <w:rPr>
                      <w:rFonts w:hint="eastAsia"/>
                      <w:sz w:val="21"/>
                      <w:szCs w:val="21"/>
                      <w:lang w:eastAsia="zh-CN"/>
                    </w:rPr>
                    <w:t>最大浓度占标率</w:t>
                  </w:r>
                </w:p>
              </w:tc>
              <w:tc>
                <w:tcPr>
                  <w:tcW w:w="30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sz w:val="21"/>
                      <w:szCs w:val="21"/>
                      <w:lang w:eastAsia="zh-CN"/>
                    </w:rPr>
                  </w:pPr>
                  <w:r>
                    <w:rPr>
                      <w:rFonts w:hint="eastAsia"/>
                      <w:sz w:val="21"/>
                      <w:szCs w:val="21"/>
                      <w:lang w:eastAsia="zh-CN"/>
                    </w:rPr>
                    <w:t>超标率</w:t>
                  </w:r>
                </w:p>
              </w:tc>
              <w:tc>
                <w:tcPr>
                  <w:tcW w:w="46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1"/>
                      <w:szCs w:val="21"/>
                      <w:lang w:eastAsia="zh-CN"/>
                    </w:rPr>
                  </w:pPr>
                  <w:r>
                    <w:rPr>
                      <w:rFonts w:hint="eastAsia"/>
                      <w:sz w:val="21"/>
                      <w:szCs w:val="21"/>
                      <w:lang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42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sz w:val="21"/>
                      <w:szCs w:val="21"/>
                      <w:lang w:eastAsia="zh-CN"/>
                    </w:rPr>
                  </w:pPr>
                  <w:r>
                    <w:rPr>
                      <w:rFonts w:hint="eastAsia"/>
                      <w:sz w:val="21"/>
                      <w:szCs w:val="21"/>
                      <w:lang w:eastAsia="zh-CN"/>
                    </w:rPr>
                    <w:t>高新区建材园</w:t>
                  </w:r>
                </w:p>
              </w:tc>
              <w:tc>
                <w:tcPr>
                  <w:tcW w:w="131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经度：87°08′</w:t>
                  </w:r>
                  <w:r>
                    <w:rPr>
                      <w:rFonts w:hint="default" w:ascii="Times New Roman" w:hAnsi="Times New Roman" w:cs="Times New Roman"/>
                      <w:sz w:val="21"/>
                      <w:szCs w:val="21"/>
                      <w:lang w:val="en-US" w:eastAsia="zh-CN"/>
                    </w:rPr>
                    <w:t>38.863</w:t>
                  </w:r>
                  <w:r>
                    <w:rPr>
                      <w:rFonts w:hint="default" w:ascii="Times New Roman" w:hAnsi="Times New Roman" w:cs="Times New Roman"/>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1"/>
                      <w:szCs w:val="21"/>
                    </w:rPr>
                  </w:pPr>
                  <w:r>
                    <w:rPr>
                      <w:rFonts w:hint="eastAsia" w:ascii="Times New Roman" w:hAnsi="Times New Roman" w:cs="Times New Roman"/>
                      <w:sz w:val="21"/>
                      <w:szCs w:val="21"/>
                      <w:lang w:eastAsia="zh-CN"/>
                    </w:rPr>
                    <w:t>纬度：</w:t>
                  </w:r>
                  <w:r>
                    <w:rPr>
                      <w:rFonts w:hint="default" w:ascii="Times New Roman" w:hAnsi="Times New Roman" w:cs="Times New Roman"/>
                      <w:sz w:val="21"/>
                      <w:szCs w:val="21"/>
                      <w:lang w:eastAsia="zh-CN"/>
                    </w:rPr>
                    <w:t>44°04′</w:t>
                  </w:r>
                  <w:r>
                    <w:rPr>
                      <w:rFonts w:hint="default" w:ascii="Times New Roman" w:hAnsi="Times New Roman" w:cs="Times New Roman"/>
                      <w:sz w:val="21"/>
                      <w:szCs w:val="21"/>
                      <w:lang w:val="en-US" w:eastAsia="zh-CN"/>
                    </w:rPr>
                    <w:t>53.995</w:t>
                  </w:r>
                  <w:r>
                    <w:rPr>
                      <w:rFonts w:hint="default" w:ascii="Times New Roman" w:hAnsi="Times New Roman" w:cs="Times New Roman"/>
                      <w:sz w:val="21"/>
                      <w:szCs w:val="21"/>
                      <w:lang w:eastAsia="zh-CN"/>
                    </w:rPr>
                    <w:t>″</w:t>
                  </w:r>
                </w:p>
              </w:tc>
              <w:tc>
                <w:tcPr>
                  <w:tcW w:w="39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1"/>
                      <w:szCs w:val="21"/>
                    </w:rPr>
                  </w:pPr>
                  <w:r>
                    <w:rPr>
                      <w:rFonts w:hint="eastAsia"/>
                      <w:sz w:val="21"/>
                      <w:szCs w:val="21"/>
                    </w:rPr>
                    <w:t>TSP</w:t>
                  </w:r>
                </w:p>
              </w:tc>
              <w:tc>
                <w:tcPr>
                  <w:tcW w:w="43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sz w:val="21"/>
                      <w:szCs w:val="21"/>
                      <w:lang w:eastAsia="zh-CN"/>
                    </w:rPr>
                  </w:pPr>
                  <w:r>
                    <w:rPr>
                      <w:rFonts w:hint="eastAsia"/>
                      <w:sz w:val="21"/>
                      <w:szCs w:val="21"/>
                      <w:lang w:eastAsia="zh-CN"/>
                    </w:rPr>
                    <w:t>日均值</w:t>
                  </w:r>
                </w:p>
              </w:tc>
              <w:tc>
                <w:tcPr>
                  <w:tcW w:w="47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1"/>
                      <w:szCs w:val="21"/>
                      <w:lang w:val="en-US" w:eastAsia="zh-CN"/>
                    </w:rPr>
                  </w:pPr>
                  <w:r>
                    <w:rPr>
                      <w:rFonts w:hint="eastAsia"/>
                      <w:sz w:val="21"/>
                      <w:szCs w:val="21"/>
                      <w:lang w:val="en-US" w:eastAsia="zh-CN"/>
                    </w:rPr>
                    <w:t>300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sz w:val="21"/>
                      <w:szCs w:val="21"/>
                      <w:lang w:val="en-US" w:eastAsia="zh-CN"/>
                    </w:rPr>
                  </w:pPr>
                  <w:r>
                    <w:rPr>
                      <w:sz w:val="21"/>
                      <w:szCs w:val="21"/>
                    </w:rPr>
                    <w:t>μg/m</w:t>
                  </w:r>
                  <w:r>
                    <w:rPr>
                      <w:sz w:val="21"/>
                      <w:szCs w:val="21"/>
                      <w:vertAlign w:val="superscript"/>
                    </w:rPr>
                    <w:t>3</w:t>
                  </w:r>
                </w:p>
              </w:tc>
              <w:tc>
                <w:tcPr>
                  <w:tcW w:w="6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sz w:val="21"/>
                      <w:szCs w:val="21"/>
                      <w:lang w:val="en-US" w:eastAsia="zh-CN"/>
                    </w:rPr>
                  </w:pPr>
                  <w:r>
                    <w:rPr>
                      <w:rFonts w:hint="eastAsia"/>
                      <w:sz w:val="21"/>
                      <w:szCs w:val="21"/>
                      <w:lang w:val="en-US" w:eastAsia="zh-CN"/>
                    </w:rPr>
                    <w:t>200~250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sz w:val="21"/>
                      <w:szCs w:val="21"/>
                      <w:lang w:val="en-US" w:eastAsia="zh-CN"/>
                    </w:rPr>
                  </w:pPr>
                  <w:r>
                    <w:rPr>
                      <w:sz w:val="21"/>
                      <w:szCs w:val="21"/>
                    </w:rPr>
                    <w:t>μg/m</w:t>
                  </w:r>
                  <w:r>
                    <w:rPr>
                      <w:sz w:val="21"/>
                      <w:szCs w:val="21"/>
                      <w:vertAlign w:val="superscript"/>
                    </w:rPr>
                    <w:t>3</w:t>
                  </w:r>
                </w:p>
              </w:tc>
              <w:tc>
                <w:tcPr>
                  <w:tcW w:w="56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sz w:val="21"/>
                      <w:szCs w:val="21"/>
                      <w:lang w:val="en-US" w:eastAsia="zh-CN"/>
                    </w:rPr>
                  </w:pPr>
                  <w:r>
                    <w:rPr>
                      <w:rFonts w:hint="eastAsia"/>
                      <w:sz w:val="21"/>
                      <w:szCs w:val="21"/>
                      <w:lang w:val="en-US" w:eastAsia="zh-CN"/>
                    </w:rPr>
                    <w:t>83.3%</w:t>
                  </w:r>
                </w:p>
              </w:tc>
              <w:tc>
                <w:tcPr>
                  <w:tcW w:w="30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sz w:val="21"/>
                      <w:szCs w:val="21"/>
                      <w:lang w:val="en-US" w:eastAsia="zh-CN"/>
                    </w:rPr>
                  </w:pPr>
                  <w:r>
                    <w:rPr>
                      <w:rFonts w:hint="eastAsia"/>
                      <w:sz w:val="21"/>
                      <w:szCs w:val="21"/>
                      <w:lang w:val="en-US" w:eastAsia="zh-CN"/>
                    </w:rPr>
                    <w:t>0</w:t>
                  </w:r>
                </w:p>
              </w:tc>
              <w:tc>
                <w:tcPr>
                  <w:tcW w:w="46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sz w:val="21"/>
                      <w:szCs w:val="21"/>
                      <w:lang w:eastAsia="zh-CN"/>
                    </w:rPr>
                  </w:pPr>
                  <w:r>
                    <w:rPr>
                      <w:rFonts w:hint="eastAsia"/>
                      <w:sz w:val="21"/>
                      <w:szCs w:val="21"/>
                      <w:lang w:eastAsia="zh-CN"/>
                    </w:rPr>
                    <w:t>达标</w:t>
                  </w:r>
                </w:p>
              </w:tc>
            </w:tr>
          </w:tbl>
          <w:p>
            <w:pPr>
              <w:keepNext w:val="0"/>
              <w:keepLines w:val="0"/>
              <w:pageBreakBefore w:val="0"/>
              <w:widowControl w:val="0"/>
              <w:kinsoku/>
              <w:wordWrap/>
              <w:overflowPunct/>
              <w:topLinePunct w:val="0"/>
              <w:autoSpaceDE/>
              <w:autoSpaceDN/>
              <w:bidi w:val="0"/>
              <w:adjustRightInd/>
              <w:snapToGrid/>
              <w:spacing w:before="164" w:beforeLines="50"/>
              <w:ind w:firstLine="480"/>
              <w:jc w:val="left"/>
              <w:textAlignment w:val="auto"/>
              <w:rPr>
                <w:rFonts w:hint="eastAsia"/>
              </w:rPr>
            </w:pPr>
            <w:r>
              <w:rPr>
                <w:rFonts w:hint="eastAsia"/>
              </w:rPr>
              <w:t>根据TSP监测及评价结果，项目区域TSP在监测时段内浓度值满足《环境空气质量标准》（GB3095-2012）中表2环境空气污染物其他项目浓度限值二级浓度限值。</w:t>
            </w:r>
          </w:p>
          <w:p>
            <w:pPr>
              <w:pStyle w:val="3"/>
              <w:pageBreakBefore w:val="0"/>
              <w:widowControl w:val="0"/>
              <w:kinsoku/>
              <w:wordWrap/>
              <w:topLinePunct w:val="0"/>
              <w:autoSpaceDE/>
              <w:autoSpaceDN/>
              <w:bidi w:val="0"/>
              <w:adjustRightInd/>
              <w:snapToGrid w:val="0"/>
              <w:spacing w:before="0" w:after="0"/>
              <w:textAlignment w:val="auto"/>
              <w:rPr>
                <w:color w:val="auto"/>
              </w:rPr>
            </w:pPr>
            <w:r>
              <w:rPr>
                <w:rFonts w:hint="eastAsia"/>
                <w:color w:val="auto"/>
              </w:rPr>
              <w:t>3.2水环境质量现状</w:t>
            </w:r>
          </w:p>
          <w:p>
            <w:pPr>
              <w:pStyle w:val="4"/>
              <w:pageBreakBefore w:val="0"/>
              <w:widowControl w:val="0"/>
              <w:kinsoku/>
              <w:wordWrap/>
              <w:topLinePunct w:val="0"/>
              <w:autoSpaceDE/>
              <w:autoSpaceDN/>
              <w:bidi w:val="0"/>
              <w:adjustRightInd/>
              <w:snapToGrid w:val="0"/>
              <w:spacing w:before="0" w:after="0"/>
              <w:textAlignment w:val="auto"/>
            </w:pPr>
            <w:r>
              <w:rPr>
                <w:rFonts w:hint="eastAsia"/>
              </w:rPr>
              <w:t>3.2.1地表水环境质量现状</w:t>
            </w:r>
          </w:p>
          <w:p>
            <w:pPr>
              <w:ind w:firstLine="480"/>
              <w:jc w:val="left"/>
            </w:pPr>
            <w:r>
              <w:rPr>
                <w:rFonts w:hint="eastAsia"/>
              </w:rPr>
              <w:t>根据《建设项目环境影响报告表编制技术指南（污染影响类）》(试行)的要求，“地表水环境质量现状引用与建设项目距离近的有效数据，包括近3年的规划环境影响评价的监测数据，所在流域控制单元内国家、地方控制断面监测数据，生态环境主管部门发布的水环境质量数据或地表水达标情况的结论”。</w:t>
            </w:r>
          </w:p>
          <w:p>
            <w:pPr>
              <w:ind w:firstLine="480"/>
              <w:jc w:val="left"/>
            </w:pPr>
            <w:r>
              <w:rPr>
                <w:rFonts w:hint="eastAsia"/>
              </w:rPr>
              <w:t>本次地表水现状评价引用昌吉回族自治州人民政府官网（</w:t>
            </w:r>
            <w:r>
              <w:t>http://www.cj.gov.cn/gk/rdjy/904225.htm</w:t>
            </w:r>
            <w:r>
              <w:rPr>
                <w:rFonts w:hint="eastAsia"/>
              </w:rPr>
              <w:t>）发布的《昌吉回族自治州2020年环境质量状况公报》中的水环境质量结论：“（1）主要河流水质状况。全州监测的8条主要河流水质总体属于优级，监测的15个断面水质：水质达标率100%；Ⅰ类水质占11.8%、Ⅱ类占88.2%。与2019年相比，昌吉市三屯河首断面水质有所上升，昌吉市电线厂断面和木垒县县城西断面水质有所下降，其余断面水质状况无明显变化。昌吉市电线厂断面和木垒县县城西断面水质状况的改变是由于水体中总磷或氨氮浓度变化造成的。（2）工业园区水源地状况。全州3个工业园区（昌吉高新技术产业开发区、阜康市自治区工业园区、玛纳斯县塔西河工业园）3个监测点水质符合Ⅲ类。与2019年相比，</w:t>
            </w:r>
            <w:r>
              <w:rPr>
                <w:rFonts w:hint="eastAsia"/>
                <w:lang w:eastAsia="zh-CN"/>
              </w:rPr>
              <w:t>昌吉</w:t>
            </w:r>
            <w:r>
              <w:rPr>
                <w:rFonts w:hint="eastAsia"/>
              </w:rPr>
              <w:t>市自治区工业园区水源地水质由Ⅱ类变为Ⅲ类。”</w:t>
            </w:r>
          </w:p>
          <w:p>
            <w:pPr>
              <w:ind w:firstLine="480"/>
              <w:jc w:val="left"/>
              <w:rPr>
                <w:rFonts w:hint="eastAsia" w:eastAsia="宋体"/>
                <w:lang w:eastAsia="zh-CN"/>
              </w:rPr>
            </w:pPr>
            <w:r>
              <w:rPr>
                <w:rFonts w:hint="eastAsia"/>
              </w:rPr>
              <w:t>本项目</w:t>
            </w:r>
            <w:r>
              <w:rPr>
                <w:rFonts w:hint="eastAsia"/>
                <w:lang w:eastAsia="zh-CN"/>
              </w:rPr>
              <w:t>生活及生产废水不排入周边水体，故本项目可不进行地表水环境质量现状调查，不开展地表水环境影响评价工作。</w:t>
            </w:r>
          </w:p>
          <w:p>
            <w:pPr>
              <w:pStyle w:val="4"/>
              <w:pageBreakBefore w:val="0"/>
              <w:widowControl w:val="0"/>
              <w:kinsoku/>
              <w:wordWrap/>
              <w:topLinePunct w:val="0"/>
              <w:autoSpaceDE/>
              <w:autoSpaceDN/>
              <w:bidi w:val="0"/>
              <w:adjustRightInd/>
              <w:snapToGrid w:val="0"/>
              <w:spacing w:before="0" w:after="0"/>
              <w:textAlignment w:val="auto"/>
            </w:pPr>
            <w:r>
              <w:rPr>
                <w:rFonts w:hint="eastAsia"/>
              </w:rPr>
              <w:t>3.2.2地下水环境质量现状</w:t>
            </w:r>
          </w:p>
          <w:p>
            <w:pPr>
              <w:pageBreakBefore w:val="0"/>
              <w:widowControl w:val="0"/>
              <w:kinsoku/>
              <w:wordWrap/>
              <w:topLinePunct w:val="0"/>
              <w:autoSpaceDE/>
              <w:autoSpaceDN/>
              <w:bidi w:val="0"/>
              <w:adjustRightInd/>
              <w:snapToGrid w:val="0"/>
              <w:ind w:firstLine="480"/>
              <w:jc w:val="left"/>
              <w:textAlignment w:val="auto"/>
            </w:pPr>
            <w:r>
              <w:rPr>
                <w:rFonts w:hint="eastAsia"/>
              </w:rPr>
              <w:t>根据《建设项目环境影响报告表编制技术指南（污染影响类）》(试行)的要求，“地下水、土壤环境。原则上不开展环境质量现状调查。建设项目存在土壤、地下水环境污染途径的，应结合污染源、保护目标分布情况开展现状调查以留作背景值”。本项目不存在地下水环境污染途径，故本项目可不进行地下水环境现状调查。</w:t>
            </w:r>
          </w:p>
          <w:p>
            <w:pPr>
              <w:pStyle w:val="3"/>
              <w:pageBreakBefore w:val="0"/>
              <w:widowControl w:val="0"/>
              <w:kinsoku/>
              <w:wordWrap/>
              <w:topLinePunct w:val="0"/>
              <w:autoSpaceDE/>
              <w:autoSpaceDN/>
              <w:bidi w:val="0"/>
              <w:adjustRightInd/>
              <w:snapToGrid w:val="0"/>
              <w:spacing w:before="0" w:after="0"/>
              <w:jc w:val="left"/>
              <w:textAlignment w:val="auto"/>
              <w:rPr>
                <w:rFonts w:hint="eastAsia"/>
                <w:highlight w:val="none"/>
                <w:lang w:eastAsia="zh-CN"/>
              </w:rPr>
            </w:pPr>
            <w:r>
              <w:rPr>
                <w:rFonts w:hint="eastAsia"/>
                <w:color w:val="auto"/>
                <w:highlight w:val="none"/>
              </w:rPr>
              <w:t>3.3声环境质量现状</w:t>
            </w:r>
          </w:p>
          <w:p>
            <w:pPr>
              <w:keepLines w:val="0"/>
              <w:pageBreakBefore w:val="0"/>
              <w:widowControl w:val="0"/>
              <w:kinsoku/>
              <w:wordWrap/>
              <w:topLinePunct w:val="0"/>
              <w:autoSpaceDE/>
              <w:autoSpaceDN/>
              <w:bidi w:val="0"/>
              <w:adjustRightInd/>
              <w:snapToGrid w:val="0"/>
              <w:ind w:firstLine="480"/>
              <w:jc w:val="left"/>
              <w:textAlignment w:val="auto"/>
              <w:rPr>
                <w:rFonts w:hint="default"/>
                <w:highlight w:val="none"/>
                <w:lang w:val="en-US" w:eastAsia="zh-CN"/>
              </w:rPr>
            </w:pPr>
            <w:r>
              <w:rPr>
                <w:rFonts w:hint="default" w:ascii="Times New Roman" w:hAnsi="Times New Roman" w:eastAsia="宋体" w:cs="Times New Roman"/>
                <w:b w:val="0"/>
                <w:bCs w:val="0"/>
                <w:color w:val="auto"/>
                <w:sz w:val="24"/>
                <w:szCs w:val="24"/>
              </w:rPr>
              <w:t>根据《建设项目环境影响报告表编制技术指南（污染影响类）》</w:t>
            </w:r>
            <w:r>
              <w:rPr>
                <w:rFonts w:hint="eastAsia" w:ascii="Times New Roman" w:hAnsi="Times New Roman"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试行</w:t>
            </w:r>
            <w:r>
              <w:rPr>
                <w:rFonts w:hint="eastAsia" w:ascii="Times New Roman" w:hAnsi="Times New Roman"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的要求，</w:t>
            </w:r>
            <w:r>
              <w:rPr>
                <w:rFonts w:hint="default" w:ascii="Times New Roman" w:hAnsi="Times New Roman" w:cs="Times New Roman"/>
                <w:b w:val="0"/>
                <w:bCs w:val="0"/>
                <w:color w:val="auto"/>
                <w:sz w:val="24"/>
                <w:szCs w:val="24"/>
                <w:lang w:eastAsia="zh-CN"/>
              </w:rPr>
              <w:t>厂界外周边</w:t>
            </w:r>
            <w:r>
              <w:rPr>
                <w:rFonts w:hint="default" w:ascii="Times New Roman" w:hAnsi="Times New Roman" w:cs="Times New Roman"/>
                <w:b w:val="0"/>
                <w:bCs w:val="0"/>
                <w:color w:val="auto"/>
                <w:sz w:val="24"/>
                <w:szCs w:val="24"/>
                <w:lang w:val="en-US" w:eastAsia="zh-CN"/>
              </w:rPr>
              <w:t>50m范围内存在声环境保护目标的建设项目应监测保护目标声环境质量现状，本项目</w:t>
            </w:r>
            <w:r>
              <w:rPr>
                <w:rFonts w:hint="eastAsia" w:cs="Times New Roman"/>
                <w:b w:val="0"/>
                <w:bCs w:val="0"/>
                <w:color w:val="auto"/>
                <w:sz w:val="24"/>
                <w:szCs w:val="24"/>
                <w:lang w:val="en-US" w:eastAsia="zh-CN"/>
              </w:rPr>
              <w:t>位于工业园区，</w:t>
            </w:r>
            <w:r>
              <w:rPr>
                <w:rFonts w:hint="default" w:ascii="Times New Roman" w:hAnsi="Times New Roman" w:cs="Times New Roman"/>
                <w:b w:val="0"/>
                <w:bCs w:val="0"/>
                <w:color w:val="auto"/>
                <w:sz w:val="24"/>
                <w:szCs w:val="24"/>
                <w:lang w:val="en-US" w:eastAsia="zh-CN"/>
              </w:rPr>
              <w:t>四周均为企业，无声环境保护目标，故本项目可不进行声环境质量监测。</w:t>
            </w:r>
          </w:p>
          <w:p>
            <w:pPr>
              <w:pStyle w:val="3"/>
              <w:keepLines w:val="0"/>
              <w:pageBreakBefore w:val="0"/>
              <w:widowControl w:val="0"/>
              <w:kinsoku/>
              <w:wordWrap/>
              <w:topLinePunct w:val="0"/>
              <w:autoSpaceDE/>
              <w:autoSpaceDN/>
              <w:bidi w:val="0"/>
              <w:adjustRightInd/>
              <w:snapToGrid w:val="0"/>
              <w:spacing w:before="0" w:after="0"/>
              <w:jc w:val="left"/>
              <w:textAlignment w:val="auto"/>
              <w:rPr>
                <w:color w:val="auto"/>
              </w:rPr>
            </w:pPr>
            <w:r>
              <w:rPr>
                <w:rFonts w:hint="eastAsia"/>
                <w:color w:val="auto"/>
              </w:rPr>
              <w:t>3.4土壤环境质量现状</w:t>
            </w:r>
          </w:p>
          <w:p>
            <w:pPr>
              <w:keepLines w:val="0"/>
              <w:pageBreakBefore w:val="0"/>
              <w:widowControl w:val="0"/>
              <w:kinsoku/>
              <w:wordWrap/>
              <w:topLinePunct w:val="0"/>
              <w:autoSpaceDE/>
              <w:autoSpaceDN/>
              <w:bidi w:val="0"/>
              <w:adjustRightInd/>
              <w:snapToGrid w:val="0"/>
              <w:ind w:firstLine="480"/>
              <w:jc w:val="left"/>
              <w:textAlignment w:val="auto"/>
            </w:pPr>
            <w:r>
              <w:rPr>
                <w:rFonts w:hint="eastAsia"/>
              </w:rPr>
              <w:t>根据《环境影响评价技术导则 土壤环境（试行）》（HJ964-2018）附录A，本项目属于“其他行业”，因此，土壤环境环境影响评价项目类别为Ⅳ类。根据《环境影响评价技术导则 土壤环境（试行）》（HJ964-2018）污染影响型评价工作等级划分表，本项目可不开展土壤环境影响评价工作。</w:t>
            </w:r>
          </w:p>
          <w:p>
            <w:pPr>
              <w:pStyle w:val="3"/>
              <w:keepLines w:val="0"/>
              <w:pageBreakBefore w:val="0"/>
              <w:widowControl w:val="0"/>
              <w:kinsoku/>
              <w:wordWrap/>
              <w:topLinePunct w:val="0"/>
              <w:autoSpaceDE/>
              <w:autoSpaceDN/>
              <w:bidi w:val="0"/>
              <w:adjustRightInd/>
              <w:snapToGrid w:val="0"/>
              <w:spacing w:before="0" w:after="0"/>
              <w:jc w:val="left"/>
              <w:textAlignment w:val="auto"/>
              <w:rPr>
                <w:color w:val="auto"/>
              </w:rPr>
            </w:pPr>
            <w:r>
              <w:rPr>
                <w:rFonts w:hint="eastAsia"/>
                <w:color w:val="auto"/>
              </w:rPr>
              <w:t>3.5</w:t>
            </w:r>
            <w:r>
              <w:rPr>
                <w:rFonts w:hint="eastAsia"/>
                <w:color w:val="auto"/>
                <w:highlight w:val="none"/>
              </w:rPr>
              <w:t>生态环境</w:t>
            </w:r>
          </w:p>
          <w:p>
            <w:pPr>
              <w:keepLines w:val="0"/>
              <w:pageBreakBefore w:val="0"/>
              <w:widowControl w:val="0"/>
              <w:kinsoku/>
              <w:wordWrap/>
              <w:topLinePunct w:val="0"/>
              <w:autoSpaceDE/>
              <w:autoSpaceDN/>
              <w:bidi w:val="0"/>
              <w:adjustRightInd/>
              <w:snapToGrid w:val="0"/>
              <w:ind w:firstLine="480"/>
              <w:jc w:val="left"/>
              <w:textAlignment w:val="auto"/>
              <w:rPr>
                <w:rFonts w:hint="eastAsia" w:eastAsia="宋体"/>
                <w:lang w:eastAsia="zh-CN"/>
              </w:rPr>
            </w:pPr>
            <w:r>
              <w:rPr>
                <w:rFonts w:hint="eastAsia"/>
                <w:color w:val="auto"/>
                <w:sz w:val="24"/>
                <w:szCs w:val="24"/>
              </w:rPr>
              <w:t>根据《建设项目环境影响报告表编制技术指南（污染影响类）》（试行）中规定，产业园区外建设项目新增用地范围内含有生态环境保护目标时，应进行生态现状调查，本项目位于</w:t>
            </w:r>
            <w:r>
              <w:rPr>
                <w:rFonts w:hint="eastAsia"/>
              </w:rPr>
              <w:t>昌吉高新技术产业开发区</w:t>
            </w:r>
            <w:r>
              <w:rPr>
                <w:rFonts w:hint="eastAsia"/>
                <w:lang w:eastAsia="zh-CN"/>
              </w:rPr>
              <w:t>内</w:t>
            </w:r>
            <w:r>
              <w:rPr>
                <w:rFonts w:hint="eastAsia"/>
                <w:color w:val="auto"/>
                <w:sz w:val="24"/>
                <w:szCs w:val="24"/>
              </w:rPr>
              <w:t>，可不进行生态现状调查</w:t>
            </w:r>
            <w:r>
              <w:rPr>
                <w:rFonts w:hint="eastAsia"/>
                <w:color w:val="auto"/>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43" w:type="pct"/>
            <w:vAlign w:val="center"/>
          </w:tcPr>
          <w:p>
            <w:pPr>
              <w:adjustRightInd w:val="0"/>
              <w:snapToGrid w:val="0"/>
              <w:ind w:firstLine="0" w:firstLineChars="0"/>
              <w:jc w:val="center"/>
              <w:rPr>
                <w:rFonts w:cs="宋体"/>
                <w:kern w:val="0"/>
                <w:szCs w:val="21"/>
              </w:rPr>
            </w:pPr>
            <w:r>
              <w:rPr>
                <w:rFonts w:hint="eastAsia" w:cs="宋体"/>
                <w:kern w:val="0"/>
                <w:szCs w:val="21"/>
              </w:rPr>
              <w:t>环境</w:t>
            </w:r>
          </w:p>
          <w:p>
            <w:pPr>
              <w:adjustRightInd w:val="0"/>
              <w:snapToGrid w:val="0"/>
              <w:ind w:firstLine="0" w:firstLineChars="0"/>
              <w:jc w:val="center"/>
              <w:rPr>
                <w:rFonts w:cs="宋体"/>
                <w:kern w:val="0"/>
                <w:szCs w:val="21"/>
              </w:rPr>
            </w:pPr>
            <w:r>
              <w:rPr>
                <w:rFonts w:hint="eastAsia" w:cs="宋体"/>
                <w:kern w:val="0"/>
                <w:szCs w:val="21"/>
              </w:rPr>
              <w:t>保护</w:t>
            </w:r>
          </w:p>
          <w:p>
            <w:pPr>
              <w:adjustRightInd w:val="0"/>
              <w:snapToGrid w:val="0"/>
              <w:ind w:firstLine="0" w:firstLineChars="0"/>
              <w:jc w:val="center"/>
              <w:rPr>
                <w:rFonts w:cs="宋体"/>
                <w:kern w:val="0"/>
                <w:szCs w:val="21"/>
              </w:rPr>
            </w:pPr>
            <w:r>
              <w:rPr>
                <w:rFonts w:hint="eastAsia" w:cs="宋体"/>
                <w:kern w:val="0"/>
                <w:szCs w:val="21"/>
              </w:rPr>
              <w:t>目标</w:t>
            </w:r>
          </w:p>
        </w:tc>
        <w:tc>
          <w:tcPr>
            <w:tcW w:w="4556" w:type="pct"/>
            <w:vAlign w:val="center"/>
          </w:tcPr>
          <w:p>
            <w:pPr>
              <w:pStyle w:val="3"/>
              <w:pageBreakBefore w:val="0"/>
              <w:widowControl w:val="0"/>
              <w:kinsoku/>
              <w:wordWrap/>
              <w:topLinePunct w:val="0"/>
              <w:autoSpaceDE/>
              <w:autoSpaceDN/>
              <w:bidi w:val="0"/>
              <w:snapToGrid w:val="0"/>
              <w:spacing w:before="0" w:after="0"/>
              <w:jc w:val="left"/>
              <w:textAlignment w:val="auto"/>
            </w:pPr>
            <w:r>
              <w:rPr>
                <w:rFonts w:hint="eastAsia"/>
              </w:rPr>
              <w:t>3.6环境保护目标</w:t>
            </w:r>
          </w:p>
          <w:p>
            <w:pPr>
              <w:pStyle w:val="4"/>
              <w:pageBreakBefore w:val="0"/>
              <w:widowControl w:val="0"/>
              <w:kinsoku/>
              <w:wordWrap/>
              <w:topLinePunct w:val="0"/>
              <w:autoSpaceDE/>
              <w:autoSpaceDN/>
              <w:bidi w:val="0"/>
              <w:snapToGrid w:val="0"/>
              <w:spacing w:before="0" w:after="0"/>
              <w:jc w:val="left"/>
              <w:textAlignment w:val="auto"/>
            </w:pPr>
            <w:r>
              <w:rPr>
                <w:rFonts w:hint="eastAsia"/>
              </w:rPr>
              <w:t>3.6.1大气环境</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pPr>
            <w:r>
              <w:rPr>
                <w:rFonts w:hint="eastAsia"/>
              </w:rPr>
              <w:t>明确厂界外500</w:t>
            </w:r>
            <w:r>
              <w:rPr>
                <w:rFonts w:hint="eastAsia"/>
                <w:lang w:val="en-US" w:eastAsia="zh-CN"/>
              </w:rPr>
              <w:t>m</w:t>
            </w:r>
            <w:r>
              <w:rPr>
                <w:rFonts w:hint="eastAsia"/>
              </w:rPr>
              <w:t>范围内的自然保护区、风景名胜区、居住区、文化区和农村地区中人群较集中的区域等保护目标的名称及与建设项目厂界位置关系。</w:t>
            </w:r>
          </w:p>
          <w:p>
            <w:pPr>
              <w:pageBreakBefore w:val="0"/>
              <w:widowControl w:val="0"/>
              <w:kinsoku/>
              <w:wordWrap/>
              <w:topLinePunct w:val="0"/>
              <w:autoSpaceDE/>
              <w:autoSpaceDN/>
              <w:bidi w:val="0"/>
              <w:adjustRightInd w:val="0"/>
              <w:snapToGrid w:val="0"/>
              <w:ind w:firstLine="480"/>
              <w:jc w:val="left"/>
              <w:textAlignment w:val="auto"/>
            </w:pPr>
            <w:r>
              <w:rPr>
                <w:rFonts w:hint="eastAsia"/>
              </w:rPr>
              <w:t>本项目厂界外500</w:t>
            </w:r>
            <w:r>
              <w:rPr>
                <w:rFonts w:hint="eastAsia"/>
                <w:lang w:val="en-US" w:eastAsia="zh-CN"/>
              </w:rPr>
              <w:t>m</w:t>
            </w:r>
            <w:r>
              <w:rPr>
                <w:rFonts w:hint="eastAsia"/>
              </w:rPr>
              <w:t>范围内无自然保护区、风景名胜区、居住区、文化区和农村地区中人群较集中的区域。</w:t>
            </w:r>
          </w:p>
          <w:p>
            <w:pPr>
              <w:pStyle w:val="4"/>
              <w:pageBreakBefore w:val="0"/>
              <w:widowControl w:val="0"/>
              <w:kinsoku/>
              <w:wordWrap/>
              <w:topLinePunct w:val="0"/>
              <w:autoSpaceDE/>
              <w:autoSpaceDN/>
              <w:bidi w:val="0"/>
              <w:snapToGrid w:val="0"/>
              <w:spacing w:before="0" w:after="0"/>
              <w:jc w:val="left"/>
              <w:textAlignment w:val="auto"/>
            </w:pPr>
            <w:r>
              <w:rPr>
                <w:rFonts w:hint="eastAsia"/>
              </w:rPr>
              <w:t>3.6.2声环境</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pPr>
            <w:r>
              <w:rPr>
                <w:rFonts w:hint="eastAsia"/>
              </w:rPr>
              <w:t>明确厂界外50</w:t>
            </w:r>
            <w:r>
              <w:rPr>
                <w:rFonts w:hint="eastAsia"/>
                <w:lang w:val="en-US" w:eastAsia="zh-CN"/>
              </w:rPr>
              <w:t>m</w:t>
            </w:r>
            <w:r>
              <w:rPr>
                <w:rFonts w:hint="eastAsia"/>
              </w:rPr>
              <w:t>范围内声环境保护目标。</w:t>
            </w:r>
          </w:p>
          <w:p>
            <w:pPr>
              <w:pageBreakBefore w:val="0"/>
              <w:widowControl w:val="0"/>
              <w:kinsoku/>
              <w:wordWrap/>
              <w:topLinePunct w:val="0"/>
              <w:autoSpaceDE/>
              <w:autoSpaceDN/>
              <w:bidi w:val="0"/>
              <w:adjustRightInd w:val="0"/>
              <w:snapToGrid w:val="0"/>
              <w:ind w:firstLine="480"/>
              <w:jc w:val="left"/>
              <w:textAlignment w:val="auto"/>
              <w:rPr>
                <w:rFonts w:hint="eastAsia"/>
                <w:lang w:val="en-US" w:eastAsia="zh-CN"/>
              </w:rPr>
            </w:pPr>
            <w:r>
              <w:rPr>
                <w:rFonts w:hint="eastAsia"/>
              </w:rPr>
              <w:t>本项目厂界外50</w:t>
            </w:r>
            <w:r>
              <w:rPr>
                <w:rFonts w:hint="eastAsia"/>
                <w:lang w:val="en-US" w:eastAsia="zh-CN"/>
              </w:rPr>
              <w:t>m</w:t>
            </w:r>
            <w:r>
              <w:rPr>
                <w:rFonts w:hint="eastAsia"/>
              </w:rPr>
              <w:t>范围内无声环境保护目标。</w:t>
            </w:r>
          </w:p>
          <w:p>
            <w:pPr>
              <w:pStyle w:val="4"/>
              <w:pageBreakBefore w:val="0"/>
              <w:widowControl w:val="0"/>
              <w:kinsoku/>
              <w:wordWrap/>
              <w:topLinePunct w:val="0"/>
              <w:autoSpaceDE/>
              <w:autoSpaceDN/>
              <w:bidi w:val="0"/>
              <w:snapToGrid w:val="0"/>
              <w:spacing w:before="0" w:after="0"/>
              <w:jc w:val="left"/>
              <w:textAlignment w:val="auto"/>
            </w:pPr>
            <w:r>
              <w:rPr>
                <w:rFonts w:hint="eastAsia"/>
              </w:rPr>
              <w:t>3.6.3地下水环境</w:t>
            </w:r>
          </w:p>
          <w:p>
            <w:pPr>
              <w:pageBreakBefore w:val="0"/>
              <w:widowControl w:val="0"/>
              <w:kinsoku/>
              <w:wordWrap/>
              <w:topLinePunct w:val="0"/>
              <w:autoSpaceDE/>
              <w:autoSpaceDN/>
              <w:bidi w:val="0"/>
              <w:adjustRightInd w:val="0"/>
              <w:snapToGrid w:val="0"/>
              <w:ind w:firstLine="480"/>
              <w:jc w:val="left"/>
              <w:textAlignment w:val="auto"/>
            </w:pPr>
            <w:r>
              <w:rPr>
                <w:rFonts w:hint="eastAsia"/>
                <w:lang w:eastAsia="zh-CN"/>
              </w:rPr>
              <w:t>经调查，</w:t>
            </w:r>
            <w:r>
              <w:rPr>
                <w:rFonts w:hint="eastAsia"/>
              </w:rPr>
              <w:t>本项目厂界外500</w:t>
            </w:r>
            <w:r>
              <w:rPr>
                <w:rFonts w:hint="eastAsia"/>
                <w:lang w:val="en-US" w:eastAsia="zh-CN"/>
              </w:rPr>
              <w:t>m</w:t>
            </w:r>
            <w:r>
              <w:rPr>
                <w:rFonts w:hint="eastAsia"/>
              </w:rPr>
              <w:t>范围内无地下水集中式饮用水水源和热水、矿泉水、温泉等特殊地下水资源</w:t>
            </w:r>
            <w:r>
              <w:rPr>
                <w:rFonts w:hint="eastAsia"/>
                <w:lang w:eastAsia="zh-CN"/>
              </w:rPr>
              <w:t>分布</w:t>
            </w:r>
            <w:r>
              <w:rPr>
                <w:rFonts w:hint="eastAsia"/>
              </w:rPr>
              <w:t>。</w:t>
            </w:r>
          </w:p>
          <w:p>
            <w:pPr>
              <w:pStyle w:val="4"/>
              <w:pageBreakBefore w:val="0"/>
              <w:widowControl w:val="0"/>
              <w:kinsoku/>
              <w:wordWrap/>
              <w:topLinePunct w:val="0"/>
              <w:autoSpaceDE/>
              <w:autoSpaceDN/>
              <w:bidi w:val="0"/>
              <w:snapToGrid w:val="0"/>
              <w:spacing w:before="0" w:after="0"/>
              <w:jc w:val="left"/>
              <w:textAlignment w:val="auto"/>
            </w:pPr>
            <w:r>
              <w:rPr>
                <w:rFonts w:hint="eastAsia"/>
              </w:rPr>
              <w:t>3.6.4生态环境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rPr>
            </w:pPr>
            <w:r>
              <w:rPr>
                <w:rFonts w:hint="default"/>
              </w:rPr>
              <w:t>产业园区外建设项目新增用地的，应明确新增用地范围内生态环境保护目标。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hint="default"/>
              </w:rPr>
            </w:pPr>
            <w:r>
              <w:rPr>
                <w:rFonts w:hint="default"/>
              </w:rPr>
              <w:t>本项目位于昌吉高新技术产业开发区内，</w:t>
            </w:r>
            <w:r>
              <w:rPr>
                <w:rFonts w:hint="default"/>
                <w:lang w:eastAsia="zh-CN"/>
              </w:rPr>
              <w:t>无新增占地，</w:t>
            </w:r>
            <w:r>
              <w:rPr>
                <w:rFonts w:hint="default"/>
              </w:rPr>
              <w:t>无生态环境保护目标。</w:t>
            </w:r>
          </w:p>
          <w:p>
            <w:pPr>
              <w:pStyle w:val="2"/>
              <w:keepNext w:val="0"/>
              <w:keepLines w:val="0"/>
              <w:pageBreakBefore w:val="0"/>
              <w:widowControl w:val="0"/>
              <w:kinsoku/>
              <w:wordWrap/>
              <w:overflowPunct/>
              <w:topLinePunct w:val="0"/>
              <w:autoSpaceDE/>
              <w:autoSpaceDN/>
              <w:bidi w:val="0"/>
              <w:spacing w:line="360" w:lineRule="auto"/>
              <w:jc w:val="left"/>
              <w:textAlignment w:val="auto"/>
              <w:rPr>
                <w:rFonts w:hint="default"/>
                <w:highlight w:val="none"/>
                <w:lang w:val="en-US" w:eastAsia="zh-CN"/>
              </w:rPr>
            </w:pPr>
            <w:r>
              <w:rPr>
                <w:rFonts w:hint="default"/>
                <w:highlight w:val="none"/>
                <w:lang w:eastAsia="zh-CN"/>
              </w:rPr>
              <w:t>本项目主要环境保护目标见表</w:t>
            </w:r>
            <w:r>
              <w:rPr>
                <w:rFonts w:hint="eastAsia"/>
                <w:highlight w:val="none"/>
                <w:lang w:val="en-US" w:eastAsia="zh-CN"/>
              </w:rPr>
              <w:t>12</w:t>
            </w:r>
            <w:r>
              <w:rPr>
                <w:rFonts w:hint="default"/>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lang w:val="en-US" w:eastAsia="zh-CN"/>
              </w:rPr>
            </w:pPr>
            <w:r>
              <w:rPr>
                <w:rFonts w:hint="default"/>
                <w:b/>
                <w:bCs/>
                <w:sz w:val="21"/>
                <w:szCs w:val="21"/>
                <w:lang w:val="en-US" w:eastAsia="zh-CN"/>
              </w:rPr>
              <w:t>表</w:t>
            </w:r>
            <w:r>
              <w:rPr>
                <w:rFonts w:hint="eastAsia"/>
                <w:b/>
                <w:bCs/>
                <w:sz w:val="21"/>
                <w:szCs w:val="21"/>
                <w:lang w:val="en-US" w:eastAsia="zh-CN"/>
              </w:rPr>
              <w:t>12</w:t>
            </w:r>
            <w:r>
              <w:rPr>
                <w:rFonts w:hint="default"/>
                <w:b/>
                <w:bCs/>
                <w:sz w:val="21"/>
                <w:szCs w:val="21"/>
                <w:lang w:val="en-US" w:eastAsia="zh-CN"/>
              </w:rPr>
              <w:t xml:space="preserve">   环境保护目标</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755"/>
              <w:gridCol w:w="5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环境要素</w:t>
                  </w:r>
                </w:p>
              </w:tc>
              <w:tc>
                <w:tcPr>
                  <w:tcW w:w="1755"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方位</w:t>
                  </w:r>
                </w:p>
              </w:tc>
              <w:tc>
                <w:tcPr>
                  <w:tcW w:w="5004"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化解功能及保护目标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color w:val="auto"/>
                      <w:sz w:val="21"/>
                      <w:szCs w:val="21"/>
                    </w:rPr>
                    <w:t>大气</w:t>
                  </w:r>
                </w:p>
              </w:tc>
              <w:tc>
                <w:tcPr>
                  <w:tcW w:w="17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color w:val="auto"/>
                      <w:sz w:val="21"/>
                      <w:szCs w:val="21"/>
                    </w:rPr>
                    <w:t>项目区域</w:t>
                  </w:r>
                </w:p>
              </w:tc>
              <w:tc>
                <w:tcPr>
                  <w:tcW w:w="500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color w:val="auto"/>
                      <w:sz w:val="21"/>
                      <w:szCs w:val="21"/>
                    </w:rPr>
                    <w:t>《环境空气质量标准》（GB3095-2012）中二级标准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color w:val="auto"/>
                      <w:sz w:val="21"/>
                      <w:szCs w:val="21"/>
                      <w:lang w:eastAsia="zh-CN"/>
                    </w:rPr>
                    <w:t>地下水</w:t>
                  </w:r>
                </w:p>
              </w:tc>
              <w:tc>
                <w:tcPr>
                  <w:tcW w:w="17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color w:val="auto"/>
                      <w:sz w:val="21"/>
                      <w:szCs w:val="21"/>
                    </w:rPr>
                    <w:t>项目区域</w:t>
                  </w:r>
                </w:p>
              </w:tc>
              <w:tc>
                <w:tcPr>
                  <w:tcW w:w="500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aps w:val="0"/>
                      <w:color w:val="auto"/>
                      <w:spacing w:val="0"/>
                      <w:sz w:val="21"/>
                      <w:szCs w:val="21"/>
                      <w:shd w:val="clear" w:color="auto" w:fill="FFFFFF"/>
                    </w:rPr>
                    <w:t>《地下水质量标准》（GB/T14848-93）中</w:t>
                  </w: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 3 \* ROMAN \* MERGEFORMAT </w:instrText>
                  </w:r>
                  <w:r>
                    <w:rPr>
                      <w:rFonts w:hint="default" w:ascii="Times New Roman" w:hAnsi="Times New Roman" w:eastAsia="宋体" w:cs="Times New Roman"/>
                      <w:color w:val="auto"/>
                      <w:sz w:val="21"/>
                      <w:szCs w:val="21"/>
                    </w:rPr>
                    <w:fldChar w:fldCharType="separate"/>
                  </w:r>
                  <w:r>
                    <w:rPr>
                      <w:rFonts w:hint="default" w:ascii="Times New Roman" w:hAnsi="Times New Roman" w:eastAsia="宋体" w:cs="Times New Roman"/>
                      <w:color w:val="auto"/>
                      <w:sz w:val="21"/>
                      <w:szCs w:val="21"/>
                    </w:rPr>
                    <w:t>III</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i w:val="0"/>
                      <w:caps w:val="0"/>
                      <w:color w:val="auto"/>
                      <w:spacing w:val="0"/>
                      <w:sz w:val="21"/>
                      <w:szCs w:val="21"/>
                      <w:shd w:val="clear" w:color="auto" w:fill="FFFFFF"/>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color w:val="auto"/>
                      <w:sz w:val="21"/>
                      <w:szCs w:val="21"/>
                    </w:rPr>
                    <w:t>声环境</w:t>
                  </w:r>
                </w:p>
              </w:tc>
              <w:tc>
                <w:tcPr>
                  <w:tcW w:w="17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color w:val="auto"/>
                      <w:sz w:val="21"/>
                      <w:szCs w:val="21"/>
                    </w:rPr>
                    <w:t>厂界四周</w:t>
                  </w:r>
                </w:p>
              </w:tc>
              <w:tc>
                <w:tcPr>
                  <w:tcW w:w="500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napToGrid w:val="0"/>
                      <w:color w:val="auto"/>
                      <w:sz w:val="21"/>
                      <w:szCs w:val="21"/>
                    </w:rPr>
                    <w:t>《声环</w:t>
                  </w:r>
                  <w:r>
                    <w:rPr>
                      <w:rFonts w:hint="default" w:ascii="Times New Roman" w:hAnsi="Times New Roman" w:eastAsia="宋体" w:cs="Times New Roman"/>
                      <w:color w:val="auto"/>
                      <w:kern w:val="10"/>
                      <w:sz w:val="21"/>
                      <w:szCs w:val="21"/>
                    </w:rPr>
                    <w:t>境质量标准》（GB3096-2008）中</w:t>
                  </w:r>
                  <w:r>
                    <w:rPr>
                      <w:rFonts w:hint="default" w:ascii="Times New Roman" w:hAnsi="Times New Roman" w:eastAsia="宋体" w:cs="Times New Roman"/>
                      <w:color w:val="auto"/>
                      <w:sz w:val="21"/>
                      <w:szCs w:val="21"/>
                    </w:rPr>
                    <w:t>3</w:t>
                  </w:r>
                  <w:r>
                    <w:rPr>
                      <w:rFonts w:hint="default" w:ascii="Times New Roman" w:hAnsi="Times New Roman" w:eastAsia="宋体" w:cs="Times New Roman"/>
                      <w:color w:val="auto"/>
                      <w:kern w:val="10"/>
                      <w:sz w:val="21"/>
                      <w:szCs w:val="21"/>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color w:val="auto"/>
                      <w:sz w:val="21"/>
                      <w:szCs w:val="21"/>
                    </w:rPr>
                    <w:t>生态环境</w:t>
                  </w:r>
                </w:p>
              </w:tc>
              <w:tc>
                <w:tcPr>
                  <w:tcW w:w="17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color w:val="auto"/>
                      <w:sz w:val="21"/>
                      <w:szCs w:val="21"/>
                    </w:rPr>
                    <w:t>项目区地表植被</w:t>
                  </w:r>
                </w:p>
              </w:tc>
              <w:tc>
                <w:tcPr>
                  <w:tcW w:w="500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color w:val="auto"/>
                      <w:sz w:val="21"/>
                      <w:szCs w:val="21"/>
                    </w:rPr>
                    <w:t>保护项目不扰动地表和周边植被。</w:t>
                  </w:r>
                </w:p>
              </w:tc>
            </w:tr>
          </w:tbl>
          <w:p>
            <w:pPr>
              <w:pStyle w:val="2"/>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tcMar>
              <w:left w:w="28" w:type="dxa"/>
              <w:right w:w="28" w:type="dxa"/>
            </w:tcMar>
            <w:vAlign w:val="center"/>
          </w:tcPr>
          <w:p>
            <w:pPr>
              <w:adjustRightInd w:val="0"/>
              <w:snapToGrid w:val="0"/>
              <w:ind w:firstLine="0" w:firstLineChars="0"/>
              <w:jc w:val="center"/>
              <w:rPr>
                <w:rFonts w:cs="宋体"/>
                <w:kern w:val="0"/>
                <w:szCs w:val="21"/>
              </w:rPr>
            </w:pPr>
            <w:r>
              <w:rPr>
                <w:rFonts w:hint="eastAsia" w:cs="宋体"/>
                <w:kern w:val="0"/>
                <w:szCs w:val="21"/>
              </w:rPr>
              <w:t>污染</w:t>
            </w:r>
          </w:p>
          <w:p>
            <w:pPr>
              <w:adjustRightInd w:val="0"/>
              <w:snapToGrid w:val="0"/>
              <w:ind w:firstLine="0" w:firstLineChars="0"/>
              <w:jc w:val="center"/>
              <w:rPr>
                <w:rFonts w:cs="宋体"/>
                <w:kern w:val="0"/>
                <w:szCs w:val="21"/>
              </w:rPr>
            </w:pPr>
            <w:r>
              <w:rPr>
                <w:rFonts w:hint="eastAsia" w:cs="宋体"/>
                <w:kern w:val="0"/>
                <w:szCs w:val="21"/>
              </w:rPr>
              <w:t>物排</w:t>
            </w:r>
          </w:p>
          <w:p>
            <w:pPr>
              <w:adjustRightInd w:val="0"/>
              <w:snapToGrid w:val="0"/>
              <w:ind w:firstLine="0" w:firstLineChars="0"/>
              <w:jc w:val="center"/>
              <w:rPr>
                <w:rFonts w:cs="宋体"/>
                <w:kern w:val="0"/>
                <w:szCs w:val="21"/>
              </w:rPr>
            </w:pPr>
            <w:r>
              <w:rPr>
                <w:rFonts w:hint="eastAsia" w:cs="宋体"/>
                <w:kern w:val="0"/>
                <w:szCs w:val="21"/>
              </w:rPr>
              <w:t>放控</w:t>
            </w:r>
          </w:p>
          <w:p>
            <w:pPr>
              <w:adjustRightInd w:val="0"/>
              <w:snapToGrid w:val="0"/>
              <w:ind w:firstLine="0" w:firstLineChars="0"/>
              <w:jc w:val="center"/>
              <w:rPr>
                <w:rFonts w:cs="宋体"/>
                <w:kern w:val="0"/>
                <w:szCs w:val="21"/>
              </w:rPr>
            </w:pPr>
            <w:r>
              <w:rPr>
                <w:rFonts w:hint="eastAsia" w:cs="宋体"/>
                <w:kern w:val="0"/>
                <w:szCs w:val="21"/>
              </w:rPr>
              <w:t>制标</w:t>
            </w:r>
          </w:p>
          <w:p>
            <w:pPr>
              <w:adjustRightInd w:val="0"/>
              <w:snapToGrid w:val="0"/>
              <w:ind w:firstLine="0" w:firstLineChars="0"/>
              <w:jc w:val="center"/>
              <w:rPr>
                <w:rFonts w:cs="宋体"/>
                <w:kern w:val="0"/>
                <w:szCs w:val="21"/>
              </w:rPr>
            </w:pPr>
            <w:r>
              <w:rPr>
                <w:rFonts w:hint="eastAsia" w:cs="宋体"/>
                <w:kern w:val="0"/>
                <w:szCs w:val="21"/>
              </w:rPr>
              <w:t>准</w:t>
            </w:r>
          </w:p>
        </w:tc>
        <w:tc>
          <w:tcPr>
            <w:tcW w:w="4556" w:type="pct"/>
            <w:vAlign w:val="center"/>
          </w:tcPr>
          <w:p>
            <w:pPr>
              <w:pStyle w:val="3"/>
              <w:keepLines w:val="0"/>
              <w:pageBreakBefore w:val="0"/>
              <w:widowControl w:val="0"/>
              <w:kinsoku/>
              <w:wordWrap/>
              <w:topLinePunct w:val="0"/>
              <w:autoSpaceDE/>
              <w:autoSpaceDN/>
              <w:bidi w:val="0"/>
              <w:adjustRightInd/>
              <w:snapToGrid w:val="0"/>
              <w:spacing w:before="0" w:after="0" w:line="360" w:lineRule="auto"/>
              <w:jc w:val="left"/>
              <w:textAlignment w:val="auto"/>
              <w:rPr>
                <w:color w:val="auto"/>
              </w:rPr>
            </w:pPr>
            <w:r>
              <w:rPr>
                <w:rFonts w:hint="eastAsia"/>
                <w:color w:val="auto"/>
              </w:rPr>
              <w:t>3.7污染物排放控制标准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Times New Roman" w:hAnsi="Times New Roman" w:cs="Times New Roman" w:eastAsiaTheme="minorEastAsia"/>
                <w:lang w:val="en-US" w:eastAsia="zh-CN"/>
              </w:rPr>
            </w:pPr>
            <w:r>
              <w:rPr>
                <w:rFonts w:hint="eastAsia" w:cs="Times New Roman" w:eastAsiaTheme="minorEastAsia"/>
                <w:b/>
                <w:bCs/>
                <w:lang w:val="en-US" w:eastAsia="zh-CN"/>
              </w:rPr>
              <w:t>3.7.1</w:t>
            </w:r>
            <w:r>
              <w:rPr>
                <w:rFonts w:hint="default" w:ascii="Times New Roman" w:hAnsi="Times New Roman" w:cs="Times New Roman" w:eastAsiaTheme="minorEastAsia"/>
                <w:b/>
                <w:bCs/>
                <w:lang w:val="en-US" w:eastAsia="zh-CN"/>
              </w:rPr>
              <w:t>废气</w:t>
            </w:r>
          </w:p>
          <w:p>
            <w:pPr>
              <w:pStyle w:val="6"/>
              <w:keepNext w:val="0"/>
              <w:keepLines w:val="0"/>
              <w:pageBreakBefore w:val="0"/>
              <w:widowControl w:val="0"/>
              <w:kinsoku/>
              <w:wordWrap/>
              <w:overflowPunct/>
              <w:topLinePunct w:val="0"/>
              <w:autoSpaceDE/>
              <w:autoSpaceDN/>
              <w:bidi w:val="0"/>
              <w:adjustRightInd/>
              <w:snapToGrid w:val="0"/>
              <w:spacing w:before="164" w:beforeLines="50" w:line="360" w:lineRule="auto"/>
              <w:textAlignment w:val="auto"/>
              <w:rPr>
                <w:color w:val="auto"/>
                <w:sz w:val="21"/>
                <w:szCs w:val="16"/>
              </w:rPr>
            </w:pPr>
            <w:r>
              <w:rPr>
                <w:rFonts w:hint="eastAsia"/>
                <w:color w:val="auto"/>
                <w:sz w:val="21"/>
                <w:szCs w:val="16"/>
              </w:rPr>
              <w:t>表1</w:t>
            </w:r>
            <w:r>
              <w:rPr>
                <w:rFonts w:hint="eastAsia"/>
                <w:color w:val="auto"/>
                <w:sz w:val="21"/>
                <w:szCs w:val="16"/>
                <w:lang w:val="en-US" w:eastAsia="zh-CN"/>
              </w:rPr>
              <w:t>3</w:t>
            </w:r>
            <w:r>
              <w:rPr>
                <w:rFonts w:hint="eastAsia"/>
                <w:color w:val="auto"/>
                <w:sz w:val="21"/>
                <w:szCs w:val="16"/>
              </w:rPr>
              <w:t xml:space="preserve">  大气污染物</w:t>
            </w:r>
            <w:r>
              <w:rPr>
                <w:rFonts w:hint="eastAsia"/>
                <w:color w:val="auto"/>
                <w:sz w:val="21"/>
                <w:szCs w:val="16"/>
                <w:lang w:eastAsia="zh-CN"/>
              </w:rPr>
              <w:t>无组织</w:t>
            </w:r>
            <w:r>
              <w:rPr>
                <w:rFonts w:hint="eastAsia"/>
                <w:color w:val="auto"/>
                <w:sz w:val="21"/>
                <w:szCs w:val="16"/>
              </w:rPr>
              <w:t>排放限值  单位：</w:t>
            </w:r>
            <w:r>
              <w:rPr>
                <w:color w:val="auto"/>
                <w:sz w:val="21"/>
                <w:szCs w:val="16"/>
              </w:rPr>
              <w:t>mg/m</w:t>
            </w:r>
            <w:r>
              <w:rPr>
                <w:color w:val="auto"/>
                <w:sz w:val="21"/>
                <w:szCs w:val="16"/>
                <w:vertAlign w:val="superscript"/>
              </w:rPr>
              <w:t>3</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044"/>
              <w:gridCol w:w="1718"/>
              <w:gridCol w:w="2165"/>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kern w:val="0"/>
                      <w:sz w:val="21"/>
                      <w:szCs w:val="21"/>
                      <w:lang w:eastAsia="zh-CN"/>
                    </w:rPr>
                  </w:pPr>
                  <w:r>
                    <w:rPr>
                      <w:rFonts w:hint="default" w:ascii="Times New Roman" w:hAnsi="Times New Roman" w:cs="Times New Roman" w:eastAsiaTheme="minorEastAsia"/>
                      <w:color w:val="auto"/>
                      <w:kern w:val="0"/>
                      <w:sz w:val="21"/>
                      <w:szCs w:val="21"/>
                      <w:lang w:eastAsia="zh-CN"/>
                    </w:rPr>
                    <w:t>污染物项目</w:t>
                  </w:r>
                </w:p>
              </w:tc>
              <w:tc>
                <w:tcPr>
                  <w:tcW w:w="65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标准</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kern w:val="0"/>
                      <w:sz w:val="21"/>
                      <w:szCs w:val="21"/>
                      <w:lang w:eastAsia="zh-CN"/>
                    </w:rPr>
                  </w:pPr>
                  <w:r>
                    <w:rPr>
                      <w:rFonts w:hint="default" w:ascii="Times New Roman" w:hAnsi="Times New Roman" w:cs="Times New Roman" w:eastAsiaTheme="minorEastAsia"/>
                      <w:color w:val="auto"/>
                      <w:kern w:val="0"/>
                      <w:sz w:val="21"/>
                      <w:szCs w:val="21"/>
                    </w:rPr>
                    <w:t>限值</w:t>
                  </w:r>
                </w:p>
              </w:tc>
              <w:tc>
                <w:tcPr>
                  <w:tcW w:w="107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kern w:val="0"/>
                      <w:sz w:val="21"/>
                      <w:szCs w:val="21"/>
                      <w:lang w:eastAsia="zh-CN"/>
                    </w:rPr>
                  </w:pPr>
                  <w:r>
                    <w:rPr>
                      <w:rFonts w:hint="default" w:ascii="Times New Roman" w:hAnsi="Times New Roman" w:cs="Times New Roman" w:eastAsiaTheme="minorEastAsia"/>
                      <w:color w:val="auto"/>
                      <w:kern w:val="0"/>
                      <w:sz w:val="21"/>
                      <w:szCs w:val="21"/>
                      <w:lang w:eastAsia="zh-CN"/>
                    </w:rPr>
                    <w:t>限制含义</w:t>
                  </w:r>
                </w:p>
              </w:tc>
              <w:tc>
                <w:tcPr>
                  <w:tcW w:w="135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kern w:val="0"/>
                      <w:sz w:val="21"/>
                      <w:szCs w:val="21"/>
                      <w:lang w:eastAsia="zh-CN"/>
                    </w:rPr>
                  </w:pPr>
                  <w:r>
                    <w:rPr>
                      <w:rFonts w:hint="default" w:ascii="Times New Roman" w:hAnsi="Times New Roman" w:cs="Times New Roman" w:eastAsiaTheme="minorEastAsia"/>
                      <w:color w:val="auto"/>
                      <w:kern w:val="0"/>
                      <w:sz w:val="21"/>
                      <w:szCs w:val="21"/>
                      <w:lang w:eastAsia="zh-CN"/>
                    </w:rPr>
                    <w:t>无组织排放监控位置</w:t>
                  </w:r>
                </w:p>
              </w:tc>
              <w:tc>
                <w:tcPr>
                  <w:tcW w:w="12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kern w:val="0"/>
                      <w:sz w:val="21"/>
                      <w:szCs w:val="21"/>
                      <w:lang w:eastAsia="zh-CN"/>
                    </w:rPr>
                  </w:pPr>
                  <w:r>
                    <w:rPr>
                      <w:rFonts w:hint="eastAsia" w:cs="Times New Roman" w:eastAsiaTheme="minorEastAsia"/>
                      <w:color w:val="auto"/>
                      <w:kern w:val="0"/>
                      <w:sz w:val="21"/>
                      <w:szCs w:val="21"/>
                      <w:lang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kern w:val="0"/>
                      <w:sz w:val="21"/>
                      <w:szCs w:val="21"/>
                      <w:lang w:eastAsia="zh-CN"/>
                    </w:rPr>
                  </w:pPr>
                  <w:r>
                    <w:rPr>
                      <w:rFonts w:hint="default" w:ascii="Times New Roman" w:hAnsi="Times New Roman" w:cs="Times New Roman" w:eastAsiaTheme="minorEastAsia"/>
                      <w:color w:val="auto"/>
                      <w:kern w:val="0"/>
                      <w:sz w:val="21"/>
                      <w:szCs w:val="21"/>
                      <w:lang w:eastAsia="zh-CN"/>
                    </w:rPr>
                    <w:t>颗粒物</w:t>
                  </w:r>
                </w:p>
              </w:tc>
              <w:tc>
                <w:tcPr>
                  <w:tcW w:w="655"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0.5</w:t>
                  </w:r>
                </w:p>
              </w:tc>
              <w:tc>
                <w:tcPr>
                  <w:tcW w:w="107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000000"/>
                      <w:kern w:val="0"/>
                      <w:sz w:val="21"/>
                      <w:szCs w:val="21"/>
                      <w:lang w:val="en-US" w:eastAsia="zh-CN" w:bidi="ar"/>
                    </w:rPr>
                    <w:t>监控点与参照点总悬浮颗粒物（颗粒物）1小时浓度值的差值</w:t>
                  </w:r>
                </w:p>
              </w:tc>
              <w:tc>
                <w:tcPr>
                  <w:tcW w:w="135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000000"/>
                      <w:kern w:val="0"/>
                      <w:sz w:val="21"/>
                      <w:szCs w:val="21"/>
                      <w:lang w:val="en-US" w:eastAsia="zh-CN" w:bidi="ar"/>
                    </w:rPr>
                    <w:t>厂界外20m处上风向设参照点，下风向设监控点</w:t>
                  </w:r>
                </w:p>
              </w:tc>
              <w:tc>
                <w:tcPr>
                  <w:tcW w:w="127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eastAsiaTheme="minorEastAsia"/>
                      <w:color w:val="000000"/>
                      <w:kern w:val="0"/>
                      <w:sz w:val="21"/>
                      <w:szCs w:val="21"/>
                      <w:lang w:val="en-US" w:eastAsia="zh-CN" w:bidi="ar"/>
                    </w:rPr>
                  </w:pPr>
                  <w:r>
                    <w:rPr>
                      <w:rFonts w:hint="eastAsia" w:cs="Times New Roman" w:eastAsiaTheme="minorEastAsia"/>
                      <w:color w:val="000000"/>
                      <w:kern w:val="0"/>
                      <w:sz w:val="21"/>
                      <w:szCs w:val="21"/>
                      <w:lang w:val="en-US" w:eastAsia="zh-CN" w:bidi="ar"/>
                    </w:rPr>
                    <w:t>《水泥工业大气污染物排放标准》（GB 4915-2013）表3大气污染物无组织排放限值</w:t>
                  </w:r>
                </w:p>
              </w:tc>
            </w:tr>
          </w:tbl>
          <w:p>
            <w:pPr>
              <w:pStyle w:val="4"/>
              <w:keepNext/>
              <w:keepLines/>
              <w:pageBreakBefore w:val="0"/>
              <w:widowControl w:val="0"/>
              <w:kinsoku/>
              <w:wordWrap/>
              <w:overflowPunct/>
              <w:topLinePunct w:val="0"/>
              <w:autoSpaceDE/>
              <w:autoSpaceDN/>
              <w:bidi w:val="0"/>
              <w:adjustRightInd/>
              <w:snapToGrid/>
              <w:spacing w:before="157" w:beforeLines="50" w:after="0"/>
              <w:jc w:val="left"/>
              <w:textAlignment w:val="auto"/>
              <w:rPr>
                <w:rFonts w:hint="eastAsia" w:ascii="Times New Roman" w:hAnsi="Times New Roman" w:eastAsia="宋体" w:cs="Times New Roman"/>
                <w:b/>
                <w:bCs/>
                <w:color w:val="auto"/>
                <w:lang w:eastAsia="zh-CN"/>
              </w:rPr>
            </w:pPr>
            <w:r>
              <w:rPr>
                <w:rFonts w:hint="eastAsia" w:cs="Times New Roman"/>
                <w:b/>
                <w:bCs/>
                <w:color w:val="auto"/>
                <w:lang w:val="en-US" w:eastAsia="zh-CN"/>
              </w:rPr>
              <w:t>3.7.2</w:t>
            </w:r>
            <w:r>
              <w:rPr>
                <w:rFonts w:hint="eastAsia" w:ascii="Times New Roman" w:hAnsi="Times New Roman" w:cs="Times New Roman"/>
                <w:b/>
                <w:bCs/>
                <w:color w:val="auto"/>
                <w:lang w:eastAsia="zh-CN"/>
              </w:rPr>
              <w:t>废水</w:t>
            </w:r>
          </w:p>
          <w:p>
            <w:pPr>
              <w:pageBreakBefore w:val="0"/>
              <w:widowControl w:val="0"/>
              <w:kinsoku/>
              <w:wordWrap/>
              <w:overflowPunct/>
              <w:topLinePunct w:val="0"/>
              <w:autoSpaceDE/>
              <w:autoSpaceDN/>
              <w:bidi w:val="0"/>
              <w:adjustRightInd w:val="0"/>
              <w:snapToGrid w:val="0"/>
              <w:ind w:firstLine="480" w:firstLineChars="200"/>
              <w:jc w:val="left"/>
              <w:textAlignment w:val="auto"/>
              <w:rPr>
                <w:rFonts w:hint="default" w:ascii="Times New Roman" w:hAnsi="Times New Roman" w:cs="Times New Roman"/>
                <w:color w:val="auto"/>
                <w:kern w:val="0"/>
                <w:szCs w:val="21"/>
              </w:rPr>
            </w:pPr>
            <w:r>
              <w:rPr>
                <w:rFonts w:hint="default" w:ascii="Times New Roman" w:hAnsi="Times New Roman" w:cs="Times New Roman"/>
                <w:color w:val="auto"/>
              </w:rPr>
              <w:t>生活污水执行《污水综合排放标准》（GB8978-1996）中三级标准和《污水排入城镇下水道水质标准》（GB/T31962-2015）中NH</w:t>
            </w:r>
            <w:r>
              <w:rPr>
                <w:rFonts w:hint="default" w:ascii="Times New Roman" w:hAnsi="Times New Roman" w:cs="Times New Roman"/>
                <w:color w:val="auto"/>
                <w:vertAlign w:val="subscript"/>
              </w:rPr>
              <w:t>3</w:t>
            </w:r>
            <w:r>
              <w:rPr>
                <w:rFonts w:hint="default" w:ascii="Times New Roman" w:hAnsi="Times New Roman" w:cs="Times New Roman"/>
                <w:color w:val="auto"/>
              </w:rPr>
              <w:t>-N最高允许值中B级标准45mg/L的规定。</w:t>
            </w:r>
          </w:p>
          <w:p>
            <w:pPr>
              <w:pStyle w:val="6"/>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cs="宋体"/>
                <w:color w:val="auto"/>
                <w:kern w:val="0"/>
                <w:sz w:val="21"/>
                <w:szCs w:val="18"/>
              </w:rPr>
            </w:pPr>
            <w:r>
              <w:rPr>
                <w:rFonts w:hint="eastAsia"/>
                <w:color w:val="auto"/>
                <w:sz w:val="21"/>
                <w:szCs w:val="16"/>
              </w:rPr>
              <w:t>表1</w:t>
            </w:r>
            <w:r>
              <w:rPr>
                <w:rFonts w:hint="eastAsia"/>
                <w:color w:val="auto"/>
                <w:sz w:val="21"/>
                <w:szCs w:val="16"/>
                <w:lang w:val="en-US" w:eastAsia="zh-CN"/>
              </w:rPr>
              <w:t>4</w:t>
            </w:r>
            <w:r>
              <w:rPr>
                <w:color w:val="auto"/>
                <w:sz w:val="21"/>
                <w:szCs w:val="16"/>
              </w:rPr>
              <w:t xml:space="preserve">  </w:t>
            </w:r>
            <w:r>
              <w:rPr>
                <w:rFonts w:hint="eastAsia"/>
                <w:color w:val="auto"/>
                <w:sz w:val="21"/>
                <w:szCs w:val="16"/>
              </w:rPr>
              <w:t xml:space="preserve">污水排放限值 </w:t>
            </w:r>
            <w:r>
              <w:rPr>
                <w:color w:val="auto"/>
                <w:sz w:val="21"/>
                <w:szCs w:val="16"/>
              </w:rPr>
              <w:t xml:space="preserve"> </w:t>
            </w:r>
            <w:r>
              <w:rPr>
                <w:rFonts w:hint="eastAsia"/>
                <w:color w:val="auto"/>
                <w:sz w:val="21"/>
                <w:szCs w:val="16"/>
              </w:rPr>
              <w:t>单位：m</w:t>
            </w:r>
            <w:r>
              <w:rPr>
                <w:color w:val="auto"/>
                <w:sz w:val="21"/>
                <w:szCs w:val="16"/>
              </w:rPr>
              <w:t>g/L</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705"/>
              <w:gridCol w:w="1192"/>
              <w:gridCol w:w="4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 w:type="pct"/>
                  <w:tcBorders>
                    <w:tl2br w:val="nil"/>
                    <w:tr2bl w:val="nil"/>
                  </w:tcBorders>
                  <w:shd w:val="clear" w:color="auto" w:fill="auto"/>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序号</w:t>
                  </w:r>
                </w:p>
              </w:tc>
              <w:tc>
                <w:tcPr>
                  <w:tcW w:w="1070" w:type="pct"/>
                  <w:tcBorders>
                    <w:tl2br w:val="nil"/>
                    <w:tr2bl w:val="nil"/>
                  </w:tcBorders>
                  <w:shd w:val="clear" w:color="auto" w:fill="auto"/>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污染物</w:t>
                  </w:r>
                </w:p>
              </w:tc>
              <w:tc>
                <w:tcPr>
                  <w:tcW w:w="748" w:type="pct"/>
                  <w:tcBorders>
                    <w:tl2br w:val="nil"/>
                    <w:tr2bl w:val="nil"/>
                  </w:tcBorders>
                  <w:shd w:val="clear" w:color="auto" w:fill="auto"/>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标准限值</w:t>
                  </w:r>
                </w:p>
              </w:tc>
              <w:tc>
                <w:tcPr>
                  <w:tcW w:w="2752" w:type="pct"/>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 w:type="pct"/>
                  <w:tcBorders>
                    <w:tl2br w:val="nil"/>
                    <w:tr2bl w:val="nil"/>
                  </w:tcBorders>
                  <w:shd w:val="clear" w:color="auto" w:fill="auto"/>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1</w:t>
                  </w:r>
                </w:p>
              </w:tc>
              <w:tc>
                <w:tcPr>
                  <w:tcW w:w="1070" w:type="pct"/>
                  <w:tcBorders>
                    <w:tl2br w:val="nil"/>
                    <w:tr2bl w:val="nil"/>
                  </w:tcBorders>
                  <w:shd w:val="clear" w:color="auto" w:fill="auto"/>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悬浮物</w:t>
                  </w:r>
                </w:p>
              </w:tc>
              <w:tc>
                <w:tcPr>
                  <w:tcW w:w="748" w:type="pct"/>
                  <w:tcBorders>
                    <w:tl2br w:val="nil"/>
                    <w:tr2bl w:val="nil"/>
                  </w:tcBorders>
                  <w:shd w:val="clear" w:color="auto" w:fill="auto"/>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400</w:t>
                  </w:r>
                </w:p>
              </w:tc>
              <w:tc>
                <w:tcPr>
                  <w:tcW w:w="2752" w:type="pct"/>
                  <w:vMerge w:val="restart"/>
                  <w:tcBorders>
                    <w:tl2br w:val="nil"/>
                    <w:tr2bl w:val="nil"/>
                  </w:tcBorders>
                  <w:vAlign w:val="center"/>
                </w:tcPr>
                <w:p>
                  <w:pPr>
                    <w:adjustRightInd w:val="0"/>
                    <w:snapToGrid w:val="0"/>
                    <w:spacing w:line="240" w:lineRule="auto"/>
                    <w:ind w:firstLine="0" w:firstLineChars="0"/>
                    <w:rPr>
                      <w:rFonts w:cs="宋体"/>
                      <w:color w:val="auto"/>
                      <w:kern w:val="0"/>
                      <w:sz w:val="21"/>
                      <w:szCs w:val="21"/>
                    </w:rPr>
                  </w:pPr>
                  <w:r>
                    <w:rPr>
                      <w:rFonts w:hint="eastAsia" w:cs="宋体"/>
                      <w:color w:val="auto"/>
                      <w:kern w:val="0"/>
                      <w:sz w:val="21"/>
                      <w:szCs w:val="21"/>
                    </w:rPr>
                    <w:t>《污水综合排放标准》（GB8978-1996）中三级标准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 w:type="pct"/>
                  <w:tcBorders>
                    <w:tl2br w:val="nil"/>
                    <w:tr2bl w:val="nil"/>
                  </w:tcBorders>
                  <w:shd w:val="clear" w:color="auto" w:fill="auto"/>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2</w:t>
                  </w:r>
                </w:p>
              </w:tc>
              <w:tc>
                <w:tcPr>
                  <w:tcW w:w="1070" w:type="pct"/>
                  <w:tcBorders>
                    <w:tl2br w:val="nil"/>
                    <w:tr2bl w:val="nil"/>
                  </w:tcBorders>
                  <w:shd w:val="clear" w:color="auto" w:fill="auto"/>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五日生化需氧量</w:t>
                  </w:r>
                </w:p>
              </w:tc>
              <w:tc>
                <w:tcPr>
                  <w:tcW w:w="748" w:type="pct"/>
                  <w:tcBorders>
                    <w:tl2br w:val="nil"/>
                    <w:tr2bl w:val="nil"/>
                  </w:tcBorders>
                  <w:shd w:val="clear" w:color="auto" w:fill="auto"/>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300</w:t>
                  </w:r>
                </w:p>
              </w:tc>
              <w:tc>
                <w:tcPr>
                  <w:tcW w:w="2752"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 w:type="pct"/>
                  <w:tcBorders>
                    <w:tl2br w:val="nil"/>
                    <w:tr2bl w:val="nil"/>
                  </w:tcBorders>
                  <w:shd w:val="clear" w:color="auto" w:fill="auto"/>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3</w:t>
                  </w:r>
                </w:p>
              </w:tc>
              <w:tc>
                <w:tcPr>
                  <w:tcW w:w="1070" w:type="pct"/>
                  <w:tcBorders>
                    <w:tl2br w:val="nil"/>
                    <w:tr2bl w:val="nil"/>
                  </w:tcBorders>
                  <w:shd w:val="clear" w:color="auto" w:fill="auto"/>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化学需氧量</w:t>
                  </w:r>
                </w:p>
              </w:tc>
              <w:tc>
                <w:tcPr>
                  <w:tcW w:w="748" w:type="pct"/>
                  <w:tcBorders>
                    <w:tl2br w:val="nil"/>
                    <w:tr2bl w:val="nil"/>
                  </w:tcBorders>
                  <w:shd w:val="clear" w:color="auto" w:fill="auto"/>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500</w:t>
                  </w:r>
                </w:p>
              </w:tc>
              <w:tc>
                <w:tcPr>
                  <w:tcW w:w="2752" w:type="pct"/>
                  <w:vMerge w:val="continue"/>
                  <w:tcBorders>
                    <w:tl2br w:val="nil"/>
                    <w:tr2bl w:val="nil"/>
                  </w:tcBorders>
                  <w:vAlign w:val="center"/>
                </w:tcPr>
                <w:p>
                  <w:pPr>
                    <w:adjustRightInd w:val="0"/>
                    <w:snapToGrid w:val="0"/>
                    <w:spacing w:line="240" w:lineRule="auto"/>
                    <w:ind w:firstLine="0" w:firstLineChars="0"/>
                    <w:jc w:val="center"/>
                    <w:rPr>
                      <w:rFonts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 w:type="pct"/>
                  <w:tcBorders>
                    <w:tl2br w:val="nil"/>
                    <w:tr2bl w:val="nil"/>
                  </w:tcBorders>
                  <w:shd w:val="clear" w:color="auto" w:fill="auto"/>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4</w:t>
                  </w:r>
                </w:p>
              </w:tc>
              <w:tc>
                <w:tcPr>
                  <w:tcW w:w="1070" w:type="pct"/>
                  <w:tcBorders>
                    <w:tl2br w:val="nil"/>
                    <w:tr2bl w:val="nil"/>
                  </w:tcBorders>
                  <w:shd w:val="clear" w:color="auto" w:fill="auto"/>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氨氮</w:t>
                  </w:r>
                </w:p>
              </w:tc>
              <w:tc>
                <w:tcPr>
                  <w:tcW w:w="748" w:type="pct"/>
                  <w:tcBorders>
                    <w:tl2br w:val="nil"/>
                    <w:tr2bl w:val="nil"/>
                  </w:tcBorders>
                  <w:shd w:val="clear" w:color="auto" w:fill="auto"/>
                  <w:vAlign w:val="center"/>
                </w:tcPr>
                <w:p>
                  <w:pPr>
                    <w:adjustRightInd w:val="0"/>
                    <w:snapToGrid w:val="0"/>
                    <w:spacing w:line="240" w:lineRule="auto"/>
                    <w:ind w:firstLine="0" w:firstLineChars="0"/>
                    <w:jc w:val="center"/>
                    <w:rPr>
                      <w:rFonts w:cs="宋体"/>
                      <w:color w:val="auto"/>
                      <w:kern w:val="0"/>
                      <w:sz w:val="21"/>
                      <w:szCs w:val="21"/>
                    </w:rPr>
                  </w:pPr>
                  <w:r>
                    <w:rPr>
                      <w:rFonts w:hint="eastAsia" w:cs="宋体"/>
                      <w:color w:val="auto"/>
                      <w:kern w:val="0"/>
                      <w:sz w:val="21"/>
                      <w:szCs w:val="21"/>
                    </w:rPr>
                    <w:t>45</w:t>
                  </w:r>
                </w:p>
              </w:tc>
              <w:tc>
                <w:tcPr>
                  <w:tcW w:w="2752" w:type="pct"/>
                  <w:tcBorders>
                    <w:tl2br w:val="nil"/>
                    <w:tr2bl w:val="nil"/>
                  </w:tcBorders>
                  <w:vAlign w:val="center"/>
                </w:tcPr>
                <w:p>
                  <w:pPr>
                    <w:adjustRightInd w:val="0"/>
                    <w:snapToGrid w:val="0"/>
                    <w:spacing w:line="240" w:lineRule="auto"/>
                    <w:ind w:firstLine="0" w:firstLineChars="0"/>
                    <w:rPr>
                      <w:rFonts w:cs="宋体"/>
                      <w:color w:val="auto"/>
                      <w:kern w:val="0"/>
                      <w:sz w:val="21"/>
                      <w:szCs w:val="21"/>
                    </w:rPr>
                  </w:pPr>
                  <w:r>
                    <w:rPr>
                      <w:rFonts w:hint="eastAsia" w:cs="宋体"/>
                      <w:color w:val="auto"/>
                      <w:kern w:val="0"/>
                      <w:sz w:val="21"/>
                      <w:szCs w:val="21"/>
                    </w:rPr>
                    <w:t>《污水排入城镇下水道水质标准》（GB/T31962-2015）中B级标准</w:t>
                  </w:r>
                </w:p>
              </w:tc>
            </w:tr>
          </w:tbl>
          <w:p>
            <w:pPr>
              <w:pStyle w:val="4"/>
              <w:keepNext/>
              <w:keepLines/>
              <w:pageBreakBefore w:val="0"/>
              <w:widowControl w:val="0"/>
              <w:kinsoku/>
              <w:wordWrap/>
              <w:overflowPunct/>
              <w:topLinePunct w:val="0"/>
              <w:autoSpaceDE/>
              <w:autoSpaceDN/>
              <w:bidi w:val="0"/>
              <w:adjustRightInd/>
              <w:snapToGrid/>
              <w:spacing w:before="157" w:beforeLines="50" w:after="0" w:line="360" w:lineRule="auto"/>
              <w:jc w:val="left"/>
              <w:textAlignment w:val="auto"/>
              <w:rPr>
                <w:b/>
                <w:bCs/>
                <w:color w:val="auto"/>
              </w:rPr>
            </w:pPr>
            <w:r>
              <w:rPr>
                <w:rFonts w:hint="eastAsia"/>
                <w:b/>
                <w:bCs/>
                <w:color w:val="auto"/>
                <w:lang w:val="en-US" w:eastAsia="zh-CN"/>
              </w:rPr>
              <w:t>3.7.3</w:t>
            </w:r>
            <w:r>
              <w:rPr>
                <w:rFonts w:hint="eastAsia"/>
                <w:b/>
                <w:bCs/>
                <w:color w:val="auto"/>
              </w:rPr>
              <w:t>噪声</w:t>
            </w:r>
          </w:p>
          <w:p>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cs="宋体"/>
                <w:color w:val="auto"/>
                <w:kern w:val="0"/>
                <w:szCs w:val="21"/>
              </w:rPr>
            </w:pPr>
            <w:r>
              <w:rPr>
                <w:rFonts w:hint="eastAsia" w:cs="宋体"/>
                <w:color w:val="auto"/>
                <w:kern w:val="0"/>
                <w:szCs w:val="21"/>
              </w:rPr>
              <w:t>执行《工业企业厂界环境噪声排放标准》</w:t>
            </w:r>
            <w:r>
              <w:rPr>
                <w:rFonts w:hint="eastAsia" w:cs="宋体"/>
                <w:color w:val="auto"/>
                <w:kern w:val="0"/>
                <w:szCs w:val="21"/>
                <w:lang w:eastAsia="zh-CN"/>
              </w:rPr>
              <w:t>（</w:t>
            </w:r>
            <w:r>
              <w:rPr>
                <w:rFonts w:hint="eastAsia" w:cs="宋体"/>
                <w:color w:val="auto"/>
                <w:kern w:val="0"/>
                <w:szCs w:val="21"/>
              </w:rPr>
              <w:t>GB12348-2008</w:t>
            </w:r>
            <w:r>
              <w:rPr>
                <w:rFonts w:hint="eastAsia" w:cs="宋体"/>
                <w:color w:val="auto"/>
                <w:kern w:val="0"/>
                <w:szCs w:val="21"/>
                <w:lang w:eastAsia="zh-CN"/>
              </w:rPr>
              <w:t>）</w:t>
            </w:r>
            <w:r>
              <w:rPr>
                <w:rFonts w:hint="eastAsia" w:cs="宋体"/>
                <w:color w:val="auto"/>
                <w:kern w:val="0"/>
                <w:szCs w:val="21"/>
              </w:rPr>
              <w:t>中3类标准。</w:t>
            </w:r>
          </w:p>
          <w:p>
            <w:pPr>
              <w:pStyle w:val="6"/>
              <w:keepNext w:val="0"/>
              <w:keepLines w:val="0"/>
              <w:pageBreakBefore w:val="0"/>
              <w:widowControl w:val="0"/>
              <w:kinsoku/>
              <w:wordWrap/>
              <w:overflowPunct/>
              <w:topLinePunct w:val="0"/>
              <w:autoSpaceDE/>
              <w:autoSpaceDN/>
              <w:bidi w:val="0"/>
              <w:adjustRightInd/>
              <w:snapToGrid/>
              <w:spacing w:line="360" w:lineRule="auto"/>
              <w:ind w:firstLine="482"/>
              <w:textAlignment w:val="auto"/>
              <w:rPr>
                <w:color w:val="auto"/>
                <w:sz w:val="21"/>
                <w:szCs w:val="16"/>
              </w:rPr>
            </w:pPr>
            <w:r>
              <w:rPr>
                <w:rFonts w:hint="eastAsia"/>
                <w:color w:val="auto"/>
                <w:sz w:val="21"/>
                <w:szCs w:val="16"/>
              </w:rPr>
              <w:t>表1</w:t>
            </w:r>
            <w:r>
              <w:rPr>
                <w:rFonts w:hint="eastAsia"/>
                <w:color w:val="auto"/>
                <w:sz w:val="21"/>
                <w:szCs w:val="16"/>
                <w:lang w:val="en-US" w:eastAsia="zh-CN"/>
              </w:rPr>
              <w:t>5</w:t>
            </w:r>
            <w:r>
              <w:rPr>
                <w:rFonts w:hint="eastAsia"/>
                <w:color w:val="auto"/>
                <w:sz w:val="21"/>
                <w:szCs w:val="16"/>
              </w:rPr>
              <w:t xml:space="preserve"> </w:t>
            </w:r>
            <w:r>
              <w:rPr>
                <w:color w:val="auto"/>
                <w:sz w:val="21"/>
                <w:szCs w:val="16"/>
              </w:rPr>
              <w:t xml:space="preserve"> </w:t>
            </w:r>
            <w:r>
              <w:rPr>
                <w:rFonts w:hint="eastAsia"/>
                <w:color w:val="auto"/>
                <w:sz w:val="21"/>
                <w:szCs w:val="16"/>
              </w:rPr>
              <w:t xml:space="preserve">噪声排放限值 </w:t>
            </w:r>
            <w:r>
              <w:rPr>
                <w:color w:val="auto"/>
                <w:sz w:val="21"/>
                <w:szCs w:val="16"/>
              </w:rPr>
              <w:t xml:space="preserve"> </w:t>
            </w:r>
            <w:r>
              <w:rPr>
                <w:rFonts w:hint="eastAsia"/>
                <w:color w:val="auto"/>
                <w:sz w:val="21"/>
                <w:szCs w:val="16"/>
              </w:rPr>
              <w:t>单位：</w:t>
            </w:r>
            <w:r>
              <w:rPr>
                <w:color w:val="auto"/>
                <w:sz w:val="21"/>
                <w:szCs w:val="16"/>
              </w:rPr>
              <w:t>dB</w:t>
            </w:r>
            <w:r>
              <w:rPr>
                <w:rFonts w:hint="eastAsia"/>
                <w:color w:val="auto"/>
                <w:sz w:val="21"/>
                <w:szCs w:val="16"/>
              </w:rPr>
              <w:t>（A）</w:t>
            </w:r>
          </w:p>
          <w:tbl>
            <w:tblPr>
              <w:tblStyle w:val="18"/>
              <w:tblpPr w:leftFromText="180" w:rightFromText="180" w:vertAnchor="text" w:horzAnchor="page" w:tblpX="179" w:tblpY="5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3"/>
              <w:gridCol w:w="2654"/>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kern w:val="0"/>
                      <w:sz w:val="21"/>
                      <w:szCs w:val="21"/>
                    </w:rPr>
                  </w:pPr>
                  <w:r>
                    <w:rPr>
                      <w:rFonts w:hint="eastAsia" w:cs="宋体"/>
                      <w:kern w:val="0"/>
                      <w:sz w:val="21"/>
                      <w:szCs w:val="21"/>
                    </w:rPr>
                    <w:t>厂界外声环境功能区类别</w:t>
                  </w:r>
                </w:p>
              </w:tc>
              <w:tc>
                <w:tcPr>
                  <w:tcW w:w="3334"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kern w:val="0"/>
                      <w:sz w:val="21"/>
                      <w:szCs w:val="21"/>
                    </w:rPr>
                  </w:pPr>
                  <w:r>
                    <w:rPr>
                      <w:rFonts w:hint="eastAsia" w:cs="宋体"/>
                      <w:kern w:val="0"/>
                      <w:sz w:val="21"/>
                      <w:szCs w:val="21"/>
                    </w:rPr>
                    <w:t>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5" w:type="pct"/>
                  <w:vMerge w:val="continue"/>
                  <w:tcBorders>
                    <w:tl2br w:val="nil"/>
                    <w:tr2bl w:val="nil"/>
                  </w:tcBorders>
                  <w:vAlign w:val="center"/>
                </w:tcPr>
                <w:p>
                  <w:pPr>
                    <w:adjustRightInd w:val="0"/>
                    <w:snapToGrid w:val="0"/>
                    <w:spacing w:line="240" w:lineRule="auto"/>
                    <w:ind w:firstLine="0" w:firstLineChars="0"/>
                    <w:jc w:val="center"/>
                    <w:rPr>
                      <w:rFonts w:cs="宋体"/>
                      <w:kern w:val="0"/>
                      <w:sz w:val="21"/>
                      <w:szCs w:val="21"/>
                    </w:rPr>
                  </w:pPr>
                </w:p>
              </w:tc>
              <w:tc>
                <w:tcPr>
                  <w:tcW w:w="1665" w:type="pct"/>
                  <w:tcBorders>
                    <w:tl2br w:val="nil"/>
                    <w:tr2bl w:val="nil"/>
                  </w:tcBorders>
                  <w:vAlign w:val="center"/>
                </w:tcPr>
                <w:p>
                  <w:pPr>
                    <w:adjustRightInd w:val="0"/>
                    <w:snapToGrid w:val="0"/>
                    <w:spacing w:line="240" w:lineRule="auto"/>
                    <w:ind w:firstLine="0" w:firstLineChars="0"/>
                    <w:jc w:val="center"/>
                    <w:rPr>
                      <w:rFonts w:cs="宋体"/>
                      <w:kern w:val="0"/>
                      <w:sz w:val="21"/>
                      <w:szCs w:val="21"/>
                    </w:rPr>
                  </w:pPr>
                  <w:r>
                    <w:rPr>
                      <w:rFonts w:hint="eastAsia" w:cs="宋体"/>
                      <w:kern w:val="0"/>
                      <w:sz w:val="21"/>
                      <w:szCs w:val="21"/>
                    </w:rPr>
                    <w:t>昼间</w:t>
                  </w:r>
                </w:p>
              </w:tc>
              <w:tc>
                <w:tcPr>
                  <w:tcW w:w="1669" w:type="pct"/>
                  <w:tcBorders>
                    <w:tl2br w:val="nil"/>
                    <w:tr2bl w:val="nil"/>
                  </w:tcBorders>
                  <w:vAlign w:val="center"/>
                </w:tcPr>
                <w:p>
                  <w:pPr>
                    <w:adjustRightInd w:val="0"/>
                    <w:snapToGrid w:val="0"/>
                    <w:spacing w:line="240" w:lineRule="auto"/>
                    <w:ind w:firstLine="0" w:firstLineChars="0"/>
                    <w:jc w:val="center"/>
                    <w:rPr>
                      <w:rFonts w:cs="宋体"/>
                      <w:kern w:val="0"/>
                      <w:sz w:val="21"/>
                      <w:szCs w:val="21"/>
                    </w:rPr>
                  </w:pPr>
                  <w:r>
                    <w:rPr>
                      <w:rFonts w:hint="eastAsia" w:cs="宋体"/>
                      <w:kern w:val="0"/>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5" w:type="pct"/>
                  <w:tcBorders>
                    <w:tl2br w:val="nil"/>
                    <w:tr2bl w:val="nil"/>
                  </w:tcBorders>
                  <w:vAlign w:val="center"/>
                </w:tcPr>
                <w:p>
                  <w:pPr>
                    <w:adjustRightInd w:val="0"/>
                    <w:snapToGrid w:val="0"/>
                    <w:spacing w:line="240" w:lineRule="auto"/>
                    <w:ind w:firstLine="0" w:firstLineChars="0"/>
                    <w:jc w:val="center"/>
                    <w:rPr>
                      <w:rFonts w:cs="宋体"/>
                      <w:kern w:val="0"/>
                      <w:sz w:val="21"/>
                      <w:szCs w:val="21"/>
                    </w:rPr>
                  </w:pPr>
                  <w:r>
                    <w:rPr>
                      <w:rFonts w:cs="宋体"/>
                      <w:kern w:val="0"/>
                      <w:sz w:val="21"/>
                      <w:szCs w:val="21"/>
                    </w:rPr>
                    <w:t>3</w:t>
                  </w:r>
                </w:p>
              </w:tc>
              <w:tc>
                <w:tcPr>
                  <w:tcW w:w="1665" w:type="pct"/>
                  <w:tcBorders>
                    <w:tl2br w:val="nil"/>
                    <w:tr2bl w:val="nil"/>
                  </w:tcBorders>
                  <w:vAlign w:val="center"/>
                </w:tcPr>
                <w:p>
                  <w:pPr>
                    <w:adjustRightInd w:val="0"/>
                    <w:snapToGrid w:val="0"/>
                    <w:spacing w:line="240" w:lineRule="auto"/>
                    <w:ind w:firstLine="0" w:firstLineChars="0"/>
                    <w:jc w:val="center"/>
                    <w:rPr>
                      <w:rFonts w:cs="宋体"/>
                      <w:kern w:val="0"/>
                      <w:sz w:val="21"/>
                      <w:szCs w:val="21"/>
                    </w:rPr>
                  </w:pPr>
                  <w:r>
                    <w:rPr>
                      <w:rFonts w:cs="宋体"/>
                      <w:kern w:val="0"/>
                      <w:sz w:val="21"/>
                      <w:szCs w:val="21"/>
                    </w:rPr>
                    <w:t>6</w:t>
                  </w:r>
                  <w:r>
                    <w:rPr>
                      <w:rFonts w:hint="eastAsia" w:cs="宋体"/>
                      <w:kern w:val="0"/>
                      <w:sz w:val="21"/>
                      <w:szCs w:val="21"/>
                    </w:rPr>
                    <w:t>5</w:t>
                  </w:r>
                </w:p>
              </w:tc>
              <w:tc>
                <w:tcPr>
                  <w:tcW w:w="1669" w:type="pct"/>
                  <w:tcBorders>
                    <w:tl2br w:val="nil"/>
                    <w:tr2bl w:val="nil"/>
                  </w:tcBorders>
                  <w:vAlign w:val="center"/>
                </w:tcPr>
                <w:p>
                  <w:pPr>
                    <w:adjustRightInd w:val="0"/>
                    <w:snapToGrid w:val="0"/>
                    <w:spacing w:line="240" w:lineRule="auto"/>
                    <w:ind w:firstLine="0" w:firstLineChars="0"/>
                    <w:jc w:val="center"/>
                    <w:rPr>
                      <w:rFonts w:cs="宋体"/>
                      <w:kern w:val="0"/>
                      <w:sz w:val="21"/>
                      <w:szCs w:val="21"/>
                    </w:rPr>
                  </w:pPr>
                  <w:r>
                    <w:rPr>
                      <w:rFonts w:cs="宋体"/>
                      <w:kern w:val="0"/>
                      <w:sz w:val="21"/>
                      <w:szCs w:val="21"/>
                    </w:rPr>
                    <w:t>5</w:t>
                  </w:r>
                  <w:r>
                    <w:rPr>
                      <w:rFonts w:hint="eastAsia" w:cs="宋体"/>
                      <w:kern w:val="0"/>
                      <w:sz w:val="21"/>
                      <w:szCs w:val="21"/>
                    </w:rPr>
                    <w:t>5</w:t>
                  </w:r>
                </w:p>
              </w:tc>
            </w:tr>
          </w:tbl>
          <w:p>
            <w:pPr>
              <w:pStyle w:val="4"/>
              <w:keepNext/>
              <w:keepLines/>
              <w:pageBreakBefore w:val="0"/>
              <w:widowControl w:val="0"/>
              <w:kinsoku/>
              <w:wordWrap/>
              <w:overflowPunct/>
              <w:topLinePunct w:val="0"/>
              <w:autoSpaceDE/>
              <w:autoSpaceDN/>
              <w:bidi w:val="0"/>
              <w:adjustRightInd/>
              <w:snapToGrid/>
              <w:spacing w:before="157" w:beforeLines="50" w:after="0"/>
              <w:jc w:val="left"/>
              <w:textAlignment w:val="auto"/>
              <w:rPr>
                <w:b/>
                <w:bCs/>
                <w:color w:val="auto"/>
              </w:rPr>
            </w:pPr>
            <w:r>
              <w:rPr>
                <w:rFonts w:hint="eastAsia"/>
                <w:b/>
                <w:bCs/>
                <w:color w:val="auto"/>
                <w:lang w:val="en-US" w:eastAsia="zh-CN"/>
              </w:rPr>
              <w:t>3.7.4</w:t>
            </w:r>
            <w:r>
              <w:rPr>
                <w:rFonts w:hint="eastAsia"/>
                <w:b/>
                <w:bCs/>
                <w:color w:val="auto"/>
              </w:rPr>
              <w:t>固体废物</w:t>
            </w:r>
          </w:p>
          <w:p>
            <w:pPr>
              <w:pageBreakBefore w:val="0"/>
              <w:widowControl w:val="0"/>
              <w:kinsoku/>
              <w:wordWrap/>
              <w:overflowPunct/>
              <w:topLinePunct w:val="0"/>
              <w:autoSpaceDE/>
              <w:autoSpaceDN/>
              <w:bidi w:val="0"/>
              <w:adjustRightInd/>
              <w:ind w:firstLine="480"/>
              <w:jc w:val="left"/>
              <w:textAlignment w:val="auto"/>
              <w:rPr>
                <w:rFonts w:hint="eastAsia" w:eastAsia="宋体"/>
                <w:lang w:eastAsia="zh-CN"/>
              </w:rPr>
            </w:pPr>
            <w:r>
              <w:rPr>
                <w:rFonts w:hint="eastAsia"/>
                <w:color w:val="auto"/>
              </w:rPr>
              <w:t>执行</w:t>
            </w:r>
            <w:bookmarkStart w:id="2" w:name="_Hlk69251117"/>
            <w:r>
              <w:rPr>
                <w:rFonts w:hint="eastAsia"/>
                <w:color w:val="auto"/>
              </w:rPr>
              <w:t>《一般工业固体废物贮存和填埋污染控制标准》（GB18599-2020）</w:t>
            </w:r>
            <w:bookmarkEnd w:id="2"/>
            <w:r>
              <w:rPr>
                <w:rFonts w:hint="eastAsia"/>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64" w:hRule="atLeast"/>
          <w:jc w:val="center"/>
        </w:trPr>
        <w:tc>
          <w:tcPr>
            <w:tcW w:w="443" w:type="pct"/>
            <w:vAlign w:val="center"/>
          </w:tcPr>
          <w:p>
            <w:pPr>
              <w:adjustRightInd w:val="0"/>
              <w:snapToGrid w:val="0"/>
              <w:ind w:firstLine="0" w:firstLineChars="0"/>
              <w:jc w:val="center"/>
              <w:rPr>
                <w:rFonts w:cs="宋体"/>
                <w:kern w:val="0"/>
                <w:szCs w:val="21"/>
              </w:rPr>
            </w:pPr>
            <w:r>
              <w:rPr>
                <w:rFonts w:hint="eastAsia" w:cs="宋体"/>
                <w:kern w:val="0"/>
                <w:szCs w:val="21"/>
              </w:rPr>
              <w:t>总量</w:t>
            </w:r>
          </w:p>
          <w:p>
            <w:pPr>
              <w:adjustRightInd w:val="0"/>
              <w:snapToGrid w:val="0"/>
              <w:ind w:firstLine="0" w:firstLineChars="0"/>
              <w:jc w:val="center"/>
              <w:rPr>
                <w:rFonts w:cs="宋体"/>
                <w:kern w:val="0"/>
                <w:szCs w:val="21"/>
              </w:rPr>
            </w:pPr>
            <w:r>
              <w:rPr>
                <w:rFonts w:hint="eastAsia" w:cs="宋体"/>
                <w:kern w:val="0"/>
                <w:szCs w:val="21"/>
              </w:rPr>
              <w:t>控制</w:t>
            </w:r>
          </w:p>
          <w:p>
            <w:pPr>
              <w:adjustRightInd w:val="0"/>
              <w:snapToGrid w:val="0"/>
              <w:ind w:firstLine="0" w:firstLineChars="0"/>
              <w:jc w:val="center"/>
              <w:rPr>
                <w:rFonts w:cs="宋体"/>
                <w:kern w:val="0"/>
                <w:szCs w:val="21"/>
              </w:rPr>
            </w:pPr>
            <w:r>
              <w:rPr>
                <w:rFonts w:hint="eastAsia" w:cs="宋体"/>
                <w:kern w:val="0"/>
                <w:szCs w:val="21"/>
              </w:rPr>
              <w:t>指标</w:t>
            </w:r>
          </w:p>
        </w:tc>
        <w:tc>
          <w:tcPr>
            <w:tcW w:w="4556" w:type="pct"/>
            <w:vAlign w:val="center"/>
          </w:tcPr>
          <w:p>
            <w:pPr>
              <w:pStyle w:val="3"/>
              <w:keepNext/>
              <w:keepLines w:val="0"/>
              <w:pageBreakBefore w:val="0"/>
              <w:widowControl w:val="0"/>
              <w:kinsoku/>
              <w:wordWrap/>
              <w:overflowPunct w:val="0"/>
              <w:topLinePunct w:val="0"/>
              <w:autoSpaceDE/>
              <w:autoSpaceDN/>
              <w:bidi w:val="0"/>
              <w:adjustRightInd/>
              <w:snapToGrid w:val="0"/>
              <w:spacing w:before="0" w:after="0"/>
              <w:ind w:firstLine="480" w:firstLineChars="200"/>
              <w:jc w:val="left"/>
              <w:textAlignment w:val="auto"/>
              <w:rPr>
                <w:rFonts w:hint="eastAsia" w:eastAsia="宋体"/>
                <w:b w:val="0"/>
                <w:bCs w:val="0"/>
                <w:lang w:eastAsia="zh-CN"/>
              </w:rPr>
            </w:pPr>
            <w:r>
              <w:rPr>
                <w:rFonts w:hint="eastAsia"/>
                <w:b w:val="0"/>
                <w:bCs w:val="0"/>
                <w:sz w:val="24"/>
                <w:szCs w:val="24"/>
                <w:lang w:eastAsia="zh-CN"/>
              </w:rPr>
              <w:t>本项目无需申请总量。</w:t>
            </w:r>
          </w:p>
        </w:tc>
      </w:tr>
    </w:tbl>
    <w:p>
      <w:pPr>
        <w:pStyle w:val="15"/>
        <w:spacing w:line="240" w:lineRule="auto"/>
        <w:ind w:firstLine="0" w:firstLineChars="0"/>
        <w:jc w:val="center"/>
        <w:outlineLvl w:val="0"/>
        <w:rPr>
          <w:rFonts w:ascii="Times New Roman" w:hAnsi="Times New Roman" w:eastAsia="黑体"/>
          <w:snapToGrid w:val="0"/>
          <w:sz w:val="30"/>
          <w:szCs w:val="30"/>
        </w:rPr>
      </w:pPr>
      <w:r>
        <w:rPr>
          <w:rFonts w:ascii="Times New Roman" w:hAnsi="Times New Roman" w:eastAsia="黑体"/>
          <w:snapToGrid w:val="0"/>
          <w:sz w:val="36"/>
          <w:szCs w:val="36"/>
        </w:rPr>
        <w:br w:type="page"/>
      </w:r>
      <w:r>
        <w:rPr>
          <w:rFonts w:hint="eastAsia" w:ascii="Times New Roman" w:hAnsi="Times New Roman" w:eastAsia="黑体"/>
          <w:snapToGrid w:val="0"/>
          <w:sz w:val="30"/>
          <w:szCs w:val="30"/>
        </w:rPr>
        <w:t>四、主要环境影响和保护措施</w:t>
      </w:r>
    </w:p>
    <w:tbl>
      <w:tblPr>
        <w:tblStyle w:val="18"/>
        <w:tblW w:w="89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81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748" w:type="dxa"/>
            <w:tcMar>
              <w:left w:w="28" w:type="dxa"/>
              <w:right w:w="28" w:type="dxa"/>
            </w:tcMar>
            <w:vAlign w:val="center"/>
          </w:tcPr>
          <w:p>
            <w:pPr>
              <w:adjustRightInd w:val="0"/>
              <w:snapToGrid w:val="0"/>
              <w:ind w:firstLine="0" w:firstLineChars="0"/>
              <w:jc w:val="center"/>
              <w:rPr>
                <w:rFonts w:hint="eastAsia" w:eastAsia="宋体" w:cs="宋体"/>
                <w:bCs/>
                <w:szCs w:val="21"/>
                <w:lang w:eastAsia="zh-CN"/>
              </w:rPr>
            </w:pPr>
            <w:r>
              <w:rPr>
                <w:rFonts w:hint="eastAsia" w:cs="宋体"/>
                <w:bCs/>
                <w:szCs w:val="21"/>
                <w:lang w:eastAsia="zh-CN"/>
              </w:rPr>
              <w:t>施工期环境保护措施</w:t>
            </w:r>
          </w:p>
        </w:tc>
        <w:tc>
          <w:tcPr>
            <w:tcW w:w="8164" w:type="dxa"/>
          </w:tcPr>
          <w:p>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cs="宋体"/>
                <w:b/>
                <w:bCs/>
                <w:color w:val="000000"/>
                <w:kern w:val="0"/>
                <w:sz w:val="28"/>
                <w:szCs w:val="28"/>
                <w:lang w:val="en-US" w:eastAsia="zh-CN" w:bidi="ar"/>
              </w:rPr>
              <w:t>4.1施工期环境保护措施</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本项目利用租赁</w:t>
            </w:r>
            <w:r>
              <w:rPr>
                <w:rFonts w:hint="eastAsia" w:ascii="宋体" w:hAnsi="宋体" w:cs="宋体"/>
                <w:color w:val="000000"/>
                <w:kern w:val="0"/>
                <w:sz w:val="24"/>
                <w:szCs w:val="24"/>
                <w:lang w:val="en-US" w:eastAsia="zh-CN" w:bidi="ar"/>
              </w:rPr>
              <w:t>场地</w:t>
            </w:r>
            <w:r>
              <w:rPr>
                <w:rFonts w:hint="eastAsia" w:ascii="宋体" w:hAnsi="宋体" w:eastAsia="宋体" w:cs="宋体"/>
                <w:color w:val="000000"/>
                <w:kern w:val="0"/>
                <w:sz w:val="24"/>
                <w:szCs w:val="24"/>
                <w:lang w:val="en-US" w:eastAsia="zh-CN" w:bidi="ar"/>
              </w:rPr>
              <w:t>进行</w:t>
            </w:r>
            <w:r>
              <w:rPr>
                <w:rFonts w:hint="eastAsia" w:ascii="宋体" w:hAnsi="宋体" w:cs="宋体"/>
                <w:color w:val="000000"/>
                <w:kern w:val="0"/>
                <w:sz w:val="24"/>
                <w:szCs w:val="24"/>
                <w:lang w:val="en-US" w:eastAsia="zh-CN" w:bidi="ar"/>
              </w:rPr>
              <w:t>生产</w:t>
            </w:r>
            <w:r>
              <w:rPr>
                <w:rFonts w:hint="eastAsia" w:ascii="宋体" w:hAnsi="宋体" w:eastAsia="宋体" w:cs="宋体"/>
                <w:color w:val="000000"/>
                <w:kern w:val="0"/>
                <w:sz w:val="24"/>
                <w:szCs w:val="24"/>
                <w:lang w:val="en-US" w:eastAsia="zh-CN" w:bidi="ar"/>
              </w:rPr>
              <w:t>建设，施工期的工程内容较为简单，主要为</w:t>
            </w:r>
            <w:r>
              <w:rPr>
                <w:rFonts w:hint="eastAsia" w:ascii="宋体" w:hAnsi="宋体" w:cs="宋体"/>
                <w:color w:val="000000"/>
                <w:kern w:val="0"/>
                <w:sz w:val="24"/>
                <w:szCs w:val="24"/>
                <w:lang w:val="en-US" w:eastAsia="zh-CN" w:bidi="ar"/>
              </w:rPr>
              <w:t>场地平整、行车架设、设备安装等</w:t>
            </w:r>
            <w:r>
              <w:rPr>
                <w:rFonts w:hint="eastAsia" w:ascii="宋体" w:hAnsi="宋体" w:eastAsia="宋体" w:cs="宋体"/>
                <w:color w:val="000000"/>
                <w:kern w:val="0"/>
                <w:sz w:val="24"/>
                <w:szCs w:val="24"/>
                <w:lang w:val="en-US" w:eastAsia="zh-CN" w:bidi="ar"/>
              </w:rPr>
              <w:t>，且施工工期短，施工期的环境影响随着施工结束而结束。</w:t>
            </w:r>
          </w:p>
          <w:p>
            <w:pPr>
              <w:keepNext w:val="0"/>
              <w:keepLines w:val="0"/>
              <w:widowControl/>
              <w:suppressLineNumbers w:val="0"/>
              <w:ind w:left="0" w:leftChars="0" w:firstLine="0" w:firstLineChars="0"/>
              <w:jc w:val="left"/>
            </w:pPr>
            <w:r>
              <w:rPr>
                <w:rFonts w:hint="eastAsia" w:ascii="宋体" w:hAnsi="宋体" w:cs="宋体"/>
                <w:b/>
                <w:bCs/>
                <w:color w:val="000000"/>
                <w:kern w:val="0"/>
                <w:sz w:val="24"/>
                <w:szCs w:val="24"/>
                <w:lang w:val="en-US" w:eastAsia="zh-CN" w:bidi="ar"/>
              </w:rPr>
              <w:t>4.1.1</w:t>
            </w:r>
            <w:r>
              <w:rPr>
                <w:rFonts w:hint="eastAsia" w:ascii="宋体" w:hAnsi="宋体" w:eastAsia="宋体" w:cs="宋体"/>
                <w:b/>
                <w:bCs/>
                <w:color w:val="000000"/>
                <w:kern w:val="0"/>
                <w:sz w:val="24"/>
                <w:szCs w:val="24"/>
                <w:lang w:val="en-US" w:eastAsia="zh-CN" w:bidi="ar"/>
              </w:rPr>
              <w:t>施工扬尘防治措施</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施工期扬尘产生源主要有：车辆行驶造成的道路扬尘。</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运输设备车辆进入厂区后需低速行驶，厂区地面每天需进行洒水不低于</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次，并对进出厂区车辆进行冲洗。</w:t>
            </w:r>
          </w:p>
          <w:p>
            <w:pPr>
              <w:keepNext w:val="0"/>
              <w:keepLines w:val="0"/>
              <w:widowControl/>
              <w:suppressLineNumbers w:val="0"/>
              <w:ind w:left="0" w:leftChars="0" w:firstLine="0" w:firstLineChars="0"/>
              <w:jc w:val="left"/>
            </w:pPr>
            <w:r>
              <w:rPr>
                <w:rFonts w:hint="eastAsia" w:ascii="宋体" w:hAnsi="宋体" w:cs="宋体"/>
                <w:b/>
                <w:bCs/>
                <w:color w:val="000000"/>
                <w:kern w:val="0"/>
                <w:sz w:val="24"/>
                <w:szCs w:val="24"/>
                <w:lang w:val="en-US" w:eastAsia="zh-CN" w:bidi="ar"/>
              </w:rPr>
              <w:t>4.1.2</w:t>
            </w:r>
            <w:r>
              <w:rPr>
                <w:rFonts w:hint="eastAsia" w:ascii="宋体" w:hAnsi="宋体" w:eastAsia="宋体" w:cs="宋体"/>
                <w:b/>
                <w:bCs/>
                <w:color w:val="000000"/>
                <w:kern w:val="0"/>
                <w:sz w:val="24"/>
                <w:szCs w:val="24"/>
                <w:lang w:val="en-US" w:eastAsia="zh-CN" w:bidi="ar"/>
              </w:rPr>
              <w:t>施工废水防治措施</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施工期废水主要为施工人员生活污水。</w:t>
            </w:r>
          </w:p>
          <w:p>
            <w:pPr>
              <w:keepNext w:val="0"/>
              <w:keepLines w:val="0"/>
              <w:widowControl/>
              <w:suppressLineNumbers w:val="0"/>
              <w:jc w:val="left"/>
            </w:pPr>
            <w:r>
              <w:rPr>
                <w:rFonts w:hint="default" w:ascii="Times New Roman" w:hAnsi="Times New Roman" w:eastAsia="宋体" w:cs="Times New Roman"/>
                <w:color w:val="auto"/>
                <w:sz w:val="24"/>
                <w:szCs w:val="24"/>
              </w:rPr>
              <w:t>建设单位应管理好施工队伍，禁止生活污水随意泼洒。生活污水</w:t>
            </w:r>
            <w:r>
              <w:rPr>
                <w:rFonts w:hint="default" w:ascii="Times New Roman" w:hAnsi="Times New Roman" w:eastAsia="宋体" w:cs="Times New Roman"/>
                <w:color w:val="auto"/>
                <w:sz w:val="24"/>
                <w:szCs w:val="24"/>
                <w:lang w:eastAsia="zh-CN"/>
              </w:rPr>
              <w:t>依托现有卫生设施排放，可直接排入园区排水管网</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不会对周围环境产生影响</w:t>
            </w:r>
            <w:r>
              <w:rPr>
                <w:rFonts w:hint="default" w:ascii="Times New Roman" w:hAnsi="Times New Roman" w:eastAsia="宋体" w:cs="Times New Roman"/>
                <w:color w:val="auto"/>
                <w:sz w:val="24"/>
                <w:szCs w:val="24"/>
              </w:rPr>
              <w:t>。</w:t>
            </w:r>
          </w:p>
          <w:p>
            <w:pPr>
              <w:keepNext w:val="0"/>
              <w:keepLines w:val="0"/>
              <w:widowControl/>
              <w:suppressLineNumbers w:val="0"/>
              <w:ind w:left="0" w:leftChars="0" w:firstLine="0" w:firstLineChars="0"/>
              <w:jc w:val="left"/>
            </w:pPr>
            <w:r>
              <w:rPr>
                <w:rFonts w:hint="eastAsia" w:ascii="宋体" w:hAnsi="宋体" w:cs="宋体"/>
                <w:b/>
                <w:bCs/>
                <w:color w:val="000000"/>
                <w:kern w:val="0"/>
                <w:sz w:val="24"/>
                <w:szCs w:val="24"/>
                <w:lang w:val="en-US" w:eastAsia="zh-CN" w:bidi="ar"/>
              </w:rPr>
              <w:t>4.1.3</w:t>
            </w:r>
            <w:r>
              <w:rPr>
                <w:rFonts w:hint="eastAsia" w:ascii="宋体" w:hAnsi="宋体" w:eastAsia="宋体" w:cs="宋体"/>
                <w:b/>
                <w:bCs/>
                <w:color w:val="000000"/>
                <w:kern w:val="0"/>
                <w:sz w:val="24"/>
                <w:szCs w:val="24"/>
                <w:lang w:val="en-US" w:eastAsia="zh-CN" w:bidi="ar"/>
              </w:rPr>
              <w:t>施工噪声防治措施</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施工期产生的噪声主要来自于</w:t>
            </w:r>
            <w:r>
              <w:rPr>
                <w:rFonts w:hint="eastAsia" w:ascii="宋体" w:hAnsi="宋体" w:cs="宋体"/>
                <w:color w:val="000000"/>
                <w:kern w:val="0"/>
                <w:sz w:val="24"/>
                <w:szCs w:val="24"/>
                <w:lang w:val="en-US" w:eastAsia="zh-CN" w:bidi="ar"/>
              </w:rPr>
              <w:t>设备安装</w:t>
            </w:r>
            <w:r>
              <w:rPr>
                <w:rFonts w:hint="eastAsia" w:ascii="宋体" w:hAnsi="宋体" w:eastAsia="宋体" w:cs="宋体"/>
                <w:color w:val="000000"/>
                <w:kern w:val="0"/>
                <w:sz w:val="24"/>
                <w:szCs w:val="24"/>
                <w:lang w:val="en-US" w:eastAsia="zh-CN" w:bidi="ar"/>
              </w:rPr>
              <w:t>和运输车辆。</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为减少施工噪声对周边环境的影响，结合施工进展，采取如下防治措施：</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）运输设备车辆要选择合适的时间、路线进行运输，运输车辆行驶路线尽量避开居民点和环境敏感点，车辆出入现场时应低速、禁鸣。</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）尽量选用低噪声施工机械，安装</w:t>
            </w:r>
            <w:r>
              <w:rPr>
                <w:rFonts w:hint="eastAsia" w:ascii="宋体" w:hAnsi="宋体" w:cs="宋体"/>
                <w:color w:val="000000"/>
                <w:kern w:val="0"/>
                <w:sz w:val="24"/>
                <w:szCs w:val="24"/>
                <w:lang w:val="en-US" w:eastAsia="zh-CN" w:bidi="ar"/>
              </w:rPr>
              <w:t>减震</w:t>
            </w:r>
            <w:r>
              <w:rPr>
                <w:rFonts w:hint="eastAsia" w:ascii="宋体" w:hAnsi="宋体" w:eastAsia="宋体" w:cs="宋体"/>
                <w:color w:val="000000"/>
                <w:kern w:val="0"/>
                <w:sz w:val="24"/>
                <w:szCs w:val="24"/>
                <w:lang w:val="en-US" w:eastAsia="zh-CN" w:bidi="ar"/>
              </w:rPr>
              <w:t>装置，施工机械要合理布局</w:t>
            </w:r>
            <w:r>
              <w:rPr>
                <w:rFonts w:hint="eastAsia" w:ascii="宋体" w:hAnsi="宋体" w:cs="宋体"/>
                <w:color w:val="000000"/>
                <w:kern w:val="0"/>
                <w:sz w:val="24"/>
                <w:szCs w:val="24"/>
                <w:lang w:val="en-US" w:eastAsia="zh-CN" w:bidi="ar"/>
              </w:rPr>
              <w:t>。</w:t>
            </w:r>
          </w:p>
          <w:p>
            <w:pPr>
              <w:keepNext w:val="0"/>
              <w:keepLines w:val="0"/>
              <w:widowControl/>
              <w:suppressLineNumbers w:val="0"/>
              <w:ind w:left="0" w:leftChars="0" w:firstLine="0" w:firstLineChars="0"/>
              <w:jc w:val="left"/>
            </w:pPr>
            <w:r>
              <w:rPr>
                <w:rFonts w:hint="eastAsia" w:ascii="宋体" w:hAnsi="宋体" w:cs="宋体"/>
                <w:b/>
                <w:bCs/>
                <w:color w:val="000000"/>
                <w:kern w:val="0"/>
                <w:sz w:val="24"/>
                <w:szCs w:val="24"/>
                <w:lang w:val="en-US" w:eastAsia="zh-CN" w:bidi="ar"/>
              </w:rPr>
              <w:t>4.1.4</w:t>
            </w:r>
            <w:r>
              <w:rPr>
                <w:rFonts w:hint="eastAsia" w:ascii="宋体" w:hAnsi="宋体" w:eastAsia="宋体" w:cs="宋体"/>
                <w:b/>
                <w:bCs/>
                <w:color w:val="000000"/>
                <w:kern w:val="0"/>
                <w:sz w:val="24"/>
                <w:szCs w:val="24"/>
                <w:lang w:val="en-US" w:eastAsia="zh-CN" w:bidi="ar"/>
              </w:rPr>
              <w:t>固体废物防治措施</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施工期固体废物主要为施工过程中施工人员产生的生活垃圾。</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施工人员产生的生活垃圾集中收集后，由环卫部门统一清运。</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综上，本项目施工期在采取合理有效的环境保护措施后，不会对周围环境造成影响。</w:t>
            </w:r>
          </w:p>
        </w:tc>
      </w:tr>
    </w:tbl>
    <w:p>
      <w:pPr>
        <w:adjustRightInd w:val="0"/>
        <w:snapToGrid w:val="0"/>
        <w:ind w:firstLine="0" w:firstLineChars="0"/>
        <w:jc w:val="center"/>
        <w:rPr>
          <w:rFonts w:hint="eastAsia" w:cs="宋体"/>
          <w:bCs/>
          <w:szCs w:val="21"/>
        </w:rPr>
      </w:pPr>
      <w:r>
        <w:rPr>
          <w:rFonts w:hint="eastAsia" w:cs="宋体"/>
          <w:bCs/>
          <w:szCs w:val="21"/>
        </w:rPr>
        <w:br w:type="page"/>
      </w:r>
    </w:p>
    <w:tbl>
      <w:tblPr>
        <w:tblStyle w:val="18"/>
        <w:tblW w:w="89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81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748" w:type="dxa"/>
            <w:tcMar>
              <w:left w:w="28" w:type="dxa"/>
              <w:right w:w="28" w:type="dxa"/>
            </w:tcMar>
            <w:vAlign w:val="center"/>
          </w:tcPr>
          <w:p>
            <w:pPr>
              <w:adjustRightInd w:val="0"/>
              <w:snapToGrid w:val="0"/>
              <w:ind w:firstLine="0" w:firstLineChars="0"/>
              <w:jc w:val="center"/>
              <w:rPr>
                <w:rFonts w:cs="宋体"/>
                <w:bCs/>
                <w:color w:val="000000" w:themeColor="text1"/>
                <w:szCs w:val="21"/>
                <w:highlight w:val="none"/>
                <w14:textFill>
                  <w14:solidFill>
                    <w14:schemeClr w14:val="tx1"/>
                  </w14:solidFill>
                </w14:textFill>
              </w:rPr>
            </w:pPr>
            <w:r>
              <w:rPr>
                <w:rFonts w:hint="eastAsia" w:cs="宋体"/>
                <w:bCs/>
                <w:color w:val="000000" w:themeColor="text1"/>
                <w:szCs w:val="21"/>
                <w:highlight w:val="none"/>
                <w14:textFill>
                  <w14:solidFill>
                    <w14:schemeClr w14:val="tx1"/>
                  </w14:solidFill>
                </w14:textFill>
              </w:rPr>
              <w:t>运营</w:t>
            </w:r>
          </w:p>
          <w:p>
            <w:pPr>
              <w:adjustRightInd w:val="0"/>
              <w:snapToGrid w:val="0"/>
              <w:ind w:firstLine="0" w:firstLineChars="0"/>
              <w:jc w:val="center"/>
              <w:rPr>
                <w:rFonts w:cs="宋体"/>
                <w:bCs/>
                <w:color w:val="000000" w:themeColor="text1"/>
                <w:szCs w:val="21"/>
                <w:highlight w:val="none"/>
                <w14:textFill>
                  <w14:solidFill>
                    <w14:schemeClr w14:val="tx1"/>
                  </w14:solidFill>
                </w14:textFill>
              </w:rPr>
            </w:pPr>
            <w:r>
              <w:rPr>
                <w:rFonts w:hint="eastAsia" w:cs="宋体"/>
                <w:bCs/>
                <w:color w:val="000000" w:themeColor="text1"/>
                <w:szCs w:val="21"/>
                <w:highlight w:val="none"/>
                <w14:textFill>
                  <w14:solidFill>
                    <w14:schemeClr w14:val="tx1"/>
                  </w14:solidFill>
                </w14:textFill>
              </w:rPr>
              <w:t>期环</w:t>
            </w:r>
          </w:p>
          <w:p>
            <w:pPr>
              <w:adjustRightInd w:val="0"/>
              <w:snapToGrid w:val="0"/>
              <w:ind w:firstLine="0" w:firstLineChars="0"/>
              <w:jc w:val="center"/>
              <w:rPr>
                <w:rFonts w:cs="宋体"/>
                <w:bCs/>
                <w:color w:val="000000" w:themeColor="text1"/>
                <w:szCs w:val="21"/>
                <w:highlight w:val="none"/>
                <w14:textFill>
                  <w14:solidFill>
                    <w14:schemeClr w14:val="tx1"/>
                  </w14:solidFill>
                </w14:textFill>
              </w:rPr>
            </w:pPr>
            <w:r>
              <w:rPr>
                <w:rFonts w:hint="eastAsia" w:cs="宋体"/>
                <w:bCs/>
                <w:color w:val="000000" w:themeColor="text1"/>
                <w:szCs w:val="21"/>
                <w:highlight w:val="none"/>
                <w14:textFill>
                  <w14:solidFill>
                    <w14:schemeClr w14:val="tx1"/>
                  </w14:solidFill>
                </w14:textFill>
              </w:rPr>
              <w:t>境影</w:t>
            </w:r>
          </w:p>
          <w:p>
            <w:pPr>
              <w:adjustRightInd w:val="0"/>
              <w:snapToGrid w:val="0"/>
              <w:ind w:firstLine="0" w:firstLineChars="0"/>
              <w:jc w:val="center"/>
              <w:rPr>
                <w:rFonts w:cs="宋体"/>
                <w:bCs/>
                <w:color w:val="000000" w:themeColor="text1"/>
                <w:szCs w:val="21"/>
                <w:highlight w:val="none"/>
                <w14:textFill>
                  <w14:solidFill>
                    <w14:schemeClr w14:val="tx1"/>
                  </w14:solidFill>
                </w14:textFill>
              </w:rPr>
            </w:pPr>
            <w:r>
              <w:rPr>
                <w:rFonts w:hint="eastAsia" w:cs="宋体"/>
                <w:bCs/>
                <w:color w:val="000000" w:themeColor="text1"/>
                <w:szCs w:val="21"/>
                <w:highlight w:val="none"/>
                <w14:textFill>
                  <w14:solidFill>
                    <w14:schemeClr w14:val="tx1"/>
                  </w14:solidFill>
                </w14:textFill>
              </w:rPr>
              <w:t>响和</w:t>
            </w:r>
          </w:p>
          <w:p>
            <w:pPr>
              <w:adjustRightInd w:val="0"/>
              <w:snapToGrid w:val="0"/>
              <w:ind w:firstLine="0" w:firstLineChars="0"/>
              <w:jc w:val="center"/>
              <w:rPr>
                <w:rFonts w:cs="宋体"/>
                <w:bCs/>
                <w:color w:val="000000" w:themeColor="text1"/>
                <w:szCs w:val="21"/>
                <w:highlight w:val="none"/>
                <w14:textFill>
                  <w14:solidFill>
                    <w14:schemeClr w14:val="tx1"/>
                  </w14:solidFill>
                </w14:textFill>
              </w:rPr>
            </w:pPr>
            <w:r>
              <w:rPr>
                <w:rFonts w:hint="eastAsia" w:cs="宋体"/>
                <w:bCs/>
                <w:color w:val="000000" w:themeColor="text1"/>
                <w:szCs w:val="21"/>
                <w:highlight w:val="none"/>
                <w14:textFill>
                  <w14:solidFill>
                    <w14:schemeClr w14:val="tx1"/>
                  </w14:solidFill>
                </w14:textFill>
              </w:rPr>
              <w:t>保护</w:t>
            </w:r>
          </w:p>
          <w:p>
            <w:pPr>
              <w:adjustRightInd w:val="0"/>
              <w:snapToGrid w:val="0"/>
              <w:ind w:firstLine="0" w:firstLineChars="0"/>
              <w:jc w:val="center"/>
              <w:rPr>
                <w:rFonts w:cs="宋体"/>
                <w:bCs/>
                <w:color w:val="000000" w:themeColor="text1"/>
                <w:szCs w:val="21"/>
                <w:highlight w:val="none"/>
                <w14:textFill>
                  <w14:solidFill>
                    <w14:schemeClr w14:val="tx1"/>
                  </w14:solidFill>
                </w14:textFill>
              </w:rPr>
            </w:pPr>
            <w:r>
              <w:rPr>
                <w:rFonts w:hint="eastAsia" w:cs="宋体"/>
                <w:bCs/>
                <w:color w:val="000000" w:themeColor="text1"/>
                <w:szCs w:val="21"/>
                <w:highlight w:val="none"/>
                <w14:textFill>
                  <w14:solidFill>
                    <w14:schemeClr w14:val="tx1"/>
                  </w14:solidFill>
                </w14:textFill>
              </w:rPr>
              <w:t>措施</w:t>
            </w:r>
          </w:p>
        </w:tc>
        <w:tc>
          <w:tcPr>
            <w:tcW w:w="8164" w:type="dxa"/>
          </w:tcPr>
          <w:p>
            <w:pPr>
              <w:pStyle w:val="3"/>
              <w:pageBreakBefore w:val="0"/>
              <w:widowControl w:val="0"/>
              <w:kinsoku/>
              <w:wordWrap/>
              <w:topLinePunct w:val="0"/>
              <w:autoSpaceDE/>
              <w:autoSpaceDN/>
              <w:bidi w:val="0"/>
              <w:adjustRightInd/>
              <w:snapToGrid w:val="0"/>
              <w:spacing w:before="0" w:after="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废气</w:t>
            </w:r>
          </w:p>
          <w:p>
            <w:pPr>
              <w:pStyle w:val="4"/>
              <w:pageBreakBefore w:val="0"/>
              <w:widowControl w:val="0"/>
              <w:kinsoku/>
              <w:wordWrap/>
              <w:topLinePunct w:val="0"/>
              <w:autoSpaceDE/>
              <w:autoSpaceDN/>
              <w:bidi w:val="0"/>
              <w:adjustRightInd/>
              <w:snapToGrid w:val="0"/>
              <w:spacing w:before="0" w:after="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.1废气产生情况</w:t>
            </w:r>
          </w:p>
          <w:p>
            <w:pPr>
              <w:pStyle w:val="4"/>
              <w:pageBreakBefore w:val="0"/>
              <w:widowControl w:val="0"/>
              <w:kinsoku/>
              <w:wordWrap/>
              <w:overflowPunct/>
              <w:topLinePunct w:val="0"/>
              <w:autoSpaceDE/>
              <w:autoSpaceDN/>
              <w:bidi w:val="0"/>
              <w:adjustRightInd/>
              <w:snapToGrid w:val="0"/>
              <w:spacing w:before="0" w:after="0"/>
              <w:ind w:firstLine="480" w:firstLineChars="200"/>
              <w:jc w:val="left"/>
              <w:textAlignment w:val="auto"/>
              <w:rPr>
                <w:rFonts w:hint="eastAsia" w:eastAsia="宋体"/>
                <w:b w:val="0"/>
                <w:bCs w:val="0"/>
                <w:color w:val="000000" w:themeColor="text1"/>
                <w:highlight w:val="none"/>
                <w:lang w:eastAsia="zh-CN"/>
                <w14:textFill>
                  <w14:solidFill>
                    <w14:schemeClr w14:val="tx1"/>
                  </w14:solidFill>
                </w14:textFill>
              </w:rPr>
            </w:pPr>
            <w:r>
              <w:rPr>
                <w:rFonts w:hint="eastAsia"/>
                <w:b w:val="0"/>
                <w:bCs w:val="0"/>
                <w:color w:val="000000" w:themeColor="text1"/>
                <w:highlight w:val="none"/>
                <w:lang w:eastAsia="zh-CN"/>
                <w14:textFill>
                  <w14:solidFill>
                    <w14:schemeClr w14:val="tx1"/>
                  </w14:solidFill>
                </w14:textFill>
              </w:rPr>
              <w:t>本项目营运过程中大气污染源主要为钢筋骨架成型产生的少量焊接烟尘。</w:t>
            </w:r>
          </w:p>
          <w:p>
            <w:pPr>
              <w:keepNext w:val="0"/>
              <w:keepLines w:val="0"/>
              <w:pageBreakBefore w:val="0"/>
              <w:widowControl w:val="0"/>
              <w:tabs>
                <w:tab w:val="left" w:pos="2926"/>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）有组织排放</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本项目生产中使用的原材料外购商品混凝土，由商混站搅拌好后，经混凝土罐车拉运至生产现场，不存在生产现场进行混凝土拌料，故不存在有组织粉尘产生。</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lang w:eastAsia="zh-CN"/>
                <w14:textFill>
                  <w14:solidFill>
                    <w14:schemeClr w14:val="tx1"/>
                  </w14:solidFill>
                </w14:textFill>
              </w:rPr>
              <w:t>）无组织排放</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根据工程分析，本项目</w:t>
            </w:r>
            <w:r>
              <w:rPr>
                <w:rFonts w:hint="eastAsia" w:cs="Times New Roman"/>
                <w:color w:val="0000FF"/>
                <w:highlight w:val="none"/>
                <w:lang w:eastAsia="zh-CN"/>
              </w:rPr>
              <w:t>焊接工序在密闭生产车间内进行</w:t>
            </w:r>
            <w:r>
              <w:rPr>
                <w:rFonts w:hint="default" w:ascii="Times New Roman" w:hAnsi="Times New Roman" w:cs="Times New Roman"/>
                <w:color w:val="000000" w:themeColor="text1"/>
                <w:highlight w:val="none"/>
                <w:lang w:eastAsia="zh-CN"/>
                <w14:textFill>
                  <w14:solidFill>
                    <w14:schemeClr w14:val="tx1"/>
                  </w14:solidFill>
                </w14:textFill>
              </w:rPr>
              <w:t>，焊接过程中产生的少量烟尘</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FF"/>
                <w:highlight w:val="none"/>
                <w:lang w:eastAsia="zh-CN"/>
              </w:rPr>
              <w:t>经移动式焊烟除尘器处理后</w:t>
            </w:r>
            <w:r>
              <w:rPr>
                <w:rFonts w:hint="default" w:ascii="Times New Roman" w:hAnsi="Times New Roman" w:cs="Times New Roman"/>
                <w:color w:val="000000" w:themeColor="text1"/>
                <w:highlight w:val="none"/>
                <w:lang w:eastAsia="zh-CN"/>
                <w14:textFill>
                  <w14:solidFill>
                    <w14:schemeClr w14:val="tx1"/>
                  </w14:solidFill>
                </w14:textFill>
              </w:rPr>
              <w:t>以无组织形式排放，焊接排放量</w:t>
            </w:r>
            <w:r>
              <w:rPr>
                <w:rFonts w:hint="eastAsia" w:ascii="Times New Roman" w:hAnsi="Times New Roman" w:cs="Times New Roman"/>
                <w:color w:val="000000" w:themeColor="text1"/>
                <w:highlight w:val="none"/>
                <w:lang w:eastAsia="zh-CN"/>
                <w14:textFill>
                  <w14:solidFill>
                    <w14:schemeClr w14:val="tx1"/>
                  </w14:solidFill>
                </w14:textFill>
              </w:rPr>
              <w:t>为</w:t>
            </w:r>
            <w:r>
              <w:rPr>
                <w:rFonts w:hint="eastAsia" w:cs="Times New Roman"/>
                <w:color w:val="000000" w:themeColor="text1"/>
                <w:highlight w:val="none"/>
                <w:lang w:val="en-US" w:eastAsia="zh-CN"/>
                <w14:textFill>
                  <w14:solidFill>
                    <w14:schemeClr w14:val="tx1"/>
                  </w14:solidFill>
                </w14:textFill>
              </w:rPr>
              <w:t>2.62</w:t>
            </w:r>
            <w:r>
              <w:rPr>
                <w:rFonts w:hint="eastAsia" w:ascii="Times New Roman" w:hAnsi="Times New Roman" w:cs="Times New Roman"/>
                <w:color w:val="000000" w:themeColor="text1"/>
                <w:highlight w:val="none"/>
                <w:lang w:val="en-US" w:eastAsia="zh-CN"/>
                <w14:textFill>
                  <w14:solidFill>
                    <w14:schemeClr w14:val="tx1"/>
                  </w14:solidFill>
                </w14:textFill>
              </w:rPr>
              <w:t>kg/a，排放速率为0.00</w:t>
            </w:r>
            <w:r>
              <w:rPr>
                <w:rFonts w:hint="eastAsia" w:cs="Times New Roman"/>
                <w:color w:val="000000" w:themeColor="text1"/>
                <w:highlight w:val="none"/>
                <w:lang w:val="en-US" w:eastAsia="zh-CN"/>
                <w14:textFill>
                  <w14:solidFill>
                    <w14:schemeClr w14:val="tx1"/>
                  </w14:solidFill>
                </w14:textFill>
              </w:rPr>
              <w:t>87</w:t>
            </w:r>
            <w:r>
              <w:rPr>
                <w:rFonts w:hint="eastAsia" w:ascii="Times New Roman" w:hAnsi="Times New Roman" w:cs="Times New Roman"/>
                <w:color w:val="000000" w:themeColor="text1"/>
                <w:highlight w:val="none"/>
                <w:lang w:val="en-US" w:eastAsia="zh-CN"/>
                <w14:textFill>
                  <w14:solidFill>
                    <w14:schemeClr w14:val="tx1"/>
                  </w14:solidFill>
                </w14:textFill>
              </w:rPr>
              <w:t>kg/h。</w:t>
            </w:r>
            <w:r>
              <w:rPr>
                <w:rFonts w:hint="eastAsia"/>
                <w:color w:val="000000" w:themeColor="text1"/>
                <w:highlight w:val="none"/>
                <w:lang w:eastAsia="zh-CN"/>
                <w14:textFill>
                  <w14:solidFill>
                    <w14:schemeClr w14:val="tx1"/>
                  </w14:solidFill>
                </w14:textFill>
              </w:rPr>
              <w:t>按照《环境影响评价技术导则</w:t>
            </w:r>
            <w:r>
              <w:rPr>
                <w:rFonts w:hint="eastAsia"/>
                <w:color w:val="000000" w:themeColor="text1"/>
                <w:highlight w:val="none"/>
                <w:lang w:val="en-US" w:eastAsia="zh-CN"/>
                <w14:textFill>
                  <w14:solidFill>
                    <w14:schemeClr w14:val="tx1"/>
                  </w14:solidFill>
                </w14:textFill>
              </w:rPr>
              <w:t xml:space="preserve"> 大气环境</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HJ2.2-2018</w:t>
            </w:r>
            <w:r>
              <w:rPr>
                <w:rFonts w:hint="eastAsia"/>
                <w:color w:val="000000" w:themeColor="text1"/>
                <w:highlight w:val="none"/>
                <w:lang w:eastAsia="zh-CN"/>
                <w14:textFill>
                  <w14:solidFill>
                    <w14:schemeClr w14:val="tx1"/>
                  </w14:solidFill>
                </w14:textFill>
              </w:rPr>
              <w:t>）中推荐模式中的</w:t>
            </w:r>
            <w:r>
              <w:rPr>
                <w:rFonts w:hint="eastAsia"/>
                <w:color w:val="000000" w:themeColor="text1"/>
                <w:highlight w:val="none"/>
                <w:lang w:val="en-US" w:eastAsia="zh-CN"/>
                <w14:textFill>
                  <w14:solidFill>
                    <w14:schemeClr w14:val="tx1"/>
                  </w14:solidFill>
                </w14:textFill>
              </w:rPr>
              <w:t>AERSCREEN估算模式进行估算，估算结果见表16。</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eastAsia="zh-CN"/>
                <w14:textFill>
                  <w14:solidFill>
                    <w14:schemeClr w14:val="tx1"/>
                  </w14:solidFill>
                </w14:textFill>
              </w:rPr>
              <w:t>表</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16  面源排放参数表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1095"/>
              <w:gridCol w:w="1545"/>
              <w:gridCol w:w="1095"/>
              <w:gridCol w:w="1185"/>
              <w:gridCol w:w="1185"/>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污染源</w:t>
                  </w: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污染因子</w:t>
                  </w:r>
                </w:p>
              </w:tc>
              <w:tc>
                <w:tcPr>
                  <w:tcW w:w="1545"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面源排放速率（</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kg/h</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面源长度（</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m</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p>
              </w:tc>
              <w:tc>
                <w:tcPr>
                  <w:tcW w:w="1185"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面源宽度（</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m</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p>
              </w:tc>
              <w:tc>
                <w:tcPr>
                  <w:tcW w:w="1185"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面源高度（</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m</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p>
              </w:tc>
              <w:tc>
                <w:tcPr>
                  <w:tcW w:w="952"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温度</w:t>
                  </w:r>
                  <w:r>
                    <w:rPr>
                      <w:rFonts w:hint="eastAsia" w:ascii="Times New Roman" w:hAnsi="Times New Roman" w:cs="Times New Roman"/>
                      <w:color w:val="000000" w:themeColor="text1"/>
                      <w:sz w:val="21"/>
                      <w:szCs w:val="21"/>
                      <w:highlight w:val="none"/>
                      <w:vertAlign w:val="baseline"/>
                      <w:lang w:eastAsia="zh-CN"/>
                      <w14:textFill>
                        <w14:solidFill>
                          <w14:schemeClr w14:val="tx1"/>
                        </w14:solidFill>
                      </w14:textFill>
                    </w:rPr>
                    <w:t>（</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w:t>
                  </w:r>
                  <w:r>
                    <w:rPr>
                      <w:rFonts w:hint="eastAsia" w:ascii="Times New Roman" w:hAnsi="Times New Roman" w:cs="Times New Roman"/>
                      <w:color w:val="000000" w:themeColor="text1"/>
                      <w:sz w:val="21"/>
                      <w:szCs w:val="21"/>
                      <w:highlight w:val="none"/>
                      <w:vertAlign w:val="baseli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eastAsia="zh-CN"/>
                      <w14:textFill>
                        <w14:solidFill>
                          <w14:schemeClr w14:val="tx1"/>
                        </w14:solidFill>
                      </w14:textFill>
                    </w:rPr>
                    <w:t>焊接</w:t>
                  </w: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eastAsia="zh-CN"/>
                      <w14:textFill>
                        <w14:solidFill>
                          <w14:schemeClr w14:val="tx1"/>
                        </w14:solidFill>
                      </w14:textFill>
                    </w:rPr>
                    <w:t>焊接烟尘</w:t>
                  </w:r>
                </w:p>
              </w:tc>
              <w:tc>
                <w:tcPr>
                  <w:tcW w:w="1545"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0.00</w:t>
                  </w:r>
                  <w:r>
                    <w:rPr>
                      <w:rFonts w:hint="eastAsia" w:cs="Times New Roman"/>
                      <w:color w:val="000000" w:themeColor="text1"/>
                      <w:sz w:val="21"/>
                      <w:szCs w:val="21"/>
                      <w:highlight w:val="none"/>
                      <w:vertAlign w:val="baseline"/>
                      <w:lang w:val="en-US" w:eastAsia="zh-CN"/>
                      <w14:textFill>
                        <w14:solidFill>
                          <w14:schemeClr w14:val="tx1"/>
                        </w14:solidFill>
                      </w14:textFill>
                    </w:rPr>
                    <w:t>87</w:t>
                  </w: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124</w:t>
                  </w:r>
                </w:p>
              </w:tc>
              <w:tc>
                <w:tcPr>
                  <w:tcW w:w="1185"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73</w:t>
                  </w:r>
                </w:p>
              </w:tc>
              <w:tc>
                <w:tcPr>
                  <w:tcW w:w="1185"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3.5</w:t>
                  </w:r>
                </w:p>
              </w:tc>
              <w:tc>
                <w:tcPr>
                  <w:tcW w:w="952"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30</w:t>
                  </w:r>
                </w:p>
              </w:tc>
            </w:tr>
          </w:tbl>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eastAsia="zh-CN"/>
                <w14:textFill>
                  <w14:solidFill>
                    <w14:schemeClr w14:val="tx1"/>
                  </w14:solidFill>
                </w14:textFill>
              </w:rPr>
              <w:t>表</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17  无组织排放厂界浓度情况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432"/>
              <w:gridCol w:w="253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highlight w:val="none"/>
                      <w:vertAlign w:val="baseline"/>
                      <w:lang w:eastAsia="zh-CN"/>
                      <w14:textFill>
                        <w14:solidFill>
                          <w14:schemeClr w14:val="tx1"/>
                        </w14:solidFill>
                      </w14:textFill>
                    </w:rPr>
                  </w:pPr>
                  <w:r>
                    <w:rPr>
                      <w:rFonts w:hint="eastAsia"/>
                      <w:color w:val="000000" w:themeColor="text1"/>
                      <w:sz w:val="21"/>
                      <w:szCs w:val="21"/>
                      <w:highlight w:val="none"/>
                      <w:vertAlign w:val="baseline"/>
                      <w:lang w:eastAsia="zh-CN"/>
                      <w14:textFill>
                        <w14:solidFill>
                          <w14:schemeClr w14:val="tx1"/>
                        </w14:solidFill>
                      </w14:textFill>
                    </w:rPr>
                    <w:t>污染物</w:t>
                  </w:r>
                </w:p>
              </w:tc>
              <w:tc>
                <w:tcPr>
                  <w:tcW w:w="1432"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eastAsia="zh-CN"/>
                      <w14:textFill>
                        <w14:solidFill>
                          <w14:schemeClr w14:val="tx1"/>
                        </w14:solidFill>
                      </w14:textFill>
                    </w:rPr>
                    <w:t>方位</w:t>
                  </w:r>
                  <w:r>
                    <w:rPr>
                      <w:rFonts w:hint="eastAsia"/>
                      <w:color w:val="000000" w:themeColor="text1"/>
                      <w:sz w:val="21"/>
                      <w:szCs w:val="21"/>
                      <w:highlight w:val="none"/>
                      <w:vertAlign w:val="baseline"/>
                      <w:lang w:val="en-US" w:eastAsia="zh-CN"/>
                      <w14:textFill>
                        <w14:solidFill>
                          <w14:schemeClr w14:val="tx1"/>
                        </w14:solidFill>
                      </w14:textFill>
                    </w:rPr>
                    <w:t>/距离m</w:t>
                  </w:r>
                </w:p>
              </w:tc>
              <w:tc>
                <w:tcPr>
                  <w:tcW w:w="2537"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eastAsia="zh-CN"/>
                      <w14:textFill>
                        <w14:solidFill>
                          <w14:schemeClr w14:val="tx1"/>
                        </w14:solidFill>
                      </w14:textFill>
                    </w:rPr>
                    <w:t>厂界浓度（</w:t>
                  </w:r>
                  <w:r>
                    <w:rPr>
                      <w:rFonts w:hint="eastAsia"/>
                      <w:color w:val="000000" w:themeColor="text1"/>
                      <w:sz w:val="21"/>
                      <w:szCs w:val="21"/>
                      <w:highlight w:val="none"/>
                      <w:vertAlign w:val="baseline"/>
                      <w:lang w:val="en-US" w:eastAsia="zh-CN"/>
                      <w14:textFill>
                        <w14:solidFill>
                          <w14:schemeClr w14:val="tx1"/>
                        </w14:solidFill>
                      </w14:textFill>
                    </w:rPr>
                    <w:t>mg/m</w:t>
                  </w:r>
                  <w:r>
                    <w:rPr>
                      <w:rFonts w:hint="eastAsia"/>
                      <w:color w:val="000000" w:themeColor="text1"/>
                      <w:sz w:val="21"/>
                      <w:szCs w:val="21"/>
                      <w:highlight w:val="none"/>
                      <w:vertAlign w:val="superscript"/>
                      <w:lang w:val="en-US" w:eastAsia="zh-CN"/>
                      <w14:textFill>
                        <w14:solidFill>
                          <w14:schemeClr w14:val="tx1"/>
                        </w14:solidFill>
                      </w14:textFill>
                    </w:rPr>
                    <w:t>3</w:t>
                  </w:r>
                  <w:r>
                    <w:rPr>
                      <w:rFonts w:hint="eastAsia"/>
                      <w:color w:val="000000" w:themeColor="text1"/>
                      <w:sz w:val="21"/>
                      <w:szCs w:val="21"/>
                      <w:highlight w:val="none"/>
                      <w:vertAlign w:val="baseline"/>
                      <w:lang w:eastAsia="zh-CN"/>
                      <w14:textFill>
                        <w14:solidFill>
                          <w14:schemeClr w14:val="tx1"/>
                        </w14:solidFill>
                      </w14:textFill>
                    </w:rPr>
                    <w:t>）</w:t>
                  </w:r>
                </w:p>
              </w:tc>
              <w:tc>
                <w:tcPr>
                  <w:tcW w:w="1985"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highlight w:val="none"/>
                      <w:vertAlign w:val="baseline"/>
                      <w:lang w:eastAsia="zh-CN"/>
                      <w14:textFill>
                        <w14:solidFill>
                          <w14:schemeClr w14:val="tx1"/>
                        </w14:solidFill>
                      </w14:textFill>
                    </w:rPr>
                  </w:pPr>
                  <w:r>
                    <w:rPr>
                      <w:rFonts w:hint="eastAsia"/>
                      <w:color w:val="000000" w:themeColor="text1"/>
                      <w:sz w:val="21"/>
                      <w:szCs w:val="21"/>
                      <w:highlight w:val="none"/>
                      <w:vertAlign w:val="baseline"/>
                      <w:lang w:eastAsia="zh-CN"/>
                      <w14:textFill>
                        <w14:solidFill>
                          <w14:schemeClr w14:val="tx1"/>
                        </w14:solidFill>
                      </w14:textFill>
                    </w:rPr>
                    <w:t>执行标准（</w:t>
                  </w:r>
                  <w:r>
                    <w:rPr>
                      <w:rFonts w:hint="eastAsia"/>
                      <w:color w:val="000000" w:themeColor="text1"/>
                      <w:sz w:val="21"/>
                      <w:szCs w:val="21"/>
                      <w:highlight w:val="none"/>
                      <w:vertAlign w:val="baseline"/>
                      <w:lang w:val="en-US" w:eastAsia="zh-CN"/>
                      <w14:textFill>
                        <w14:solidFill>
                          <w14:schemeClr w14:val="tx1"/>
                        </w14:solidFill>
                      </w14:textFill>
                    </w:rPr>
                    <w:t>mg/m</w:t>
                  </w:r>
                  <w:r>
                    <w:rPr>
                      <w:rFonts w:hint="eastAsia"/>
                      <w:color w:val="000000" w:themeColor="text1"/>
                      <w:sz w:val="21"/>
                      <w:szCs w:val="21"/>
                      <w:highlight w:val="none"/>
                      <w:vertAlign w:val="superscript"/>
                      <w:lang w:val="en-US" w:eastAsia="zh-CN"/>
                      <w14:textFill>
                        <w14:solidFill>
                          <w14:schemeClr w14:val="tx1"/>
                        </w14:solidFill>
                      </w14:textFill>
                    </w:rPr>
                    <w:t>3</w:t>
                  </w:r>
                  <w:r>
                    <w:rPr>
                      <w:rFonts w:hint="eastAsia"/>
                      <w:color w:val="000000" w:themeColor="text1"/>
                      <w:sz w:val="21"/>
                      <w:szCs w:val="21"/>
                      <w:highlight w:val="none"/>
                      <w:vertAlign w:val="baseli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restar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highlight w:val="none"/>
                      <w:vertAlign w:val="baseline"/>
                      <w:lang w:eastAsia="zh-CN"/>
                      <w14:textFill>
                        <w14:solidFill>
                          <w14:schemeClr w14:val="tx1"/>
                        </w14:solidFill>
                      </w14:textFill>
                    </w:rPr>
                  </w:pPr>
                  <w:r>
                    <w:rPr>
                      <w:rFonts w:hint="eastAsia"/>
                      <w:color w:val="000000" w:themeColor="text1"/>
                      <w:sz w:val="21"/>
                      <w:szCs w:val="21"/>
                      <w:highlight w:val="none"/>
                      <w:vertAlign w:val="baseline"/>
                      <w:lang w:eastAsia="zh-CN"/>
                      <w14:textFill>
                        <w14:solidFill>
                          <w14:schemeClr w14:val="tx1"/>
                        </w14:solidFill>
                      </w14:textFill>
                    </w:rPr>
                    <w:t>焊接烟尘</w:t>
                  </w:r>
                </w:p>
              </w:tc>
              <w:tc>
                <w:tcPr>
                  <w:tcW w:w="1432"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eastAsia="zh-CN"/>
                      <w14:textFill>
                        <w14:solidFill>
                          <w14:schemeClr w14:val="tx1"/>
                        </w14:solidFill>
                      </w14:textFill>
                    </w:rPr>
                    <w:t>东厂界</w:t>
                  </w:r>
                  <w:r>
                    <w:rPr>
                      <w:rFonts w:hint="eastAsia"/>
                      <w:color w:val="000000" w:themeColor="text1"/>
                      <w:sz w:val="21"/>
                      <w:szCs w:val="21"/>
                      <w:highlight w:val="none"/>
                      <w:vertAlign w:val="baseline"/>
                      <w:lang w:val="en-US" w:eastAsia="zh-CN"/>
                      <w14:textFill>
                        <w14:solidFill>
                          <w14:schemeClr w14:val="tx1"/>
                        </w14:solidFill>
                      </w14:textFill>
                    </w:rPr>
                    <w:t>/140</w:t>
                  </w:r>
                </w:p>
              </w:tc>
              <w:tc>
                <w:tcPr>
                  <w:tcW w:w="2537"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0.004458</w:t>
                  </w:r>
                </w:p>
              </w:tc>
              <w:tc>
                <w:tcPr>
                  <w:tcW w:w="1985" w:type="dxa"/>
                  <w:vMerge w:val="restar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4" w:type="dxa"/>
                  <w:vMerge w:val="continue"/>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highlight w:val="none"/>
                      <w:vertAlign w:val="baseline"/>
                      <w:lang w:eastAsia="zh-CN"/>
                      <w14:textFill>
                        <w14:solidFill>
                          <w14:schemeClr w14:val="tx1"/>
                        </w14:solidFill>
                      </w14:textFill>
                    </w:rPr>
                  </w:pPr>
                </w:p>
              </w:tc>
              <w:tc>
                <w:tcPr>
                  <w:tcW w:w="1432"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eastAsia="zh-CN"/>
                      <w14:textFill>
                        <w14:solidFill>
                          <w14:schemeClr w14:val="tx1"/>
                        </w14:solidFill>
                      </w14:textFill>
                    </w:rPr>
                    <w:t>南厂界</w:t>
                  </w:r>
                  <w:r>
                    <w:rPr>
                      <w:rFonts w:hint="eastAsia"/>
                      <w:color w:val="000000" w:themeColor="text1"/>
                      <w:sz w:val="21"/>
                      <w:szCs w:val="21"/>
                      <w:highlight w:val="none"/>
                      <w:vertAlign w:val="baseline"/>
                      <w:lang w:val="en-US" w:eastAsia="zh-CN"/>
                      <w14:textFill>
                        <w14:solidFill>
                          <w14:schemeClr w14:val="tx1"/>
                        </w14:solidFill>
                      </w14:textFill>
                    </w:rPr>
                    <w:t>/20</w:t>
                  </w:r>
                </w:p>
              </w:tc>
              <w:tc>
                <w:tcPr>
                  <w:tcW w:w="2537"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0.002154</w:t>
                  </w:r>
                </w:p>
              </w:tc>
              <w:tc>
                <w:tcPr>
                  <w:tcW w:w="1985" w:type="dxa"/>
                  <w:vMerge w:val="continue"/>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highlight w:val="none"/>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highlight w:val="none"/>
                      <w:vertAlign w:val="baseline"/>
                      <w:lang w:eastAsia="zh-CN"/>
                      <w14:textFill>
                        <w14:solidFill>
                          <w14:schemeClr w14:val="tx1"/>
                        </w14:solidFill>
                      </w14:textFill>
                    </w:rPr>
                  </w:pPr>
                </w:p>
              </w:tc>
              <w:tc>
                <w:tcPr>
                  <w:tcW w:w="1432"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eastAsia="zh-CN"/>
                      <w14:textFill>
                        <w14:solidFill>
                          <w14:schemeClr w14:val="tx1"/>
                        </w14:solidFill>
                      </w14:textFill>
                    </w:rPr>
                    <w:t>西厂界</w:t>
                  </w:r>
                  <w:r>
                    <w:rPr>
                      <w:rFonts w:hint="eastAsia"/>
                      <w:color w:val="000000" w:themeColor="text1"/>
                      <w:sz w:val="21"/>
                      <w:szCs w:val="21"/>
                      <w:highlight w:val="none"/>
                      <w:vertAlign w:val="baseline"/>
                      <w:lang w:val="en-US" w:eastAsia="zh-CN"/>
                      <w14:textFill>
                        <w14:solidFill>
                          <w14:schemeClr w14:val="tx1"/>
                        </w14:solidFill>
                      </w14:textFill>
                    </w:rPr>
                    <w:t>/15</w:t>
                  </w:r>
                </w:p>
              </w:tc>
              <w:tc>
                <w:tcPr>
                  <w:tcW w:w="2537"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0.001878</w:t>
                  </w:r>
                </w:p>
              </w:tc>
              <w:tc>
                <w:tcPr>
                  <w:tcW w:w="1985" w:type="dxa"/>
                  <w:vMerge w:val="continue"/>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highlight w:val="none"/>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highlight w:val="none"/>
                      <w:vertAlign w:val="baseline"/>
                      <w:lang w:eastAsia="zh-CN"/>
                      <w14:textFill>
                        <w14:solidFill>
                          <w14:schemeClr w14:val="tx1"/>
                        </w14:solidFill>
                      </w14:textFill>
                    </w:rPr>
                  </w:pPr>
                </w:p>
              </w:tc>
              <w:tc>
                <w:tcPr>
                  <w:tcW w:w="1432"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eastAsia="zh-CN"/>
                      <w14:textFill>
                        <w14:solidFill>
                          <w14:schemeClr w14:val="tx1"/>
                        </w14:solidFill>
                      </w14:textFill>
                    </w:rPr>
                    <w:t>北厂界</w:t>
                  </w:r>
                  <w:r>
                    <w:rPr>
                      <w:rFonts w:hint="eastAsia"/>
                      <w:color w:val="000000" w:themeColor="text1"/>
                      <w:sz w:val="21"/>
                      <w:szCs w:val="21"/>
                      <w:highlight w:val="none"/>
                      <w:vertAlign w:val="baseline"/>
                      <w:lang w:val="en-US" w:eastAsia="zh-CN"/>
                      <w14:textFill>
                        <w14:solidFill>
                          <w14:schemeClr w14:val="tx1"/>
                        </w14:solidFill>
                      </w14:textFill>
                    </w:rPr>
                    <w:t>/5</w:t>
                  </w:r>
                </w:p>
              </w:tc>
              <w:tc>
                <w:tcPr>
                  <w:tcW w:w="2537"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0.001739</w:t>
                  </w:r>
                </w:p>
              </w:tc>
              <w:tc>
                <w:tcPr>
                  <w:tcW w:w="1985" w:type="dxa"/>
                  <w:vMerge w:val="continue"/>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highlight w:val="none"/>
                      <w:vertAlign w:val="baseline"/>
                      <w:lang w:eastAsia="zh-CN"/>
                      <w14:textFill>
                        <w14:solidFill>
                          <w14:schemeClr w14:val="tx1"/>
                        </w14:solidFill>
                      </w14:textFill>
                    </w:rPr>
                  </w:pPr>
                </w:p>
              </w:tc>
            </w:tr>
          </w:tbl>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由上表可知，各厂界焊接烟尘能达到《</w:t>
            </w:r>
            <w:r>
              <w:rPr>
                <w:rFonts w:hint="eastAsia" w:cs="Times New Roman" w:eastAsiaTheme="minorEastAsia"/>
                <w:color w:val="000000" w:themeColor="text1"/>
                <w:kern w:val="0"/>
                <w:sz w:val="24"/>
                <w:szCs w:val="24"/>
                <w:lang w:val="en-US" w:eastAsia="zh-CN" w:bidi="ar"/>
                <w14:textFill>
                  <w14:solidFill>
                    <w14:schemeClr w14:val="tx1"/>
                  </w14:solidFill>
                </w14:textFill>
              </w:rPr>
              <w:t>水泥工业大气污染物排放标准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GB 4915-2013</w:t>
            </w:r>
            <w:r>
              <w:rPr>
                <w:rFonts w:hint="eastAsia"/>
                <w:color w:val="000000" w:themeColor="text1"/>
                <w:highlight w:val="none"/>
                <w:lang w:eastAsia="zh-CN"/>
                <w14:textFill>
                  <w14:solidFill>
                    <w14:schemeClr w14:val="tx1"/>
                  </w14:solidFill>
                </w14:textFill>
              </w:rPr>
              <w:t>）表</w:t>
            </w:r>
            <w:r>
              <w:rPr>
                <w:rFonts w:hint="eastAsia"/>
                <w:color w:val="000000" w:themeColor="text1"/>
                <w:highlight w:val="none"/>
                <w:lang w:val="en-US" w:eastAsia="zh-CN"/>
                <w14:textFill>
                  <w14:solidFill>
                    <w14:schemeClr w14:val="tx1"/>
                  </w14:solidFill>
                </w14:textFill>
              </w:rPr>
              <w:t>3</w:t>
            </w:r>
            <w:r>
              <w:rPr>
                <w:rFonts w:hint="eastAsia" w:cs="Times New Roman"/>
                <w:color w:val="000000" w:themeColor="text1"/>
                <w:highlight w:val="none"/>
                <w:lang w:val="en-US" w:eastAsia="zh-CN"/>
                <w14:textFill>
                  <w14:solidFill>
                    <w14:schemeClr w14:val="tx1"/>
                  </w14:solidFill>
                </w14:textFill>
              </w:rPr>
              <w:t>大气污染物</w:t>
            </w:r>
            <w:r>
              <w:rPr>
                <w:rFonts w:hint="default" w:ascii="Times New Roman" w:hAnsi="Times New Roman" w:cs="Times New Roman"/>
                <w:color w:val="000000" w:themeColor="text1"/>
                <w:highlight w:val="none"/>
                <w:lang w:val="en-US" w:eastAsia="zh-CN"/>
                <w14:textFill>
                  <w14:solidFill>
                    <w14:schemeClr w14:val="tx1"/>
                  </w14:solidFill>
                </w14:textFill>
              </w:rPr>
              <w:t>无组织排放</w:t>
            </w:r>
            <w:r>
              <w:rPr>
                <w:rFonts w:hint="default" w:ascii="Times New Roman" w:hAnsi="Times New Roman" w:cs="Times New Roman"/>
                <w:color w:val="000000" w:themeColor="text1"/>
                <w:highlight w:val="none"/>
                <w:lang w:eastAsia="zh-CN"/>
                <w14:textFill>
                  <w14:solidFill>
                    <w14:schemeClr w14:val="tx1"/>
                  </w14:solidFill>
                </w14:textFill>
              </w:rPr>
              <w:t>限值</w:t>
            </w:r>
            <w:r>
              <w:rPr>
                <w:rFonts w:hint="eastAsia"/>
                <w:color w:val="000000" w:themeColor="text1"/>
                <w:highlight w:val="none"/>
                <w:lang w:val="en-US" w:eastAsia="zh-CN"/>
                <w14:textFill>
                  <w14:solidFill>
                    <w14:schemeClr w14:val="tx1"/>
                  </w14:solidFill>
                </w14:textFill>
              </w:rPr>
              <w:t>。因此，对周边大气环境产生的影响较小。</w:t>
            </w:r>
          </w:p>
          <w:p>
            <w:pPr>
              <w:pStyle w:val="4"/>
              <w:pageBreakBefore w:val="0"/>
              <w:widowControl w:val="0"/>
              <w:kinsoku/>
              <w:wordWrap/>
              <w:overflowPunct/>
              <w:topLinePunct w:val="0"/>
              <w:autoSpaceDE/>
              <w:autoSpaceDN/>
              <w:bidi w:val="0"/>
              <w:adjustRightInd/>
              <w:snapToGrid w:val="0"/>
              <w:spacing w:before="0" w:after="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.2大气污染物防治措施</w:t>
            </w:r>
          </w:p>
          <w:p>
            <w:pPr>
              <w:pStyle w:val="4"/>
              <w:keepNext/>
              <w:keepLines/>
              <w:pageBreakBefore w:val="0"/>
              <w:widowControl w:val="0"/>
              <w:kinsoku/>
              <w:wordWrap/>
              <w:overflowPunct/>
              <w:topLinePunct w:val="0"/>
              <w:autoSpaceDE/>
              <w:autoSpaceDN/>
              <w:bidi w:val="0"/>
              <w:adjustRightInd/>
              <w:snapToGrid w:val="0"/>
              <w:spacing w:before="0" w:after="0"/>
              <w:ind w:firstLine="480" w:firstLineChars="200"/>
              <w:jc w:val="left"/>
              <w:textAlignment w:val="auto"/>
              <w:rPr>
                <w:rFonts w:hint="default" w:ascii="Times New Roman" w:hAnsi="Times New Roman"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b w:val="0"/>
                <w:bCs w:val="0"/>
                <w:color w:val="000000" w:themeColor="text1"/>
                <w:lang w:eastAsia="zh-CN"/>
                <w14:textFill>
                  <w14:solidFill>
                    <w14:schemeClr w14:val="tx1"/>
                  </w14:solidFill>
                </w14:textFill>
              </w:rPr>
              <w:t>本项目堆场采取地面硬化、对</w:t>
            </w:r>
            <w:r>
              <w:rPr>
                <w:rFonts w:hint="eastAsia" w:cs="Times New Roman"/>
                <w:b w:val="0"/>
                <w:bCs w:val="0"/>
                <w:color w:val="000000" w:themeColor="text1"/>
                <w:lang w:eastAsia="zh-CN"/>
                <w14:textFill>
                  <w14:solidFill>
                    <w14:schemeClr w14:val="tx1"/>
                  </w14:solidFill>
                </w14:textFill>
              </w:rPr>
              <w:t>成品</w:t>
            </w:r>
            <w:r>
              <w:rPr>
                <w:rFonts w:hint="default" w:ascii="Times New Roman" w:hAnsi="Times New Roman" w:cs="Times New Roman"/>
                <w:b w:val="0"/>
                <w:bCs w:val="0"/>
                <w:color w:val="000000" w:themeColor="text1"/>
                <w:lang w:eastAsia="zh-CN"/>
                <w14:textFill>
                  <w14:solidFill>
                    <w14:schemeClr w14:val="tx1"/>
                  </w14:solidFill>
                </w14:textFill>
              </w:rPr>
              <w:t>采取覆盖措施，</w:t>
            </w:r>
            <w:r>
              <w:rPr>
                <w:rFonts w:hint="eastAsia" w:cs="Times New Roman"/>
                <w:b w:val="0"/>
                <w:bCs w:val="0"/>
                <w:color w:val="0000FF"/>
                <w:lang w:eastAsia="zh-CN"/>
              </w:rPr>
              <w:t>焊接工序产生的烟尘经移动式焊烟除尘器处理</w:t>
            </w:r>
            <w:r>
              <w:rPr>
                <w:rFonts w:hint="eastAsia" w:cs="Times New Roman"/>
                <w:b w:val="0"/>
                <w:bCs w:val="0"/>
                <w:color w:val="000000" w:themeColor="text1"/>
                <w:lang w:eastAsia="zh-CN"/>
                <w14:textFill>
                  <w14:solidFill>
                    <w14:schemeClr w14:val="tx1"/>
                  </w14:solidFill>
                </w14:textFill>
              </w:rPr>
              <w:t>，</w:t>
            </w:r>
            <w:r>
              <w:rPr>
                <w:rFonts w:hint="default" w:ascii="Times New Roman" w:hAnsi="Times New Roman" w:cs="Times New Roman"/>
                <w:b w:val="0"/>
                <w:bCs w:val="0"/>
                <w:color w:val="000000" w:themeColor="text1"/>
                <w:lang w:eastAsia="zh-CN"/>
                <w14:textFill>
                  <w14:solidFill>
                    <w14:schemeClr w14:val="tx1"/>
                  </w14:solidFill>
                </w14:textFill>
              </w:rPr>
              <w:t>并定期对堆场进行洒水降尘的措施。该措施满足</w:t>
            </w:r>
            <w:r>
              <w:rPr>
                <w:rFonts w:hint="default" w:ascii="Times New Roman" w:hAnsi="Times New Roman" w:cs="Times New Roman"/>
                <w:b w:val="0"/>
                <w:bCs w:val="0"/>
                <w:color w:val="000000" w:themeColor="text1"/>
                <w:sz w:val="24"/>
                <w:szCs w:val="24"/>
                <w14:textFill>
                  <w14:solidFill>
                    <w14:schemeClr w14:val="tx1"/>
                  </w14:solidFill>
                </w14:textFill>
              </w:rPr>
              <w:t>《新疆维吾尔自治区大气污染防治</w:t>
            </w:r>
            <w:r>
              <w:rPr>
                <w:rFonts w:hint="default" w:ascii="Times New Roman" w:hAnsi="Times New Roman" w:cs="Times New Roman"/>
                <w:b w:val="0"/>
                <w:bCs w:val="0"/>
                <w:color w:val="000000" w:themeColor="text1"/>
                <w:sz w:val="24"/>
                <w:szCs w:val="24"/>
                <w:lang w:eastAsia="zh-CN"/>
                <w14:textFill>
                  <w14:solidFill>
                    <w14:schemeClr w14:val="tx1"/>
                  </w14:solidFill>
                </w14:textFill>
              </w:rPr>
              <w:t>条例</w:t>
            </w:r>
            <w:r>
              <w:rPr>
                <w:rFonts w:hint="default" w:ascii="Times New Roman" w:hAnsi="Times New Roman" w:cs="Times New Roman"/>
                <w:b w:val="0"/>
                <w:bCs w:val="0"/>
                <w:color w:val="000000" w:themeColor="text1"/>
                <w:sz w:val="24"/>
                <w:szCs w:val="24"/>
                <w14:textFill>
                  <w14:solidFill>
                    <w14:schemeClr w14:val="tx1"/>
                  </w14:solidFill>
                </w14:textFill>
              </w:rPr>
              <w:t>》</w:t>
            </w:r>
            <w:r>
              <w:rPr>
                <w:rFonts w:hint="default" w:ascii="Times New Roman" w:hAnsi="Times New Roman" w:cs="Times New Roman"/>
                <w:b w:val="0"/>
                <w:bCs w:val="0"/>
                <w:color w:val="000000" w:themeColor="text1"/>
                <w:sz w:val="24"/>
                <w:szCs w:val="24"/>
                <w:lang w:eastAsia="zh-CN"/>
                <w14:textFill>
                  <w14:solidFill>
                    <w14:schemeClr w14:val="tx1"/>
                  </w14:solidFill>
                </w14:textFill>
              </w:rPr>
              <w:t>相关要求，</w:t>
            </w:r>
            <w:r>
              <w:rPr>
                <w:rFonts w:hint="default" w:ascii="Times New Roman" w:hAnsi="Times New Roman" w:cs="Times New Roman"/>
                <w:b w:val="0"/>
                <w:bCs w:val="0"/>
                <w:color w:val="000000" w:themeColor="text1"/>
                <w:lang w:eastAsia="zh-CN"/>
                <w14:textFill>
                  <w14:solidFill>
                    <w14:schemeClr w14:val="tx1"/>
                  </w14:solidFill>
                </w14:textFill>
              </w:rPr>
              <w:t>为《污染源</w:t>
            </w:r>
            <w:r>
              <w:rPr>
                <w:rFonts w:hint="eastAsia" w:ascii="Times New Roman" w:hAnsi="Times New Roman" w:cs="Times New Roman"/>
                <w:b w:val="0"/>
                <w:bCs w:val="0"/>
                <w:color w:val="000000" w:themeColor="text1"/>
                <w:lang w:eastAsia="zh-CN"/>
                <w14:textFill>
                  <w14:solidFill>
                    <w14:schemeClr w14:val="tx1"/>
                  </w14:solidFill>
                </w14:textFill>
              </w:rPr>
              <w:t>源</w:t>
            </w:r>
            <w:r>
              <w:rPr>
                <w:rFonts w:hint="default" w:ascii="Times New Roman" w:hAnsi="Times New Roman" w:cs="Times New Roman"/>
                <w:b w:val="0"/>
                <w:bCs w:val="0"/>
                <w:color w:val="000000" w:themeColor="text1"/>
                <w:lang w:eastAsia="zh-CN"/>
                <w14:textFill>
                  <w14:solidFill>
                    <w14:schemeClr w14:val="tx1"/>
                  </w14:solidFill>
                </w14:textFill>
              </w:rPr>
              <w:t>强核算技术指南</w:t>
            </w:r>
            <w:r>
              <w:rPr>
                <w:rFonts w:hint="default" w:ascii="Times New Roman" w:hAnsi="Times New Roman" w:cs="Times New Roman"/>
                <w:b w:val="0"/>
                <w:bCs w:val="0"/>
                <w:color w:val="000000" w:themeColor="text1"/>
                <w:lang w:val="en-US" w:eastAsia="zh-CN"/>
                <w14:textFill>
                  <w14:solidFill>
                    <w14:schemeClr w14:val="tx1"/>
                  </w14:solidFill>
                </w14:textFill>
              </w:rPr>
              <w:t xml:space="preserve"> 水泥工业</w:t>
            </w:r>
            <w:r>
              <w:rPr>
                <w:rFonts w:hint="default" w:ascii="Times New Roman" w:hAnsi="Times New Roman" w:cs="Times New Roman"/>
                <w:b w:val="0"/>
                <w:bCs w:val="0"/>
                <w:color w:val="000000" w:themeColor="text1"/>
                <w:lang w:eastAsia="zh-CN"/>
                <w14:textFill>
                  <w14:solidFill>
                    <w14:schemeClr w14:val="tx1"/>
                  </w14:solidFill>
                </w14:textFill>
              </w:rPr>
              <w:t>》（</w:t>
            </w:r>
            <w:r>
              <w:rPr>
                <w:rFonts w:hint="default" w:ascii="Times New Roman" w:hAnsi="Times New Roman" w:cs="Times New Roman"/>
                <w:b w:val="0"/>
                <w:bCs w:val="0"/>
                <w:color w:val="000000" w:themeColor="text1"/>
                <w:lang w:val="en-US" w:eastAsia="zh-CN"/>
                <w14:textFill>
                  <w14:solidFill>
                    <w14:schemeClr w14:val="tx1"/>
                  </w14:solidFill>
                </w14:textFill>
              </w:rPr>
              <w:t>HJ886-2018</w:t>
            </w:r>
            <w:r>
              <w:rPr>
                <w:rFonts w:hint="default" w:ascii="Times New Roman" w:hAnsi="Times New Roman" w:cs="Times New Roman"/>
                <w:b w:val="0"/>
                <w:bCs w:val="0"/>
                <w:color w:val="000000" w:themeColor="text1"/>
                <w:lang w:eastAsia="zh-CN"/>
                <w14:textFill>
                  <w14:solidFill>
                    <w14:schemeClr w14:val="tx1"/>
                  </w14:solidFill>
                </w14:textFill>
              </w:rPr>
              <w:t>）附录</w:t>
            </w:r>
            <w:r>
              <w:rPr>
                <w:rFonts w:hint="default" w:ascii="Times New Roman" w:hAnsi="Times New Roman" w:cs="Times New Roman"/>
                <w:b w:val="0"/>
                <w:bCs w:val="0"/>
                <w:color w:val="000000" w:themeColor="text1"/>
                <w:lang w:val="en-US" w:eastAsia="zh-CN"/>
                <w14:textFill>
                  <w14:solidFill>
                    <w14:schemeClr w14:val="tx1"/>
                  </w14:solidFill>
                </w14:textFill>
              </w:rPr>
              <w:t>C无组织排放控制的可行性技术。</w:t>
            </w:r>
          </w:p>
          <w:p>
            <w:pPr>
              <w:pageBreakBefore w:val="0"/>
              <w:widowControl w:val="0"/>
              <w:kinsoku/>
              <w:wordWrap/>
              <w:overflowPunct/>
              <w:topLinePunct w:val="0"/>
              <w:autoSpaceDE/>
              <w:autoSpaceDN/>
              <w:bidi w:val="0"/>
              <w:adjustRightInd/>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val="0"/>
                <w:bCs w:val="0"/>
                <w:color w:val="000000" w:themeColor="text1"/>
                <w:lang w:val="en-US" w:eastAsia="zh-CN"/>
                <w14:textFill>
                  <w14:solidFill>
                    <w14:schemeClr w14:val="tx1"/>
                  </w14:solidFill>
                </w14:textFill>
              </w:rPr>
              <w:t>本项目</w:t>
            </w:r>
            <w:r>
              <w:rPr>
                <w:rFonts w:hint="default" w:ascii="Times New Roman" w:hAnsi="Times New Roman" w:cs="Times New Roman"/>
                <w:color w:val="000000" w:themeColor="text1"/>
                <w:highlight w:val="none"/>
                <w:lang w:eastAsia="zh-CN"/>
                <w14:textFill>
                  <w14:solidFill>
                    <w14:schemeClr w14:val="tx1"/>
                  </w14:solidFill>
                </w14:textFill>
              </w:rPr>
              <w:t>厂界焊接烟尘能达到《</w:t>
            </w:r>
            <w:r>
              <w:rPr>
                <w:rFonts w:hint="default" w:ascii="Times New Roman" w:hAnsi="Times New Roman" w:cs="Times New Roman" w:eastAsiaTheme="minorEastAsia"/>
                <w:color w:val="000000" w:themeColor="text1"/>
                <w:kern w:val="0"/>
                <w:sz w:val="24"/>
                <w:szCs w:val="24"/>
                <w:lang w:val="en-US" w:eastAsia="zh-CN" w:bidi="ar"/>
                <w14:textFill>
                  <w14:solidFill>
                    <w14:schemeClr w14:val="tx1"/>
                  </w14:solidFill>
                </w14:textFill>
              </w:rPr>
              <w:t>水泥工业大气污染物排放标准</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GB 4915-2013</w:t>
            </w:r>
            <w:r>
              <w:rPr>
                <w:rFonts w:hint="default" w:ascii="Times New Roman" w:hAnsi="Times New Roman" w:cs="Times New Roman"/>
                <w:color w:val="000000" w:themeColor="text1"/>
                <w:highlight w:val="none"/>
                <w:lang w:eastAsia="zh-CN"/>
                <w14:textFill>
                  <w14:solidFill>
                    <w14:schemeClr w14:val="tx1"/>
                  </w14:solidFill>
                </w14:textFill>
              </w:rPr>
              <w:t>）表</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eastAsia" w:cs="Times New Roman"/>
                <w:color w:val="000000" w:themeColor="text1"/>
                <w:highlight w:val="none"/>
                <w:lang w:val="en-US" w:eastAsia="zh-CN"/>
                <w14:textFill>
                  <w14:solidFill>
                    <w14:schemeClr w14:val="tx1"/>
                  </w14:solidFill>
                </w14:textFill>
              </w:rPr>
              <w:t>大气污染物</w:t>
            </w:r>
            <w:r>
              <w:rPr>
                <w:rFonts w:hint="default" w:ascii="Times New Roman" w:hAnsi="Times New Roman" w:cs="Times New Roman"/>
                <w:color w:val="000000" w:themeColor="text1"/>
                <w:highlight w:val="none"/>
                <w:lang w:val="en-US" w:eastAsia="zh-CN"/>
                <w14:textFill>
                  <w14:solidFill>
                    <w14:schemeClr w14:val="tx1"/>
                  </w14:solidFill>
                </w14:textFill>
              </w:rPr>
              <w:t>无组织排放</w:t>
            </w:r>
            <w:r>
              <w:rPr>
                <w:rFonts w:hint="default" w:ascii="Times New Roman" w:hAnsi="Times New Roman" w:cs="Times New Roman"/>
                <w:color w:val="000000" w:themeColor="text1"/>
                <w:highlight w:val="none"/>
                <w:lang w:eastAsia="zh-CN"/>
                <w14:textFill>
                  <w14:solidFill>
                    <w14:schemeClr w14:val="tx1"/>
                  </w14:solidFill>
                </w14:textFill>
              </w:rPr>
              <w:t>限值</w:t>
            </w:r>
            <w:r>
              <w:rPr>
                <w:rFonts w:hint="default" w:ascii="Times New Roman" w:hAnsi="Times New Roman" w:cs="Times New Roman"/>
                <w:color w:val="000000" w:themeColor="text1"/>
                <w:highlight w:val="none"/>
                <w:lang w:val="en-US" w:eastAsia="zh-CN"/>
                <w14:textFill>
                  <w14:solidFill>
                    <w14:schemeClr w14:val="tx1"/>
                  </w14:solidFill>
                </w14:textFill>
              </w:rPr>
              <w:t>。因此，对周边大气环境产生的影响较小。</w:t>
            </w:r>
          </w:p>
          <w:p>
            <w:pPr>
              <w:pStyle w:val="4"/>
              <w:pageBreakBefore w:val="0"/>
              <w:widowControl w:val="0"/>
              <w:kinsoku/>
              <w:wordWrap/>
              <w:overflowPunct/>
              <w:topLinePunct w:val="0"/>
              <w:autoSpaceDE/>
              <w:autoSpaceDN/>
              <w:bidi w:val="0"/>
              <w:adjustRightInd/>
              <w:snapToGrid w:val="0"/>
              <w:spacing w:before="0" w:after="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.3排放标准</w:t>
            </w:r>
          </w:p>
          <w:p>
            <w:pPr>
              <w:pStyle w:val="4"/>
              <w:keepNext/>
              <w:keepLines/>
              <w:pageBreakBefore w:val="0"/>
              <w:widowControl w:val="0"/>
              <w:kinsoku/>
              <w:wordWrap/>
              <w:overflowPunct/>
              <w:topLinePunct w:val="0"/>
              <w:autoSpaceDE/>
              <w:autoSpaceDN/>
              <w:bidi w:val="0"/>
              <w:adjustRightInd/>
              <w:snapToGrid w:val="0"/>
              <w:spacing w:before="0" w:after="0"/>
              <w:ind w:firstLine="480" w:firstLineChars="200"/>
              <w:jc w:val="left"/>
              <w:textAlignment w:val="auto"/>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pPr>
            <w:r>
              <w:rPr>
                <w:rFonts w:hint="eastAsia" w:cs="Times New Roman"/>
                <w:b w:val="0"/>
                <w:bCs w:val="0"/>
                <w:color w:val="000000" w:themeColor="text1"/>
                <w:sz w:val="24"/>
                <w:szCs w:val="24"/>
                <w:highlight w:val="none"/>
                <w:lang w:eastAsia="zh-CN"/>
                <w14:textFill>
                  <w14:solidFill>
                    <w14:schemeClr w14:val="tx1"/>
                  </w14:solidFill>
                </w14:textFill>
              </w:rPr>
              <w:t>本项目粉尘</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执行《</w:t>
            </w:r>
            <w:r>
              <w:rPr>
                <w:rFonts w:hint="eastAsia" w:cs="Times New Roman"/>
                <w:b w:val="0"/>
                <w:bCs w:val="0"/>
                <w:color w:val="000000" w:themeColor="text1"/>
                <w:sz w:val="24"/>
                <w:szCs w:val="24"/>
                <w:highlight w:val="none"/>
                <w:lang w:eastAsia="zh-CN"/>
                <w14:textFill>
                  <w14:solidFill>
                    <w14:schemeClr w14:val="tx1"/>
                  </w14:solidFill>
                </w14:textFill>
              </w:rPr>
              <w:t>水泥工业大气污染物排放标准</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GB</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 xml:space="preserve"> </w:t>
            </w:r>
            <w:r>
              <w:rPr>
                <w:rFonts w:hint="eastAsia" w:cs="Times New Roman"/>
                <w:b w:val="0"/>
                <w:bCs w:val="0"/>
                <w:color w:val="000000" w:themeColor="text1"/>
                <w:sz w:val="24"/>
                <w:szCs w:val="24"/>
                <w:highlight w:val="none"/>
                <w:lang w:val="en-US" w:eastAsia="zh-CN"/>
                <w14:textFill>
                  <w14:solidFill>
                    <w14:schemeClr w14:val="tx1"/>
                  </w14:solidFill>
                </w14:textFill>
              </w:rPr>
              <w:t>4915</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w:t>
            </w:r>
            <w:r>
              <w:rPr>
                <w:rFonts w:hint="eastAsia" w:cs="Times New Roman"/>
                <w:b w:val="0"/>
                <w:bCs w:val="0"/>
                <w:color w:val="000000" w:themeColor="text1"/>
                <w:sz w:val="24"/>
                <w:szCs w:val="24"/>
                <w:highlight w:val="none"/>
                <w:lang w:val="en-US" w:eastAsia="zh-CN"/>
                <w14:textFill>
                  <w14:solidFill>
                    <w14:schemeClr w14:val="tx1"/>
                  </w14:solidFill>
                </w14:textFill>
              </w:rPr>
              <w:t>2013</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w:t>
            </w:r>
            <w:r>
              <w:rPr>
                <w:rFonts w:hint="eastAsia" w:cs="Times New Roman"/>
                <w:b w:val="0"/>
                <w:bCs w:val="0"/>
                <w:color w:val="000000" w:themeColor="text1"/>
                <w:sz w:val="24"/>
                <w:szCs w:val="24"/>
                <w:highlight w:val="none"/>
                <w:lang w:eastAsia="zh-CN"/>
                <w14:textFill>
                  <w14:solidFill>
                    <w14:schemeClr w14:val="tx1"/>
                  </w14:solidFill>
                </w14:textFill>
              </w:rPr>
              <w:t>表</w:t>
            </w:r>
            <w:r>
              <w:rPr>
                <w:rFonts w:hint="eastAsia" w:cs="Times New Roman"/>
                <w:b w:val="0"/>
                <w:bCs w:val="0"/>
                <w:color w:val="000000" w:themeColor="text1"/>
                <w:sz w:val="24"/>
                <w:szCs w:val="24"/>
                <w:highlight w:val="none"/>
                <w:lang w:val="en-US" w:eastAsia="zh-CN"/>
                <w14:textFill>
                  <w14:solidFill>
                    <w14:schemeClr w14:val="tx1"/>
                  </w14:solidFill>
                </w14:textFill>
              </w:rPr>
              <w:t>3大气污染物无组织排放限值</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default"/>
                <w:b w:val="0"/>
                <w:bCs w:val="0"/>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eastAsia="zh-CN"/>
                <w14:textFill>
                  <w14:solidFill>
                    <w14:schemeClr w14:val="tx1"/>
                  </w14:solidFill>
                </w14:textFill>
              </w:rPr>
              <w:t>表</w:t>
            </w:r>
            <w:r>
              <w:rPr>
                <w:rFonts w:hint="eastAsia" w:cs="Times New Roman"/>
                <w:b/>
                <w:bCs/>
                <w:color w:val="000000" w:themeColor="text1"/>
                <w:sz w:val="21"/>
                <w:szCs w:val="21"/>
                <w:highlight w:val="none"/>
                <w:lang w:val="en-US" w:eastAsia="zh-CN"/>
                <w14:textFill>
                  <w14:solidFill>
                    <w14:schemeClr w14:val="tx1"/>
                  </w14:solidFill>
                </w14:textFill>
              </w:rPr>
              <w:t>18</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 xml:space="preserve">  </w:t>
            </w:r>
            <w:r>
              <w:rPr>
                <w:rFonts w:hint="eastAsia" w:cs="Times New Roman"/>
                <w:b/>
                <w:bCs/>
                <w:color w:val="000000" w:themeColor="text1"/>
                <w:sz w:val="21"/>
                <w:szCs w:val="21"/>
                <w:highlight w:val="none"/>
                <w:lang w:val="en-US" w:eastAsia="zh-CN"/>
                <w14:textFill>
                  <w14:solidFill>
                    <w14:schemeClr w14:val="tx1"/>
                  </w14:solidFill>
                </w14:textFill>
              </w:rPr>
              <w:t>废气</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污染物排放执行标准</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1494"/>
              <w:gridCol w:w="1339"/>
              <w:gridCol w:w="3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highlight w:val="none"/>
                      <w:vertAlign w:val="baseline"/>
                      <w:lang w:eastAsia="zh-CN"/>
                      <w14:textFill>
                        <w14:solidFill>
                          <w14:schemeClr w14:val="tx1"/>
                        </w14:solidFill>
                      </w14:textFill>
                    </w:rPr>
                  </w:pPr>
                  <w:r>
                    <w:rPr>
                      <w:rFonts w:hint="eastAsia"/>
                      <w:color w:val="000000" w:themeColor="text1"/>
                      <w:sz w:val="21"/>
                      <w:szCs w:val="21"/>
                      <w:highlight w:val="none"/>
                      <w:vertAlign w:val="baseline"/>
                      <w:lang w:eastAsia="zh-CN"/>
                      <w14:textFill>
                        <w14:solidFill>
                          <w14:schemeClr w14:val="tx1"/>
                        </w14:solidFill>
                      </w14:textFill>
                    </w:rPr>
                    <w:t>废气</w:t>
                  </w:r>
                </w:p>
              </w:tc>
              <w:tc>
                <w:tcPr>
                  <w:tcW w:w="941" w:type="pc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highlight w:val="none"/>
                      <w:vertAlign w:val="baseline"/>
                      <w:lang w:eastAsia="zh-CN"/>
                      <w14:textFill>
                        <w14:solidFill>
                          <w14:schemeClr w14:val="tx1"/>
                        </w14:solidFill>
                      </w14:textFill>
                    </w:rPr>
                  </w:pPr>
                  <w:r>
                    <w:rPr>
                      <w:rFonts w:hint="eastAsia"/>
                      <w:color w:val="000000" w:themeColor="text1"/>
                      <w:sz w:val="21"/>
                      <w:szCs w:val="21"/>
                      <w:highlight w:val="none"/>
                      <w:vertAlign w:val="baseline"/>
                      <w:lang w:eastAsia="zh-CN"/>
                      <w14:textFill>
                        <w14:solidFill>
                          <w14:schemeClr w14:val="tx1"/>
                        </w14:solidFill>
                      </w14:textFill>
                    </w:rPr>
                    <w:t>污染物种类</w:t>
                  </w:r>
                </w:p>
              </w:tc>
              <w:tc>
                <w:tcPr>
                  <w:tcW w:w="843" w:type="pc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highlight w:val="none"/>
                      <w:vertAlign w:val="baseline"/>
                      <w:lang w:eastAsia="zh-CN"/>
                      <w14:textFill>
                        <w14:solidFill>
                          <w14:schemeClr w14:val="tx1"/>
                        </w14:solidFill>
                      </w14:textFill>
                    </w:rPr>
                  </w:pPr>
                  <w:r>
                    <w:rPr>
                      <w:rFonts w:hint="eastAsia"/>
                      <w:color w:val="000000" w:themeColor="text1"/>
                      <w:sz w:val="21"/>
                      <w:szCs w:val="21"/>
                      <w:highlight w:val="none"/>
                      <w:vertAlign w:val="baseline"/>
                      <w:lang w:eastAsia="zh-CN"/>
                      <w14:textFill>
                        <w14:solidFill>
                          <w14:schemeClr w14:val="tx1"/>
                        </w14:solidFill>
                      </w14:textFill>
                    </w:rPr>
                    <w:t>排放限值（</w:t>
                  </w:r>
                  <w:r>
                    <w:rPr>
                      <w:rFonts w:hint="eastAsia" w:cs="宋体"/>
                      <w:color w:val="000000" w:themeColor="text1"/>
                      <w:kern w:val="0"/>
                      <w:sz w:val="21"/>
                      <w:szCs w:val="21"/>
                      <w:highlight w:val="none"/>
                      <w14:textFill>
                        <w14:solidFill>
                          <w14:schemeClr w14:val="tx1"/>
                        </w14:solidFill>
                      </w14:textFill>
                    </w:rPr>
                    <w:t>mg/m</w:t>
                  </w:r>
                  <w:r>
                    <w:rPr>
                      <w:rFonts w:hint="eastAsia" w:cs="宋体"/>
                      <w:color w:val="000000" w:themeColor="text1"/>
                      <w:kern w:val="0"/>
                      <w:sz w:val="21"/>
                      <w:szCs w:val="21"/>
                      <w:highlight w:val="none"/>
                      <w:vertAlign w:val="superscript"/>
                      <w14:textFill>
                        <w14:solidFill>
                          <w14:schemeClr w14:val="tx1"/>
                        </w14:solidFill>
                      </w14:textFill>
                    </w:rPr>
                    <w:t>3</w:t>
                  </w:r>
                  <w:r>
                    <w:rPr>
                      <w:rFonts w:hint="eastAsia"/>
                      <w:color w:val="000000" w:themeColor="text1"/>
                      <w:sz w:val="21"/>
                      <w:szCs w:val="21"/>
                      <w:highlight w:val="none"/>
                      <w:vertAlign w:val="baseline"/>
                      <w:lang w:eastAsia="zh-CN"/>
                      <w14:textFill>
                        <w14:solidFill>
                          <w14:schemeClr w14:val="tx1"/>
                        </w14:solidFill>
                      </w14:textFill>
                    </w:rPr>
                    <w:t>）</w:t>
                  </w:r>
                </w:p>
              </w:tc>
              <w:tc>
                <w:tcPr>
                  <w:tcW w:w="2399" w:type="pc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highlight w:val="none"/>
                      <w:vertAlign w:val="baseline"/>
                      <w:lang w:eastAsia="zh-CN"/>
                      <w14:textFill>
                        <w14:solidFill>
                          <w14:schemeClr w14:val="tx1"/>
                        </w14:solidFill>
                      </w14:textFill>
                    </w:rPr>
                  </w:pPr>
                  <w:r>
                    <w:rPr>
                      <w:rFonts w:hint="eastAsia"/>
                      <w:color w:val="000000" w:themeColor="text1"/>
                      <w:sz w:val="21"/>
                      <w:szCs w:val="21"/>
                      <w:highlight w:val="none"/>
                      <w:vertAlign w:val="baseline"/>
                      <w:lang w:eastAsia="zh-CN"/>
                      <w14:textFill>
                        <w14:solidFill>
                          <w14:schemeClr w14:val="tx1"/>
                        </w14:solidFill>
                      </w14:textFill>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无组织</w:t>
                  </w:r>
                </w:p>
              </w:tc>
              <w:tc>
                <w:tcPr>
                  <w:tcW w:w="941" w:type="pc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highlight w:val="none"/>
                      <w:vertAlign w:val="baseline"/>
                      <w:lang w:eastAsia="zh-CN"/>
                      <w14:textFill>
                        <w14:solidFill>
                          <w14:schemeClr w14:val="tx1"/>
                        </w14:solidFill>
                      </w14:textFill>
                    </w:rPr>
                  </w:pPr>
                  <w:r>
                    <w:rPr>
                      <w:rFonts w:hint="eastAsia"/>
                      <w:color w:val="000000" w:themeColor="text1"/>
                      <w:sz w:val="21"/>
                      <w:szCs w:val="21"/>
                      <w:highlight w:val="none"/>
                      <w:vertAlign w:val="baseline"/>
                      <w:lang w:eastAsia="zh-CN"/>
                      <w14:textFill>
                        <w14:solidFill>
                          <w14:schemeClr w14:val="tx1"/>
                        </w14:solidFill>
                      </w14:textFill>
                    </w:rPr>
                    <w:t>粉尘</w:t>
                  </w:r>
                </w:p>
              </w:tc>
              <w:tc>
                <w:tcPr>
                  <w:tcW w:w="843" w:type="pc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0.5</w:t>
                  </w:r>
                </w:p>
              </w:tc>
              <w:tc>
                <w:tcPr>
                  <w:tcW w:w="2399" w:type="pc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eastAsia="zh-CN"/>
                      <w14:textFill>
                        <w14:solidFill>
                          <w14:schemeClr w14:val="tx1"/>
                        </w14:solidFill>
                      </w14:textFill>
                    </w:rPr>
                    <w:t>《水泥工业大气污染物排放标准》（</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GB 4915-2013</w:t>
                  </w:r>
                  <w:r>
                    <w:rPr>
                      <w:rFonts w:hint="default" w:ascii="Times New Roman" w:hAnsi="Times New Roman" w:cs="Times New Roman"/>
                      <w:b w:val="0"/>
                      <w:bCs w:val="0"/>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表3</w:t>
                  </w:r>
                  <w:r>
                    <w:rPr>
                      <w:rFonts w:hint="eastAsia" w:cs="Times New Roman"/>
                      <w:color w:val="000000" w:themeColor="text1"/>
                      <w:sz w:val="21"/>
                      <w:szCs w:val="21"/>
                      <w:highlight w:val="none"/>
                      <w:vertAlign w:val="baseline"/>
                      <w:lang w:val="en-US" w:eastAsia="zh-CN"/>
                      <w14:textFill>
                        <w14:solidFill>
                          <w14:schemeClr w14:val="tx1"/>
                        </w14:solidFill>
                      </w14:textFill>
                    </w:rPr>
                    <w:t>大气污染物</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无组织排放</w:t>
                  </w:r>
                  <w:r>
                    <w:rPr>
                      <w:rFonts w:hint="eastAsia" w:cs="Times New Roman"/>
                      <w:color w:val="000000" w:themeColor="text1"/>
                      <w:sz w:val="21"/>
                      <w:szCs w:val="21"/>
                      <w:highlight w:val="none"/>
                      <w:vertAlign w:val="baseline"/>
                      <w:lang w:val="en-US" w:eastAsia="zh-CN"/>
                      <w14:textFill>
                        <w14:solidFill>
                          <w14:schemeClr w14:val="tx1"/>
                        </w14:solidFill>
                      </w14:textFill>
                    </w:rPr>
                    <w:t>限值</w:t>
                  </w:r>
                </w:p>
              </w:tc>
            </w:tr>
          </w:tbl>
          <w:p>
            <w:pPr>
              <w:pStyle w:val="4"/>
              <w:pageBreakBefore w:val="0"/>
              <w:widowControl w:val="0"/>
              <w:kinsoku/>
              <w:wordWrap/>
              <w:overflowPunct/>
              <w:topLinePunct w:val="0"/>
              <w:autoSpaceDE/>
              <w:autoSpaceDN/>
              <w:bidi w:val="0"/>
              <w:adjustRightInd/>
              <w:snapToGrid w:val="0"/>
              <w:spacing w:before="0" w:after="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.4大气环境影响分析</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本项目所在区域SO</w:t>
            </w:r>
            <w:r>
              <w:rPr>
                <w:rFonts w:hint="default" w:ascii="Times New Roman" w:hAnsi="Times New Roman" w:cs="Times New Roman" w:eastAsiaTheme="minorEastAsia"/>
                <w:color w:val="000000" w:themeColor="text1"/>
                <w:highlight w:val="none"/>
                <w:vertAlign w:val="subscript"/>
                <w14:textFill>
                  <w14:solidFill>
                    <w14:schemeClr w14:val="tx1"/>
                  </w14:solidFill>
                </w14:textFill>
              </w:rPr>
              <w:t>2</w:t>
            </w:r>
            <w:r>
              <w:rPr>
                <w:rFonts w:hint="default" w:ascii="Times New Roman" w:hAnsi="Times New Roman" w:cs="Times New Roman" w:eastAsiaTheme="minorEastAsia"/>
                <w:color w:val="000000" w:themeColor="text1"/>
                <w:highlight w:val="none"/>
                <w14:textFill>
                  <w14:solidFill>
                    <w14:schemeClr w14:val="tx1"/>
                  </w14:solidFill>
                </w14:textFill>
              </w:rPr>
              <w:t>、NO</w:t>
            </w:r>
            <w:r>
              <w:rPr>
                <w:rFonts w:hint="default" w:ascii="Times New Roman" w:hAnsi="Times New Roman" w:cs="Times New Roman" w:eastAsiaTheme="minorEastAsia"/>
                <w:color w:val="000000" w:themeColor="text1"/>
                <w:highlight w:val="none"/>
                <w:vertAlign w:val="subscript"/>
                <w14:textFill>
                  <w14:solidFill>
                    <w14:schemeClr w14:val="tx1"/>
                  </w14:solidFill>
                </w14:textFill>
              </w:rPr>
              <w:t>2</w:t>
            </w:r>
            <w:r>
              <w:rPr>
                <w:rFonts w:hint="default" w:ascii="Times New Roman" w:hAnsi="Times New Roman" w:cs="Times New Roman" w:eastAsiaTheme="minorEastAsia"/>
                <w:color w:val="000000" w:themeColor="text1"/>
                <w:highlight w:val="none"/>
                <w14:textFill>
                  <w14:solidFill>
                    <w14:schemeClr w14:val="tx1"/>
                  </w14:solidFill>
                </w14:textFill>
              </w:rPr>
              <w:t>、CO、O</w:t>
            </w:r>
            <w:r>
              <w:rPr>
                <w:rFonts w:hint="default" w:ascii="Times New Roman" w:hAnsi="Times New Roman" w:cs="Times New Roman" w:eastAsiaTheme="minorEastAsia"/>
                <w:color w:val="000000" w:themeColor="text1"/>
                <w:highlight w:val="none"/>
                <w:vertAlign w:val="subscript"/>
                <w14:textFill>
                  <w14:solidFill>
                    <w14:schemeClr w14:val="tx1"/>
                  </w14:solidFill>
                </w14:textFill>
              </w:rPr>
              <w:t>3</w:t>
            </w:r>
            <w:r>
              <w:rPr>
                <w:rFonts w:hint="default" w:ascii="Times New Roman" w:hAnsi="Times New Roman" w:cs="Times New Roman" w:eastAsiaTheme="minorEastAsia"/>
                <w:color w:val="000000" w:themeColor="text1"/>
                <w:highlight w:val="none"/>
                <w:vertAlign w:val="baseline"/>
                <w:lang w:eastAsia="zh-CN"/>
                <w14:textFill>
                  <w14:solidFill>
                    <w14:schemeClr w14:val="tx1"/>
                  </w14:solidFill>
                </w14:textFill>
              </w:rPr>
              <w:t>浓度均</w:t>
            </w:r>
            <w:r>
              <w:rPr>
                <w:rFonts w:hint="default" w:ascii="Times New Roman" w:hAnsi="Times New Roman" w:cs="Times New Roman" w:eastAsiaTheme="minorEastAsia"/>
                <w:color w:val="000000" w:themeColor="text1"/>
                <w:highlight w:val="none"/>
                <w14:textFill>
                  <w14:solidFill>
                    <w14:schemeClr w14:val="tx1"/>
                  </w14:solidFill>
                </w14:textFill>
              </w:rPr>
              <w:t>满足《环境空气质量标准》（GB</w:t>
            </w:r>
            <w:r>
              <w:rPr>
                <w:rFonts w:hint="eastAsia" w:cs="Times New Roman" w:eastAsiaTheme="minorEastAsia"/>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highlight w:val="none"/>
                <w14:textFill>
                  <w14:solidFill>
                    <w14:schemeClr w14:val="tx1"/>
                  </w14:solidFill>
                </w14:textFill>
              </w:rPr>
              <w:t>3095-2012）中二级浓度限值，PM</w:t>
            </w:r>
            <w:r>
              <w:rPr>
                <w:rFonts w:hint="default" w:ascii="Times New Roman" w:hAnsi="Times New Roman" w:cs="Times New Roman" w:eastAsiaTheme="minorEastAsia"/>
                <w:color w:val="000000" w:themeColor="text1"/>
                <w:highlight w:val="none"/>
                <w:vertAlign w:val="subscript"/>
                <w14:textFill>
                  <w14:solidFill>
                    <w14:schemeClr w14:val="tx1"/>
                  </w14:solidFill>
                </w14:textFill>
              </w:rPr>
              <w:t>2.5</w:t>
            </w:r>
            <w:r>
              <w:rPr>
                <w:rFonts w:hint="default" w:ascii="Times New Roman" w:hAnsi="Times New Roman" w:cs="Times New Roman" w:eastAsiaTheme="minorEastAsia"/>
                <w:color w:val="000000" w:themeColor="text1"/>
                <w:highlight w:val="none"/>
                <w14:textFill>
                  <w14:solidFill>
                    <w14:schemeClr w14:val="tx1"/>
                  </w14:solidFill>
                </w14:textFill>
              </w:rPr>
              <w:t>和PM</w:t>
            </w:r>
            <w:r>
              <w:rPr>
                <w:rFonts w:hint="default" w:ascii="Times New Roman" w:hAnsi="Times New Roman" w:cs="Times New Roman" w:eastAsiaTheme="minorEastAsia"/>
                <w:color w:val="000000" w:themeColor="text1"/>
                <w:highlight w:val="none"/>
                <w:vertAlign w:val="subscript"/>
                <w14:textFill>
                  <w14:solidFill>
                    <w14:schemeClr w14:val="tx1"/>
                  </w14:solidFill>
                </w14:textFill>
              </w:rPr>
              <w:t>10</w:t>
            </w:r>
            <w:r>
              <w:rPr>
                <w:rFonts w:hint="default" w:ascii="Times New Roman" w:hAnsi="Times New Roman" w:cs="Times New Roman" w:eastAsiaTheme="minorEastAsia"/>
                <w:color w:val="000000" w:themeColor="text1"/>
                <w:highlight w:val="none"/>
                <w14:textFill>
                  <w14:solidFill>
                    <w14:schemeClr w14:val="tx1"/>
                  </w14:solidFill>
                </w14:textFill>
              </w:rPr>
              <w:t>超过《环境空气质量标准》（GB</w:t>
            </w:r>
            <w:r>
              <w:rPr>
                <w:rFonts w:hint="eastAsia" w:cs="Times New Roman" w:eastAsiaTheme="minorEastAsia"/>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highlight w:val="none"/>
                <w14:textFill>
                  <w14:solidFill>
                    <w14:schemeClr w14:val="tx1"/>
                  </w14:solidFill>
                </w14:textFill>
              </w:rPr>
              <w:t>3095-2012）中二级浓度限值，区域环境空气质量良好，具有一定的环境容</w:t>
            </w:r>
            <w:r>
              <w:rPr>
                <w:rFonts w:hint="eastAsia" w:ascii="Times New Roman" w:hAnsi="Times New Roman" w:cs="Times New Roman" w:eastAsiaTheme="minorEastAsia"/>
                <w:color w:val="000000" w:themeColor="text1"/>
                <w:highlight w:val="none"/>
                <w:lang w:eastAsia="zh-CN"/>
                <w14:textFill>
                  <w14:solidFill>
                    <w14:schemeClr w14:val="tx1"/>
                  </w14:solidFill>
                </w14:textFill>
              </w:rPr>
              <w:t>纳</w:t>
            </w:r>
            <w:r>
              <w:rPr>
                <w:rFonts w:hint="default" w:ascii="Times New Roman" w:hAnsi="Times New Roman" w:cs="Times New Roman" w:eastAsiaTheme="minorEastAsia"/>
                <w:color w:val="000000" w:themeColor="text1"/>
                <w:highlight w:val="none"/>
                <w14:textFill>
                  <w14:solidFill>
                    <w14:schemeClr w14:val="tx1"/>
                  </w14:solidFill>
                </w14:textFill>
              </w:rPr>
              <w:t>量。</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本项目厂界500米范围内无自然保护区、风景名胜区、居住区、文化区和农村地区中人群集中的区域。</w:t>
            </w:r>
          </w:p>
          <w:p>
            <w:pPr>
              <w:pStyle w:val="2"/>
              <w:keepNext w:val="0"/>
              <w:keepLines w:val="0"/>
              <w:pageBreakBefore w:val="0"/>
              <w:widowControl w:val="0"/>
              <w:kinsoku/>
              <w:wordWrap/>
              <w:overflowPunct/>
              <w:topLinePunct w:val="0"/>
              <w:autoSpaceDE/>
              <w:autoSpaceDN/>
              <w:bidi w:val="0"/>
              <w:adjustRightInd/>
              <w:spacing w:line="360" w:lineRule="auto"/>
              <w:jc w:val="left"/>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本项目</w:t>
            </w:r>
            <w:r>
              <w:rPr>
                <w:rFonts w:hint="eastAsia"/>
                <w:b w:val="0"/>
                <w:bCs w:val="0"/>
                <w:color w:val="000000" w:themeColor="text1"/>
                <w:highlight w:val="none"/>
                <w:lang w:eastAsia="zh-CN"/>
                <w14:textFill>
                  <w14:solidFill>
                    <w14:schemeClr w14:val="tx1"/>
                  </w14:solidFill>
                </w14:textFill>
              </w:rPr>
              <w:t>生产过程中产生的粉尘量较小，可实现厂界达标排放。本项目厂区较空旷，</w:t>
            </w:r>
            <w:r>
              <w:rPr>
                <w:rFonts w:hint="eastAsia"/>
                <w:b w:val="0"/>
                <w:bCs w:val="0"/>
                <w:color w:val="000000" w:themeColor="text1"/>
                <w:highlight w:val="none"/>
                <w14:textFill>
                  <w14:solidFill>
                    <w14:schemeClr w14:val="tx1"/>
                  </w14:solidFill>
                </w14:textFill>
              </w:rPr>
              <w:t>对</w:t>
            </w:r>
            <w:r>
              <w:rPr>
                <w:rFonts w:hint="eastAsia"/>
                <w:b w:val="0"/>
                <w:bCs w:val="0"/>
                <w:color w:val="000000" w:themeColor="text1"/>
                <w:highlight w:val="none"/>
                <w:lang w:eastAsia="zh-CN"/>
                <w14:textFill>
                  <w14:solidFill>
                    <w14:schemeClr w14:val="tx1"/>
                  </w14:solidFill>
                </w14:textFill>
              </w:rPr>
              <w:t>周围环境</w:t>
            </w:r>
            <w:r>
              <w:rPr>
                <w:rFonts w:hint="eastAsia"/>
                <w:b w:val="0"/>
                <w:bCs w:val="0"/>
                <w:color w:val="000000" w:themeColor="text1"/>
                <w:highlight w:val="none"/>
                <w14:textFill>
                  <w14:solidFill>
                    <w14:schemeClr w14:val="tx1"/>
                  </w14:solidFill>
                </w14:textFill>
              </w:rPr>
              <w:t>环境影响小。</w:t>
            </w:r>
          </w:p>
          <w:p>
            <w:pPr>
              <w:pStyle w:val="4"/>
              <w:pageBreakBefore w:val="0"/>
              <w:widowControl w:val="0"/>
              <w:kinsoku/>
              <w:wordWrap/>
              <w:overflowPunct/>
              <w:topLinePunct w:val="0"/>
              <w:autoSpaceDE/>
              <w:autoSpaceDN/>
              <w:bidi w:val="0"/>
              <w:adjustRightInd/>
              <w:snapToGrid w:val="0"/>
              <w:spacing w:before="0" w:after="0"/>
              <w:jc w:val="left"/>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.5监测</w:t>
            </w:r>
            <w:r>
              <w:rPr>
                <w:rFonts w:hint="eastAsia"/>
                <w:color w:val="000000" w:themeColor="text1"/>
                <w:highlight w:val="none"/>
                <w:lang w:eastAsia="zh-CN"/>
                <w14:textFill>
                  <w14:solidFill>
                    <w14:schemeClr w14:val="tx1"/>
                  </w14:solidFill>
                </w14:textFill>
              </w:rPr>
              <w:t>计划</w:t>
            </w:r>
          </w:p>
          <w:p>
            <w:pPr>
              <w:pageBreakBefore w:val="0"/>
              <w:widowControl w:val="0"/>
              <w:kinsoku/>
              <w:wordWrap/>
              <w:overflowPunct/>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根据《排污单位自行监测技术指南</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水泥工业</w:t>
            </w:r>
            <w:r>
              <w:rPr>
                <w:rFonts w:hint="eastAsia"/>
                <w:color w:val="000000" w:themeColor="text1"/>
                <w:highlight w:val="none"/>
                <w14:textFill>
                  <w14:solidFill>
                    <w14:schemeClr w14:val="tx1"/>
                  </w14:solidFill>
                </w14:textFill>
              </w:rPr>
              <w:t>》（HJ</w:t>
            </w:r>
            <w:r>
              <w:rPr>
                <w:rFonts w:hint="eastAsia"/>
                <w:color w:val="000000" w:themeColor="text1"/>
                <w:highlight w:val="none"/>
                <w:lang w:val="en-US" w:eastAsia="zh-CN"/>
                <w14:textFill>
                  <w14:solidFill>
                    <w14:schemeClr w14:val="tx1"/>
                  </w14:solidFill>
                </w14:textFill>
              </w:rPr>
              <w:t xml:space="preserve"> 848</w:t>
            </w:r>
            <w:r>
              <w:rPr>
                <w:rFonts w:hint="eastAsia"/>
                <w:color w:val="000000" w:themeColor="text1"/>
                <w:highlight w:val="none"/>
                <w14:textFill>
                  <w14:solidFill>
                    <w14:schemeClr w14:val="tx1"/>
                  </w14:solidFill>
                </w14:textFill>
              </w:rPr>
              <w:t>-2017），确定本项目的废气日常监测</w:t>
            </w:r>
            <w:r>
              <w:rPr>
                <w:rFonts w:hint="eastAsia"/>
                <w:color w:val="000000" w:themeColor="text1"/>
                <w:highlight w:val="none"/>
                <w:lang w:eastAsia="zh-CN"/>
                <w14:textFill>
                  <w14:solidFill>
                    <w14:schemeClr w14:val="tx1"/>
                  </w14:solidFill>
                </w14:textFill>
              </w:rPr>
              <w:t>计划</w:t>
            </w:r>
            <w:r>
              <w:rPr>
                <w:rFonts w:hint="eastAsia"/>
                <w:color w:val="000000" w:themeColor="text1"/>
                <w:highlight w:val="none"/>
                <w14:textFill>
                  <w14:solidFill>
                    <w14:schemeClr w14:val="tx1"/>
                  </w14:solidFill>
                </w14:textFill>
              </w:rPr>
              <w:t>见表</w:t>
            </w:r>
            <w:r>
              <w:rPr>
                <w:rFonts w:hint="eastAsia"/>
                <w:color w:val="000000" w:themeColor="text1"/>
                <w:highlight w:val="none"/>
                <w:lang w:val="en-US" w:eastAsia="zh-CN"/>
                <w14:textFill>
                  <w14:solidFill>
                    <w14:schemeClr w14:val="tx1"/>
                  </w14:solidFill>
                </w14:textFill>
              </w:rPr>
              <w:t>19</w:t>
            </w:r>
            <w:r>
              <w:rPr>
                <w:rFonts w:hint="eastAsia"/>
                <w:color w:val="000000" w:themeColor="text1"/>
                <w:highlight w:val="none"/>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废气监测</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计划</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一览表</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1081"/>
              <w:gridCol w:w="1246"/>
              <w:gridCol w:w="1157"/>
              <w:gridCol w:w="3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监测要素</w:t>
                  </w:r>
                </w:p>
              </w:tc>
              <w:tc>
                <w:tcPr>
                  <w:tcW w:w="6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监测点位</w:t>
                  </w:r>
                </w:p>
              </w:tc>
              <w:tc>
                <w:tcPr>
                  <w:tcW w:w="78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监测</w:t>
                  </w:r>
                  <w:r>
                    <w:rPr>
                      <w:rFonts w:hint="eastAsia"/>
                      <w:color w:val="000000" w:themeColor="text1"/>
                      <w:sz w:val="21"/>
                      <w:szCs w:val="21"/>
                      <w:highlight w:val="none"/>
                      <w:lang w:eastAsia="zh-CN"/>
                      <w14:textFill>
                        <w14:solidFill>
                          <w14:schemeClr w14:val="tx1"/>
                        </w14:solidFill>
                      </w14:textFill>
                    </w:rPr>
                    <w:t>项目</w:t>
                  </w:r>
                </w:p>
              </w:tc>
              <w:tc>
                <w:tcPr>
                  <w:tcW w:w="72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监测频次</w:t>
                  </w:r>
                </w:p>
              </w:tc>
              <w:tc>
                <w:tcPr>
                  <w:tcW w:w="19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pct"/>
                  <w:tcBorders>
                    <w:tl2br w:val="nil"/>
                    <w:tr2bl w:val="nil"/>
                  </w:tcBorders>
                  <w:vAlign w:val="center"/>
                </w:tcPr>
                <w:p>
                  <w:pPr>
                    <w:spacing w:line="240" w:lineRule="auto"/>
                    <w:ind w:firstLine="0" w:firstLineChars="0"/>
                    <w:jc w:val="both"/>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无组织粉尘</w:t>
                  </w:r>
                </w:p>
              </w:tc>
              <w:tc>
                <w:tcPr>
                  <w:tcW w:w="681" w:type="pct"/>
                  <w:tcBorders>
                    <w:tl2br w:val="nil"/>
                    <w:tr2bl w:val="nil"/>
                  </w:tcBorders>
                  <w:vAlign w:val="center"/>
                </w:tcPr>
                <w:p>
                  <w:pPr>
                    <w:spacing w:line="240" w:lineRule="auto"/>
                    <w:ind w:firstLine="0" w:firstLineChars="0"/>
                    <w:jc w:val="center"/>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厂界</w:t>
                  </w:r>
                </w:p>
              </w:tc>
              <w:tc>
                <w:tcPr>
                  <w:tcW w:w="785" w:type="pct"/>
                  <w:tcBorders>
                    <w:tl2br w:val="nil"/>
                    <w:tr2bl w:val="nil"/>
                  </w:tcBorders>
                  <w:vAlign w:val="center"/>
                </w:tcPr>
                <w:p>
                  <w:pPr>
                    <w:spacing w:line="240" w:lineRule="auto"/>
                    <w:ind w:firstLine="0" w:firstLineChars="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颗粒物</w:t>
                  </w:r>
                </w:p>
              </w:tc>
              <w:tc>
                <w:tcPr>
                  <w:tcW w:w="729" w:type="pct"/>
                  <w:tcBorders>
                    <w:tl2br w:val="nil"/>
                    <w:tr2bl w:val="nil"/>
                  </w:tcBorders>
                  <w:vAlign w:val="center"/>
                </w:tcPr>
                <w:p>
                  <w:pPr>
                    <w:spacing w:line="240" w:lineRule="auto"/>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1次/季度</w:t>
                  </w:r>
                </w:p>
              </w:tc>
              <w:tc>
                <w:tcPr>
                  <w:tcW w:w="19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color w:val="000000" w:themeColor="text1"/>
                      <w:sz w:val="21"/>
                      <w:szCs w:val="21"/>
                      <w:highlight w:val="none"/>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eastAsia="zh-CN"/>
                      <w14:textFill>
                        <w14:solidFill>
                          <w14:schemeClr w14:val="tx1"/>
                        </w14:solidFill>
                      </w14:textFill>
                    </w:rPr>
                    <w:t>《水泥工业大气污染物排放标准》（</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GB 4915-2013</w:t>
                  </w:r>
                  <w:r>
                    <w:rPr>
                      <w:rFonts w:hint="default" w:ascii="Times New Roman" w:hAnsi="Times New Roman" w:cs="Times New Roman"/>
                      <w:b w:val="0"/>
                      <w:bCs w:val="0"/>
                      <w:color w:val="000000" w:themeColor="text1"/>
                      <w:sz w:val="21"/>
                      <w:szCs w:val="21"/>
                      <w:highlight w:val="none"/>
                      <w:lang w:eastAsia="zh-CN"/>
                      <w14:textFill>
                        <w14:solidFill>
                          <w14:schemeClr w14:val="tx1"/>
                        </w14:solidFill>
                      </w14:textFill>
                    </w:rPr>
                    <w:t>）</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表3</w:t>
                  </w:r>
                  <w:r>
                    <w:rPr>
                      <w:rFonts w:hint="eastAsia" w:cs="Times New Roman"/>
                      <w:color w:val="000000" w:themeColor="text1"/>
                      <w:sz w:val="21"/>
                      <w:szCs w:val="21"/>
                      <w:highlight w:val="none"/>
                      <w:lang w:val="en-US" w:eastAsia="zh-CN"/>
                      <w14:textFill>
                        <w14:solidFill>
                          <w14:schemeClr w14:val="tx1"/>
                        </w14:solidFill>
                      </w14:textFill>
                    </w:rPr>
                    <w:t>大气污染物</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无组织排放</w:t>
                  </w:r>
                  <w:r>
                    <w:rPr>
                      <w:rFonts w:hint="default" w:ascii="Times New Roman" w:hAnsi="Times New Roman" w:cs="Times New Roman"/>
                      <w:color w:val="000000" w:themeColor="text1"/>
                      <w:sz w:val="21"/>
                      <w:szCs w:val="21"/>
                      <w:highlight w:val="none"/>
                      <w:lang w:eastAsia="zh-CN"/>
                      <w14:textFill>
                        <w14:solidFill>
                          <w14:schemeClr w14:val="tx1"/>
                        </w14:solidFill>
                      </w14:textFill>
                    </w:rPr>
                    <w:t>限值</w:t>
                  </w:r>
                </w:p>
              </w:tc>
            </w:tr>
          </w:tbl>
          <w:p>
            <w:pPr>
              <w:pStyle w:val="3"/>
              <w:pageBreakBefore w:val="0"/>
              <w:widowControl w:val="0"/>
              <w:kinsoku/>
              <w:wordWrap/>
              <w:topLinePunct w:val="0"/>
              <w:autoSpaceDE/>
              <w:autoSpaceDN/>
              <w:bidi w:val="0"/>
              <w:adjustRightInd/>
              <w:snapToGrid w:val="0"/>
              <w:spacing w:before="0" w:after="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废水</w:t>
            </w:r>
          </w:p>
          <w:p>
            <w:pPr>
              <w:pStyle w:val="4"/>
              <w:pageBreakBefore w:val="0"/>
              <w:widowControl w:val="0"/>
              <w:kinsoku/>
              <w:wordWrap/>
              <w:overflowPunct/>
              <w:topLinePunct w:val="0"/>
              <w:autoSpaceDE/>
              <w:autoSpaceDN/>
              <w:bidi w:val="0"/>
              <w:adjustRightInd/>
              <w:snapToGrid w:val="0"/>
              <w:spacing w:before="0" w:after="0" w:line="360" w:lineRule="auto"/>
              <w:jc w:val="left"/>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.1</w:t>
            </w:r>
            <w:r>
              <w:rPr>
                <w:rFonts w:hint="default" w:ascii="Times New Roman" w:hAnsi="Times New Roman" w:cs="Times New Roman"/>
                <w:color w:val="000000" w:themeColor="text1"/>
                <w:highlight w:val="none"/>
                <w:lang w:eastAsia="zh-CN"/>
                <w14:textFill>
                  <w14:solidFill>
                    <w14:schemeClr w14:val="tx1"/>
                  </w14:solidFill>
                </w14:textFill>
              </w:rPr>
              <w:t>污染物源强</w:t>
            </w:r>
          </w:p>
          <w:p>
            <w:pPr>
              <w:pageBreakBefore w:val="0"/>
              <w:widowControl w:val="0"/>
              <w:kinsoku/>
              <w:wordWrap/>
              <w:overflowPunct/>
              <w:topLinePunct w:val="0"/>
              <w:autoSpaceDE/>
              <w:autoSpaceDN/>
              <w:bidi w:val="0"/>
              <w:adjustRightInd/>
              <w:snapToGrid w:val="0"/>
              <w:spacing w:line="360" w:lineRule="auto"/>
              <w:ind w:firstLine="480"/>
              <w:jc w:val="left"/>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（1）生活废水</w:t>
            </w:r>
          </w:p>
          <w:p>
            <w:pPr>
              <w:pageBreakBefore w:val="0"/>
              <w:widowControl w:val="0"/>
              <w:kinsoku/>
              <w:wordWrap/>
              <w:overflowPunct/>
              <w:topLinePunct w:val="0"/>
              <w:autoSpaceDE/>
              <w:autoSpaceDN/>
              <w:bidi w:val="0"/>
              <w:adjustRightInd/>
              <w:snapToGrid w:val="0"/>
              <w:spacing w:line="360" w:lineRule="auto"/>
              <w:ind w:firstLine="480"/>
              <w:jc w:val="left"/>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w:t>
            </w:r>
            <w:r>
              <w:rPr>
                <w:rFonts w:hint="default" w:ascii="Times New Roman" w:hAnsi="Times New Roman" w:cs="Times New Roman"/>
                <w:color w:val="000000" w:themeColor="text1"/>
                <w:highlight w:val="none"/>
                <w:lang w:eastAsia="zh-CN"/>
                <w14:textFill>
                  <w14:solidFill>
                    <w14:schemeClr w14:val="tx1"/>
                  </w14:solidFill>
                </w14:textFill>
              </w:rPr>
              <w:t>劳动定员为</w:t>
            </w:r>
            <w:r>
              <w:rPr>
                <w:rFonts w:hint="default" w:ascii="Times New Roman" w:hAns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14:textFill>
                  <w14:solidFill>
                    <w14:schemeClr w14:val="tx1"/>
                  </w14:solidFill>
                </w14:textFill>
              </w:rPr>
              <w:t>人，按照《新疆维吾尔自治区生活用水定额》，本项目生活用水量按</w:t>
            </w:r>
            <w:r>
              <w:rPr>
                <w:rFonts w:hint="default" w:ascii="Times New Roman" w:hAnsi="Times New Roman" w:cs="Times New Roman"/>
                <w:color w:val="000000" w:themeColor="text1"/>
                <w:highlight w:val="none"/>
                <w:lang w:val="en-US" w:eastAsia="zh-CN"/>
                <w14:textFill>
                  <w14:solidFill>
                    <w14:schemeClr w14:val="tx1"/>
                  </w14:solidFill>
                </w14:textFill>
              </w:rPr>
              <w:t>80</w:t>
            </w:r>
            <w:r>
              <w:rPr>
                <w:rFonts w:hint="default" w:ascii="Times New Roman" w:hAnsi="Times New Roman" w:cs="Times New Roman"/>
                <w:color w:val="000000" w:themeColor="text1"/>
                <w:highlight w:val="none"/>
                <w14:textFill>
                  <w14:solidFill>
                    <w14:schemeClr w14:val="tx1"/>
                  </w14:solidFill>
                </w14:textFill>
              </w:rPr>
              <w:t>L/</w:t>
            </w:r>
            <w:r>
              <w:rPr>
                <w:rFonts w:hint="eastAsia" w:cs="Times New Roman"/>
                <w:color w:val="000000" w:themeColor="text1"/>
                <w:highlight w:val="none"/>
                <w:lang w:val="en-US" w:eastAsia="zh-CN"/>
                <w14:textFill>
                  <w14:solidFill>
                    <w14:schemeClr w14:val="tx1"/>
                  </w14:solidFill>
                </w14:textFill>
              </w:rPr>
              <w:t>d 人</w:t>
            </w:r>
            <w:r>
              <w:rPr>
                <w:rFonts w:hint="default" w:ascii="Times New Roman" w:hAnsi="Times New Roman" w:cs="Times New Roman"/>
                <w:color w:val="000000" w:themeColor="text1"/>
                <w:highlight w:val="none"/>
                <w14:textFill>
                  <w14:solidFill>
                    <w14:schemeClr w14:val="tx1"/>
                  </w14:solidFill>
                </w14:textFill>
              </w:rPr>
              <w:t>计，则产生的生活用水量</w:t>
            </w:r>
            <w:r>
              <w:rPr>
                <w:rFonts w:hint="default" w:ascii="Times New Roman" w:hAnsi="Times New Roman" w:cs="Times New Roman"/>
                <w:color w:val="000000" w:themeColor="text1"/>
                <w:highlight w:val="none"/>
                <w:lang w:val="en-US" w:eastAsia="zh-CN"/>
                <w14:textFill>
                  <w14:solidFill>
                    <w14:schemeClr w14:val="tx1"/>
                  </w14:solidFill>
                </w14:textFill>
              </w:rPr>
              <w:t>128</w:t>
            </w:r>
            <w:r>
              <w:rPr>
                <w:rFonts w:hint="default" w:ascii="Times New Roman" w:hAnsi="Times New Roman" w:cs="Times New Roman"/>
                <w:color w:val="000000" w:themeColor="text1"/>
                <w:highlight w:val="none"/>
                <w14:textFill>
                  <w14:solidFill>
                    <w14:schemeClr w14:val="tx1"/>
                  </w14:solidFill>
                </w14:textFill>
              </w:rPr>
              <w:t>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/a，排污系数按照0.8</w:t>
            </w:r>
            <w:r>
              <w:rPr>
                <w:rFonts w:hint="default" w:ascii="Times New Roman" w:hAns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计，故本项目生活污水排放量为</w:t>
            </w:r>
            <w:r>
              <w:rPr>
                <w:rFonts w:hint="default" w:ascii="Times New Roman" w:hAnsi="Times New Roman" w:cs="Times New Roman"/>
                <w:color w:val="000000" w:themeColor="text1"/>
                <w:highlight w:val="none"/>
                <w:lang w:val="en-US" w:eastAsia="zh-CN"/>
                <w14:textFill>
                  <w14:solidFill>
                    <w14:schemeClr w14:val="tx1"/>
                  </w14:solidFill>
                </w14:textFill>
              </w:rPr>
              <w:t>108.8</w:t>
            </w:r>
            <w:r>
              <w:rPr>
                <w:rFonts w:hint="default" w:ascii="Times New Roman" w:hAnsi="Times New Roman" w:cs="Times New Roman"/>
                <w:color w:val="000000" w:themeColor="text1"/>
                <w:highlight w:val="none"/>
                <w14:textFill>
                  <w14:solidFill>
                    <w14:schemeClr w14:val="tx1"/>
                  </w14:solidFill>
                </w14:textFill>
              </w:rPr>
              <w:t>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/a（全年工作日按照</w:t>
            </w:r>
            <w:r>
              <w:rPr>
                <w:rFonts w:hint="default" w:ascii="Times New Roman" w:hAnsi="Times New Roman" w:cs="Times New Roman"/>
                <w:color w:val="000000" w:themeColor="text1"/>
                <w:highlight w:val="none"/>
                <w:lang w:val="en-US" w:eastAsia="zh-CN"/>
                <w14:textFill>
                  <w14:solidFill>
                    <w14:schemeClr w14:val="tx1"/>
                  </w14:solidFill>
                </w14:textFill>
              </w:rPr>
              <w:t>200</w:t>
            </w:r>
            <w:r>
              <w:rPr>
                <w:rFonts w:hint="default" w:ascii="Times New Roman" w:hAnsi="Times New Roman" w:cs="Times New Roman"/>
                <w:color w:val="000000" w:themeColor="text1"/>
                <w:highlight w:val="none"/>
                <w14:textFill>
                  <w14:solidFill>
                    <w14:schemeClr w14:val="tx1"/>
                  </w14:solidFill>
                </w14:textFill>
              </w:rPr>
              <w:t>天计）。生活污水排入</w:t>
            </w:r>
            <w:r>
              <w:rPr>
                <w:rFonts w:hint="default" w:ascii="Times New Roman" w:hAnsi="Times New Roman" w:cs="Times New Roman"/>
                <w:color w:val="000000" w:themeColor="text1"/>
                <w:highlight w:val="none"/>
                <w:lang w:eastAsia="zh-CN"/>
                <w14:textFill>
                  <w14:solidFill>
                    <w14:schemeClr w14:val="tx1"/>
                  </w14:solidFill>
                </w14:textFill>
              </w:rPr>
              <w:t>园区管网，最终进入高新区污水处理厂处置。</w:t>
            </w:r>
            <w:r>
              <w:rPr>
                <w:rFonts w:hint="default" w:ascii="Times New Roman" w:hAnsi="Times New Roman" w:cs="Times New Roman"/>
                <w:color w:val="000000" w:themeColor="text1"/>
                <w:highlight w:val="none"/>
                <w14:textFill>
                  <w14:solidFill>
                    <w14:schemeClr w14:val="tx1"/>
                  </w14:solidFill>
                </w14:textFill>
              </w:rPr>
              <w:t>主要污染物为COD</w:t>
            </w:r>
            <w:r>
              <w:rPr>
                <w:rFonts w:hint="default" w:ascii="Times New Roman" w:hAnsi="Times New Roman" w:cs="Times New Roman"/>
                <w:color w:val="000000" w:themeColor="text1"/>
                <w:highlight w:val="none"/>
                <w:vertAlign w:val="subscript"/>
                <w14:textFill>
                  <w14:solidFill>
                    <w14:schemeClr w14:val="tx1"/>
                  </w14:solidFill>
                </w14:textFill>
              </w:rPr>
              <w:t>Cr</w:t>
            </w:r>
            <w:r>
              <w:rPr>
                <w:rFonts w:hint="default" w:ascii="Times New Roman" w:hAnsi="Times New Roman" w:cs="Times New Roman"/>
                <w:color w:val="000000" w:themeColor="text1"/>
                <w:highlight w:val="none"/>
                <w14:textFill>
                  <w14:solidFill>
                    <w14:schemeClr w14:val="tx1"/>
                  </w14:solidFill>
                </w14:textFill>
              </w:rPr>
              <w:t>、BOD</w:t>
            </w:r>
            <w:r>
              <w:rPr>
                <w:rFonts w:hint="default" w:ascii="Times New Roman" w:hAnsi="Times New Roman" w:cs="Times New Roman"/>
                <w:color w:val="000000" w:themeColor="text1"/>
                <w:highlight w:val="none"/>
                <w:vertAlign w:val="subscript"/>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、SS、NH</w:t>
            </w:r>
            <w:r>
              <w:rPr>
                <w:rFonts w:hint="default" w:ascii="Times New Roman" w:hAnsi="Times New Roman" w:cs="Times New Roman"/>
                <w:color w:val="000000" w:themeColor="text1"/>
                <w:highlight w:val="none"/>
                <w:vertAlign w:val="sub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-N等。</w:t>
            </w:r>
          </w:p>
          <w:p>
            <w:pPr>
              <w:pStyle w:val="2"/>
              <w:pageBreakBefore w:val="0"/>
              <w:widowControl w:val="0"/>
              <w:kinsoku/>
              <w:wordWrap/>
              <w:overflowPunct/>
              <w:topLinePunct w:val="0"/>
              <w:autoSpaceDE/>
              <w:autoSpaceDN/>
              <w:bidi w:val="0"/>
              <w:adjustRightInd/>
              <w:spacing w:line="360" w:lineRule="auto"/>
              <w:jc w:val="left"/>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lang w:eastAsia="zh-CN"/>
                <w14:textFill>
                  <w14:solidFill>
                    <w14:schemeClr w14:val="tx1"/>
                  </w14:solidFill>
                </w14:textFill>
              </w:rPr>
              <w:t>）养护用水</w:t>
            </w:r>
          </w:p>
          <w:p>
            <w:pPr>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本项目生产的水泥制品采用自然养护方式，需定期洒水，根据建设单位提供的资料，养护用水量为</w:t>
            </w:r>
            <w:r>
              <w:rPr>
                <w:rFonts w:hint="default" w:ascii="Times New Roman" w:hAnsi="Times New Roman" w:cs="Times New Roman"/>
                <w:color w:val="000000" w:themeColor="text1"/>
                <w:highlight w:val="none"/>
                <w:lang w:val="en-US" w:eastAsia="zh-CN"/>
                <w14:textFill>
                  <w14:solidFill>
                    <w14:schemeClr w14:val="tx1"/>
                  </w14:solidFill>
                </w14:textFill>
              </w:rPr>
              <w:t>100m</w:t>
            </w:r>
            <w:r>
              <w:rPr>
                <w:rFonts w:hint="default" w:ascii="Times New Roman" w:hAnsi="Times New Roman" w:cs="Times New Roman"/>
                <w:color w:val="000000" w:themeColor="text1"/>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highlight w:val="none"/>
                <w:lang w:val="en-US" w:eastAsia="zh-CN"/>
                <w14:textFill>
                  <w14:solidFill>
                    <w14:schemeClr w14:val="tx1"/>
                  </w14:solidFill>
                </w14:textFill>
              </w:rPr>
              <w:t>/a，该部分水全部用于产品养护自然蒸发并损耗，无废水</w:t>
            </w:r>
            <w:r>
              <w:rPr>
                <w:rFonts w:hint="eastAsia" w:cs="Times New Roman"/>
                <w:color w:val="000000" w:themeColor="text1"/>
                <w:highlight w:val="none"/>
                <w:lang w:val="en-US" w:eastAsia="zh-CN"/>
                <w14:textFill>
                  <w14:solidFill>
                    <w14:schemeClr w14:val="tx1"/>
                  </w14:solidFill>
                </w14:textFill>
              </w:rPr>
              <w:t>外排</w:t>
            </w:r>
            <w:r>
              <w:rPr>
                <w:rFonts w:hint="default" w:ascii="Times New Roman" w:hAnsi="Times New Roman" w:cs="Times New Roman"/>
                <w:color w:val="000000" w:themeColor="text1"/>
                <w:highlight w:val="none"/>
                <w:lang w:val="en-US" w:eastAsia="zh-CN"/>
                <w14:textFill>
                  <w14:solidFill>
                    <w14:schemeClr w14:val="tx1"/>
                  </w14:solidFill>
                </w14:textFill>
              </w:rPr>
              <w:t>。</w:t>
            </w:r>
          </w:p>
          <w:p>
            <w:pPr>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）建设项目废水污染物排放信息</w:t>
            </w:r>
          </w:p>
          <w:p>
            <w:pPr>
              <w:pageBreakBefore w:val="0"/>
              <w:widowControl w:val="0"/>
              <w:kinsoku/>
              <w:wordWrap/>
              <w:overflowPunct/>
              <w:topLinePunct w:val="0"/>
              <w:autoSpaceDE/>
              <w:autoSpaceDN/>
              <w:bidi w:val="0"/>
              <w:adjustRightInd/>
              <w:snapToGrid w:val="0"/>
              <w:spacing w:line="360" w:lineRule="auto"/>
              <w:ind w:firstLine="480"/>
              <w:jc w:val="left"/>
              <w:textAlignment w:val="auto"/>
              <w:rPr>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参照《城市给水排水工程规划设计实用全书》，生活污水主要污染物及浓度分别为：COD</w:t>
            </w:r>
            <w:r>
              <w:rPr>
                <w:rFonts w:hint="default" w:ascii="Times New Roman" w:hAnsi="Times New Roman" w:cs="Times New Roman"/>
                <w:color w:val="000000" w:themeColor="text1"/>
                <w:highlight w:val="none"/>
                <w:vertAlign w:val="subscript"/>
                <w14:textFill>
                  <w14:solidFill>
                    <w14:schemeClr w14:val="tx1"/>
                  </w14:solidFill>
                </w14:textFill>
              </w:rPr>
              <w:t>Cr</w:t>
            </w:r>
            <w:r>
              <w:rPr>
                <w:rFonts w:hint="default" w:ascii="Times New Roman" w:hAnsi="Times New Roman" w:cs="Times New Roman"/>
                <w:color w:val="000000" w:themeColor="text1"/>
                <w:highlight w:val="none"/>
                <w14:textFill>
                  <w14:solidFill>
                    <w14:schemeClr w14:val="tx1"/>
                  </w14:solidFill>
                </w14:textFill>
              </w:rPr>
              <w:t>≈350mg/L，BOD</w:t>
            </w:r>
            <w:r>
              <w:rPr>
                <w:rFonts w:hint="default" w:ascii="Times New Roman" w:hAnsi="Times New Roman" w:cs="Times New Roman"/>
                <w:color w:val="000000" w:themeColor="text1"/>
                <w:highlight w:val="none"/>
                <w:vertAlign w:val="subscript"/>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≈200mg/L，SS≈250mg/L</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NH</w:t>
            </w:r>
            <w:r>
              <w:rPr>
                <w:rFonts w:hint="default" w:ascii="Times New Roman" w:hAnsi="Times New Roman" w:cs="Times New Roman"/>
                <w:color w:val="000000" w:themeColor="text1"/>
                <w:highlight w:val="none"/>
                <w:vertAlign w:val="sub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-N≈35mg/L，本项目水污染物产生量情况见表</w:t>
            </w:r>
            <w:r>
              <w:rPr>
                <w:rFonts w:hint="eastAsia" w:cs="Times New Roman"/>
                <w:color w:val="000000" w:themeColor="text1"/>
                <w:highlight w:val="none"/>
                <w:lang w:val="en-US" w:eastAsia="zh-CN"/>
                <w14:textFill>
                  <w14:solidFill>
                    <w14:schemeClr w14:val="tx1"/>
                  </w14:solidFill>
                </w14:textFill>
              </w:rPr>
              <w:t>20</w:t>
            </w:r>
            <w:r>
              <w:rPr>
                <w:rFonts w:hint="default" w:ascii="Times New Roman" w:hAnsi="Times New Roman" w:cs="Times New Roman"/>
                <w:color w:val="000000" w:themeColor="text1"/>
                <w:highlight w:val="none"/>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废水污染源源强核算结果表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432"/>
              <w:gridCol w:w="496"/>
              <w:gridCol w:w="947"/>
              <w:gridCol w:w="707"/>
              <w:gridCol w:w="840"/>
              <w:gridCol w:w="842"/>
              <w:gridCol w:w="700"/>
              <w:gridCol w:w="704"/>
              <w:gridCol w:w="98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7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工序/生产线</w:t>
                  </w:r>
                </w:p>
              </w:tc>
              <w:tc>
                <w:tcPr>
                  <w:tcW w:w="27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装置</w:t>
                  </w:r>
                </w:p>
              </w:tc>
              <w:tc>
                <w:tcPr>
                  <w:tcW w:w="31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污染源</w:t>
                  </w:r>
                </w:p>
              </w:tc>
              <w:tc>
                <w:tcPr>
                  <w:tcW w:w="59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污染物</w:t>
                  </w:r>
                </w:p>
              </w:tc>
              <w:tc>
                <w:tcPr>
                  <w:tcW w:w="44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核算</w:t>
                  </w:r>
                </w:p>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方法</w:t>
                  </w:r>
                </w:p>
              </w:tc>
              <w:tc>
                <w:tcPr>
                  <w:tcW w:w="1059"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污染物产生量</w:t>
                  </w:r>
                </w:p>
              </w:tc>
              <w:tc>
                <w:tcPr>
                  <w:tcW w:w="884"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治理措施</w:t>
                  </w:r>
                </w:p>
              </w:tc>
              <w:tc>
                <w:tcPr>
                  <w:tcW w:w="1157"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120" w:leftChars="-50" w:right="-120" w:rightChars="-50" w:firstLine="0" w:firstLineChars="0"/>
                    <w:jc w:val="center"/>
                    <w:textAlignment w:val="auto"/>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污染物排放量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71" w:type="pct"/>
                  <w:vMerge w:val="continue"/>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p>
              </w:tc>
              <w:tc>
                <w:tcPr>
                  <w:tcW w:w="272" w:type="pct"/>
                  <w:vMerge w:val="continue"/>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p>
              </w:tc>
              <w:tc>
                <w:tcPr>
                  <w:tcW w:w="312" w:type="pct"/>
                  <w:vMerge w:val="continue"/>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p>
              </w:tc>
              <w:tc>
                <w:tcPr>
                  <w:tcW w:w="596" w:type="pct"/>
                  <w:vMerge w:val="continue"/>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p>
              </w:tc>
              <w:tc>
                <w:tcPr>
                  <w:tcW w:w="445" w:type="pct"/>
                  <w:vMerge w:val="continue"/>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p>
              </w:tc>
              <w:tc>
                <w:tcPr>
                  <w:tcW w:w="529" w:type="pc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产生</w:t>
                  </w:r>
                </w:p>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浓度mg/L</w:t>
                  </w:r>
                </w:p>
              </w:tc>
              <w:tc>
                <w:tcPr>
                  <w:tcW w:w="530" w:type="pc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产生量（t/a）</w:t>
                  </w:r>
                </w:p>
              </w:tc>
              <w:tc>
                <w:tcPr>
                  <w:tcW w:w="441" w:type="pc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工艺</w:t>
                  </w:r>
                </w:p>
              </w:tc>
              <w:tc>
                <w:tcPr>
                  <w:tcW w:w="442" w:type="pc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效率（%）</w:t>
                  </w:r>
                </w:p>
              </w:tc>
              <w:tc>
                <w:tcPr>
                  <w:tcW w:w="622" w:type="pc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排放</w:t>
                  </w:r>
                </w:p>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浓度（mg/L）</w:t>
                  </w:r>
                </w:p>
              </w:tc>
              <w:tc>
                <w:tcPr>
                  <w:tcW w:w="535" w:type="pc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1" w:type="pct"/>
                  <w:vMerge w:val="restar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生活系统</w:t>
                  </w:r>
                </w:p>
              </w:tc>
              <w:tc>
                <w:tcPr>
                  <w:tcW w:w="272" w:type="pct"/>
                  <w:vMerge w:val="restar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生活系统</w:t>
                  </w:r>
                </w:p>
              </w:tc>
              <w:tc>
                <w:tcPr>
                  <w:tcW w:w="312" w:type="pct"/>
                  <w:vMerge w:val="restar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生活污水</w:t>
                  </w:r>
                </w:p>
              </w:tc>
              <w:tc>
                <w:tcPr>
                  <w:tcW w:w="596" w:type="pc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COD</w:t>
                  </w:r>
                  <w:r>
                    <w:rPr>
                      <w:rFonts w:hint="eastAsia"/>
                      <w:color w:val="000000" w:themeColor="text1"/>
                      <w:highlight w:val="none"/>
                      <w:vertAlign w:val="subscript"/>
                      <w14:textFill>
                        <w14:solidFill>
                          <w14:schemeClr w14:val="tx1"/>
                        </w14:solidFill>
                      </w14:textFill>
                    </w:rPr>
                    <w:t>Cr</w:t>
                  </w:r>
                </w:p>
              </w:tc>
              <w:tc>
                <w:tcPr>
                  <w:tcW w:w="445" w:type="pct"/>
                  <w:vMerge w:val="restar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资料法</w:t>
                  </w:r>
                </w:p>
              </w:tc>
              <w:tc>
                <w:tcPr>
                  <w:tcW w:w="529" w:type="pc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350</w:t>
                  </w:r>
                </w:p>
              </w:tc>
              <w:tc>
                <w:tcPr>
                  <w:tcW w:w="530" w:type="pct"/>
                  <w:tcBorders>
                    <w:tl2br w:val="nil"/>
                    <w:tr2bl w:val="nil"/>
                  </w:tcBorders>
                  <w:vAlign w:val="center"/>
                </w:tcPr>
                <w:p>
                  <w:pPr>
                    <w:spacing w:line="240" w:lineRule="auto"/>
                    <w:ind w:left="-120" w:leftChars="-50" w:right="-120" w:rightChars="-50" w:firstLine="0" w:firstLineChars="0"/>
                    <w:jc w:val="center"/>
                    <w:rPr>
                      <w:rFonts w:hint="default"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0.0381</w:t>
                  </w:r>
                </w:p>
              </w:tc>
              <w:tc>
                <w:tcPr>
                  <w:tcW w:w="441" w:type="pct"/>
                  <w:vMerge w:val="restart"/>
                  <w:tcBorders>
                    <w:tl2br w:val="nil"/>
                    <w:tr2bl w:val="nil"/>
                  </w:tcBorders>
                  <w:vAlign w:val="center"/>
                </w:tcPr>
                <w:p>
                  <w:pPr>
                    <w:spacing w:line="240" w:lineRule="auto"/>
                    <w:ind w:left="-120" w:leftChars="-50" w:right="-120" w:rightChars="-50" w:firstLine="0" w:firstLineChars="0"/>
                    <w:jc w:val="center"/>
                    <w:rPr>
                      <w:rFonts w:hint="default" w:eastAsia="宋体"/>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w:t>
                  </w:r>
                </w:p>
              </w:tc>
              <w:tc>
                <w:tcPr>
                  <w:tcW w:w="442" w:type="pc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0</w:t>
                  </w:r>
                </w:p>
              </w:tc>
              <w:tc>
                <w:tcPr>
                  <w:tcW w:w="622" w:type="pc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350</w:t>
                  </w:r>
                </w:p>
              </w:tc>
              <w:tc>
                <w:tcPr>
                  <w:tcW w:w="535" w:type="pct"/>
                  <w:tcBorders>
                    <w:tl2br w:val="nil"/>
                    <w:tr2bl w:val="nil"/>
                  </w:tcBorders>
                  <w:vAlign w:val="center"/>
                </w:tcPr>
                <w:p>
                  <w:pPr>
                    <w:spacing w:line="240" w:lineRule="auto"/>
                    <w:ind w:left="-120" w:leftChars="-50" w:right="-120" w:rightChars="-50" w:firstLine="0" w:firstLineChars="0"/>
                    <w:jc w:val="center"/>
                    <w:rPr>
                      <w:rFonts w:hint="default"/>
                      <w:color w:val="000000" w:themeColor="text1"/>
                      <w:sz w:val="21"/>
                      <w:highlight w:val="none"/>
                      <w:lang w:val="en-US"/>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0.0381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1" w:type="pct"/>
                  <w:vMerge w:val="continue"/>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p>
              </w:tc>
              <w:tc>
                <w:tcPr>
                  <w:tcW w:w="272" w:type="pct"/>
                  <w:vMerge w:val="continue"/>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p>
              </w:tc>
              <w:tc>
                <w:tcPr>
                  <w:tcW w:w="312" w:type="pct"/>
                  <w:vMerge w:val="continue"/>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p>
              </w:tc>
              <w:tc>
                <w:tcPr>
                  <w:tcW w:w="596" w:type="pc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BOD</w:t>
                  </w:r>
                  <w:r>
                    <w:rPr>
                      <w:bCs/>
                      <w:color w:val="000000" w:themeColor="text1"/>
                      <w:sz w:val="21"/>
                      <w:szCs w:val="21"/>
                      <w:highlight w:val="none"/>
                      <w:vertAlign w:val="subscript"/>
                      <w14:textFill>
                        <w14:solidFill>
                          <w14:schemeClr w14:val="tx1"/>
                        </w14:solidFill>
                      </w14:textFill>
                    </w:rPr>
                    <w:t>5</w:t>
                  </w:r>
                </w:p>
              </w:tc>
              <w:tc>
                <w:tcPr>
                  <w:tcW w:w="445" w:type="pct"/>
                  <w:vMerge w:val="continue"/>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p>
              </w:tc>
              <w:tc>
                <w:tcPr>
                  <w:tcW w:w="529" w:type="pc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200</w:t>
                  </w:r>
                </w:p>
              </w:tc>
              <w:tc>
                <w:tcPr>
                  <w:tcW w:w="530" w:type="pct"/>
                  <w:tcBorders>
                    <w:tl2br w:val="nil"/>
                    <w:tr2bl w:val="nil"/>
                  </w:tcBorders>
                  <w:vAlign w:val="center"/>
                </w:tcPr>
                <w:p>
                  <w:pPr>
                    <w:spacing w:line="240" w:lineRule="auto"/>
                    <w:ind w:left="-120" w:leftChars="-50" w:right="-120" w:rightChars="-50" w:firstLine="0" w:firstLineChars="0"/>
                    <w:jc w:val="center"/>
                    <w:rPr>
                      <w:rFonts w:hint="default"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14:textFill>
                        <w14:solidFill>
                          <w14:schemeClr w14:val="tx1"/>
                        </w14:solidFill>
                      </w14:textFill>
                    </w:rPr>
                    <w:t>0.0</w:t>
                  </w:r>
                  <w:r>
                    <w:rPr>
                      <w:rFonts w:hint="eastAsia"/>
                      <w:color w:val="000000" w:themeColor="text1"/>
                      <w:sz w:val="21"/>
                      <w:highlight w:val="none"/>
                      <w:lang w:val="en-US" w:eastAsia="zh-CN"/>
                      <w14:textFill>
                        <w14:solidFill>
                          <w14:schemeClr w14:val="tx1"/>
                        </w14:solidFill>
                      </w14:textFill>
                    </w:rPr>
                    <w:t>218</w:t>
                  </w:r>
                </w:p>
              </w:tc>
              <w:tc>
                <w:tcPr>
                  <w:tcW w:w="441" w:type="pct"/>
                  <w:vMerge w:val="continue"/>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p>
              </w:tc>
              <w:tc>
                <w:tcPr>
                  <w:tcW w:w="442" w:type="pc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0</w:t>
                  </w:r>
                </w:p>
              </w:tc>
              <w:tc>
                <w:tcPr>
                  <w:tcW w:w="622" w:type="pc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200</w:t>
                  </w:r>
                </w:p>
              </w:tc>
              <w:tc>
                <w:tcPr>
                  <w:tcW w:w="535" w:type="pct"/>
                  <w:tcBorders>
                    <w:tl2br w:val="nil"/>
                    <w:tr2bl w:val="nil"/>
                  </w:tcBorders>
                  <w:vAlign w:val="center"/>
                </w:tcPr>
                <w:p>
                  <w:pPr>
                    <w:spacing w:line="240" w:lineRule="auto"/>
                    <w:ind w:left="-120" w:leftChars="-50" w:right="-120" w:rightChars="-50" w:firstLine="0" w:firstLineChars="0"/>
                    <w:jc w:val="center"/>
                    <w:rPr>
                      <w:rFonts w:hint="default"/>
                      <w:color w:val="000000" w:themeColor="text1"/>
                      <w:sz w:val="21"/>
                      <w:highlight w:val="none"/>
                      <w:lang w:val="en-US"/>
                      <w14:textFill>
                        <w14:solidFill>
                          <w14:schemeClr w14:val="tx1"/>
                        </w14:solidFill>
                      </w14:textFill>
                    </w:rPr>
                  </w:pPr>
                  <w:r>
                    <w:rPr>
                      <w:rFonts w:hint="eastAsia"/>
                      <w:color w:val="000000" w:themeColor="text1"/>
                      <w:sz w:val="21"/>
                      <w:highlight w:val="none"/>
                      <w14:textFill>
                        <w14:solidFill>
                          <w14:schemeClr w14:val="tx1"/>
                        </w14:solidFill>
                      </w14:textFill>
                    </w:rPr>
                    <w:t>0.0</w:t>
                  </w:r>
                  <w:r>
                    <w:rPr>
                      <w:rFonts w:hint="eastAsia"/>
                      <w:color w:val="000000" w:themeColor="text1"/>
                      <w:sz w:val="21"/>
                      <w:highlight w:val="none"/>
                      <w:lang w:val="en-US" w:eastAsia="zh-CN"/>
                      <w14:textFill>
                        <w14:solidFill>
                          <w14:schemeClr w14:val="tx1"/>
                        </w14:solidFill>
                      </w14:textFill>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1" w:type="pct"/>
                  <w:vMerge w:val="continue"/>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p>
              </w:tc>
              <w:tc>
                <w:tcPr>
                  <w:tcW w:w="272" w:type="pct"/>
                  <w:vMerge w:val="continue"/>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p>
              </w:tc>
              <w:tc>
                <w:tcPr>
                  <w:tcW w:w="312" w:type="pct"/>
                  <w:vMerge w:val="continue"/>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p>
              </w:tc>
              <w:tc>
                <w:tcPr>
                  <w:tcW w:w="596" w:type="pc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SS</w:t>
                  </w:r>
                </w:p>
              </w:tc>
              <w:tc>
                <w:tcPr>
                  <w:tcW w:w="445" w:type="pct"/>
                  <w:vMerge w:val="continue"/>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p>
              </w:tc>
              <w:tc>
                <w:tcPr>
                  <w:tcW w:w="529" w:type="pc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250</w:t>
                  </w:r>
                </w:p>
              </w:tc>
              <w:tc>
                <w:tcPr>
                  <w:tcW w:w="530" w:type="pct"/>
                  <w:tcBorders>
                    <w:tl2br w:val="nil"/>
                    <w:tr2bl w:val="nil"/>
                  </w:tcBorders>
                  <w:vAlign w:val="center"/>
                </w:tcPr>
                <w:p>
                  <w:pPr>
                    <w:spacing w:line="240" w:lineRule="auto"/>
                    <w:ind w:left="-120" w:leftChars="-50" w:right="-120" w:rightChars="-50" w:firstLine="0" w:firstLineChars="0"/>
                    <w:jc w:val="center"/>
                    <w:rPr>
                      <w:rFonts w:hint="default"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14:textFill>
                        <w14:solidFill>
                          <w14:schemeClr w14:val="tx1"/>
                        </w14:solidFill>
                      </w14:textFill>
                    </w:rPr>
                    <w:t>0.0</w:t>
                  </w:r>
                  <w:r>
                    <w:rPr>
                      <w:rFonts w:hint="eastAsia"/>
                      <w:color w:val="000000" w:themeColor="text1"/>
                      <w:sz w:val="21"/>
                      <w:highlight w:val="none"/>
                      <w:lang w:val="en-US" w:eastAsia="zh-CN"/>
                      <w14:textFill>
                        <w14:solidFill>
                          <w14:schemeClr w14:val="tx1"/>
                        </w14:solidFill>
                      </w14:textFill>
                    </w:rPr>
                    <w:t>272</w:t>
                  </w:r>
                </w:p>
              </w:tc>
              <w:tc>
                <w:tcPr>
                  <w:tcW w:w="441" w:type="pct"/>
                  <w:vMerge w:val="continue"/>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p>
              </w:tc>
              <w:tc>
                <w:tcPr>
                  <w:tcW w:w="442" w:type="pc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0</w:t>
                  </w:r>
                </w:p>
              </w:tc>
              <w:tc>
                <w:tcPr>
                  <w:tcW w:w="622" w:type="pc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250</w:t>
                  </w:r>
                </w:p>
              </w:tc>
              <w:tc>
                <w:tcPr>
                  <w:tcW w:w="535" w:type="pct"/>
                  <w:tcBorders>
                    <w:tl2br w:val="nil"/>
                    <w:tr2bl w:val="nil"/>
                  </w:tcBorders>
                  <w:vAlign w:val="center"/>
                </w:tcPr>
                <w:p>
                  <w:pPr>
                    <w:spacing w:line="240" w:lineRule="auto"/>
                    <w:ind w:left="-120" w:leftChars="-50" w:right="-120" w:rightChars="-50" w:firstLine="0" w:firstLineChars="0"/>
                    <w:jc w:val="center"/>
                    <w:rPr>
                      <w:rFonts w:hint="default"/>
                      <w:color w:val="000000" w:themeColor="text1"/>
                      <w:sz w:val="21"/>
                      <w:highlight w:val="none"/>
                      <w:lang w:val="en-US"/>
                      <w14:textFill>
                        <w14:solidFill>
                          <w14:schemeClr w14:val="tx1"/>
                        </w14:solidFill>
                      </w14:textFill>
                    </w:rPr>
                  </w:pPr>
                  <w:r>
                    <w:rPr>
                      <w:rFonts w:hint="eastAsia"/>
                      <w:color w:val="000000" w:themeColor="text1"/>
                      <w:sz w:val="21"/>
                      <w:highlight w:val="none"/>
                      <w14:textFill>
                        <w14:solidFill>
                          <w14:schemeClr w14:val="tx1"/>
                        </w14:solidFill>
                      </w14:textFill>
                    </w:rPr>
                    <w:t>0.0</w:t>
                  </w:r>
                  <w:r>
                    <w:rPr>
                      <w:rFonts w:hint="eastAsia"/>
                      <w:color w:val="000000" w:themeColor="text1"/>
                      <w:sz w:val="21"/>
                      <w:highlight w:val="none"/>
                      <w:lang w:val="en-US" w:eastAsia="zh-CN"/>
                      <w14:textFill>
                        <w14:solidFill>
                          <w14:schemeClr w14:val="tx1"/>
                        </w14:solidFill>
                      </w14:textFill>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1" w:type="pct"/>
                  <w:vMerge w:val="continue"/>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p>
              </w:tc>
              <w:tc>
                <w:tcPr>
                  <w:tcW w:w="272" w:type="pct"/>
                  <w:vMerge w:val="continue"/>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p>
              </w:tc>
              <w:tc>
                <w:tcPr>
                  <w:tcW w:w="312" w:type="pct"/>
                  <w:vMerge w:val="continue"/>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p>
              </w:tc>
              <w:tc>
                <w:tcPr>
                  <w:tcW w:w="596" w:type="pc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NH</w:t>
                  </w:r>
                  <w:r>
                    <w:rPr>
                      <w:bCs/>
                      <w:color w:val="000000" w:themeColor="text1"/>
                      <w:sz w:val="21"/>
                      <w:szCs w:val="21"/>
                      <w:highlight w:val="none"/>
                      <w:vertAlign w:val="subscript"/>
                      <w14:textFill>
                        <w14:solidFill>
                          <w14:schemeClr w14:val="tx1"/>
                        </w14:solidFill>
                      </w14:textFill>
                    </w:rPr>
                    <w:t>3</w:t>
                  </w:r>
                  <w:r>
                    <w:rPr>
                      <w:bCs/>
                      <w:color w:val="000000" w:themeColor="text1"/>
                      <w:sz w:val="21"/>
                      <w:szCs w:val="21"/>
                      <w:highlight w:val="none"/>
                      <w14:textFill>
                        <w14:solidFill>
                          <w14:schemeClr w14:val="tx1"/>
                        </w14:solidFill>
                      </w14:textFill>
                    </w:rPr>
                    <w:t>-N</w:t>
                  </w:r>
                </w:p>
              </w:tc>
              <w:tc>
                <w:tcPr>
                  <w:tcW w:w="445" w:type="pct"/>
                  <w:vMerge w:val="continue"/>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p>
              </w:tc>
              <w:tc>
                <w:tcPr>
                  <w:tcW w:w="529" w:type="pc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35</w:t>
                  </w:r>
                </w:p>
              </w:tc>
              <w:tc>
                <w:tcPr>
                  <w:tcW w:w="530" w:type="pct"/>
                  <w:tcBorders>
                    <w:tl2br w:val="nil"/>
                    <w:tr2bl w:val="nil"/>
                  </w:tcBorders>
                  <w:vAlign w:val="center"/>
                </w:tcPr>
                <w:p>
                  <w:pPr>
                    <w:spacing w:line="240" w:lineRule="auto"/>
                    <w:ind w:left="-120" w:leftChars="-50" w:right="-120" w:rightChars="-50" w:firstLine="0" w:firstLineChars="0"/>
                    <w:jc w:val="center"/>
                    <w:rPr>
                      <w:rFonts w:hint="default"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14:textFill>
                        <w14:solidFill>
                          <w14:schemeClr w14:val="tx1"/>
                        </w14:solidFill>
                      </w14:textFill>
                    </w:rPr>
                    <w:t>0.00</w:t>
                  </w:r>
                  <w:r>
                    <w:rPr>
                      <w:rFonts w:hint="eastAsia"/>
                      <w:color w:val="000000" w:themeColor="text1"/>
                      <w:sz w:val="21"/>
                      <w:highlight w:val="none"/>
                      <w:lang w:val="en-US" w:eastAsia="zh-CN"/>
                      <w14:textFill>
                        <w14:solidFill>
                          <w14:schemeClr w14:val="tx1"/>
                        </w14:solidFill>
                      </w14:textFill>
                    </w:rPr>
                    <w:t>38</w:t>
                  </w:r>
                </w:p>
              </w:tc>
              <w:tc>
                <w:tcPr>
                  <w:tcW w:w="441" w:type="pct"/>
                  <w:vMerge w:val="continue"/>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p>
              </w:tc>
              <w:tc>
                <w:tcPr>
                  <w:tcW w:w="442" w:type="pc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0</w:t>
                  </w:r>
                </w:p>
              </w:tc>
              <w:tc>
                <w:tcPr>
                  <w:tcW w:w="622" w:type="pct"/>
                  <w:tcBorders>
                    <w:tl2br w:val="nil"/>
                    <w:tr2bl w:val="nil"/>
                  </w:tcBorders>
                  <w:vAlign w:val="center"/>
                </w:tcPr>
                <w:p>
                  <w:pPr>
                    <w:spacing w:line="240" w:lineRule="auto"/>
                    <w:ind w:left="-120" w:leftChars="-50" w:right="-120" w:rightChars="-50" w:firstLine="0" w:firstLineChars="0"/>
                    <w:jc w:val="center"/>
                    <w:rPr>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35</w:t>
                  </w:r>
                </w:p>
              </w:tc>
              <w:tc>
                <w:tcPr>
                  <w:tcW w:w="535" w:type="pct"/>
                  <w:tcBorders>
                    <w:tl2br w:val="nil"/>
                    <w:tr2bl w:val="nil"/>
                  </w:tcBorders>
                  <w:vAlign w:val="center"/>
                </w:tcPr>
                <w:p>
                  <w:pPr>
                    <w:spacing w:line="240" w:lineRule="auto"/>
                    <w:ind w:left="-120" w:leftChars="-50" w:right="-120" w:rightChars="-50" w:firstLine="0" w:firstLineChars="0"/>
                    <w:jc w:val="center"/>
                    <w:rPr>
                      <w:rFonts w:hint="default"/>
                      <w:color w:val="000000" w:themeColor="text1"/>
                      <w:sz w:val="21"/>
                      <w:highlight w:val="none"/>
                      <w:lang w:val="en-US"/>
                      <w14:textFill>
                        <w14:solidFill>
                          <w14:schemeClr w14:val="tx1"/>
                        </w14:solidFill>
                      </w14:textFill>
                    </w:rPr>
                  </w:pPr>
                  <w:r>
                    <w:rPr>
                      <w:rFonts w:hint="eastAsia"/>
                      <w:color w:val="000000" w:themeColor="text1"/>
                      <w:sz w:val="21"/>
                      <w:highlight w:val="none"/>
                      <w14:textFill>
                        <w14:solidFill>
                          <w14:schemeClr w14:val="tx1"/>
                        </w14:solidFill>
                      </w14:textFill>
                    </w:rPr>
                    <w:t>0.00</w:t>
                  </w:r>
                  <w:r>
                    <w:rPr>
                      <w:rFonts w:hint="eastAsia"/>
                      <w:color w:val="000000" w:themeColor="text1"/>
                      <w:sz w:val="21"/>
                      <w:highlight w:val="none"/>
                      <w:lang w:val="en-US" w:eastAsia="zh-CN"/>
                      <w14:textFill>
                        <w14:solidFill>
                          <w14:schemeClr w14:val="tx1"/>
                        </w14:solidFill>
                      </w14:textFill>
                    </w:rPr>
                    <w:t>38</w:t>
                  </w:r>
                </w:p>
              </w:tc>
            </w:tr>
          </w:tbl>
          <w:p>
            <w:pPr>
              <w:pStyle w:val="4"/>
              <w:pageBreakBefore w:val="0"/>
              <w:widowControl w:val="0"/>
              <w:kinsoku/>
              <w:wordWrap/>
              <w:topLinePunct w:val="0"/>
              <w:autoSpaceDE/>
              <w:autoSpaceDN/>
              <w:bidi w:val="0"/>
              <w:adjustRightInd/>
              <w:snapToGrid w:val="0"/>
              <w:spacing w:before="0" w:after="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废水治理设施情况</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本项目生活污水各污染物排放浓度能够满足《污水综合排放标准》（GB8978-1996）表4中三级标准和《污水排入城镇下水道水质标准》（GB/T31962-2015）中NH</w:t>
            </w:r>
            <w:r>
              <w:rPr>
                <w:rFonts w:hint="eastAsia"/>
                <w:color w:val="000000" w:themeColor="text1"/>
                <w:highlight w:val="none"/>
                <w:vertAlign w:val="subscript"/>
                <w14:textFill>
                  <w14:solidFill>
                    <w14:schemeClr w14:val="tx1"/>
                  </w14:solidFill>
                </w14:textFill>
              </w:rPr>
              <w:t>3</w:t>
            </w:r>
            <w:r>
              <w:rPr>
                <w:rFonts w:hint="eastAsia"/>
                <w:color w:val="000000" w:themeColor="text1"/>
                <w:highlight w:val="none"/>
                <w14:textFill>
                  <w14:solidFill>
                    <w14:schemeClr w14:val="tx1"/>
                  </w14:solidFill>
                </w14:textFill>
              </w:rPr>
              <w:t>-N最高允许值中B级标准45mg/L的规定，项目区产生的生活污水</w:t>
            </w:r>
            <w:r>
              <w:rPr>
                <w:rFonts w:hint="eastAsia"/>
                <w:color w:val="000000" w:themeColor="text1"/>
                <w:highlight w:val="none"/>
                <w:lang w:eastAsia="zh-CN"/>
                <w14:textFill>
                  <w14:solidFill>
                    <w14:schemeClr w14:val="tx1"/>
                  </w14:solidFill>
                </w14:textFill>
              </w:rPr>
              <w:t>排入园区管网，由园区污水处理厂统一处理</w:t>
            </w:r>
            <w:r>
              <w:rPr>
                <w:rFonts w:hint="eastAsia"/>
                <w:color w:val="000000" w:themeColor="text1"/>
                <w:highlight w:val="none"/>
                <w14:textFill>
                  <w14:solidFill>
                    <w14:schemeClr w14:val="tx1"/>
                  </w14:solidFill>
                </w14:textFill>
              </w:rPr>
              <w:t>，对周围</w:t>
            </w:r>
            <w:r>
              <w:rPr>
                <w:rFonts w:hint="eastAsia"/>
                <w:color w:val="000000" w:themeColor="text1"/>
                <w:highlight w:val="none"/>
                <w:lang w:eastAsia="zh-CN"/>
                <w14:textFill>
                  <w14:solidFill>
                    <w14:schemeClr w14:val="tx1"/>
                  </w14:solidFill>
                </w14:textFill>
              </w:rPr>
              <w:t>水</w:t>
            </w:r>
            <w:r>
              <w:rPr>
                <w:rFonts w:hint="eastAsia"/>
                <w:color w:val="000000" w:themeColor="text1"/>
                <w:highlight w:val="none"/>
                <w14:textFill>
                  <w14:solidFill>
                    <w14:schemeClr w14:val="tx1"/>
                  </w14:solidFill>
                </w14:textFill>
              </w:rPr>
              <w:t>环境造成影响</w:t>
            </w:r>
            <w:r>
              <w:rPr>
                <w:rFonts w:hint="eastAsia"/>
                <w:color w:val="000000" w:themeColor="text1"/>
                <w:highlight w:val="none"/>
                <w:lang w:eastAsia="zh-CN"/>
                <w14:textFill>
                  <w14:solidFill>
                    <w14:schemeClr w14:val="tx1"/>
                  </w14:solidFill>
                </w14:textFill>
              </w:rPr>
              <w:t>较小</w:t>
            </w:r>
            <w:r>
              <w:rPr>
                <w:rFonts w:hint="eastAsia"/>
                <w:color w:val="000000" w:themeColor="text1"/>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eastAsia="zh-CN"/>
                <w14:textFill>
                  <w14:solidFill>
                    <w14:schemeClr w14:val="tx1"/>
                  </w14:solidFill>
                </w14:textFill>
              </w:rPr>
              <w:t>表</w:t>
            </w:r>
            <w:r>
              <w:rPr>
                <w:rFonts w:hint="eastAsia" w:cs="Times New Roman"/>
                <w:b/>
                <w:bCs/>
                <w:color w:val="000000" w:themeColor="text1"/>
                <w:sz w:val="21"/>
                <w:szCs w:val="21"/>
                <w:highlight w:val="none"/>
                <w:lang w:val="en-US" w:eastAsia="zh-CN"/>
                <w14:textFill>
                  <w14:solidFill>
                    <w14:schemeClr w14:val="tx1"/>
                  </w14:solidFill>
                </w14:textFill>
              </w:rPr>
              <w:t>21</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 xml:space="preserve">  废水污染物排放执行标准一览表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527"/>
              <w:gridCol w:w="1286"/>
              <w:gridCol w:w="2926"/>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1"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排放口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编号</w:t>
                  </w:r>
                </w:p>
              </w:tc>
              <w:tc>
                <w:tcPr>
                  <w:tcW w:w="96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排放口名称</w:t>
                  </w:r>
                </w:p>
              </w:tc>
              <w:tc>
                <w:tcPr>
                  <w:tcW w:w="810"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污染物种类</w:t>
                  </w:r>
                </w:p>
              </w:tc>
              <w:tc>
                <w:tcPr>
                  <w:tcW w:w="2595"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国家或地方污染物排放标准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1"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96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810"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184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名称</w:t>
                  </w:r>
                </w:p>
              </w:tc>
              <w:tc>
                <w:tcPr>
                  <w:tcW w:w="7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浓度限值</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1"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DW001</w:t>
                  </w:r>
                </w:p>
              </w:tc>
              <w:tc>
                <w:tcPr>
                  <w:tcW w:w="96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企业总排口</w:t>
                  </w:r>
                </w:p>
              </w:tc>
              <w:tc>
                <w:tcPr>
                  <w:tcW w:w="81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COD</w:t>
                  </w:r>
                  <w:r>
                    <w:rPr>
                      <w:rFonts w:hint="eastAsia"/>
                      <w:color w:val="000000" w:themeColor="text1"/>
                      <w:highlight w:val="none"/>
                      <w:vertAlign w:val="subscript"/>
                      <w14:textFill>
                        <w14:solidFill>
                          <w14:schemeClr w14:val="tx1"/>
                        </w14:solidFill>
                      </w14:textFill>
                    </w:rPr>
                    <w:t>Cr</w:t>
                  </w:r>
                </w:p>
              </w:tc>
              <w:tc>
                <w:tcPr>
                  <w:tcW w:w="1843"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《污水综合排放标准》（GB8978-1996)</w:t>
                  </w:r>
                </w:p>
              </w:tc>
              <w:tc>
                <w:tcPr>
                  <w:tcW w:w="7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1"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96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81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BOD</w:t>
                  </w:r>
                  <w:r>
                    <w:rPr>
                      <w:rFonts w:hint="default" w:ascii="Times New Roman" w:hAnsi="Times New Roman" w:cs="Times New Roman"/>
                      <w:color w:val="000000" w:themeColor="text1"/>
                      <w:kern w:val="0"/>
                      <w:sz w:val="21"/>
                      <w:szCs w:val="21"/>
                      <w:highlight w:val="none"/>
                      <w:vertAlign w:val="subscript"/>
                      <w14:textFill>
                        <w14:solidFill>
                          <w14:schemeClr w14:val="tx1"/>
                        </w14:solidFill>
                      </w14:textFill>
                    </w:rPr>
                    <w:t>5</w:t>
                  </w:r>
                </w:p>
              </w:tc>
              <w:tc>
                <w:tcPr>
                  <w:tcW w:w="1843"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7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1"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96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81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14:textFill>
                        <w14:solidFill>
                          <w14:schemeClr w14:val="tx1"/>
                        </w14:solidFill>
                      </w14:textFill>
                    </w:rPr>
                    <w:t>SS</w:t>
                  </w:r>
                </w:p>
              </w:tc>
              <w:tc>
                <w:tcPr>
                  <w:tcW w:w="1843"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7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14:textFill>
                        <w14:solidFill>
                          <w14:schemeClr w14:val="tx1"/>
                        </w14:solidFill>
                      </w14:textFill>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1"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96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81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NH</w:t>
                  </w:r>
                  <w:r>
                    <w:rPr>
                      <w:rFonts w:hint="default" w:ascii="Times New Roman" w:hAnsi="Times New Roman" w:cs="Times New Roman"/>
                      <w:color w:val="000000" w:themeColor="text1"/>
                      <w:kern w:val="0"/>
                      <w:sz w:val="21"/>
                      <w:szCs w:val="21"/>
                      <w:highlight w:val="none"/>
                      <w:vertAlign w:val="subscript"/>
                      <w14:textFill>
                        <w14:solidFill>
                          <w14:schemeClr w14:val="tx1"/>
                        </w14:solidFill>
                      </w14:textFill>
                    </w:rPr>
                    <w:t>3</w:t>
                  </w:r>
                  <w:r>
                    <w:rPr>
                      <w:rFonts w:hint="default" w:ascii="Times New Roman" w:hAnsi="Times New Roman" w:cs="Times New Roman"/>
                      <w:color w:val="000000" w:themeColor="text1"/>
                      <w:kern w:val="0"/>
                      <w:sz w:val="21"/>
                      <w:szCs w:val="21"/>
                      <w:highlight w:val="none"/>
                      <w14:textFill>
                        <w14:solidFill>
                          <w14:schemeClr w14:val="tx1"/>
                        </w14:solidFill>
                      </w14:textFill>
                    </w:rPr>
                    <w:t>-N</w:t>
                  </w:r>
                </w:p>
              </w:tc>
              <w:tc>
                <w:tcPr>
                  <w:tcW w:w="184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《污水排入城镇下水道水质标准》（GB/T31962-2015）中B级标准</w:t>
                  </w:r>
                </w:p>
              </w:tc>
              <w:tc>
                <w:tcPr>
                  <w:tcW w:w="7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45</w:t>
                  </w:r>
                </w:p>
              </w:tc>
            </w:tr>
          </w:tbl>
          <w:p>
            <w:pPr>
              <w:pStyle w:val="4"/>
              <w:pageBreakBefore w:val="0"/>
              <w:widowControl w:val="0"/>
              <w:kinsoku/>
              <w:wordWrap/>
              <w:topLinePunct w:val="0"/>
              <w:autoSpaceDE/>
              <w:autoSpaceDN/>
              <w:bidi w:val="0"/>
              <w:adjustRightInd/>
              <w:snapToGrid w:val="0"/>
              <w:spacing w:before="0" w:after="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废水治理设施依托可行性</w:t>
            </w:r>
          </w:p>
          <w:p>
            <w:pPr>
              <w:pageBreakBefore w:val="0"/>
              <w:widowControl w:val="0"/>
              <w:kinsoku/>
              <w:wordWrap/>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昌吉高新技术产业开发区污水处理厂位于昌吉高新技术产业开发区西北角，该污水处理厂污水接纳范围主要包括昌吉高新技术产业开发区内各企业的工业污水、军户农场和榆树沟镇的生活污水，设计处理规模30000m</w:t>
            </w:r>
            <w:r>
              <w:rPr>
                <w:rFonts w:hint="eastAsia"/>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/d，实际处理规模15000m</w:t>
            </w:r>
            <w:r>
              <w:rPr>
                <w:rFonts w:hint="eastAsia"/>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d，污水处理工艺采用污水→粗格栅及污水提升泵站→细格栅及曝气沉砂池→初沉池→MBR池→二沉池→Fenton反应池→絮凝沉淀池→纤维转盘滤池→紫外消毒，处理后污水可达到《城镇污水处理厂污染物排放标准》（GB18918-2002）中一级A标准，处理后尾水夏季排入污水处理厂西侧约70m处7000m</w:t>
            </w:r>
            <w:r>
              <w:rPr>
                <w:rFonts w:hint="eastAsia"/>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的高新区生态灌溉项目蓄水池中，用于高新区工业冷却水、绿化、洗车、浇洒道路、景观用水，冬季尾水排入污水处理厂西南侧约2km处50万m</w:t>
            </w:r>
            <w:r>
              <w:rPr>
                <w:rFonts w:hint="eastAsia"/>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的园区水库中。</w:t>
            </w:r>
          </w:p>
          <w:p>
            <w:pPr>
              <w:pageBreakBefore w:val="0"/>
              <w:widowControl w:val="0"/>
              <w:kinsoku/>
              <w:wordWrap/>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项目生活废水污染物排放浓度</w:t>
            </w:r>
            <w:r>
              <w:rPr>
                <w:rFonts w:hint="eastAsia"/>
                <w:color w:val="000000" w:themeColor="text1"/>
                <w:highlight w:val="none"/>
                <w:lang w:eastAsia="zh-CN"/>
                <w14:textFill>
                  <w14:solidFill>
                    <w14:schemeClr w14:val="tx1"/>
                  </w14:solidFill>
                </w14:textFill>
              </w:rPr>
              <w:t>符合</w:t>
            </w:r>
            <w:r>
              <w:rPr>
                <w:rFonts w:hint="eastAsia"/>
                <w:color w:val="000000" w:themeColor="text1"/>
                <w:highlight w:val="none"/>
                <w14:textFill>
                  <w14:solidFill>
                    <w14:schemeClr w14:val="tx1"/>
                  </w14:solidFill>
                </w14:textFill>
              </w:rPr>
              <w:t>《污水综合排放标准》（GB8978-1996）表4中三级标准和《污水排入城镇下水道水质标准》（GB/T31962-2015）中NH</w:t>
            </w:r>
            <w:r>
              <w:rPr>
                <w:rFonts w:hint="eastAsia"/>
                <w:color w:val="000000" w:themeColor="text1"/>
                <w:highlight w:val="none"/>
                <w:vertAlign w:val="subscript"/>
                <w14:textFill>
                  <w14:solidFill>
                    <w14:schemeClr w14:val="tx1"/>
                  </w14:solidFill>
                </w14:textFill>
              </w:rPr>
              <w:t>3</w:t>
            </w:r>
            <w:r>
              <w:rPr>
                <w:rFonts w:hint="eastAsia"/>
                <w:color w:val="000000" w:themeColor="text1"/>
                <w:highlight w:val="none"/>
                <w14:textFill>
                  <w14:solidFill>
                    <w14:schemeClr w14:val="tx1"/>
                  </w14:solidFill>
                </w14:textFill>
              </w:rPr>
              <w:t>-N最高允许值中B级标准45mg/L的规定，能够</w:t>
            </w:r>
            <w:r>
              <w:rPr>
                <w:rFonts w:hint="eastAsia"/>
                <w:color w:val="000000" w:themeColor="text1"/>
                <w:highlight w:val="none"/>
                <w:lang w:eastAsia="zh-CN"/>
                <w14:textFill>
                  <w14:solidFill>
                    <w14:schemeClr w14:val="tx1"/>
                  </w14:solidFill>
                </w14:textFill>
              </w:rPr>
              <w:t>符合</w:t>
            </w:r>
            <w:r>
              <w:rPr>
                <w:rFonts w:hint="eastAsia"/>
                <w:color w:val="000000" w:themeColor="text1"/>
                <w:highlight w:val="none"/>
                <w14:textFill>
                  <w14:solidFill>
                    <w14:schemeClr w14:val="tx1"/>
                  </w14:solidFill>
                </w14:textFill>
              </w:rPr>
              <w:t>昌吉国家高新技术产业区污水处理厂</w:t>
            </w:r>
            <w:r>
              <w:rPr>
                <w:rFonts w:hint="eastAsia"/>
                <w:color w:val="000000" w:themeColor="text1"/>
                <w:highlight w:val="none"/>
                <w:lang w:eastAsia="zh-CN"/>
                <w14:textFill>
                  <w14:solidFill>
                    <w14:schemeClr w14:val="tx1"/>
                  </w14:solidFill>
                </w14:textFill>
              </w:rPr>
              <w:t>纳管</w:t>
            </w:r>
            <w:r>
              <w:rPr>
                <w:rFonts w:hint="eastAsia"/>
                <w:color w:val="000000" w:themeColor="text1"/>
                <w:highlight w:val="none"/>
                <w14:textFill>
                  <w14:solidFill>
                    <w14:schemeClr w14:val="tx1"/>
                  </w14:solidFill>
                </w14:textFill>
              </w:rPr>
              <w:t>要求。</w:t>
            </w:r>
          </w:p>
          <w:p>
            <w:pPr>
              <w:pageBreakBefore w:val="0"/>
              <w:widowControl w:val="0"/>
              <w:kinsoku/>
              <w:wordWrap/>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本项目生活污水量为</w:t>
            </w:r>
            <w:r>
              <w:rPr>
                <w:rFonts w:hint="eastAsia"/>
                <w:color w:val="000000" w:themeColor="text1"/>
                <w:highlight w:val="none"/>
                <w:lang w:val="en-US" w:eastAsia="zh-CN"/>
                <w14:textFill>
                  <w14:solidFill>
                    <w14:schemeClr w14:val="tx1"/>
                  </w14:solidFill>
                </w14:textFill>
              </w:rPr>
              <w:t>0.544</w:t>
            </w:r>
            <w:r>
              <w:rPr>
                <w:rFonts w:hint="eastAsia"/>
                <w:color w:val="000000" w:themeColor="text1"/>
                <w:highlight w:val="none"/>
                <w14:textFill>
                  <w14:solidFill>
                    <w14:schemeClr w14:val="tx1"/>
                  </w14:solidFill>
                </w14:textFill>
              </w:rPr>
              <w:t>m</w:t>
            </w:r>
            <w:r>
              <w:rPr>
                <w:rFonts w:hint="eastAsia"/>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/d，昌吉高新技术产业开发区污水处理厂设计处理规模3万m</w:t>
            </w:r>
            <w:r>
              <w:rPr>
                <w:rFonts w:hint="eastAsia"/>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/d，目前实际处理水量为1.5万m</w:t>
            </w:r>
            <w:r>
              <w:rPr>
                <w:rFonts w:hint="eastAsia"/>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/d，尚有1.5万m</w:t>
            </w:r>
            <w:r>
              <w:rPr>
                <w:rFonts w:hint="eastAsia"/>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/d富余量，因此项目产生的生活污水完全能够纳入昌吉高新技术产业开发区污水处理厂。</w:t>
            </w:r>
          </w:p>
          <w:p>
            <w:pPr>
              <w:pageBreakBefore w:val="0"/>
              <w:widowControl w:val="0"/>
              <w:kinsoku/>
              <w:wordWrap/>
              <w:overflowPunct/>
              <w:topLinePunct w:val="0"/>
              <w:autoSpaceDE/>
              <w:autoSpaceDN/>
              <w:bidi w:val="0"/>
              <w:adjustRightInd/>
              <w:snapToGrid w:val="0"/>
              <w:ind w:firstLine="480"/>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项目在采取上述废水处理措施后，满足相关环保要求，因此项目建设对水环境影响很小。</w:t>
            </w:r>
          </w:p>
          <w:p>
            <w:pPr>
              <w:pStyle w:val="4"/>
              <w:pageBreakBefore w:val="0"/>
              <w:widowControl w:val="0"/>
              <w:kinsoku/>
              <w:wordWrap/>
              <w:overflowPunct/>
              <w:topLinePunct w:val="0"/>
              <w:autoSpaceDE/>
              <w:autoSpaceDN/>
              <w:bidi w:val="0"/>
              <w:adjustRightInd/>
              <w:snapToGrid w:val="0"/>
              <w:spacing w:before="0" w:after="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水环境影响分析</w:t>
            </w:r>
          </w:p>
          <w:p>
            <w:pPr>
              <w:pageBreakBefore w:val="0"/>
              <w:widowControl w:val="0"/>
              <w:kinsoku/>
              <w:wordWrap/>
              <w:overflowPunct/>
              <w:topLinePunct w:val="0"/>
              <w:autoSpaceDE/>
              <w:autoSpaceDN/>
              <w:bidi w:val="0"/>
              <w:adjustRightInd/>
              <w:snapToGrid w:val="0"/>
              <w:ind w:firstLine="480"/>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本项目产生的废水量较小，</w:t>
            </w:r>
            <w:r>
              <w:rPr>
                <w:rFonts w:hint="eastAsia"/>
                <w:color w:val="000000" w:themeColor="text1"/>
                <w:highlight w:val="none"/>
                <w:lang w:eastAsia="zh-CN"/>
                <w14:textFill>
                  <w14:solidFill>
                    <w14:schemeClr w14:val="tx1"/>
                  </w14:solidFill>
                </w14:textFill>
              </w:rPr>
              <w:t>生活污水直接通过园区管网至</w:t>
            </w:r>
            <w:r>
              <w:rPr>
                <w:rFonts w:hint="eastAsia"/>
                <w:color w:val="000000" w:themeColor="text1"/>
                <w:highlight w:val="none"/>
                <w14:textFill>
                  <w14:solidFill>
                    <w14:schemeClr w14:val="tx1"/>
                  </w14:solidFill>
                </w14:textFill>
              </w:rPr>
              <w:t>园区污水处理厂处理后，废水可达标排放，对环境影响较小。</w:t>
            </w:r>
          </w:p>
          <w:p>
            <w:pPr>
              <w:pageBreakBefore w:val="0"/>
              <w:widowControl w:val="0"/>
              <w:kinsoku/>
              <w:wordWrap/>
              <w:topLinePunct w:val="0"/>
              <w:autoSpaceDE/>
              <w:autoSpaceDN/>
              <w:bidi w:val="0"/>
              <w:adjustRightInd/>
              <w:snapToGrid w:val="0"/>
              <w:ind w:left="0" w:leftChars="0" w:firstLine="0" w:firstLineChars="0"/>
              <w:jc w:val="left"/>
              <w:textAlignment w:val="auto"/>
              <w:rPr>
                <w:rFonts w:hint="eastAsia"/>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4.</w:t>
            </w:r>
            <w:r>
              <w:rPr>
                <w:rFonts w:hint="eastAsia" w:cs="Times New Roman"/>
                <w:b/>
                <w:bCs/>
                <w:color w:val="000000" w:themeColor="text1"/>
                <w:highlight w:val="none"/>
                <w:lang w:val="en-US" w:eastAsia="zh-CN"/>
                <w14:textFill>
                  <w14:solidFill>
                    <w14:schemeClr w14:val="tx1"/>
                  </w14:solidFill>
                </w14:textFill>
              </w:rPr>
              <w:t>3</w:t>
            </w:r>
            <w:r>
              <w:rPr>
                <w:rFonts w:hint="default" w:ascii="Times New Roman" w:hAnsi="Times New Roman" w:cs="Times New Roman"/>
                <w:b/>
                <w:bCs/>
                <w:color w:val="000000" w:themeColor="text1"/>
                <w:highlight w:val="none"/>
                <w:lang w:val="en-US" w:eastAsia="zh-CN"/>
                <w14:textFill>
                  <w14:solidFill>
                    <w14:schemeClr w14:val="tx1"/>
                  </w14:solidFill>
                </w14:textFill>
              </w:rPr>
              <w:t>.</w:t>
            </w:r>
            <w:r>
              <w:rPr>
                <w:rFonts w:hint="eastAsia" w:cs="Times New Roman"/>
                <w:b/>
                <w:bCs/>
                <w:color w:val="000000" w:themeColor="text1"/>
                <w:highlight w:val="none"/>
                <w:lang w:val="en-US" w:eastAsia="zh-CN"/>
                <w14:textFill>
                  <w14:solidFill>
                    <w14:schemeClr w14:val="tx1"/>
                  </w14:solidFill>
                </w14:textFill>
              </w:rPr>
              <w:t>5</w:t>
            </w:r>
            <w:r>
              <w:rPr>
                <w:rFonts w:hint="default" w:ascii="Times New Roman" w:hAnsi="Times New Roman" w:cs="Times New Roman"/>
                <w:b/>
                <w:bCs/>
                <w:color w:val="000000" w:themeColor="text1"/>
                <w:highlight w:val="none"/>
                <w:lang w:val="en-US" w:eastAsia="zh-CN"/>
                <w14:textFill>
                  <w14:solidFill>
                    <w14:schemeClr w14:val="tx1"/>
                  </w14:solidFill>
                </w14:textFill>
              </w:rPr>
              <w:t>废水监测计划</w:t>
            </w:r>
          </w:p>
          <w:p>
            <w:pPr>
              <w:keepNext w:val="0"/>
              <w:keepLines w:val="0"/>
              <w:pageBreakBefore w:val="0"/>
              <w:widowControl w:val="0"/>
              <w:kinsoku/>
              <w:wordWrap/>
              <w:overflowPunct/>
              <w:topLinePunct w:val="0"/>
              <w:autoSpaceDE/>
              <w:autoSpaceDN/>
              <w:bidi w:val="0"/>
              <w:adjustRightInd/>
              <w:snapToGrid w:val="0"/>
              <w:ind w:left="0" w:leftChars="0" w:firstLine="480" w:firstLineChars="200"/>
              <w:jc w:val="left"/>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参照《排污单位自行监测技术指南 总则》（HJ819-2017）、《排污许可证申请与核发技术规范 总则》（HJ942-2018）相关要求，本项目废水监测计划见表22。</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表22  废水监测计划一览表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124"/>
              <w:gridCol w:w="1080"/>
              <w:gridCol w:w="4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监测点位</w:t>
                  </w:r>
                </w:p>
              </w:tc>
              <w:tc>
                <w:tcPr>
                  <w:tcW w:w="708" w:type="pc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监测因子</w:t>
                  </w:r>
                </w:p>
              </w:tc>
              <w:tc>
                <w:tcPr>
                  <w:tcW w:w="680" w:type="pc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监测频率</w:t>
                  </w:r>
                </w:p>
              </w:tc>
              <w:tc>
                <w:tcPr>
                  <w:tcW w:w="2801" w:type="pc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restar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企业总排口</w:t>
                  </w:r>
                </w:p>
              </w:tc>
              <w:tc>
                <w:tcPr>
                  <w:tcW w:w="708" w:type="pc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COD</w:t>
                  </w:r>
                </w:p>
              </w:tc>
              <w:tc>
                <w:tcPr>
                  <w:tcW w:w="680" w:type="pc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1次/年</w:t>
                  </w:r>
                </w:p>
              </w:tc>
              <w:tc>
                <w:tcPr>
                  <w:tcW w:w="2801" w:type="pct"/>
                  <w:vMerge w:val="restar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《污水综合排放标准》（GB8978-1996）表4中三级标准限值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p>
              </w:tc>
              <w:tc>
                <w:tcPr>
                  <w:tcW w:w="708" w:type="pc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BOD</w:t>
                  </w:r>
                  <w:r>
                    <w:rPr>
                      <w:rFonts w:hint="default" w:ascii="Times New Roman" w:hAnsi="Times New Roman" w:cs="Times New Roman"/>
                      <w:b w:val="0"/>
                      <w:bCs w:val="0"/>
                      <w:color w:val="000000" w:themeColor="text1"/>
                      <w:sz w:val="21"/>
                      <w:szCs w:val="21"/>
                      <w:highlight w:val="none"/>
                      <w:vertAlign w:val="subscript"/>
                      <w:lang w:val="en-US" w:eastAsia="zh-CN"/>
                      <w14:textFill>
                        <w14:solidFill>
                          <w14:schemeClr w14:val="tx1"/>
                        </w14:solidFill>
                      </w14:textFill>
                    </w:rPr>
                    <w:t>5</w:t>
                  </w:r>
                </w:p>
              </w:tc>
              <w:tc>
                <w:tcPr>
                  <w:tcW w:w="680" w:type="pc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1次/年</w:t>
                  </w:r>
                </w:p>
              </w:tc>
              <w:tc>
                <w:tcPr>
                  <w:tcW w:w="2801" w:type="pct"/>
                  <w:vMerge w:val="continue"/>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p>
              </w:tc>
              <w:tc>
                <w:tcPr>
                  <w:tcW w:w="708" w:type="pc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SS</w:t>
                  </w:r>
                </w:p>
              </w:tc>
              <w:tc>
                <w:tcPr>
                  <w:tcW w:w="680" w:type="pc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1次/年</w:t>
                  </w:r>
                </w:p>
              </w:tc>
              <w:tc>
                <w:tcPr>
                  <w:tcW w:w="2801" w:type="pct"/>
                  <w:vMerge w:val="continue"/>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 w:type="pct"/>
                  <w:vMerge w:val="continue"/>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p>
              </w:tc>
              <w:tc>
                <w:tcPr>
                  <w:tcW w:w="708" w:type="pc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NH</w:t>
                  </w:r>
                  <w:r>
                    <w:rPr>
                      <w:rFonts w:hint="default" w:ascii="Times New Roman" w:hAnsi="Times New Roman" w:cs="Times New Roman"/>
                      <w:b w:val="0"/>
                      <w:bCs w:val="0"/>
                      <w:color w:val="000000" w:themeColor="text1"/>
                      <w:sz w:val="21"/>
                      <w:szCs w:val="21"/>
                      <w:highlight w:val="none"/>
                      <w:vertAlign w:val="subscript"/>
                      <w:lang w:val="en-US" w:eastAsia="zh-CN"/>
                      <w14:textFill>
                        <w14:solidFill>
                          <w14:schemeClr w14:val="tx1"/>
                        </w14:solidFill>
                      </w14:textFill>
                    </w:rPr>
                    <w:t>3</w:t>
                  </w: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-N</w:t>
                  </w:r>
                </w:p>
              </w:tc>
              <w:tc>
                <w:tcPr>
                  <w:tcW w:w="680" w:type="pc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1次/年</w:t>
                  </w:r>
                </w:p>
              </w:tc>
              <w:tc>
                <w:tcPr>
                  <w:tcW w:w="2801" w:type="pct"/>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《污水排入城镇下水道水质标准》（GB/T31962-2015）中B级标准</w:t>
                  </w:r>
                </w:p>
              </w:tc>
            </w:tr>
          </w:tbl>
          <w:p>
            <w:pPr>
              <w:pStyle w:val="3"/>
              <w:pageBreakBefore w:val="0"/>
              <w:widowControl w:val="0"/>
              <w:kinsoku/>
              <w:wordWrap/>
              <w:topLinePunct w:val="0"/>
              <w:autoSpaceDE/>
              <w:autoSpaceDN/>
              <w:bidi w:val="0"/>
              <w:adjustRightInd/>
              <w:snapToGrid w:val="0"/>
              <w:spacing w:before="0" w:after="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噪声</w:t>
            </w:r>
          </w:p>
          <w:p>
            <w:pPr>
              <w:pStyle w:val="4"/>
              <w:pageBreakBefore w:val="0"/>
              <w:widowControl w:val="0"/>
              <w:kinsoku/>
              <w:wordWrap/>
              <w:topLinePunct w:val="0"/>
              <w:autoSpaceDE/>
              <w:autoSpaceDN/>
              <w:bidi w:val="0"/>
              <w:adjustRightInd/>
              <w:snapToGrid w:val="0"/>
              <w:spacing w:before="0" w:after="0"/>
              <w:jc w:val="left"/>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.1噪声源</w:t>
            </w:r>
            <w:r>
              <w:rPr>
                <w:rFonts w:hint="eastAsia"/>
                <w:color w:val="000000" w:themeColor="text1"/>
                <w:highlight w:val="none"/>
                <w:lang w:eastAsia="zh-CN"/>
                <w14:textFill>
                  <w14:solidFill>
                    <w14:schemeClr w14:val="tx1"/>
                  </w14:solidFill>
                </w14:textFill>
              </w:rPr>
              <w:t>强</w:t>
            </w:r>
          </w:p>
          <w:p>
            <w:pPr>
              <w:pageBreakBefore w:val="0"/>
              <w:widowControl w:val="0"/>
              <w:kinsoku/>
              <w:wordWrap/>
              <w:topLinePunct w:val="0"/>
              <w:autoSpaceDE/>
              <w:autoSpaceDN/>
              <w:bidi w:val="0"/>
              <w:adjustRightInd/>
              <w:snapToGrid w:val="0"/>
              <w:ind w:firstLine="480"/>
              <w:jc w:val="left"/>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本项目运营期噪声</w:t>
            </w:r>
            <w:r>
              <w:rPr>
                <w:rFonts w:hint="eastAsia"/>
                <w:color w:val="000000" w:themeColor="text1"/>
                <w:highlight w:val="none"/>
                <w:lang w:eastAsia="zh-CN"/>
                <w14:textFill>
                  <w14:solidFill>
                    <w14:schemeClr w14:val="tx1"/>
                  </w14:solidFill>
                </w14:textFill>
              </w:rPr>
              <w:t>源主要</w:t>
            </w:r>
            <w:r>
              <w:rPr>
                <w:rFonts w:hint="eastAsia"/>
                <w:color w:val="000000" w:themeColor="text1"/>
                <w:highlight w:val="none"/>
                <w:lang w:val="en-US" w:eastAsia="zh-CN"/>
                <w14:textFill>
                  <w14:solidFill>
                    <w14:schemeClr w14:val="tx1"/>
                  </w14:solidFill>
                </w14:textFill>
              </w:rPr>
              <w:t>30t行吊</w:t>
            </w:r>
            <w:r>
              <w:rPr>
                <w:rFonts w:hint="eastAsia"/>
                <w:color w:val="000000" w:themeColor="text1"/>
                <w:highlight w:val="none"/>
                <w:lang w:eastAsia="zh-CN"/>
                <w14:textFill>
                  <w14:solidFill>
                    <w14:schemeClr w14:val="tx1"/>
                  </w14:solidFill>
                </w14:textFill>
              </w:rPr>
              <w:t>、折弯机、数控自动切割机等机械设备，噪声源强在</w:t>
            </w:r>
            <w:r>
              <w:rPr>
                <w:rFonts w:hint="eastAsia"/>
                <w:color w:val="000000" w:themeColor="text1"/>
                <w:highlight w:val="none"/>
                <w:lang w:val="en-US" w:eastAsia="zh-CN"/>
                <w14:textFill>
                  <w14:solidFill>
                    <w14:schemeClr w14:val="tx1"/>
                  </w14:solidFill>
                </w14:textFill>
              </w:rPr>
              <w:t>70~80</w:t>
            </w:r>
            <w:r>
              <w:rPr>
                <w:color w:val="000000" w:themeColor="text1"/>
                <w:sz w:val="24"/>
                <w:highlight w:val="none"/>
                <w14:textFill>
                  <w14:solidFill>
                    <w14:schemeClr w14:val="tx1"/>
                  </w14:solidFill>
                </w14:textFill>
              </w:rPr>
              <w:t>dB(A)</w:t>
            </w:r>
            <w:r>
              <w:rPr>
                <w:rFonts w:hint="eastAsia"/>
                <w:color w:val="000000" w:themeColor="text1"/>
                <w:sz w:val="24"/>
                <w:highlight w:val="none"/>
                <w14:textFill>
                  <w14:solidFill>
                    <w14:schemeClr w14:val="tx1"/>
                  </w14:solidFill>
                </w14:textFill>
              </w:rPr>
              <w:t>。</w:t>
            </w:r>
            <w:r>
              <w:rPr>
                <w:rFonts w:hint="eastAsia"/>
                <w:color w:val="000000" w:themeColor="text1"/>
                <w:highlight w:val="none"/>
                <w14:textFill>
                  <w14:solidFill>
                    <w14:schemeClr w14:val="tx1"/>
                  </w14:solidFill>
                </w14:textFill>
              </w:rPr>
              <w:t>通过对设备的隔声防护措施，减少对环境的影响。</w:t>
            </w:r>
            <w:r>
              <w:rPr>
                <w:rFonts w:hint="eastAsia"/>
                <w:color w:val="000000" w:themeColor="text1"/>
                <w:highlight w:val="none"/>
                <w:lang w:eastAsia="zh-CN"/>
                <w14:textFill>
                  <w14:solidFill>
                    <w14:schemeClr w14:val="tx1"/>
                  </w14:solidFill>
                </w14:textFill>
              </w:rPr>
              <w:t>主要噪声源强见表</w:t>
            </w:r>
            <w:r>
              <w:rPr>
                <w:rFonts w:hint="eastAsia"/>
                <w:color w:val="000000" w:themeColor="text1"/>
                <w:highlight w:val="none"/>
                <w:lang w:val="en-US" w:eastAsia="zh-CN"/>
                <w14:textFill>
                  <w14:solidFill>
                    <w14:schemeClr w14:val="tx1"/>
                  </w14:solidFill>
                </w14:textFill>
              </w:rPr>
              <w:t>23。</w:t>
            </w:r>
          </w:p>
          <w:p>
            <w:pPr>
              <w:keepNext w:val="0"/>
              <w:keepLines w:val="0"/>
              <w:pageBreakBefore w:val="0"/>
              <w:widowControl w:val="0"/>
              <w:kinsoku/>
              <w:wordWrap/>
              <w:overflowPunct/>
              <w:topLinePunct w:val="0"/>
              <w:autoSpaceDE/>
              <w:autoSpaceDN/>
              <w:bidi w:val="0"/>
              <w:adjustRightInd/>
              <w:snapToGrid w:val="0"/>
              <w:spacing w:line="360" w:lineRule="auto"/>
              <w:ind w:firstLine="480"/>
              <w:jc w:val="center"/>
              <w:textAlignment w:val="auto"/>
              <w:rPr>
                <w:rFonts w:hint="default" w:eastAsia="宋体"/>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eastAsia="zh-CN"/>
                <w14:textFill>
                  <w14:solidFill>
                    <w14:schemeClr w14:val="tx1"/>
                  </w14:solidFill>
                </w14:textFill>
              </w:rPr>
              <w:t>表</w:t>
            </w:r>
            <w:r>
              <w:rPr>
                <w:rFonts w:hint="eastAsia" w:cs="Times New Roman"/>
                <w:b/>
                <w:bCs/>
                <w:color w:val="000000" w:themeColor="text1"/>
                <w:sz w:val="21"/>
                <w:szCs w:val="21"/>
                <w:highlight w:val="none"/>
                <w:lang w:val="en-US" w:eastAsia="zh-CN"/>
                <w14:textFill>
                  <w14:solidFill>
                    <w14:schemeClr w14:val="tx1"/>
                  </w14:solidFill>
                </w14:textFill>
              </w:rPr>
              <w:t xml:space="preserve">23 </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 xml:space="preserve"> 营运期噪声源强一览表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755"/>
              <w:gridCol w:w="1035"/>
              <w:gridCol w:w="3375"/>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序号</w:t>
                  </w:r>
                </w:p>
              </w:tc>
              <w:tc>
                <w:tcPr>
                  <w:tcW w:w="17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噪声源</w:t>
                  </w:r>
                </w:p>
              </w:tc>
              <w:tc>
                <w:tcPr>
                  <w:tcW w:w="103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产生强度</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dB(A)</w:t>
                  </w:r>
                </w:p>
              </w:tc>
              <w:tc>
                <w:tcPr>
                  <w:tcW w:w="33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降噪措施</w:t>
                  </w:r>
                </w:p>
              </w:tc>
              <w:tc>
                <w:tcPr>
                  <w:tcW w:w="10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产生强度</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1</w:t>
                  </w:r>
                </w:p>
              </w:tc>
              <w:tc>
                <w:tcPr>
                  <w:tcW w:w="17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30t行吊</w:t>
                  </w:r>
                </w:p>
              </w:tc>
              <w:tc>
                <w:tcPr>
                  <w:tcW w:w="103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80</w:t>
                  </w:r>
                </w:p>
              </w:tc>
              <w:tc>
                <w:tcPr>
                  <w:tcW w:w="33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低噪声设备、距离衰减</w:t>
                  </w:r>
                </w:p>
              </w:tc>
              <w:tc>
                <w:tcPr>
                  <w:tcW w:w="10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2</w:t>
                  </w:r>
                </w:p>
              </w:tc>
              <w:tc>
                <w:tcPr>
                  <w:tcW w:w="17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eastAsia" w:cs="Times New Roman"/>
                      <w:color w:val="000000" w:themeColor="text1"/>
                      <w:sz w:val="21"/>
                      <w:szCs w:val="21"/>
                      <w:highlight w:val="none"/>
                      <w:vertAlign w:val="baseline"/>
                      <w:lang w:eastAsia="zh-CN"/>
                      <w14:textFill>
                        <w14:solidFill>
                          <w14:schemeClr w14:val="tx1"/>
                        </w14:solidFill>
                      </w14:textFill>
                    </w:rPr>
                    <w:t>折弯机</w:t>
                  </w:r>
                </w:p>
              </w:tc>
              <w:tc>
                <w:tcPr>
                  <w:tcW w:w="103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70</w:t>
                  </w:r>
                </w:p>
              </w:tc>
              <w:tc>
                <w:tcPr>
                  <w:tcW w:w="33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低噪声设备、距离衰减</w:t>
                  </w:r>
                </w:p>
              </w:tc>
              <w:tc>
                <w:tcPr>
                  <w:tcW w:w="10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3</w:t>
                  </w:r>
                </w:p>
              </w:tc>
              <w:tc>
                <w:tcPr>
                  <w:tcW w:w="17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pPr>
                  <w:r>
                    <w:rPr>
                      <w:rFonts w:hint="eastAsia" w:cs="Times New Roman"/>
                      <w:color w:val="000000" w:themeColor="text1"/>
                      <w:sz w:val="21"/>
                      <w:szCs w:val="21"/>
                      <w:highlight w:val="none"/>
                      <w:vertAlign w:val="baseline"/>
                      <w:lang w:eastAsia="zh-CN"/>
                      <w14:textFill>
                        <w14:solidFill>
                          <w14:schemeClr w14:val="tx1"/>
                        </w14:solidFill>
                      </w14:textFill>
                    </w:rPr>
                    <w:t>数控自动切割机</w:t>
                  </w:r>
                </w:p>
              </w:tc>
              <w:tc>
                <w:tcPr>
                  <w:tcW w:w="103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80</w:t>
                  </w:r>
                </w:p>
              </w:tc>
              <w:tc>
                <w:tcPr>
                  <w:tcW w:w="33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基础减振、低噪声设备、距离衰减</w:t>
                  </w:r>
                </w:p>
              </w:tc>
              <w:tc>
                <w:tcPr>
                  <w:tcW w:w="10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75</w:t>
                  </w:r>
                </w:p>
              </w:tc>
            </w:tr>
          </w:tbl>
          <w:p>
            <w:pPr>
              <w:pStyle w:val="4"/>
              <w:pageBreakBefore w:val="0"/>
              <w:widowControl w:val="0"/>
              <w:kinsoku/>
              <w:wordWrap/>
              <w:topLinePunct w:val="0"/>
              <w:autoSpaceDE/>
              <w:autoSpaceDN/>
              <w:bidi w:val="0"/>
              <w:adjustRightInd/>
              <w:snapToGrid w:val="0"/>
              <w:spacing w:before="0" w:after="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2降噪措施</w:t>
            </w:r>
          </w:p>
          <w:p>
            <w:pPr>
              <w:pageBreakBefore w:val="0"/>
              <w:widowControl w:val="0"/>
              <w:kinsoku/>
              <w:wordWrap/>
              <w:topLinePunct w:val="0"/>
              <w:autoSpaceDE/>
              <w:autoSpaceDN/>
              <w:bidi w:val="0"/>
              <w:adjustRightInd/>
              <w:snapToGrid w:val="0"/>
              <w:ind w:firstLine="480"/>
              <w:jc w:val="left"/>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本项目运营在生产过程中产生的噪声，噪声源强介于</w:t>
            </w:r>
            <w:r>
              <w:rPr>
                <w:rFonts w:hint="eastAsia"/>
                <w:color w:val="000000" w:themeColor="text1"/>
                <w:highlight w:val="none"/>
                <w:lang w:val="en-US" w:eastAsia="zh-CN"/>
                <w14:textFill>
                  <w14:solidFill>
                    <w14:schemeClr w14:val="tx1"/>
                  </w14:solidFill>
                </w14:textFill>
              </w:rPr>
              <w:t>60~80</w:t>
            </w:r>
            <w:r>
              <w:rPr>
                <w:color w:val="000000" w:themeColor="text1"/>
                <w:sz w:val="24"/>
                <w:highlight w:val="none"/>
                <w14:textFill>
                  <w14:solidFill>
                    <w14:schemeClr w14:val="tx1"/>
                  </w14:solidFill>
                </w14:textFill>
              </w:rPr>
              <w:t>dB(A)</w:t>
            </w:r>
            <w:r>
              <w:rPr>
                <w:rFonts w:hint="eastAsia"/>
                <w:color w:val="000000" w:themeColor="text1"/>
                <w:sz w:val="24"/>
                <w:highlight w:val="none"/>
                <w:lang w:eastAsia="zh-CN"/>
                <w14:textFill>
                  <w14:solidFill>
                    <w14:schemeClr w14:val="tx1"/>
                  </w14:solidFill>
                </w14:textFill>
              </w:rPr>
              <w:t>之间，本评价建议</w:t>
            </w:r>
            <w:r>
              <w:rPr>
                <w:rFonts w:hint="eastAsia"/>
                <w:color w:val="000000" w:themeColor="text1"/>
                <w:highlight w:val="none"/>
                <w:lang w:eastAsia="zh-CN"/>
                <w14:textFill>
                  <w14:solidFill>
                    <w14:schemeClr w14:val="tx1"/>
                  </w14:solidFill>
                </w14:textFill>
              </w:rPr>
              <w:t>拟采取以下措施：</w:t>
            </w:r>
          </w:p>
          <w:p>
            <w:pPr>
              <w:pageBreakBefore w:val="0"/>
              <w:widowControl w:val="0"/>
              <w:kinsoku/>
              <w:wordWrap/>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（1）设备上选用先进的低噪声、振动小的生产设备，安装时采取台基减振、橡胶减振接头及减震垫等措施。</w:t>
            </w:r>
          </w:p>
          <w:p>
            <w:pPr>
              <w:pageBreakBefore w:val="0"/>
              <w:widowControl w:val="0"/>
              <w:kinsoku/>
              <w:wordWrap/>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（2）本项目通过安排合理生产时间，尽量减少对外界环境的噪声影响。项目仅在昼间进行生产，夜间不进行生产。</w:t>
            </w:r>
          </w:p>
          <w:p>
            <w:pPr>
              <w:pageBreakBefore w:val="0"/>
              <w:widowControl w:val="0"/>
              <w:kinsoku/>
              <w:wordWrap/>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（3）项目通过加强设备保养、维护，对机械设备定期加润滑油进行维护，减少因设备工况查而产生的噪声污染。</w:t>
            </w:r>
          </w:p>
          <w:p>
            <w:pPr>
              <w:pageBreakBefore w:val="0"/>
              <w:widowControl w:val="0"/>
              <w:kinsoku/>
              <w:wordWrap/>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（4）项目通过加强管理，文明施工操作，装卸货物时轻拿轻放，避免因操作产生的突发性噪声。</w:t>
            </w:r>
          </w:p>
          <w:p>
            <w:pPr>
              <w:pStyle w:val="4"/>
              <w:pageBreakBefore w:val="0"/>
              <w:widowControl w:val="0"/>
              <w:kinsoku/>
              <w:wordWrap/>
              <w:topLinePunct w:val="0"/>
              <w:autoSpaceDE/>
              <w:autoSpaceDN/>
              <w:bidi w:val="0"/>
              <w:adjustRightInd/>
              <w:snapToGrid w:val="0"/>
              <w:spacing w:before="0" w:after="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.3噪声达标分析</w:t>
            </w:r>
          </w:p>
          <w:p>
            <w:pPr>
              <w:pageBreakBefore w:val="0"/>
              <w:widowControl w:val="0"/>
              <w:kinsoku/>
              <w:wordWrap/>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本项目设备均</w:t>
            </w:r>
            <w:r>
              <w:rPr>
                <w:rFonts w:hint="eastAsia"/>
                <w:color w:val="000000" w:themeColor="text1"/>
                <w:highlight w:val="none"/>
                <w:lang w:eastAsia="zh-CN"/>
                <w14:textFill>
                  <w14:solidFill>
                    <w14:schemeClr w14:val="tx1"/>
                  </w14:solidFill>
                </w14:textFill>
              </w:rPr>
              <w:t>采取</w:t>
            </w:r>
            <w:r>
              <w:rPr>
                <w:rFonts w:hint="eastAsia"/>
                <w:color w:val="000000" w:themeColor="text1"/>
                <w:highlight w:val="none"/>
                <w14:textFill>
                  <w14:solidFill>
                    <w14:schemeClr w14:val="tx1"/>
                  </w14:solidFill>
                </w14:textFill>
              </w:rPr>
              <w:t>基础减振、消声等措施处理后，降噪效果显著</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项目厂界四周昼、夜噪声均符合《工业企业厂界环境噪声排放标准》（GB12348-2008）中3类标准排放限值的要求（昼间≤65dB(A)，夜间≤55dB(A)）。</w:t>
            </w:r>
            <w:r>
              <w:rPr>
                <w:rFonts w:hint="eastAsia"/>
                <w:color w:val="000000" w:themeColor="text1"/>
                <w:highlight w:val="none"/>
                <w14:textFill>
                  <w14:solidFill>
                    <w14:schemeClr w14:val="tx1"/>
                  </w14:solidFill>
                </w14:textFill>
              </w:rPr>
              <w:t>拟建项目运营期产生的噪声对周围环境影响不大，且项目厂界50米范围内均为工业企业，无声环境保护目标。</w:t>
            </w:r>
          </w:p>
          <w:p>
            <w:pPr>
              <w:pStyle w:val="4"/>
              <w:pageBreakBefore w:val="0"/>
              <w:widowControl w:val="0"/>
              <w:kinsoku/>
              <w:wordWrap/>
              <w:topLinePunct w:val="0"/>
              <w:autoSpaceDE/>
              <w:autoSpaceDN/>
              <w:bidi w:val="0"/>
              <w:adjustRightInd/>
              <w:snapToGrid w:val="0"/>
              <w:spacing w:before="0" w:after="0"/>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.4监测</w:t>
            </w:r>
            <w:r>
              <w:rPr>
                <w:rFonts w:hint="eastAsia"/>
                <w:color w:val="000000" w:themeColor="text1"/>
                <w:highlight w:val="none"/>
                <w:lang w:eastAsia="zh-CN"/>
                <w14:textFill>
                  <w14:solidFill>
                    <w14:schemeClr w14:val="tx1"/>
                  </w14:solidFill>
                </w14:textFill>
              </w:rPr>
              <w:t>计划</w:t>
            </w:r>
          </w:p>
          <w:p>
            <w:pPr>
              <w:pageBreakBefore w:val="0"/>
              <w:widowControl w:val="0"/>
              <w:kinsoku/>
              <w:wordWrap/>
              <w:topLinePunct w:val="0"/>
              <w:autoSpaceDE/>
              <w:autoSpaceDN/>
              <w:bidi w:val="0"/>
              <w:adjustRightInd/>
              <w:snapToGrid w:val="0"/>
              <w:ind w:firstLine="480"/>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根据《排污单位自行监测技术指南  总则》（HJ819-2017）和本项目情况，确定本项目噪声的日常监测</w:t>
            </w:r>
            <w:r>
              <w:rPr>
                <w:rFonts w:hint="eastAsia"/>
                <w:color w:val="000000" w:themeColor="text1"/>
                <w:highlight w:val="none"/>
                <w:lang w:eastAsia="zh-CN"/>
                <w14:textFill>
                  <w14:solidFill>
                    <w14:schemeClr w14:val="tx1"/>
                  </w14:solidFill>
                </w14:textFill>
              </w:rPr>
              <w:t>计划见表</w:t>
            </w:r>
            <w:r>
              <w:rPr>
                <w:rFonts w:hint="eastAsia"/>
                <w:color w:val="000000" w:themeColor="text1"/>
                <w:highlight w:val="none"/>
                <w:lang w:val="en-US" w:eastAsia="zh-CN"/>
                <w14:textFill>
                  <w14:solidFill>
                    <w14:schemeClr w14:val="tx1"/>
                  </w14:solidFill>
                </w14:textFill>
              </w:rPr>
              <w:t>24。</w:t>
            </w:r>
          </w:p>
          <w:p>
            <w:pPr>
              <w:pStyle w:val="6"/>
              <w:pageBreakBefore w:val="0"/>
              <w:widowControl w:val="0"/>
              <w:kinsoku/>
              <w:wordWrap/>
              <w:topLinePunct w:val="0"/>
              <w:autoSpaceDE/>
              <w:autoSpaceDN/>
              <w:bidi w:val="0"/>
              <w:adjustRightInd/>
              <w:snapToGrid w:val="0"/>
              <w:textAlignment w:val="auto"/>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噪声监测</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计划</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一览表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1861"/>
              <w:gridCol w:w="1356"/>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8" w:type="pct"/>
                  <w:tcBorders>
                    <w:tl2br w:val="nil"/>
                    <w:tr2bl w:val="nil"/>
                  </w:tcBorders>
                  <w:vAlign w:val="center"/>
                </w:tcPr>
                <w:p>
                  <w:pPr>
                    <w:spacing w:line="240" w:lineRule="auto"/>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监测点位</w:t>
                  </w:r>
                </w:p>
              </w:tc>
              <w:tc>
                <w:tcPr>
                  <w:tcW w:w="1172" w:type="pct"/>
                  <w:tcBorders>
                    <w:tl2br w:val="nil"/>
                    <w:tr2bl w:val="nil"/>
                  </w:tcBorders>
                  <w:vAlign w:val="center"/>
                </w:tcPr>
                <w:p>
                  <w:pPr>
                    <w:spacing w:line="240" w:lineRule="auto"/>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监测指标</w:t>
                  </w:r>
                </w:p>
              </w:tc>
              <w:tc>
                <w:tcPr>
                  <w:tcW w:w="854" w:type="pct"/>
                  <w:tcBorders>
                    <w:tl2br w:val="nil"/>
                    <w:tr2bl w:val="nil"/>
                  </w:tcBorders>
                  <w:vAlign w:val="center"/>
                </w:tcPr>
                <w:p>
                  <w:pPr>
                    <w:spacing w:line="240" w:lineRule="auto"/>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监测频次</w:t>
                  </w:r>
                </w:p>
              </w:tc>
              <w:tc>
                <w:tcPr>
                  <w:tcW w:w="2074"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8" w:type="pct"/>
                  <w:tcBorders>
                    <w:tl2br w:val="nil"/>
                    <w:tr2bl w:val="nil"/>
                  </w:tcBorders>
                  <w:vAlign w:val="center"/>
                </w:tcPr>
                <w:p>
                  <w:pPr>
                    <w:spacing w:line="240" w:lineRule="auto"/>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厂界外1m设4个监测点位</w:t>
                  </w:r>
                </w:p>
              </w:tc>
              <w:tc>
                <w:tcPr>
                  <w:tcW w:w="1172" w:type="pct"/>
                  <w:tcBorders>
                    <w:tl2br w:val="nil"/>
                    <w:tr2bl w:val="nil"/>
                  </w:tcBorders>
                  <w:vAlign w:val="center"/>
                </w:tcPr>
                <w:p>
                  <w:pPr>
                    <w:spacing w:line="240" w:lineRule="auto"/>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昼、夜间等效连续A声级</w:t>
                  </w:r>
                </w:p>
              </w:tc>
              <w:tc>
                <w:tcPr>
                  <w:tcW w:w="854" w:type="pct"/>
                  <w:tcBorders>
                    <w:tl2br w:val="nil"/>
                    <w:tr2bl w:val="nil"/>
                  </w:tcBorders>
                  <w:vAlign w:val="center"/>
                </w:tcPr>
                <w:p>
                  <w:pPr>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1次/</w:t>
                  </w:r>
                  <w:r>
                    <w:rPr>
                      <w:rFonts w:hint="eastAsia"/>
                      <w:color w:val="000000" w:themeColor="text1"/>
                      <w:sz w:val="21"/>
                      <w:szCs w:val="21"/>
                      <w:highlight w:val="none"/>
                      <w14:textFill>
                        <w14:solidFill>
                          <w14:schemeClr w14:val="tx1"/>
                        </w14:solidFill>
                      </w14:textFill>
                    </w:rPr>
                    <w:t>季度</w:t>
                  </w:r>
                </w:p>
              </w:tc>
              <w:tc>
                <w:tcPr>
                  <w:tcW w:w="2074" w:type="pct"/>
                  <w:tcBorders>
                    <w:tl2br w:val="nil"/>
                    <w:tr2bl w:val="nil"/>
                  </w:tcBorders>
                  <w:vAlign w:val="center"/>
                </w:tcPr>
                <w:p>
                  <w:pPr>
                    <w:spacing w:line="240" w:lineRule="auto"/>
                    <w:ind w:firstLine="0" w:firstLineChars="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《工业企业厂界环境噪声排放标准》（GB12348-2008）3类</w:t>
                  </w:r>
                  <w:r>
                    <w:rPr>
                      <w:rFonts w:hint="default" w:ascii="Times New Roman" w:hAnsi="Times New Roman" w:cs="Times New Roman"/>
                      <w:color w:val="000000" w:themeColor="text1"/>
                      <w:sz w:val="21"/>
                      <w:szCs w:val="21"/>
                      <w:highlight w:val="none"/>
                      <w:lang w:eastAsia="zh-CN"/>
                      <w14:textFill>
                        <w14:solidFill>
                          <w14:schemeClr w14:val="tx1"/>
                        </w14:solidFill>
                      </w14:textFill>
                    </w:rPr>
                    <w:t>，即昼间</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65dB（A）、夜间55dB（A）</w:t>
                  </w:r>
                </w:p>
              </w:tc>
            </w:tr>
          </w:tbl>
          <w:p>
            <w:pPr>
              <w:pStyle w:val="3"/>
              <w:pageBreakBefore w:val="0"/>
              <w:widowControl w:val="0"/>
              <w:kinsoku/>
              <w:wordWrap/>
              <w:topLinePunct w:val="0"/>
              <w:autoSpaceDE/>
              <w:autoSpaceDN/>
              <w:bidi w:val="0"/>
              <w:adjustRightInd/>
              <w:snapToGrid w:val="0"/>
              <w:spacing w:before="0" w:after="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固体废物</w:t>
            </w:r>
          </w:p>
          <w:p>
            <w:pPr>
              <w:pStyle w:val="4"/>
              <w:pageBreakBefore w:val="0"/>
              <w:widowControl w:val="0"/>
              <w:kinsoku/>
              <w:wordWrap/>
              <w:topLinePunct w:val="0"/>
              <w:autoSpaceDE/>
              <w:autoSpaceDN/>
              <w:bidi w:val="0"/>
              <w:adjustRightInd/>
              <w:snapToGrid w:val="0"/>
              <w:spacing w:before="0" w:after="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.1固体废物产生环节、产生量及处置方式</w:t>
            </w:r>
          </w:p>
          <w:p>
            <w:pPr>
              <w:pageBreakBefore w:val="0"/>
              <w:widowControl w:val="0"/>
              <w:kinsoku/>
              <w:wordWrap/>
              <w:topLinePunct w:val="0"/>
              <w:autoSpaceDE/>
              <w:autoSpaceDN/>
              <w:bidi w:val="0"/>
              <w:adjustRightInd/>
              <w:snapToGrid w:val="0"/>
              <w:ind w:firstLine="480"/>
              <w:jc w:val="left"/>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本项目固体废弃物主要为生活垃圾</w:t>
            </w:r>
            <w:r>
              <w:rPr>
                <w:rFonts w:hint="eastAsia"/>
                <w:color w:val="000000" w:themeColor="text1"/>
                <w:highlight w:val="none"/>
                <w:lang w:eastAsia="zh-CN"/>
                <w14:textFill>
                  <w14:solidFill>
                    <w14:schemeClr w14:val="tx1"/>
                  </w14:solidFill>
                </w14:textFill>
              </w:rPr>
              <w:t>和生产固废。</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项目职工共</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人，按每人每天产生1kg生活垃圾计，则产生量约</w:t>
            </w:r>
            <w:r>
              <w:rPr>
                <w:rFonts w:hint="eastAsia"/>
                <w:color w:val="000000" w:themeColor="text1"/>
                <w:highlight w:val="none"/>
                <w:lang w:val="en-US" w:eastAsia="zh-CN"/>
                <w14:textFill>
                  <w14:solidFill>
                    <w14:schemeClr w14:val="tx1"/>
                  </w14:solidFill>
                </w14:textFill>
              </w:rPr>
              <w:t>1.6</w:t>
            </w:r>
            <w:r>
              <w:rPr>
                <w:rFonts w:hint="eastAsia"/>
                <w:color w:val="000000" w:themeColor="text1"/>
                <w:highlight w:val="none"/>
                <w14:textFill>
                  <w14:solidFill>
                    <w14:schemeClr w14:val="tx1"/>
                  </w14:solidFill>
                </w14:textFill>
              </w:rPr>
              <w:t>t/a，生活垃圾集中收集在园区垃圾设施中，由环卫部门统一处理。</w:t>
            </w:r>
          </w:p>
          <w:p>
            <w:pPr>
              <w:pStyle w:val="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本项目生产固废主要为废钢筋和混凝土渣，其废钢筋产生量约</w:t>
            </w:r>
            <w:r>
              <w:rPr>
                <w:rFonts w:hint="eastAsia"/>
                <w:color w:val="000000" w:themeColor="text1"/>
                <w:highlight w:val="none"/>
                <w:lang w:val="en-US" w:eastAsia="zh-CN"/>
                <w14:textFill>
                  <w14:solidFill>
                    <w14:schemeClr w14:val="tx1"/>
                  </w14:solidFill>
                </w14:textFill>
              </w:rPr>
              <w:t>3.0t/a，混凝土渣约5.0t/a，收集后全部回用于生产，不外排。</w:t>
            </w:r>
          </w:p>
          <w:p>
            <w:pPr>
              <w:pStyle w:val="6"/>
              <w:keepNext w:val="0"/>
              <w:keepLines w:val="0"/>
              <w:pageBreakBefore w:val="0"/>
              <w:widowControl w:val="0"/>
              <w:kinsoku/>
              <w:wordWrap/>
              <w:overflowPunct/>
              <w:topLinePunct w:val="0"/>
              <w:autoSpaceDE/>
              <w:autoSpaceDN/>
              <w:bidi w:val="0"/>
              <w:adjustRightInd/>
              <w:snapToGrid w:val="0"/>
              <w:textAlignment w:val="auto"/>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本项目固体废物产生环节、产生量核算一览表</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881"/>
              <w:gridCol w:w="881"/>
              <w:gridCol w:w="1348"/>
              <w:gridCol w:w="849"/>
              <w:gridCol w:w="852"/>
              <w:gridCol w:w="476"/>
              <w:gridCol w:w="883"/>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Merge w:val="restart"/>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工序/生产线</w:t>
                  </w:r>
                </w:p>
              </w:tc>
              <w:tc>
                <w:tcPr>
                  <w:tcW w:w="555" w:type="pct"/>
                  <w:vMerge w:val="restart"/>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装置</w:t>
                  </w:r>
                </w:p>
              </w:tc>
              <w:tc>
                <w:tcPr>
                  <w:tcW w:w="555" w:type="pct"/>
                  <w:vMerge w:val="restart"/>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固体废物名称</w:t>
                  </w:r>
                </w:p>
              </w:tc>
              <w:tc>
                <w:tcPr>
                  <w:tcW w:w="849" w:type="pct"/>
                  <w:vMerge w:val="restart"/>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固废属性</w:t>
                  </w:r>
                </w:p>
              </w:tc>
              <w:tc>
                <w:tcPr>
                  <w:tcW w:w="1072" w:type="pct"/>
                  <w:gridSpan w:val="2"/>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产生情况</w:t>
                  </w:r>
                </w:p>
              </w:tc>
              <w:tc>
                <w:tcPr>
                  <w:tcW w:w="856" w:type="pct"/>
                  <w:gridSpan w:val="2"/>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处置措施</w:t>
                  </w:r>
                </w:p>
              </w:tc>
              <w:tc>
                <w:tcPr>
                  <w:tcW w:w="555" w:type="pct"/>
                  <w:vMerge w:val="restart"/>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最终</w:t>
                  </w:r>
                </w:p>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p>
              </w:tc>
              <w:tc>
                <w:tcPr>
                  <w:tcW w:w="555" w:type="pct"/>
                  <w:vMerge w:val="continue"/>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p>
              </w:tc>
              <w:tc>
                <w:tcPr>
                  <w:tcW w:w="555" w:type="pct"/>
                  <w:vMerge w:val="continue"/>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p>
              </w:tc>
              <w:tc>
                <w:tcPr>
                  <w:tcW w:w="849" w:type="pct"/>
                  <w:vMerge w:val="continue"/>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p>
              </w:tc>
              <w:tc>
                <w:tcPr>
                  <w:tcW w:w="535"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核算</w:t>
                  </w:r>
                </w:p>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方法</w:t>
                  </w:r>
                </w:p>
              </w:tc>
              <w:tc>
                <w:tcPr>
                  <w:tcW w:w="537"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产生量</w:t>
                  </w:r>
                </w:p>
              </w:tc>
              <w:tc>
                <w:tcPr>
                  <w:tcW w:w="300"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工艺</w:t>
                  </w:r>
                </w:p>
              </w:tc>
              <w:tc>
                <w:tcPr>
                  <w:tcW w:w="556"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处置量（t/a）</w:t>
                  </w:r>
                </w:p>
              </w:tc>
              <w:tc>
                <w:tcPr>
                  <w:tcW w:w="555" w:type="pct"/>
                  <w:vMerge w:val="continue"/>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员工生活</w:t>
                  </w:r>
                </w:p>
              </w:tc>
              <w:tc>
                <w:tcPr>
                  <w:tcW w:w="555"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tc>
              <w:tc>
                <w:tcPr>
                  <w:tcW w:w="555"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生活垃圾</w:t>
                  </w:r>
                </w:p>
              </w:tc>
              <w:tc>
                <w:tcPr>
                  <w:tcW w:w="849"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生活垃圾</w:t>
                  </w:r>
                </w:p>
              </w:tc>
              <w:tc>
                <w:tcPr>
                  <w:tcW w:w="535"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系数法</w:t>
                  </w:r>
                </w:p>
              </w:tc>
              <w:tc>
                <w:tcPr>
                  <w:tcW w:w="537"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1.6</w:t>
                  </w:r>
                  <w:r>
                    <w:rPr>
                      <w:rFonts w:hint="eastAsia"/>
                      <w:color w:val="000000" w:themeColor="text1"/>
                      <w:sz w:val="21"/>
                      <w:szCs w:val="21"/>
                      <w:highlight w:val="none"/>
                      <w14:textFill>
                        <w14:solidFill>
                          <w14:schemeClr w14:val="tx1"/>
                        </w14:solidFill>
                      </w14:textFill>
                    </w:rPr>
                    <w:t>t/a</w:t>
                  </w:r>
                </w:p>
              </w:tc>
              <w:tc>
                <w:tcPr>
                  <w:tcW w:w="300"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tc>
              <w:tc>
                <w:tcPr>
                  <w:tcW w:w="556"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1.6</w:t>
                  </w:r>
                  <w:r>
                    <w:rPr>
                      <w:rFonts w:hint="eastAsia"/>
                      <w:color w:val="000000" w:themeColor="text1"/>
                      <w:sz w:val="21"/>
                      <w:szCs w:val="21"/>
                      <w:highlight w:val="none"/>
                      <w14:textFill>
                        <w14:solidFill>
                          <w14:schemeClr w14:val="tx1"/>
                        </w14:solidFill>
                      </w14:textFill>
                    </w:rPr>
                    <w:t>t/a</w:t>
                  </w:r>
                </w:p>
              </w:tc>
              <w:tc>
                <w:tcPr>
                  <w:tcW w:w="555" w:type="pct"/>
                  <w:tcBorders>
                    <w:tl2br w:val="nil"/>
                    <w:tr2bl w:val="nil"/>
                  </w:tcBorders>
                  <w:vAlign w:val="center"/>
                </w:tcPr>
                <w:p>
                  <w:pPr>
                    <w:spacing w:line="240" w:lineRule="auto"/>
                    <w:ind w:left="-120" w:leftChars="-50" w:right="-120" w:rightChars="-50"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交由环卫部门处理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Merge w:val="restart"/>
                  <w:tcBorders>
                    <w:tl2br w:val="nil"/>
                    <w:tr2bl w:val="nil"/>
                  </w:tcBorders>
                  <w:vAlign w:val="center"/>
                </w:tcPr>
                <w:p>
                  <w:pPr>
                    <w:spacing w:line="240" w:lineRule="auto"/>
                    <w:ind w:left="-120" w:leftChars="-50" w:right="-120" w:rightChars="-50" w:firstLine="0" w:firstLineChars="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生产过程</w:t>
                  </w:r>
                </w:p>
              </w:tc>
              <w:tc>
                <w:tcPr>
                  <w:tcW w:w="555" w:type="pct"/>
                  <w:tcBorders>
                    <w:tl2br w:val="nil"/>
                    <w:tr2bl w:val="nil"/>
                  </w:tcBorders>
                  <w:vAlign w:val="center"/>
                </w:tcPr>
                <w:p>
                  <w:pPr>
                    <w:spacing w:line="240" w:lineRule="auto"/>
                    <w:ind w:left="-120" w:leftChars="-50" w:right="-120" w:rightChars="-50" w:firstLine="0" w:firstLineChars="0"/>
                    <w:jc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555" w:type="pct"/>
                  <w:tcBorders>
                    <w:tl2br w:val="nil"/>
                    <w:tr2bl w:val="nil"/>
                  </w:tcBorders>
                  <w:vAlign w:val="center"/>
                </w:tcPr>
                <w:p>
                  <w:pPr>
                    <w:spacing w:line="240" w:lineRule="auto"/>
                    <w:ind w:left="-120" w:leftChars="-50" w:right="-120" w:rightChars="-50" w:firstLine="0" w:firstLineChars="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废钢筋</w:t>
                  </w:r>
                </w:p>
              </w:tc>
              <w:tc>
                <w:tcPr>
                  <w:tcW w:w="849" w:type="pct"/>
                  <w:vMerge w:val="restart"/>
                  <w:tcBorders>
                    <w:tl2br w:val="nil"/>
                    <w:tr2bl w:val="nil"/>
                  </w:tcBorders>
                  <w:vAlign w:val="center"/>
                </w:tcPr>
                <w:p>
                  <w:pPr>
                    <w:spacing w:line="240" w:lineRule="auto"/>
                    <w:ind w:left="-120" w:leftChars="-50" w:right="-120" w:rightChars="-50" w:firstLine="0" w:firstLineChars="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一般工业固废</w:t>
                  </w:r>
                </w:p>
              </w:tc>
              <w:tc>
                <w:tcPr>
                  <w:tcW w:w="535" w:type="pct"/>
                  <w:tcBorders>
                    <w:tl2br w:val="nil"/>
                    <w:tr2bl w:val="nil"/>
                  </w:tcBorders>
                  <w:vAlign w:val="center"/>
                </w:tcPr>
                <w:p>
                  <w:pPr>
                    <w:spacing w:line="240" w:lineRule="auto"/>
                    <w:ind w:left="-120" w:leftChars="-50" w:right="-120" w:rightChars="-50" w:firstLine="0" w:firstLineChars="0"/>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系数法</w:t>
                  </w:r>
                </w:p>
              </w:tc>
              <w:tc>
                <w:tcPr>
                  <w:tcW w:w="537" w:type="pct"/>
                  <w:tcBorders>
                    <w:tl2br w:val="nil"/>
                    <w:tr2bl w:val="nil"/>
                  </w:tcBorders>
                  <w:vAlign w:val="center"/>
                </w:tcPr>
                <w:p>
                  <w:pPr>
                    <w:spacing w:line="240" w:lineRule="auto"/>
                    <w:ind w:left="-120" w:leftChars="-50" w:right="-120" w:rightChars="-50" w:firstLine="0" w:firstLineChars="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3.0t/a</w:t>
                  </w:r>
                </w:p>
              </w:tc>
              <w:tc>
                <w:tcPr>
                  <w:tcW w:w="300" w:type="pct"/>
                  <w:tcBorders>
                    <w:tl2br w:val="nil"/>
                    <w:tr2bl w:val="nil"/>
                  </w:tcBorders>
                  <w:vAlign w:val="center"/>
                </w:tcPr>
                <w:p>
                  <w:pPr>
                    <w:spacing w:line="240" w:lineRule="auto"/>
                    <w:ind w:left="-120" w:leftChars="-50" w:right="-120" w:rightChars="-50" w:firstLine="0" w:firstLineChars="0"/>
                    <w:jc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556" w:type="pct"/>
                  <w:tcBorders>
                    <w:tl2br w:val="nil"/>
                    <w:tr2bl w:val="nil"/>
                  </w:tcBorders>
                  <w:vAlign w:val="center"/>
                </w:tcPr>
                <w:p>
                  <w:pPr>
                    <w:spacing w:line="240" w:lineRule="auto"/>
                    <w:ind w:left="-120" w:leftChars="-50" w:right="-120" w:rightChars="-50" w:firstLine="0" w:firstLineChars="0"/>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3.0t/a</w:t>
                  </w:r>
                </w:p>
              </w:tc>
              <w:tc>
                <w:tcPr>
                  <w:tcW w:w="555" w:type="pct"/>
                  <w:vMerge w:val="restart"/>
                  <w:tcBorders>
                    <w:tl2br w:val="nil"/>
                    <w:tr2bl w:val="nil"/>
                  </w:tcBorders>
                  <w:vAlign w:val="center"/>
                </w:tcPr>
                <w:p>
                  <w:pPr>
                    <w:spacing w:line="240" w:lineRule="auto"/>
                    <w:ind w:left="-120" w:leftChars="-50" w:right="-120" w:rightChars="-50" w:firstLine="0" w:firstLineChars="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收集后回用于生产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Merge w:val="continue"/>
                  <w:tcBorders>
                    <w:tl2br w:val="nil"/>
                    <w:tr2bl w:val="nil"/>
                  </w:tcBorders>
                  <w:vAlign w:val="center"/>
                </w:tcPr>
                <w:p>
                  <w:pPr>
                    <w:spacing w:line="240" w:lineRule="auto"/>
                    <w:ind w:left="-120" w:leftChars="-50" w:right="-120" w:rightChars="-50" w:firstLine="0" w:firstLineChars="0"/>
                    <w:jc w:val="center"/>
                    <w:rPr>
                      <w:rFonts w:hint="eastAsia"/>
                      <w:color w:val="000000" w:themeColor="text1"/>
                      <w:sz w:val="21"/>
                      <w:szCs w:val="21"/>
                      <w:highlight w:val="none"/>
                      <w:lang w:eastAsia="zh-CN"/>
                      <w14:textFill>
                        <w14:solidFill>
                          <w14:schemeClr w14:val="tx1"/>
                        </w14:solidFill>
                      </w14:textFill>
                    </w:rPr>
                  </w:pPr>
                </w:p>
              </w:tc>
              <w:tc>
                <w:tcPr>
                  <w:tcW w:w="555" w:type="pct"/>
                  <w:tcBorders>
                    <w:tl2br w:val="nil"/>
                    <w:tr2bl w:val="nil"/>
                  </w:tcBorders>
                  <w:vAlign w:val="center"/>
                </w:tcPr>
                <w:p>
                  <w:pPr>
                    <w:spacing w:line="240" w:lineRule="auto"/>
                    <w:ind w:left="-120" w:leftChars="-50" w:right="-120" w:rightChars="-50" w:firstLine="0" w:firstLineChars="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555" w:type="pct"/>
                  <w:tcBorders>
                    <w:tl2br w:val="nil"/>
                    <w:tr2bl w:val="nil"/>
                  </w:tcBorders>
                  <w:vAlign w:val="center"/>
                </w:tcPr>
                <w:p>
                  <w:pPr>
                    <w:spacing w:line="240" w:lineRule="auto"/>
                    <w:ind w:left="-120" w:leftChars="-50" w:right="-120" w:rightChars="-50" w:firstLine="0" w:firstLineChars="0"/>
                    <w:jc w:val="center"/>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混凝土渣</w:t>
                  </w:r>
                </w:p>
              </w:tc>
              <w:tc>
                <w:tcPr>
                  <w:tcW w:w="849" w:type="pct"/>
                  <w:vMerge w:val="continue"/>
                  <w:tcBorders>
                    <w:tl2br w:val="nil"/>
                    <w:tr2bl w:val="nil"/>
                  </w:tcBorders>
                  <w:vAlign w:val="center"/>
                </w:tcPr>
                <w:p>
                  <w:pPr>
                    <w:spacing w:line="240" w:lineRule="auto"/>
                    <w:ind w:left="-120" w:leftChars="-50" w:right="-120" w:rightChars="-50" w:firstLine="0" w:firstLineChars="0"/>
                    <w:jc w:val="center"/>
                    <w:rPr>
                      <w:rFonts w:hint="eastAsia"/>
                      <w:color w:val="000000" w:themeColor="text1"/>
                      <w:sz w:val="21"/>
                      <w:szCs w:val="21"/>
                      <w:highlight w:val="none"/>
                      <w:lang w:eastAsia="zh-CN"/>
                      <w14:textFill>
                        <w14:solidFill>
                          <w14:schemeClr w14:val="tx1"/>
                        </w14:solidFill>
                      </w14:textFill>
                    </w:rPr>
                  </w:pPr>
                </w:p>
              </w:tc>
              <w:tc>
                <w:tcPr>
                  <w:tcW w:w="535" w:type="pct"/>
                  <w:tcBorders>
                    <w:tl2br w:val="nil"/>
                    <w:tr2bl w:val="nil"/>
                  </w:tcBorders>
                  <w:vAlign w:val="center"/>
                </w:tcPr>
                <w:p>
                  <w:pPr>
                    <w:spacing w:line="240" w:lineRule="auto"/>
                    <w:ind w:left="-120" w:leftChars="-50" w:right="-120" w:rightChars="-50" w:firstLine="0" w:firstLineChars="0"/>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系数法</w:t>
                  </w:r>
                </w:p>
              </w:tc>
              <w:tc>
                <w:tcPr>
                  <w:tcW w:w="537" w:type="pct"/>
                  <w:tcBorders>
                    <w:tl2br w:val="nil"/>
                    <w:tr2bl w:val="nil"/>
                  </w:tcBorders>
                  <w:vAlign w:val="center"/>
                </w:tcPr>
                <w:p>
                  <w:pPr>
                    <w:spacing w:line="240" w:lineRule="auto"/>
                    <w:ind w:left="-120" w:leftChars="-50" w:right="-120" w:rightChars="-50" w:firstLine="0" w:firstLineChars="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5.0t/a</w:t>
                  </w:r>
                </w:p>
              </w:tc>
              <w:tc>
                <w:tcPr>
                  <w:tcW w:w="300" w:type="pct"/>
                  <w:tcBorders>
                    <w:tl2br w:val="nil"/>
                    <w:tr2bl w:val="nil"/>
                  </w:tcBorders>
                  <w:vAlign w:val="center"/>
                </w:tcPr>
                <w:p>
                  <w:pPr>
                    <w:spacing w:line="240" w:lineRule="auto"/>
                    <w:ind w:left="-120" w:leftChars="-50" w:right="-120" w:rightChars="-50" w:firstLine="0" w:firstLineChars="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556" w:type="pct"/>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5.0t/a</w:t>
                  </w:r>
                </w:p>
              </w:tc>
              <w:tc>
                <w:tcPr>
                  <w:tcW w:w="555" w:type="pct"/>
                  <w:vMerge w:val="continue"/>
                  <w:tcBorders>
                    <w:tl2br w:val="nil"/>
                    <w:tr2bl w:val="nil"/>
                  </w:tcBorders>
                  <w:vAlign w:val="center"/>
                </w:tcPr>
                <w:p>
                  <w:pPr>
                    <w:spacing w:line="240" w:lineRule="auto"/>
                    <w:ind w:left="-120" w:leftChars="-50" w:right="-120" w:rightChars="-50" w:firstLine="0" w:firstLineChars="0"/>
                    <w:jc w:val="center"/>
                    <w:rPr>
                      <w:rFonts w:hint="eastAsia"/>
                      <w:color w:val="000000" w:themeColor="text1"/>
                      <w:sz w:val="21"/>
                      <w:szCs w:val="21"/>
                      <w:highlight w:val="none"/>
                      <w:lang w:eastAsia="zh-CN"/>
                      <w14:textFill>
                        <w14:solidFill>
                          <w14:schemeClr w14:val="tx1"/>
                        </w14:solidFill>
                      </w14:textFill>
                    </w:rPr>
                  </w:pPr>
                </w:p>
              </w:tc>
            </w:tr>
          </w:tbl>
          <w:p>
            <w:pPr>
              <w:pStyle w:val="4"/>
              <w:pageBreakBefore w:val="0"/>
              <w:widowControl w:val="0"/>
              <w:kinsoku/>
              <w:wordWrap/>
              <w:topLinePunct w:val="0"/>
              <w:autoSpaceDE/>
              <w:autoSpaceDN/>
              <w:bidi w:val="0"/>
              <w:adjustRightInd/>
              <w:snapToGrid w:val="0"/>
              <w:spacing w:before="0" w:after="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.2固体废物防治措施及环境管理要求</w:t>
            </w:r>
          </w:p>
          <w:p>
            <w:pPr>
              <w:pageBreakBefore w:val="0"/>
              <w:widowControl w:val="0"/>
              <w:kinsoku/>
              <w:wordWrap/>
              <w:topLinePunct w:val="0"/>
              <w:autoSpaceDE/>
              <w:autoSpaceDN/>
              <w:bidi w:val="0"/>
              <w:adjustRightInd/>
              <w:snapToGrid w:val="0"/>
              <w:ind w:firstLine="480"/>
              <w:jc w:val="left"/>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项目运营期主要产生的固体废物</w:t>
            </w:r>
            <w:r>
              <w:rPr>
                <w:rFonts w:hint="eastAsia"/>
                <w:color w:val="000000" w:themeColor="text1"/>
                <w:highlight w:val="none"/>
                <w:lang w:eastAsia="zh-CN"/>
                <w14:textFill>
                  <w14:solidFill>
                    <w14:schemeClr w14:val="tx1"/>
                  </w14:solidFill>
                </w14:textFill>
              </w:rPr>
              <w:t>为</w:t>
            </w:r>
            <w:r>
              <w:rPr>
                <w:rFonts w:hint="eastAsia"/>
                <w:color w:val="000000" w:themeColor="text1"/>
                <w:highlight w:val="none"/>
                <w14:textFill>
                  <w14:solidFill>
                    <w14:schemeClr w14:val="tx1"/>
                  </w14:solidFill>
                </w14:textFill>
              </w:rPr>
              <w:t>生活垃圾</w:t>
            </w:r>
            <w:r>
              <w:rPr>
                <w:rFonts w:hint="eastAsia"/>
                <w:color w:val="000000" w:themeColor="text1"/>
                <w:highlight w:val="none"/>
                <w:lang w:eastAsia="zh-CN"/>
                <w14:textFill>
                  <w14:solidFill>
                    <w14:schemeClr w14:val="tx1"/>
                  </w14:solidFill>
                </w14:textFill>
              </w:rPr>
              <w:t>和生产固废。</w:t>
            </w:r>
          </w:p>
          <w:p>
            <w:pPr>
              <w:pageBreakBefore w:val="0"/>
              <w:widowControl w:val="0"/>
              <w:kinsoku/>
              <w:wordWrap/>
              <w:topLinePunct w:val="0"/>
              <w:autoSpaceDE/>
              <w:autoSpaceDN/>
              <w:bidi w:val="0"/>
              <w:adjustRightInd/>
              <w:snapToGrid w:val="0"/>
              <w:ind w:firstLine="480"/>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本项目生活垃圾产生量约</w:t>
            </w:r>
            <w:r>
              <w:rPr>
                <w:rFonts w:hint="eastAsia"/>
                <w:color w:val="000000" w:themeColor="text1"/>
                <w:highlight w:val="none"/>
                <w:lang w:val="en-US" w:eastAsia="zh-CN"/>
                <w14:textFill>
                  <w14:solidFill>
                    <w14:schemeClr w14:val="tx1"/>
                  </w14:solidFill>
                </w14:textFill>
              </w:rPr>
              <w:t>1.6</w:t>
            </w:r>
            <w:r>
              <w:rPr>
                <w:rFonts w:hint="eastAsia"/>
                <w:color w:val="000000" w:themeColor="text1"/>
                <w:highlight w:val="none"/>
                <w14:textFill>
                  <w14:solidFill>
                    <w14:schemeClr w14:val="tx1"/>
                  </w14:solidFill>
                </w14:textFill>
              </w:rPr>
              <w:t>t/a，生活垃圾收集后交由环卫部门来统一处理。生活垃圾收集后，应做到垃圾袋装化、存放封闭化，做到日产日清；垃圾收集点应做好隔离措施，及时清运、消毒。</w:t>
            </w:r>
          </w:p>
          <w:p>
            <w:pPr>
              <w:pStyle w:val="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本项目生产固废主要为废钢筋和混凝土渣，其废钢筋产生量约</w:t>
            </w:r>
            <w:r>
              <w:rPr>
                <w:rFonts w:hint="eastAsia"/>
                <w:color w:val="000000" w:themeColor="text1"/>
                <w:highlight w:val="none"/>
                <w:lang w:val="en-US" w:eastAsia="zh-CN"/>
                <w14:textFill>
                  <w14:solidFill>
                    <w14:schemeClr w14:val="tx1"/>
                  </w14:solidFill>
                </w14:textFill>
              </w:rPr>
              <w:t>3.0t/a，混凝土渣产生量约5.0t/a，生产固废收集后全部回用于生产，不外排。</w:t>
            </w:r>
          </w:p>
          <w:p>
            <w:pPr>
              <w:pStyle w:val="3"/>
              <w:pageBreakBefore w:val="0"/>
              <w:widowControl w:val="0"/>
              <w:kinsoku/>
              <w:wordWrap/>
              <w:topLinePunct w:val="0"/>
              <w:autoSpaceDE/>
              <w:autoSpaceDN/>
              <w:bidi w:val="0"/>
              <w:adjustRightInd/>
              <w:snapToGrid w:val="0"/>
              <w:spacing w:before="0" w:after="0"/>
              <w:jc w:val="left"/>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4.6地下水、土壤</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无地下水、土壤污染途径。</w:t>
            </w:r>
          </w:p>
          <w:p>
            <w:pPr>
              <w:pStyle w:val="3"/>
              <w:keepLines w:val="0"/>
              <w:pageBreakBefore w:val="0"/>
              <w:widowControl w:val="0"/>
              <w:kinsoku/>
              <w:wordWrap/>
              <w:topLinePunct w:val="0"/>
              <w:autoSpaceDE/>
              <w:autoSpaceDN/>
              <w:bidi w:val="0"/>
              <w:adjustRightInd/>
              <w:snapToGrid w:val="0"/>
              <w:spacing w:before="0" w:after="0" w:line="360"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环境风险</w:t>
            </w:r>
          </w:p>
          <w:p>
            <w:pPr>
              <w:pageBreakBefore w:val="0"/>
              <w:widowControl w:val="0"/>
              <w:kinsoku/>
              <w:wordWrap/>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建设项目环境风险评价技术导则》（HJ169-2018）、《关于切实加强风险防范严格环境影响评价管理的通知》（环发[2012]98号）、《关于进一步加强环境影响评价管理防范环境风险的通知》（环发[2012]77号）等要求，对本项目进行环境风险评价，通过对建设项目的环境风险进行分析、预测和评估，提出环境风险预防、控制、减缓措施，明确环境风险监控及应急建议要求，为建设项目环境风险防控提出科学依据。</w:t>
            </w:r>
          </w:p>
          <w:p>
            <w:pPr>
              <w:pStyle w:val="4"/>
              <w:pageBreakBefore w:val="0"/>
              <w:widowControl w:val="0"/>
              <w:kinsoku/>
              <w:wordWrap/>
              <w:topLinePunct w:val="0"/>
              <w:autoSpaceDE/>
              <w:autoSpaceDN/>
              <w:bidi w:val="0"/>
              <w:adjustRightInd/>
              <w:snapToGrid w:val="0"/>
              <w:spacing w:before="0" w:after="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.1风险物质识别</w:t>
            </w:r>
          </w:p>
          <w:p>
            <w:pPr>
              <w:pStyle w:val="4"/>
              <w:keepNext/>
              <w:keepLines/>
              <w:pageBreakBefore w:val="0"/>
              <w:widowControl w:val="0"/>
              <w:kinsoku/>
              <w:wordWrap/>
              <w:overflowPunct/>
              <w:topLinePunct w:val="0"/>
              <w:autoSpaceDE/>
              <w:autoSpaceDN/>
              <w:bidi w:val="0"/>
              <w:adjustRightInd/>
              <w:snapToGrid w:val="0"/>
              <w:spacing w:before="0" w:after="0"/>
              <w:ind w:firstLine="480" w:firstLineChars="200"/>
              <w:jc w:val="left"/>
              <w:textAlignment w:val="auto"/>
              <w:rPr>
                <w:rFonts w:hint="eastAsia" w:eastAsia="宋体"/>
                <w:b w:val="0"/>
                <w:bCs w:val="0"/>
                <w:color w:val="000000" w:themeColor="text1"/>
                <w:highlight w:val="none"/>
                <w:lang w:eastAsia="zh-CN"/>
                <w14:textFill>
                  <w14:solidFill>
                    <w14:schemeClr w14:val="tx1"/>
                  </w14:solidFill>
                </w14:textFill>
              </w:rPr>
            </w:pPr>
            <w:r>
              <w:rPr>
                <w:rFonts w:hint="eastAsia"/>
                <w:b w:val="0"/>
                <w:bCs w:val="0"/>
                <w:color w:val="000000" w:themeColor="text1"/>
                <w:highlight w:val="none"/>
                <w:lang w:eastAsia="zh-CN"/>
                <w14:textFill>
                  <w14:solidFill>
                    <w14:schemeClr w14:val="tx1"/>
                  </w14:solidFill>
                </w14:textFill>
              </w:rPr>
              <w:t>本项目生产工艺简单，项目运营过程中涉及原辅料及产品均不属于</w:t>
            </w:r>
            <w:r>
              <w:rPr>
                <w:rFonts w:hint="default" w:ascii="Times New Roman" w:hAnsi="Times New Roman" w:cs="Times New Roman"/>
                <w:b w:val="0"/>
                <w:bCs w:val="0"/>
                <w:color w:val="000000" w:themeColor="text1"/>
                <w:highlight w:val="none"/>
                <w14:textFill>
                  <w14:solidFill>
                    <w14:schemeClr w14:val="tx1"/>
                  </w14:solidFill>
                </w14:textFill>
              </w:rPr>
              <w:t>《建设项目环境风险</w:t>
            </w:r>
            <w:r>
              <w:rPr>
                <w:rFonts w:hint="default" w:ascii="Times New Roman" w:hAnsi="Times New Roman" w:cs="Times New Roman"/>
                <w:b w:val="0"/>
                <w:bCs w:val="0"/>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highlight w:val="none"/>
                <w14:textFill>
                  <w14:solidFill>
                    <w14:schemeClr w14:val="tx1"/>
                  </w14:solidFill>
                </w14:textFill>
              </w:rPr>
              <w:t>评价技术导则》（HJ169-2018）</w:t>
            </w:r>
            <w:r>
              <w:rPr>
                <w:rFonts w:hint="default" w:ascii="Times New Roman" w:hAnsi="Times New Roman" w:cs="Times New Roman"/>
                <w:b w:val="0"/>
                <w:bCs w:val="0"/>
                <w:color w:val="000000" w:themeColor="text1"/>
                <w:highlight w:val="none"/>
                <w:lang w:eastAsia="zh-CN"/>
                <w14:textFill>
                  <w14:solidFill>
                    <w14:schemeClr w14:val="tx1"/>
                  </w14:solidFill>
                </w14:textFill>
              </w:rPr>
              <w:t>附录</w:t>
            </w:r>
            <w:r>
              <w:rPr>
                <w:rFonts w:hint="default" w:ascii="Times New Roman" w:hAnsi="Times New Roman" w:cs="Times New Roman"/>
                <w:b w:val="0"/>
                <w:bCs w:val="0"/>
                <w:color w:val="000000" w:themeColor="text1"/>
                <w:highlight w:val="none"/>
                <w:lang w:val="en-US" w:eastAsia="zh-CN"/>
                <w14:textFill>
                  <w14:solidFill>
                    <w14:schemeClr w14:val="tx1"/>
                  </w14:solidFill>
                </w14:textFill>
              </w:rPr>
              <w:t>B中所列的有毒有害、易燃易爆物质，项目不存在危险源</w:t>
            </w:r>
            <w:r>
              <w:rPr>
                <w:rFonts w:hint="default" w:ascii="Times New Roman" w:hAnsi="Times New Roman" w:cs="Times New Roman"/>
                <w:b w:val="0"/>
                <w:bCs w:val="0"/>
                <w:color w:val="000000" w:themeColor="text1"/>
                <w:highlight w:val="none"/>
                <w14:textFill>
                  <w14:solidFill>
                    <w14:schemeClr w14:val="tx1"/>
                  </w14:solidFill>
                </w14:textFill>
              </w:rPr>
              <w:t>，Q</w:t>
            </w:r>
            <w:r>
              <w:rPr>
                <w:rFonts w:hint="default" w:ascii="Times New Roman" w:hAnsi="Times New Roman" w:eastAsia="宋体" w:cs="Times New Roman"/>
                <w:b w:val="0"/>
                <w:bCs w:val="0"/>
                <w:color w:val="000000" w:themeColor="text1"/>
                <w:highlight w:val="none"/>
                <w14:textFill>
                  <w14:solidFill>
                    <w14:schemeClr w14:val="tx1"/>
                  </w14:solidFill>
                </w14:textFill>
              </w:rPr>
              <w:t>﹤</w:t>
            </w:r>
            <w:r>
              <w:rPr>
                <w:rFonts w:hint="default" w:ascii="Times New Roman" w:hAnsi="Times New Roman" w:cs="Times New Roman"/>
                <w:b w:val="0"/>
                <w:bCs w:val="0"/>
                <w:color w:val="000000" w:themeColor="text1"/>
                <w:highlight w:val="none"/>
                <w14:textFill>
                  <w14:solidFill>
                    <w14:schemeClr w14:val="tx1"/>
                  </w14:solidFill>
                </w14:textFill>
              </w:rPr>
              <w:t>1，</w:t>
            </w:r>
            <w:r>
              <w:rPr>
                <w:rFonts w:hint="default" w:ascii="Times New Roman" w:hAnsi="Times New Roman" w:cs="Times New Roman"/>
                <w:b w:val="0"/>
                <w:bCs w:val="0"/>
                <w:color w:val="000000" w:themeColor="text1"/>
                <w:highlight w:val="none"/>
                <w:lang w:eastAsia="zh-CN"/>
                <w14:textFill>
                  <w14:solidFill>
                    <w14:schemeClr w14:val="tx1"/>
                  </w14:solidFill>
                </w14:textFill>
              </w:rPr>
              <w:t>本项目环境风险</w:t>
            </w:r>
            <w:r>
              <w:rPr>
                <w:rFonts w:hint="default" w:ascii="Times New Roman" w:hAnsi="Times New Roman" w:cs="Times New Roman"/>
                <w:b w:val="0"/>
                <w:bCs w:val="0"/>
                <w:color w:val="000000" w:themeColor="text1"/>
                <w:highlight w:val="none"/>
                <w14:textFill>
                  <w14:solidFill>
                    <w14:schemeClr w14:val="tx1"/>
                  </w14:solidFill>
                </w14:textFill>
              </w:rPr>
              <w:t>潜势为</w:t>
            </w:r>
            <w:r>
              <w:rPr>
                <w:rFonts w:hint="default" w:ascii="Times New Roman" w:hAnsi="Times New Roman" w:cs="Times New Roman"/>
                <w:b w:val="0"/>
                <w:bCs w:val="0"/>
                <w:color w:val="000000" w:themeColor="text1"/>
                <w:highlight w:val="none"/>
                <w14:textFill>
                  <w14:solidFill>
                    <w14:schemeClr w14:val="tx1"/>
                  </w14:solidFill>
                </w14:textFill>
              </w:rPr>
              <w:fldChar w:fldCharType="begin"/>
            </w:r>
            <w:r>
              <w:rPr>
                <w:rFonts w:hint="default" w:ascii="Times New Roman" w:hAnsi="Times New Roman" w:cs="Times New Roman"/>
                <w:b w:val="0"/>
                <w:bCs w:val="0"/>
                <w:color w:val="000000" w:themeColor="text1"/>
                <w:highlight w:val="none"/>
                <w14:textFill>
                  <w14:solidFill>
                    <w14:schemeClr w14:val="tx1"/>
                  </w14:solidFill>
                </w14:textFill>
              </w:rPr>
              <w:instrText xml:space="preserve"> = 1 \* ROMAN \* MERGEFORMAT </w:instrText>
            </w:r>
            <w:r>
              <w:rPr>
                <w:rFonts w:hint="default" w:ascii="Times New Roman" w:hAnsi="Times New Roman" w:cs="Times New Roman"/>
                <w:b w:val="0"/>
                <w:bCs w:val="0"/>
                <w:color w:val="000000" w:themeColor="text1"/>
                <w:highlight w:val="none"/>
                <w14:textFill>
                  <w14:solidFill>
                    <w14:schemeClr w14:val="tx1"/>
                  </w14:solidFill>
                </w14:textFill>
              </w:rPr>
              <w:fldChar w:fldCharType="separate"/>
            </w:r>
            <w:r>
              <w:rPr>
                <w:rFonts w:hint="default" w:ascii="Times New Roman" w:hAnsi="Times New Roman" w:cs="Times New Roman"/>
                <w:b w:val="0"/>
                <w:bCs w:val="0"/>
                <w:color w:val="000000" w:themeColor="text1"/>
                <w:highlight w:val="none"/>
                <w14:textFill>
                  <w14:solidFill>
                    <w14:schemeClr w14:val="tx1"/>
                  </w14:solidFill>
                </w14:textFill>
              </w:rPr>
              <w:t>I</w:t>
            </w:r>
            <w:r>
              <w:rPr>
                <w:rFonts w:hint="default" w:ascii="Times New Roman" w:hAnsi="Times New Roman" w:cs="Times New Roman"/>
                <w:b w:val="0"/>
                <w:bCs w:val="0"/>
                <w:color w:val="000000" w:themeColor="text1"/>
                <w:highlight w:val="none"/>
                <w14:textFill>
                  <w14:solidFill>
                    <w14:schemeClr w14:val="tx1"/>
                  </w14:solidFill>
                </w14:textFill>
              </w:rPr>
              <w:fldChar w:fldCharType="end"/>
            </w:r>
            <w:r>
              <w:rPr>
                <w:rFonts w:hint="default" w:ascii="Times New Roman" w:hAnsi="Times New Roman" w:cs="Times New Roman"/>
                <w:b w:val="0"/>
                <w:bCs w:val="0"/>
                <w:color w:val="000000" w:themeColor="text1"/>
                <w:highlight w:val="none"/>
                <w14:textFill>
                  <w14:solidFill>
                    <w14:schemeClr w14:val="tx1"/>
                  </w14:solidFill>
                </w14:textFill>
              </w:rPr>
              <w:t>。</w:t>
            </w:r>
          </w:p>
          <w:p>
            <w:pPr>
              <w:pStyle w:val="4"/>
              <w:pageBreakBefore w:val="0"/>
              <w:widowControl w:val="0"/>
              <w:kinsoku/>
              <w:wordWrap/>
              <w:topLinePunct w:val="0"/>
              <w:autoSpaceDE/>
              <w:autoSpaceDN/>
              <w:bidi w:val="0"/>
              <w:adjustRightInd/>
              <w:snapToGrid w:val="0"/>
              <w:spacing w:before="0" w:after="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环境风险评价工作等级</w:t>
            </w:r>
          </w:p>
          <w:p>
            <w:pPr>
              <w:pageBreakBefore w:val="0"/>
              <w:widowControl w:val="0"/>
              <w:kinsoku/>
              <w:wordWrap/>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建设项目环境风险评价技术导则》（HJ169-2018）环境风险评价工作等级划分为一级、二级、三级。根据建设项目涉及的物质及工艺系统危险性和所在地的环境敏感性确定环境风险潜势，确定评价工作等级。风险潜势为Ⅳ及以上，进行一级评价；风险潜势为Ⅲ，进行二级评价；风险潜势为Ⅱ，进行三级评价；风险潜势为Ⅰ，可开展简单分析。评价工作等级的划分依据具体见表</w:t>
            </w: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w:t>
            </w:r>
          </w:p>
          <w:p>
            <w:pPr>
              <w:pStyle w:val="6"/>
              <w:pageBreakBefore w:val="0"/>
              <w:widowControl w:val="0"/>
              <w:kinsoku/>
              <w:wordWrap/>
              <w:topLinePunct w:val="0"/>
              <w:autoSpaceDE/>
              <w:autoSpaceDN/>
              <w:bidi w:val="0"/>
              <w:adjustRightInd/>
              <w:snapToGrid w:val="0"/>
              <w:textAlignment w:val="auto"/>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26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评价工作等级划分表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1585"/>
              <w:gridCol w:w="1585"/>
              <w:gridCol w:w="158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环境风险潜势</w:t>
                  </w:r>
                </w:p>
              </w:tc>
              <w:tc>
                <w:tcPr>
                  <w:tcW w:w="999"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Ⅳ、Ⅳ</w:t>
                  </w:r>
                  <w:r>
                    <w:rPr>
                      <w:rFonts w:hint="eastAsia"/>
                      <w:color w:val="000000" w:themeColor="text1"/>
                      <w:sz w:val="21"/>
                      <w:highlight w:val="none"/>
                      <w:vertAlign w:val="superscript"/>
                      <w14:textFill>
                        <w14:solidFill>
                          <w14:schemeClr w14:val="tx1"/>
                        </w14:solidFill>
                      </w14:textFill>
                    </w:rPr>
                    <w:t>+</w:t>
                  </w:r>
                </w:p>
              </w:tc>
              <w:tc>
                <w:tcPr>
                  <w:tcW w:w="999"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Ⅲ</w:t>
                  </w:r>
                </w:p>
              </w:tc>
              <w:tc>
                <w:tcPr>
                  <w:tcW w:w="999"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Ⅱ</w:t>
                  </w:r>
                </w:p>
              </w:tc>
              <w:tc>
                <w:tcPr>
                  <w:tcW w:w="1001"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评价工作等级</w:t>
                  </w:r>
                </w:p>
              </w:tc>
              <w:tc>
                <w:tcPr>
                  <w:tcW w:w="999"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一</w:t>
                  </w:r>
                </w:p>
              </w:tc>
              <w:tc>
                <w:tcPr>
                  <w:tcW w:w="999"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二</w:t>
                  </w:r>
                </w:p>
              </w:tc>
              <w:tc>
                <w:tcPr>
                  <w:tcW w:w="999"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三</w:t>
                  </w:r>
                </w:p>
              </w:tc>
              <w:tc>
                <w:tcPr>
                  <w:tcW w:w="1001"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简单分析</w:t>
                  </w:r>
                  <w:r>
                    <w:rPr>
                      <w:rFonts w:hint="eastAsia"/>
                      <w:color w:val="000000" w:themeColor="text1"/>
                      <w:sz w:val="21"/>
                      <w:highlight w:val="none"/>
                      <w:vertAlign w:val="superscript"/>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000" w:type="pct"/>
                  <w:gridSpan w:val="5"/>
                  <w:tcBorders>
                    <w:tl2br w:val="nil"/>
                    <w:tr2bl w:val="nil"/>
                  </w:tcBorders>
                  <w:vAlign w:val="center"/>
                </w:tcPr>
                <w:p>
                  <w:pPr>
                    <w:spacing w:line="240" w:lineRule="auto"/>
                    <w:ind w:firstLine="0" w:firstLineChars="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a是相对于详细评价工作内容而言，在描述危险物质、环境影响途径、环境危害后果、风险防范措施等方面给出定性的说明。</w:t>
                  </w:r>
                </w:p>
              </w:tc>
            </w:tr>
          </w:tbl>
          <w:p>
            <w:pPr>
              <w:pageBreakBefore w:val="0"/>
              <w:widowControl w:val="0"/>
              <w:kinsoku/>
              <w:wordWrap/>
              <w:overflowPunct/>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根据《建设项目环境风险评价技术导则》（HJ169-2018）中的规定，项目未构成重大危险源，项目环境风险潜势为Ⅰ级，因此确定本项目的环境风险评价等级为简单分析。</w:t>
            </w:r>
          </w:p>
          <w:p>
            <w:pPr>
              <w:pStyle w:val="4"/>
              <w:pageBreakBefore w:val="0"/>
              <w:widowControl w:val="0"/>
              <w:kinsoku/>
              <w:wordWrap/>
              <w:overflowPunct/>
              <w:topLinePunct w:val="0"/>
              <w:autoSpaceDE/>
              <w:autoSpaceDN/>
              <w:bidi w:val="0"/>
              <w:adjustRightInd/>
              <w:snapToGrid w:val="0"/>
              <w:spacing w:before="0" w:after="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环境敏感目标</w:t>
            </w:r>
          </w:p>
          <w:p>
            <w:pPr>
              <w:pageBreakBefore w:val="0"/>
              <w:widowControl w:val="0"/>
              <w:kinsoku/>
              <w:wordWrap/>
              <w:overflowPunct/>
              <w:topLinePunct w:val="0"/>
              <w:autoSpaceDE/>
              <w:autoSpaceDN/>
              <w:bidi w:val="0"/>
              <w:adjustRightInd/>
              <w:snapToGrid w:val="0"/>
              <w:ind w:firstLine="480"/>
              <w:jc w:val="left"/>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无</w:t>
            </w:r>
            <w:r>
              <w:rPr>
                <w:rFonts w:hint="eastAsia"/>
                <w:color w:val="000000" w:themeColor="text1"/>
                <w:highlight w:val="none"/>
                <w14:textFill>
                  <w14:solidFill>
                    <w14:schemeClr w14:val="tx1"/>
                  </w14:solidFill>
                </w14:textFill>
              </w:rPr>
              <w:t>。</w:t>
            </w:r>
          </w:p>
          <w:p>
            <w:pPr>
              <w:pStyle w:val="4"/>
              <w:pageBreakBefore w:val="0"/>
              <w:widowControl w:val="0"/>
              <w:kinsoku/>
              <w:wordWrap/>
              <w:overflowPunct/>
              <w:topLinePunct w:val="0"/>
              <w:autoSpaceDE/>
              <w:autoSpaceDN/>
              <w:bidi w:val="0"/>
              <w:adjustRightInd/>
              <w:snapToGrid w:val="0"/>
              <w:spacing w:before="0" w:after="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环境风险识别</w:t>
            </w:r>
          </w:p>
          <w:p>
            <w:pPr>
              <w:pageBreakBefore w:val="0"/>
              <w:widowControl w:val="0"/>
              <w:kinsoku/>
              <w:wordWrap/>
              <w:overflowPunct/>
              <w:topLinePunct w:val="0"/>
              <w:autoSpaceDE/>
              <w:autoSpaceDN/>
              <w:bidi w:val="0"/>
              <w:adjustRightInd/>
              <w:snapToGrid w:val="0"/>
              <w:ind w:firstLine="480"/>
              <w:jc w:val="left"/>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无。</w:t>
            </w:r>
          </w:p>
          <w:p>
            <w:pPr>
              <w:pStyle w:val="4"/>
              <w:pageBreakBefore w:val="0"/>
              <w:widowControl w:val="0"/>
              <w:kinsoku/>
              <w:wordWrap/>
              <w:overflowPunct/>
              <w:topLinePunct w:val="0"/>
              <w:autoSpaceDE/>
              <w:autoSpaceDN/>
              <w:bidi w:val="0"/>
              <w:adjustRightInd/>
              <w:snapToGrid w:val="0"/>
              <w:spacing w:before="0" w:after="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环境风险影响分析</w:t>
            </w:r>
          </w:p>
          <w:p>
            <w:pPr>
              <w:pageBreakBefore w:val="0"/>
              <w:widowControl w:val="0"/>
              <w:kinsoku/>
              <w:wordWrap/>
              <w:overflowPunct/>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由于</w:t>
            </w:r>
            <w:r>
              <w:rPr>
                <w:rFonts w:hint="eastAsia"/>
                <w:color w:val="000000" w:themeColor="text1"/>
                <w:highlight w:val="none"/>
                <w:lang w:eastAsia="zh-CN"/>
                <w14:textFill>
                  <w14:solidFill>
                    <w14:schemeClr w14:val="tx1"/>
                  </w14:solidFill>
                </w14:textFill>
              </w:rPr>
              <w:t>本项目粉尘达标排放，不会造成区域</w:t>
            </w:r>
            <w:r>
              <w:rPr>
                <w:rFonts w:hint="eastAsia"/>
                <w:color w:val="000000" w:themeColor="text1"/>
                <w:highlight w:val="none"/>
                <w14:textFill>
                  <w14:solidFill>
                    <w14:schemeClr w14:val="tx1"/>
                  </w14:solidFill>
                </w14:textFill>
              </w:rPr>
              <w:t>大气环境质量恶化，大气环境</w:t>
            </w:r>
            <w:r>
              <w:rPr>
                <w:rFonts w:hint="eastAsia"/>
                <w:color w:val="000000" w:themeColor="text1"/>
                <w:highlight w:val="none"/>
                <w:lang w:eastAsia="zh-CN"/>
                <w14:textFill>
                  <w14:solidFill>
                    <w14:schemeClr w14:val="tx1"/>
                  </w14:solidFill>
                </w14:textFill>
              </w:rPr>
              <w:t>影响较小</w:t>
            </w:r>
            <w:r>
              <w:rPr>
                <w:rFonts w:hint="eastAsia"/>
                <w:color w:val="000000" w:themeColor="text1"/>
                <w:highlight w:val="none"/>
                <w14:textFill>
                  <w14:solidFill>
                    <w14:schemeClr w14:val="tx1"/>
                  </w14:solidFill>
                </w14:textFill>
              </w:rPr>
              <w:t>。</w:t>
            </w:r>
          </w:p>
          <w:p>
            <w:pPr>
              <w:pStyle w:val="4"/>
              <w:pageBreakBefore w:val="0"/>
              <w:widowControl w:val="0"/>
              <w:kinsoku/>
              <w:wordWrap/>
              <w:overflowPunct/>
              <w:topLinePunct w:val="0"/>
              <w:autoSpaceDE/>
              <w:autoSpaceDN/>
              <w:bidi w:val="0"/>
              <w:adjustRightInd/>
              <w:snapToGrid w:val="0"/>
              <w:spacing w:before="0" w:after="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环境风险防控措施及应急要求</w:t>
            </w:r>
          </w:p>
          <w:p>
            <w:pPr>
              <w:pageBreakBefore w:val="0"/>
              <w:widowControl w:val="0"/>
              <w:kinsoku/>
              <w:wordWrap/>
              <w:overflowPunct/>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.1环境风险防控措施</w:t>
            </w:r>
          </w:p>
          <w:p>
            <w:pPr>
              <w:pageBreakBefore w:val="0"/>
              <w:widowControl w:val="0"/>
              <w:kinsoku/>
              <w:wordWrap/>
              <w:overflowPunct/>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（1）建立完善的安全生产管理制度和消防安全规定，制定设备操作规程并严格遵照执行；</w:t>
            </w:r>
          </w:p>
          <w:p>
            <w:pPr>
              <w:pageBreakBefore w:val="0"/>
              <w:widowControl w:val="0"/>
              <w:kinsoku/>
              <w:wordWrap/>
              <w:overflowPunct/>
              <w:topLinePunct w:val="0"/>
              <w:autoSpaceDE/>
              <w:autoSpaceDN/>
              <w:bidi w:val="0"/>
              <w:adjustRightInd/>
              <w:snapToGrid w:val="0"/>
              <w:ind w:firstLine="480"/>
              <w:jc w:val="left"/>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）在有较大危险因素的有关设施、设备上，如</w:t>
            </w:r>
            <w:r>
              <w:rPr>
                <w:rFonts w:hint="eastAsia"/>
                <w:color w:val="000000" w:themeColor="text1"/>
                <w:highlight w:val="none"/>
                <w:lang w:eastAsia="zh-CN"/>
                <w14:textFill>
                  <w14:solidFill>
                    <w14:schemeClr w14:val="tx1"/>
                  </w14:solidFill>
                </w14:textFill>
              </w:rPr>
              <w:t>行车</w:t>
            </w:r>
            <w:r>
              <w:rPr>
                <w:rFonts w:hint="eastAsia"/>
                <w:color w:val="000000" w:themeColor="text1"/>
                <w:highlight w:val="none"/>
                <w14:textFill>
                  <w14:solidFill>
                    <w14:schemeClr w14:val="tx1"/>
                  </w14:solidFill>
                </w14:textFill>
              </w:rPr>
              <w:t>等处均应设置明显的安全警示标志</w:t>
            </w:r>
            <w:r>
              <w:rPr>
                <w:rFonts w:hint="eastAsia"/>
                <w:color w:val="000000" w:themeColor="text1"/>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val="0"/>
              <w:ind w:firstLine="480"/>
              <w:jc w:val="left"/>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）生产区域应加强管理，避免和及时消除各种激发能源的产生和积累，杜绝火种及违章违纪现象，进入车辆必须装阻火器</w:t>
            </w:r>
            <w:r>
              <w:rPr>
                <w:rFonts w:hint="eastAsia"/>
                <w:color w:val="000000" w:themeColor="text1"/>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val="0"/>
              <w:ind w:firstLine="480"/>
              <w:jc w:val="left"/>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）加强员工的思想、道德教育，提高员工的责任心和主观能动性</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完善并严格遵守相关的操作规程，加强岗位培训，落实岗位责任制，加强设备管理</w:t>
            </w:r>
            <w:r>
              <w:rPr>
                <w:rFonts w:hint="eastAsia"/>
                <w:color w:val="000000" w:themeColor="text1"/>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）加强事故管理，在生产过程中注意对其它单位相关事故的研究，充分吸取经验和教训。</w:t>
            </w:r>
          </w:p>
          <w:p>
            <w:pPr>
              <w:pageBreakBefore w:val="0"/>
              <w:widowControl w:val="0"/>
              <w:kinsoku/>
              <w:wordWrap/>
              <w:overflowPunct/>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.2风险事故应急预案</w:t>
            </w:r>
          </w:p>
          <w:p>
            <w:pPr>
              <w:pageBreakBefore w:val="0"/>
              <w:widowControl w:val="0"/>
              <w:kinsoku/>
              <w:wordWrap/>
              <w:overflowPunct/>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建设单位应按照《企业突发环境事件风险评估指南（试行）》（环境保护部环办[2014]34号）的要求建立环境风险事故应急预案，应急预案所要求的基本内容可参照表</w:t>
            </w:r>
            <w:r>
              <w:rPr>
                <w:rFonts w:hint="eastAsia"/>
                <w:color w:val="000000" w:themeColor="text1"/>
                <w:highlight w:val="none"/>
                <w:lang w:val="en-US" w:eastAsia="zh-CN"/>
                <w14:textFill>
                  <w14:solidFill>
                    <w14:schemeClr w14:val="tx1"/>
                  </w14:solidFill>
                </w14:textFill>
              </w:rPr>
              <w:t>27</w:t>
            </w:r>
            <w:r>
              <w:rPr>
                <w:rFonts w:hint="eastAsia"/>
                <w:color w:val="000000" w:themeColor="text1"/>
                <w:highlight w:val="none"/>
                <w14:textFill>
                  <w14:solidFill>
                    <w14:schemeClr w14:val="tx1"/>
                  </w14:solidFill>
                </w14:textFill>
              </w:rPr>
              <w:t>中的相关内容。</w:t>
            </w:r>
          </w:p>
          <w:p>
            <w:pPr>
              <w:pStyle w:val="6"/>
              <w:pageBreakBefore w:val="0"/>
              <w:widowControl w:val="0"/>
              <w:kinsoku/>
              <w:wordWrap/>
              <w:overflowPunct/>
              <w:topLinePunct w:val="0"/>
              <w:autoSpaceDE/>
              <w:autoSpaceDN/>
              <w:bidi w:val="0"/>
              <w:adjustRightInd/>
              <w:snapToGrid w:val="0"/>
              <w:textAlignment w:val="auto"/>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应急预案内容一览表</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036"/>
              <w:gridCol w:w="5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序号</w:t>
                  </w:r>
                </w:p>
              </w:tc>
              <w:tc>
                <w:tcPr>
                  <w:tcW w:w="1282"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项目</w:t>
                  </w:r>
                </w:p>
              </w:tc>
              <w:tc>
                <w:tcPr>
                  <w:tcW w:w="3295"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w:t>
                  </w:r>
                </w:p>
              </w:tc>
              <w:tc>
                <w:tcPr>
                  <w:tcW w:w="1282" w:type="pct"/>
                  <w:tcBorders>
                    <w:tl2br w:val="nil"/>
                    <w:tr2bl w:val="nil"/>
                  </w:tcBorders>
                  <w:vAlign w:val="center"/>
                </w:tcPr>
                <w:p>
                  <w:pPr>
                    <w:spacing w:line="240" w:lineRule="auto"/>
                    <w:ind w:firstLine="0" w:firstLineChars="0"/>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应急计划区</w:t>
                  </w:r>
                </w:p>
              </w:tc>
              <w:tc>
                <w:tcPr>
                  <w:tcW w:w="3295" w:type="pct"/>
                  <w:tcBorders>
                    <w:tl2br w:val="nil"/>
                    <w:tr2bl w:val="nil"/>
                  </w:tcBorders>
                  <w:vAlign w:val="center"/>
                </w:tcPr>
                <w:p>
                  <w:pPr>
                    <w:spacing w:line="240" w:lineRule="auto"/>
                    <w:ind w:firstLine="0" w:firstLineChars="0"/>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危险目标，环境保护目标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w:t>
                  </w:r>
                </w:p>
              </w:tc>
              <w:tc>
                <w:tcPr>
                  <w:tcW w:w="1282" w:type="pct"/>
                  <w:tcBorders>
                    <w:tl2br w:val="nil"/>
                    <w:tr2bl w:val="nil"/>
                  </w:tcBorders>
                  <w:vAlign w:val="center"/>
                </w:tcPr>
                <w:p>
                  <w:pPr>
                    <w:spacing w:line="240" w:lineRule="auto"/>
                    <w:ind w:firstLine="0" w:firstLineChars="0"/>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应急组织机构、人员</w:t>
                  </w:r>
                </w:p>
              </w:tc>
              <w:tc>
                <w:tcPr>
                  <w:tcW w:w="3295" w:type="pct"/>
                  <w:tcBorders>
                    <w:tl2br w:val="nil"/>
                    <w:tr2bl w:val="nil"/>
                  </w:tcBorders>
                  <w:vAlign w:val="center"/>
                </w:tcPr>
                <w:p>
                  <w:pPr>
                    <w:spacing w:line="240" w:lineRule="auto"/>
                    <w:ind w:firstLine="0" w:firstLineChars="0"/>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厂区、地区应急组织机构、人员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w:t>
                  </w:r>
                </w:p>
              </w:tc>
              <w:tc>
                <w:tcPr>
                  <w:tcW w:w="1282" w:type="pct"/>
                  <w:tcBorders>
                    <w:tl2br w:val="nil"/>
                    <w:tr2bl w:val="nil"/>
                  </w:tcBorders>
                  <w:vAlign w:val="center"/>
                </w:tcPr>
                <w:p>
                  <w:pPr>
                    <w:spacing w:line="240" w:lineRule="auto"/>
                    <w:ind w:firstLine="0" w:firstLineChars="0"/>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预案分级响应条件</w:t>
                  </w:r>
                </w:p>
              </w:tc>
              <w:tc>
                <w:tcPr>
                  <w:tcW w:w="3295" w:type="pct"/>
                  <w:tcBorders>
                    <w:tl2br w:val="nil"/>
                    <w:tr2bl w:val="nil"/>
                  </w:tcBorders>
                  <w:vAlign w:val="center"/>
                </w:tcPr>
                <w:p>
                  <w:pPr>
                    <w:spacing w:line="240" w:lineRule="auto"/>
                    <w:ind w:firstLine="0" w:firstLineChars="0"/>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规定预案的级别及分级响应程序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4</w:t>
                  </w:r>
                </w:p>
              </w:tc>
              <w:tc>
                <w:tcPr>
                  <w:tcW w:w="1282" w:type="pct"/>
                  <w:tcBorders>
                    <w:tl2br w:val="nil"/>
                    <w:tr2bl w:val="nil"/>
                  </w:tcBorders>
                  <w:vAlign w:val="center"/>
                </w:tcPr>
                <w:p>
                  <w:pPr>
                    <w:spacing w:line="240" w:lineRule="auto"/>
                    <w:ind w:firstLine="0" w:firstLineChars="0"/>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应急救援保障</w:t>
                  </w:r>
                </w:p>
              </w:tc>
              <w:tc>
                <w:tcPr>
                  <w:tcW w:w="3295" w:type="pct"/>
                  <w:tcBorders>
                    <w:tl2br w:val="nil"/>
                    <w:tr2bl w:val="nil"/>
                  </w:tcBorders>
                  <w:vAlign w:val="center"/>
                </w:tcPr>
                <w:p>
                  <w:pPr>
                    <w:spacing w:line="240" w:lineRule="auto"/>
                    <w:ind w:firstLine="0" w:firstLineChars="0"/>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应急设施，设备与器材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21"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5</w:t>
                  </w:r>
                </w:p>
              </w:tc>
              <w:tc>
                <w:tcPr>
                  <w:tcW w:w="1282" w:type="pct"/>
                  <w:tcBorders>
                    <w:tl2br w:val="nil"/>
                    <w:tr2bl w:val="nil"/>
                  </w:tcBorders>
                  <w:vAlign w:val="center"/>
                </w:tcPr>
                <w:p>
                  <w:pPr>
                    <w:spacing w:line="240" w:lineRule="auto"/>
                    <w:ind w:firstLine="0" w:firstLineChars="0"/>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报警、通讯联络方式</w:t>
                  </w:r>
                </w:p>
              </w:tc>
              <w:tc>
                <w:tcPr>
                  <w:tcW w:w="3295" w:type="pct"/>
                  <w:tcBorders>
                    <w:tl2br w:val="nil"/>
                    <w:tr2bl w:val="nil"/>
                  </w:tcBorders>
                  <w:vAlign w:val="center"/>
                </w:tcPr>
                <w:p>
                  <w:pPr>
                    <w:spacing w:line="240" w:lineRule="auto"/>
                    <w:ind w:firstLine="0" w:firstLineChars="0"/>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规定应急状态下的报警通讯方式、通知方式和交通保障、管制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21"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6</w:t>
                  </w:r>
                </w:p>
              </w:tc>
              <w:tc>
                <w:tcPr>
                  <w:tcW w:w="1282" w:type="pct"/>
                  <w:tcBorders>
                    <w:tl2br w:val="nil"/>
                    <w:tr2bl w:val="nil"/>
                  </w:tcBorders>
                  <w:vAlign w:val="center"/>
                </w:tcPr>
                <w:p>
                  <w:pPr>
                    <w:spacing w:line="240" w:lineRule="auto"/>
                    <w:ind w:firstLine="0" w:firstLineChars="0"/>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应急环境监测、抢险、救援及控制措施</w:t>
                  </w:r>
                </w:p>
              </w:tc>
              <w:tc>
                <w:tcPr>
                  <w:tcW w:w="3295" w:type="pct"/>
                  <w:tcBorders>
                    <w:tl2br w:val="nil"/>
                    <w:tr2bl w:val="nil"/>
                  </w:tcBorders>
                  <w:vAlign w:val="center"/>
                </w:tcPr>
                <w:p>
                  <w:pPr>
                    <w:spacing w:line="240" w:lineRule="auto"/>
                    <w:ind w:firstLine="0" w:firstLineChars="0"/>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由专业队伍负责对事故现场进行侦查监测，对事故性质、参数与后果进行评估，为指挥部门提供决策依据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21"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7</w:t>
                  </w:r>
                </w:p>
              </w:tc>
              <w:tc>
                <w:tcPr>
                  <w:tcW w:w="1282" w:type="pct"/>
                  <w:tcBorders>
                    <w:tl2br w:val="nil"/>
                    <w:tr2bl w:val="nil"/>
                  </w:tcBorders>
                  <w:vAlign w:val="center"/>
                </w:tcPr>
                <w:p>
                  <w:pPr>
                    <w:spacing w:line="240" w:lineRule="auto"/>
                    <w:ind w:firstLine="0" w:firstLineChars="0"/>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应急检测、防护措施、清楚泄露措施和器材</w:t>
                  </w:r>
                </w:p>
              </w:tc>
              <w:tc>
                <w:tcPr>
                  <w:tcW w:w="3295" w:type="pct"/>
                  <w:tcBorders>
                    <w:tl2br w:val="nil"/>
                    <w:tr2bl w:val="nil"/>
                  </w:tcBorders>
                  <w:vAlign w:val="center"/>
                </w:tcPr>
                <w:p>
                  <w:pPr>
                    <w:spacing w:line="240" w:lineRule="auto"/>
                    <w:ind w:firstLine="0" w:firstLineChars="0"/>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事故现场、临近区域、控制防火措施，控制和清楚污染措施及相应设备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21"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8</w:t>
                  </w:r>
                </w:p>
              </w:tc>
              <w:tc>
                <w:tcPr>
                  <w:tcW w:w="1282" w:type="pct"/>
                  <w:tcBorders>
                    <w:tl2br w:val="nil"/>
                    <w:tr2bl w:val="nil"/>
                  </w:tcBorders>
                  <w:vAlign w:val="center"/>
                </w:tcPr>
                <w:p>
                  <w:pPr>
                    <w:spacing w:line="240" w:lineRule="auto"/>
                    <w:ind w:firstLine="0" w:firstLineChars="0"/>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人员紧急撤离、疏散，应急剂量控制、撤离组织计划</w:t>
                  </w:r>
                </w:p>
              </w:tc>
              <w:tc>
                <w:tcPr>
                  <w:tcW w:w="3295" w:type="pct"/>
                  <w:tcBorders>
                    <w:tl2br w:val="nil"/>
                    <w:tr2bl w:val="nil"/>
                  </w:tcBorders>
                  <w:vAlign w:val="center"/>
                </w:tcPr>
                <w:p>
                  <w:pPr>
                    <w:spacing w:line="240" w:lineRule="auto"/>
                    <w:ind w:firstLine="0" w:firstLineChars="0"/>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事故现场、厂区临近区、受事故影响的区域人员及公众对毒物应急剂量控制规定，撤离组织计划及救护，医疗救护与公众健康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21"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9</w:t>
                  </w:r>
                </w:p>
              </w:tc>
              <w:tc>
                <w:tcPr>
                  <w:tcW w:w="1282" w:type="pct"/>
                  <w:tcBorders>
                    <w:tl2br w:val="nil"/>
                    <w:tr2bl w:val="nil"/>
                  </w:tcBorders>
                  <w:vAlign w:val="center"/>
                </w:tcPr>
                <w:p>
                  <w:pPr>
                    <w:spacing w:line="240" w:lineRule="auto"/>
                    <w:ind w:firstLine="0" w:firstLineChars="0"/>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事故应急救援关闭程序与恢复措施</w:t>
                  </w:r>
                </w:p>
              </w:tc>
              <w:tc>
                <w:tcPr>
                  <w:tcW w:w="3295" w:type="pct"/>
                  <w:tcBorders>
                    <w:tl2br w:val="nil"/>
                    <w:tr2bl w:val="nil"/>
                  </w:tcBorders>
                  <w:vAlign w:val="center"/>
                </w:tcPr>
                <w:p>
                  <w:pPr>
                    <w:spacing w:line="240" w:lineRule="auto"/>
                    <w:ind w:firstLine="0" w:firstLineChars="0"/>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规定应急状态终止程序；</w:t>
                  </w:r>
                </w:p>
                <w:p>
                  <w:pPr>
                    <w:spacing w:line="240" w:lineRule="auto"/>
                    <w:ind w:firstLine="0" w:firstLineChars="0"/>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事故现场善后处理，恢复措施；</w:t>
                  </w:r>
                </w:p>
                <w:p>
                  <w:pPr>
                    <w:spacing w:line="240" w:lineRule="auto"/>
                    <w:ind w:firstLine="0" w:firstLineChars="0"/>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临近区域解除事故警戒及善后恢复措施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10</w:t>
                  </w:r>
                </w:p>
              </w:tc>
              <w:tc>
                <w:tcPr>
                  <w:tcW w:w="1282" w:type="pct"/>
                  <w:tcBorders>
                    <w:tl2br w:val="nil"/>
                    <w:tr2bl w:val="nil"/>
                  </w:tcBorders>
                  <w:vAlign w:val="center"/>
                </w:tcPr>
                <w:p>
                  <w:pPr>
                    <w:spacing w:line="240" w:lineRule="auto"/>
                    <w:ind w:firstLine="0" w:firstLineChars="0"/>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应急培训计划</w:t>
                  </w:r>
                </w:p>
              </w:tc>
              <w:tc>
                <w:tcPr>
                  <w:tcW w:w="3295" w:type="pct"/>
                  <w:tcBorders>
                    <w:tl2br w:val="nil"/>
                    <w:tr2bl w:val="nil"/>
                  </w:tcBorders>
                  <w:vAlign w:val="center"/>
                </w:tcPr>
                <w:p>
                  <w:pPr>
                    <w:spacing w:line="240" w:lineRule="auto"/>
                    <w:ind w:firstLine="0" w:firstLineChars="0"/>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应急计划制定后，平时安排人员培训与演练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11</w:t>
                  </w:r>
                </w:p>
              </w:tc>
              <w:tc>
                <w:tcPr>
                  <w:tcW w:w="1282" w:type="pct"/>
                  <w:tcBorders>
                    <w:tl2br w:val="nil"/>
                    <w:tr2bl w:val="nil"/>
                  </w:tcBorders>
                  <w:vAlign w:val="center"/>
                </w:tcPr>
                <w:p>
                  <w:pPr>
                    <w:spacing w:line="240" w:lineRule="auto"/>
                    <w:ind w:firstLine="0" w:firstLineChars="0"/>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公众教育和信息</w:t>
                  </w:r>
                </w:p>
              </w:tc>
              <w:tc>
                <w:tcPr>
                  <w:tcW w:w="3295" w:type="pct"/>
                  <w:tcBorders>
                    <w:tl2br w:val="nil"/>
                    <w:tr2bl w:val="nil"/>
                  </w:tcBorders>
                  <w:vAlign w:val="center"/>
                </w:tcPr>
                <w:p>
                  <w:pPr>
                    <w:spacing w:line="240" w:lineRule="auto"/>
                    <w:ind w:firstLine="0" w:firstLineChars="0"/>
                    <w:jc w:val="lef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对临近地区开展公众教育、培训和发布有关信息</w:t>
                  </w:r>
                </w:p>
              </w:tc>
            </w:tr>
          </w:tbl>
          <w:p>
            <w:pPr>
              <w:pStyle w:val="4"/>
              <w:pageBreakBefore w:val="0"/>
              <w:widowControl w:val="0"/>
              <w:kinsoku/>
              <w:wordWrap/>
              <w:overflowPunct/>
              <w:topLinePunct w:val="0"/>
              <w:autoSpaceDE/>
              <w:autoSpaceDN/>
              <w:bidi w:val="0"/>
              <w:adjustRightInd/>
              <w:snapToGrid w:val="0"/>
              <w:spacing w:before="0" w:after="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环境风险评价结论</w:t>
            </w:r>
          </w:p>
          <w:p>
            <w:pPr>
              <w:pageBreakBefore w:val="0"/>
              <w:widowControl w:val="0"/>
              <w:kinsoku/>
              <w:wordWrap/>
              <w:overflowPunct/>
              <w:topLinePunct w:val="0"/>
              <w:autoSpaceDE/>
              <w:autoSpaceDN/>
              <w:bidi w:val="0"/>
              <w:adjustRightInd/>
              <w:snapToGrid w:val="0"/>
              <w:ind w:firstLine="48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落实上述风险防范措施后，尽管风险事故发生的可能性依然存在，但是通过有效组织，严格管理控制，以及严密的事故应急预案，可将项目事故发生的环境风险降至最低，环境风险可接受。</w:t>
            </w:r>
          </w:p>
          <w:p>
            <w:pPr>
              <w:pStyle w:val="6"/>
              <w:pageBreakBefore w:val="0"/>
              <w:widowControl w:val="0"/>
              <w:kinsoku/>
              <w:wordWrap/>
              <w:overflowPunct/>
              <w:topLinePunct w:val="0"/>
              <w:autoSpaceDE/>
              <w:autoSpaceDN/>
              <w:bidi w:val="0"/>
              <w:adjustRightInd/>
              <w:snapToGrid w:val="0"/>
              <w:textAlignment w:val="auto"/>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建设项目环境风险简单分析内容表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951"/>
              <w:gridCol w:w="1979"/>
              <w:gridCol w:w="991"/>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5"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建设项目名称</w:t>
                  </w:r>
                </w:p>
              </w:tc>
              <w:tc>
                <w:tcPr>
                  <w:tcW w:w="4064" w:type="pct"/>
                  <w:gridSpan w:val="4"/>
                  <w:tcBorders>
                    <w:tl2br w:val="nil"/>
                    <w:tr2bl w:val="nil"/>
                  </w:tcBorders>
                  <w:vAlign w:val="center"/>
                </w:tcPr>
                <w:p>
                  <w:pPr>
                    <w:spacing w:line="240" w:lineRule="auto"/>
                    <w:ind w:firstLine="0" w:firstLineChars="0"/>
                    <w:jc w:val="center"/>
                    <w:rPr>
                      <w:rFonts w:hint="default"/>
                      <w:color w:val="000000" w:themeColor="text1"/>
                      <w:sz w:val="21"/>
                      <w:highlight w:val="none"/>
                      <w:lang w:val="en-US"/>
                      <w14:textFill>
                        <w14:solidFill>
                          <w14:schemeClr w14:val="tx1"/>
                        </w14:solidFill>
                      </w14:textFill>
                    </w:rPr>
                  </w:pPr>
                  <w:r>
                    <w:rPr>
                      <w:rFonts w:hint="eastAsia" w:cs="宋体"/>
                      <w:color w:val="000000" w:themeColor="text1"/>
                      <w:szCs w:val="21"/>
                      <w:highlight w:val="none"/>
                      <w:lang w:eastAsia="zh-CN"/>
                      <w14:textFill>
                        <w14:solidFill>
                          <w14:schemeClr w14:val="tx1"/>
                        </w14:solidFill>
                      </w14:textFill>
                    </w:rPr>
                    <w:t>年产</w:t>
                  </w:r>
                  <w:r>
                    <w:rPr>
                      <w:rFonts w:hint="eastAsia" w:cs="宋体"/>
                      <w:color w:val="000000" w:themeColor="text1"/>
                      <w:szCs w:val="21"/>
                      <w:highlight w:val="none"/>
                      <w:lang w:val="en-US" w:eastAsia="zh-CN"/>
                      <w14:textFill>
                        <w14:solidFill>
                          <w14:schemeClr w14:val="tx1"/>
                        </w14:solidFill>
                      </w14:textFill>
                    </w:rPr>
                    <w:t>27000平方米装配式房屋水泥制品建设项目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建设地点</w:t>
                  </w:r>
                </w:p>
              </w:tc>
              <w:tc>
                <w:tcPr>
                  <w:tcW w:w="599"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新疆</w:t>
                  </w:r>
                </w:p>
              </w:tc>
              <w:tc>
                <w:tcPr>
                  <w:tcW w:w="1246"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昌吉回族自治州</w:t>
                  </w:r>
                </w:p>
              </w:tc>
              <w:tc>
                <w:tcPr>
                  <w:tcW w:w="624"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昌吉市</w:t>
                  </w:r>
                </w:p>
              </w:tc>
              <w:tc>
                <w:tcPr>
                  <w:tcW w:w="1593"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昌吉高新技术产业开发区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主要危险物质及分布</w:t>
                  </w:r>
                </w:p>
              </w:tc>
              <w:tc>
                <w:tcPr>
                  <w:tcW w:w="4064" w:type="pct"/>
                  <w:gridSpan w:val="4"/>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环境影响途径及危害后果</w:t>
                  </w:r>
                </w:p>
              </w:tc>
              <w:tc>
                <w:tcPr>
                  <w:tcW w:w="4064" w:type="pct"/>
                  <w:gridSpan w:val="4"/>
                  <w:tcBorders>
                    <w:tl2br w:val="nil"/>
                    <w:tr2bl w:val="nil"/>
                  </w:tcBorders>
                  <w:vAlign w:val="center"/>
                </w:tcPr>
                <w:p>
                  <w:pPr>
                    <w:spacing w:line="240" w:lineRule="auto"/>
                    <w:ind w:firstLine="0" w:firstLineChars="0"/>
                    <w:jc w:val="center"/>
                    <w:rPr>
                      <w:rFonts w:hint="eastAsia"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风险防范措施要求</w:t>
                  </w:r>
                </w:p>
              </w:tc>
              <w:tc>
                <w:tcPr>
                  <w:tcW w:w="4064" w:type="pct"/>
                  <w:gridSpan w:val="4"/>
                  <w:tcBorders>
                    <w:tl2br w:val="nil"/>
                    <w:tr2bl w:val="nil"/>
                  </w:tcBorders>
                  <w:vAlign w:val="center"/>
                </w:tcPr>
                <w:p>
                  <w:pPr>
                    <w:spacing w:line="240" w:lineRule="auto"/>
                    <w:ind w:firstLine="0" w:firstLineChars="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（1）建立完善的安全生产管理制度和消防安全规定，制定设备操作规程并严格遵照执行；</w:t>
                  </w:r>
                </w:p>
                <w:p>
                  <w:pPr>
                    <w:spacing w:line="240" w:lineRule="auto"/>
                    <w:ind w:firstLine="0" w:firstLineChars="0"/>
                    <w:rPr>
                      <w:rFonts w:hint="eastAsia" w:eastAsia="宋体"/>
                      <w:color w:val="000000" w:themeColor="text1"/>
                      <w:sz w:val="21"/>
                      <w:highlight w:val="none"/>
                      <w:lang w:eastAsia="zh-CN"/>
                      <w14:textFill>
                        <w14:solidFill>
                          <w14:schemeClr w14:val="tx1"/>
                        </w14:solidFill>
                      </w14:textFill>
                    </w:rPr>
                  </w:pPr>
                  <w:r>
                    <w:rPr>
                      <w:rFonts w:hint="eastAsia"/>
                      <w:color w:val="000000" w:themeColor="text1"/>
                      <w:sz w:val="21"/>
                      <w:highlight w:val="none"/>
                      <w14:textFill>
                        <w14:solidFill>
                          <w14:schemeClr w14:val="tx1"/>
                        </w14:solidFill>
                      </w14:textFill>
                    </w:rPr>
                    <w:t>（</w:t>
                  </w:r>
                  <w:r>
                    <w:rPr>
                      <w:rFonts w:hint="eastAsia"/>
                      <w:color w:val="000000" w:themeColor="text1"/>
                      <w:sz w:val="21"/>
                      <w:highlight w:val="none"/>
                      <w:lang w:val="en-US" w:eastAsia="zh-CN"/>
                      <w14:textFill>
                        <w14:solidFill>
                          <w14:schemeClr w14:val="tx1"/>
                        </w14:solidFill>
                      </w14:textFill>
                    </w:rPr>
                    <w:t>2</w:t>
                  </w:r>
                  <w:r>
                    <w:rPr>
                      <w:rFonts w:hint="eastAsia"/>
                      <w:color w:val="000000" w:themeColor="text1"/>
                      <w:sz w:val="21"/>
                      <w:highlight w:val="none"/>
                      <w14:textFill>
                        <w14:solidFill>
                          <w14:schemeClr w14:val="tx1"/>
                        </w14:solidFill>
                      </w14:textFill>
                    </w:rPr>
                    <w:t>）在有较大危险因素的有关设施、设备上，如压力容器、变压器等处均应设置明显的安全警示标志</w:t>
                  </w:r>
                  <w:r>
                    <w:rPr>
                      <w:rFonts w:hint="eastAsia"/>
                      <w:color w:val="000000" w:themeColor="text1"/>
                      <w:sz w:val="21"/>
                      <w:highlight w:val="none"/>
                      <w:lang w:eastAsia="zh-CN"/>
                      <w14:textFill>
                        <w14:solidFill>
                          <w14:schemeClr w14:val="tx1"/>
                        </w14:solidFill>
                      </w14:textFill>
                    </w:rPr>
                    <w:t>；</w:t>
                  </w:r>
                </w:p>
                <w:p>
                  <w:pPr>
                    <w:spacing w:line="240" w:lineRule="auto"/>
                    <w:ind w:firstLine="0" w:firstLineChars="0"/>
                    <w:rPr>
                      <w:rFonts w:hint="eastAsia" w:eastAsia="宋体"/>
                      <w:color w:val="000000" w:themeColor="text1"/>
                      <w:sz w:val="21"/>
                      <w:highlight w:val="none"/>
                      <w:lang w:eastAsia="zh-CN"/>
                      <w14:textFill>
                        <w14:solidFill>
                          <w14:schemeClr w14:val="tx1"/>
                        </w14:solidFill>
                      </w14:textFill>
                    </w:rPr>
                  </w:pPr>
                  <w:r>
                    <w:rPr>
                      <w:rFonts w:hint="eastAsia"/>
                      <w:color w:val="000000" w:themeColor="text1"/>
                      <w:sz w:val="21"/>
                      <w:highlight w:val="none"/>
                      <w14:textFill>
                        <w14:solidFill>
                          <w14:schemeClr w14:val="tx1"/>
                        </w14:solidFill>
                      </w14:textFill>
                    </w:rPr>
                    <w:t>（</w:t>
                  </w:r>
                  <w:r>
                    <w:rPr>
                      <w:rFonts w:hint="eastAsia"/>
                      <w:color w:val="000000" w:themeColor="text1"/>
                      <w:sz w:val="21"/>
                      <w:highlight w:val="none"/>
                      <w:lang w:val="en-US" w:eastAsia="zh-CN"/>
                      <w14:textFill>
                        <w14:solidFill>
                          <w14:schemeClr w14:val="tx1"/>
                        </w14:solidFill>
                      </w14:textFill>
                    </w:rPr>
                    <w:t>3</w:t>
                  </w:r>
                  <w:r>
                    <w:rPr>
                      <w:rFonts w:hint="eastAsia"/>
                      <w:color w:val="000000" w:themeColor="text1"/>
                      <w:sz w:val="21"/>
                      <w:highlight w:val="none"/>
                      <w14:textFill>
                        <w14:solidFill>
                          <w14:schemeClr w14:val="tx1"/>
                        </w14:solidFill>
                      </w14:textFill>
                    </w:rPr>
                    <w:t>）生产区域应加强管理，避免和及时消除各种激发能源的产生和积累，杜绝火种及违章违纪现象，进入车辆必须装阻火器</w:t>
                  </w:r>
                  <w:r>
                    <w:rPr>
                      <w:rFonts w:hint="eastAsia"/>
                      <w:color w:val="000000" w:themeColor="text1"/>
                      <w:sz w:val="21"/>
                      <w:highlight w:val="none"/>
                      <w:lang w:eastAsia="zh-CN"/>
                      <w14:textFill>
                        <w14:solidFill>
                          <w14:schemeClr w14:val="tx1"/>
                        </w14:solidFill>
                      </w14:textFill>
                    </w:rPr>
                    <w:t>；</w:t>
                  </w:r>
                </w:p>
                <w:p>
                  <w:pPr>
                    <w:spacing w:line="240" w:lineRule="auto"/>
                    <w:ind w:firstLine="0" w:firstLineChars="0"/>
                    <w:rPr>
                      <w:rFonts w:hint="eastAsia" w:eastAsia="宋体"/>
                      <w:color w:val="000000" w:themeColor="text1"/>
                      <w:sz w:val="21"/>
                      <w:highlight w:val="none"/>
                      <w:lang w:eastAsia="zh-CN"/>
                      <w14:textFill>
                        <w14:solidFill>
                          <w14:schemeClr w14:val="tx1"/>
                        </w14:solidFill>
                      </w14:textFill>
                    </w:rPr>
                  </w:pPr>
                  <w:r>
                    <w:rPr>
                      <w:rFonts w:hint="eastAsia"/>
                      <w:color w:val="000000" w:themeColor="text1"/>
                      <w:sz w:val="21"/>
                      <w:highlight w:val="none"/>
                      <w14:textFill>
                        <w14:solidFill>
                          <w14:schemeClr w14:val="tx1"/>
                        </w14:solidFill>
                      </w14:textFill>
                    </w:rPr>
                    <w:t>（</w:t>
                  </w:r>
                  <w:r>
                    <w:rPr>
                      <w:rFonts w:hint="eastAsia"/>
                      <w:color w:val="000000" w:themeColor="text1"/>
                      <w:sz w:val="21"/>
                      <w:highlight w:val="none"/>
                      <w:lang w:val="en-US" w:eastAsia="zh-CN"/>
                      <w14:textFill>
                        <w14:solidFill>
                          <w14:schemeClr w14:val="tx1"/>
                        </w14:solidFill>
                      </w14:textFill>
                    </w:rPr>
                    <w:t>4</w:t>
                  </w:r>
                  <w:r>
                    <w:rPr>
                      <w:rFonts w:hint="eastAsia"/>
                      <w:color w:val="000000" w:themeColor="text1"/>
                      <w:sz w:val="21"/>
                      <w:highlight w:val="none"/>
                      <w14:textFill>
                        <w14:solidFill>
                          <w14:schemeClr w14:val="tx1"/>
                        </w14:solidFill>
                      </w14:textFill>
                    </w:rPr>
                    <w:t>）加强员工的思想、道德教育，提高员工的责任心和主观能动性</w:t>
                  </w:r>
                  <w:r>
                    <w:rPr>
                      <w:rFonts w:hint="eastAsia"/>
                      <w:color w:val="000000" w:themeColor="text1"/>
                      <w:sz w:val="21"/>
                      <w:highlight w:val="none"/>
                      <w:lang w:eastAsia="zh-CN"/>
                      <w14:textFill>
                        <w14:solidFill>
                          <w14:schemeClr w14:val="tx1"/>
                        </w14:solidFill>
                      </w14:textFill>
                    </w:rPr>
                    <w:t>；</w:t>
                  </w:r>
                  <w:r>
                    <w:rPr>
                      <w:rFonts w:hint="eastAsia"/>
                      <w:color w:val="000000" w:themeColor="text1"/>
                      <w:sz w:val="21"/>
                      <w:highlight w:val="none"/>
                      <w14:textFill>
                        <w14:solidFill>
                          <w14:schemeClr w14:val="tx1"/>
                        </w14:solidFill>
                      </w14:textFill>
                    </w:rPr>
                    <w:t>完善并严格遵守相关的操作规程，加强岗位培训，落实岗位责任制，加强设备管理</w:t>
                  </w:r>
                  <w:r>
                    <w:rPr>
                      <w:rFonts w:hint="eastAsia"/>
                      <w:color w:val="000000" w:themeColor="text1"/>
                      <w:sz w:val="21"/>
                      <w:highlight w:val="none"/>
                      <w:lang w:eastAsia="zh-CN"/>
                      <w14:textFill>
                        <w14:solidFill>
                          <w14:schemeClr w14:val="tx1"/>
                        </w14:solidFill>
                      </w14:textFill>
                    </w:rPr>
                    <w:t>；</w:t>
                  </w:r>
                </w:p>
                <w:p>
                  <w:pPr>
                    <w:spacing w:line="240" w:lineRule="auto"/>
                    <w:ind w:firstLine="0" w:firstLineChars="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w:t>
                  </w:r>
                  <w:r>
                    <w:rPr>
                      <w:rFonts w:hint="eastAsia"/>
                      <w:color w:val="000000" w:themeColor="text1"/>
                      <w:sz w:val="21"/>
                      <w:highlight w:val="none"/>
                      <w:lang w:val="en-US" w:eastAsia="zh-CN"/>
                      <w14:textFill>
                        <w14:solidFill>
                          <w14:schemeClr w14:val="tx1"/>
                        </w14:solidFill>
                      </w14:textFill>
                    </w:rPr>
                    <w:t>5</w:t>
                  </w:r>
                  <w:r>
                    <w:rPr>
                      <w:rFonts w:hint="eastAsia"/>
                      <w:color w:val="000000" w:themeColor="text1"/>
                      <w:sz w:val="21"/>
                      <w:highlight w:val="none"/>
                      <w14:textFill>
                        <w14:solidFill>
                          <w14:schemeClr w14:val="tx1"/>
                        </w14:solidFill>
                      </w14:textFill>
                    </w:rPr>
                    <w:t>）加强事故管理，在生产过程中注意对其它单位相关事故的研究，充分吸取经验和教训。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pct"/>
                  <w:tcBorders>
                    <w:tl2br w:val="nil"/>
                    <w:tr2bl w:val="nil"/>
                  </w:tcBorders>
                  <w:vAlign w:val="center"/>
                </w:tcPr>
                <w:p>
                  <w:pPr>
                    <w:spacing w:line="240" w:lineRule="auto"/>
                    <w:ind w:firstLine="0" w:firstLineChars="0"/>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填表说明</w:t>
                  </w:r>
                </w:p>
              </w:tc>
              <w:tc>
                <w:tcPr>
                  <w:tcW w:w="4064" w:type="pct"/>
                  <w:gridSpan w:val="4"/>
                  <w:tcBorders>
                    <w:tl2br w:val="nil"/>
                    <w:tr2bl w:val="nil"/>
                  </w:tcBorders>
                  <w:vAlign w:val="center"/>
                </w:tcPr>
                <w:p>
                  <w:pPr>
                    <w:spacing w:line="240" w:lineRule="auto"/>
                    <w:ind w:firstLine="0" w:firstLineChars="0"/>
                    <w:rPr>
                      <w:rFonts w:hint="eastAsia" w:eastAsia="宋体"/>
                      <w:color w:val="000000" w:themeColor="text1"/>
                      <w:sz w:val="21"/>
                      <w:highlight w:val="none"/>
                      <w:lang w:eastAsia="zh-CN"/>
                      <w14:textFill>
                        <w14:solidFill>
                          <w14:schemeClr w14:val="tx1"/>
                        </w14:solidFill>
                      </w14:textFill>
                    </w:rPr>
                  </w:pPr>
                  <w:r>
                    <w:rPr>
                      <w:rFonts w:hint="eastAsia"/>
                      <w:color w:val="000000" w:themeColor="text1"/>
                      <w:sz w:val="21"/>
                      <w:highlight w:val="none"/>
                      <w14:textFill>
                        <w14:solidFill>
                          <w14:schemeClr w14:val="tx1"/>
                        </w14:solidFill>
                      </w14:textFill>
                    </w:rPr>
                    <w:t>本项目风险潜势为Ⅰ，仅进行简单分析</w:t>
                  </w:r>
                  <w:r>
                    <w:rPr>
                      <w:rFonts w:hint="eastAsia"/>
                      <w:color w:val="000000" w:themeColor="text1"/>
                      <w:sz w:val="21"/>
                      <w:highlight w:val="none"/>
                      <w:lang w:eastAsia="zh-CN"/>
                      <w14:textFill>
                        <w14:solidFill>
                          <w14:schemeClr w14:val="tx1"/>
                        </w14:solidFill>
                      </w14:textFill>
                    </w:rPr>
                    <w:t>。</w:t>
                  </w:r>
                </w:p>
              </w:tc>
            </w:tr>
          </w:tbl>
          <w:p>
            <w:pPr>
              <w:pStyle w:val="3"/>
              <w:keepLines w:val="0"/>
              <w:pageBreakBefore w:val="0"/>
              <w:widowControl w:val="0"/>
              <w:kinsoku/>
              <w:wordWrap/>
              <w:topLinePunct w:val="0"/>
              <w:autoSpaceDE/>
              <w:autoSpaceDN/>
              <w:bidi w:val="0"/>
              <w:adjustRightInd/>
              <w:snapToGrid w:val="0"/>
              <w:spacing w:before="0" w:after="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生态</w:t>
            </w:r>
          </w:p>
          <w:p>
            <w:pPr>
              <w:keepLines w:val="0"/>
              <w:pageBreakBefore w:val="0"/>
              <w:widowControl w:val="0"/>
              <w:kinsoku/>
              <w:wordWrap/>
              <w:topLinePunct w:val="0"/>
              <w:autoSpaceDE/>
              <w:autoSpaceDN/>
              <w:bidi w:val="0"/>
              <w:adjustRightInd/>
              <w:snapToGrid w:val="0"/>
              <w:ind w:firstLine="48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根据《建设项目环境影响报告表编制技术指南（污染影响类）》（试行），产业园区外，建设项目新增用地且用地范围内还有生态环境保护目标的，应明确保护措施</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本项目位于昌吉高新技术产业开发区</w:t>
            </w:r>
            <w:r>
              <w:rPr>
                <w:rFonts w:hint="eastAsia"/>
                <w:color w:val="000000" w:themeColor="text1"/>
                <w:highlight w:val="none"/>
                <w:lang w:eastAsia="zh-CN"/>
                <w14:textFill>
                  <w14:solidFill>
                    <w14:schemeClr w14:val="tx1"/>
                  </w14:solidFill>
                </w14:textFill>
              </w:rPr>
              <w:t>建材区</w:t>
            </w:r>
            <w:r>
              <w:rPr>
                <w:rFonts w:hint="eastAsia"/>
                <w:color w:val="000000" w:themeColor="text1"/>
                <w:highlight w:val="none"/>
                <w14:textFill>
                  <w14:solidFill>
                    <w14:schemeClr w14:val="tx1"/>
                  </w14:solidFill>
                </w14:textFill>
              </w:rPr>
              <w:t>，项目区内不存在生态环境保护目标且不新增用地，故本项目可不开展生态环境现状调查。</w:t>
            </w:r>
          </w:p>
          <w:p>
            <w:pPr>
              <w:pStyle w:val="3"/>
              <w:keepLines w:val="0"/>
              <w:pageBreakBefore w:val="0"/>
              <w:widowControl w:val="0"/>
              <w:kinsoku/>
              <w:wordWrap/>
              <w:topLinePunct w:val="0"/>
              <w:autoSpaceDE/>
              <w:autoSpaceDN/>
              <w:bidi w:val="0"/>
              <w:adjustRightInd/>
              <w:snapToGrid w:val="0"/>
              <w:spacing w:before="0" w:after="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电磁辐射</w:t>
            </w:r>
          </w:p>
          <w:p>
            <w:pPr>
              <w:keepLines w:val="0"/>
              <w:pageBreakBefore w:val="0"/>
              <w:widowControl w:val="0"/>
              <w:kinsoku/>
              <w:wordWrap/>
              <w:topLinePunct w:val="0"/>
              <w:autoSpaceDE/>
              <w:autoSpaceDN/>
              <w:bidi w:val="0"/>
              <w:adjustRightInd/>
              <w:snapToGrid w:val="0"/>
              <w:ind w:firstLine="48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Times New Roman" w:hAnsi="Times New Roman" w:eastAsia="宋体" w:cs="Times New Roman"/>
                <w:b/>
                <w:bCs/>
                <w:color w:val="000000" w:themeColor="text1"/>
                <w:sz w:val="28"/>
                <w:szCs w:val="28"/>
                <w:highlight w:val="none"/>
                <w:lang w:val="en-US" w:eastAsia="zh-CN"/>
                <w14:textFill>
                  <w14:solidFill>
                    <w14:schemeClr w14:val="tx1"/>
                  </w14:solidFill>
                </w14:textFill>
              </w:rPr>
            </w:pPr>
            <w:r>
              <w:rPr>
                <w:rFonts w:hint="default" w:ascii="Times New Roman" w:hAnsi="Times New Roman" w:cs="Times New Roman"/>
                <w:b/>
                <w:bCs/>
                <w:color w:val="000000" w:themeColor="text1"/>
                <w:sz w:val="28"/>
                <w:szCs w:val="28"/>
                <w:highlight w:val="none"/>
                <w:lang w:val="en-US" w:eastAsia="zh-CN"/>
                <w14:textFill>
                  <w14:solidFill>
                    <w14:schemeClr w14:val="tx1"/>
                  </w14:solidFill>
                </w14:textFill>
              </w:rPr>
              <w:t>4.10环境管理及环境监测计划</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Times New Roman" w:hAnsi="Times New Roman"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eastAsia" w:ascii="Times New Roman" w:hAnsi="Times New Roman" w:cs="Times New Roman"/>
                <w:color w:val="000000" w:themeColor="text1"/>
                <w:sz w:val="24"/>
                <w:szCs w:val="24"/>
                <w:highlight w:val="none"/>
                <w:lang w:eastAsia="zh-CN"/>
                <w14:textFill>
                  <w14:solidFill>
                    <w14:schemeClr w14:val="tx1"/>
                  </w14:solidFill>
                </w14:textFill>
              </w:rPr>
              <w:t>）环境管理制度</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Times New Roman" w:hAnsi="Times New Roman"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环境管理和环境监测是企业管理中的重要环节。在企业中，建立健全环保机构，加强环保管理工作，开展厂内环境监测、监督，并把环保工作纳入生产管理，对于减少企业污染物排放，促进资源的合理利用与回收，提高经济效益和环境效益有着重要意义。为保证环保设施的正常运行和日常管理，项目建成后必须设置完整的环境管理和监测机构。</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为确保本项目生产经营期间环保措施落实到位，环境质量不受重大影响，建议企业制定环境管理措施：</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①</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由企业领导统筹，指点兼职环境环保人员负责全产环境质量问题，并组织企业员工定时学习有关环境问题保护措施及环保生产知识。</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②</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企业制定生产过程中产污环节的环境保护章程，规范操作。制定常见环境问题的处理措施及流程。</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③</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企业设置专门环保经费，且禁止该经费它用。</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④</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每天对产生污染物区进行检查，并填写登记表。</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⑤</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生产中发现环境问题，及时报告企业领导报告，并及时妥善处理。如遇重大问题立即向环保部门汇报。</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⑥</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企业每年对环境问题进行总结，并制定下一年度环保工作安排。</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⑦</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认真听取受工程影响的附近居民及有关人员的意见，了解公众对厂区产生的环境污染的抱怨，妥善处理好矛盾。</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lang w:eastAsia="zh-CN"/>
                <w14:textFill>
                  <w14:solidFill>
                    <w14:schemeClr w14:val="tx1"/>
                  </w14:solidFill>
                </w14:textFill>
              </w:rPr>
              <w:t>）监测计划</w:t>
            </w:r>
          </w:p>
          <w:p>
            <w:pPr>
              <w:pStyle w:val="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环境</w:t>
            </w:r>
            <w:r>
              <w:rPr>
                <w:rFonts w:hint="eastAsia" w:cs="Times New Roman"/>
                <w:color w:val="000000" w:themeColor="text1"/>
                <w:highlight w:val="none"/>
                <w:lang w:eastAsia="zh-CN"/>
                <w14:textFill>
                  <w14:solidFill>
                    <w14:schemeClr w14:val="tx1"/>
                  </w14:solidFill>
                </w14:textFill>
              </w:rPr>
              <w:t>监测</w:t>
            </w:r>
            <w:r>
              <w:rPr>
                <w:rFonts w:hint="default" w:ascii="Times New Roman" w:hAnsi="Times New Roman" w:cs="Times New Roman"/>
                <w:color w:val="000000" w:themeColor="text1"/>
                <w:highlight w:val="none"/>
                <w:lang w:eastAsia="zh-CN"/>
                <w14:textFill>
                  <w14:solidFill>
                    <w14:schemeClr w14:val="tx1"/>
                  </w14:solidFill>
                </w14:textFill>
              </w:rPr>
              <w:t>应按国家和地方环保要求进行，应由有监测资质的单位承担监测任务，监测时应采用国家规定的标准监测方法，并定期向环境保护主管部门上报监测结果。</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监测机构：本项目的环境监测工作委托有资质的检测单位承担。</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根据《排污单位自行监测技术指南</w:t>
            </w:r>
            <w:r>
              <w:rPr>
                <w:rFonts w:hint="eastAsia" w:cs="Times New Roman"/>
                <w:color w:val="000000" w:themeColor="text1"/>
                <w:highlight w:val="none"/>
                <w:lang w:val="en-US" w:eastAsia="zh-CN"/>
                <w14:textFill>
                  <w14:solidFill>
                    <w14:schemeClr w14:val="tx1"/>
                  </w14:solidFill>
                </w14:textFill>
              </w:rPr>
              <w:t xml:space="preserve"> </w:t>
            </w:r>
            <w:r>
              <w:rPr>
                <w:rFonts w:hint="eastAsia" w:cs="Times New Roman"/>
                <w:color w:val="000000" w:themeColor="text1"/>
                <w:highlight w:val="none"/>
                <w:lang w:eastAsia="zh-CN"/>
                <w14:textFill>
                  <w14:solidFill>
                    <w14:schemeClr w14:val="tx1"/>
                  </w14:solidFill>
                </w14:textFill>
              </w:rPr>
              <w:t>水泥工业</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HJ</w:t>
            </w:r>
            <w:r>
              <w:rPr>
                <w:rFonts w:hint="eastAsia" w:cs="Times New Roman"/>
                <w:color w:val="000000" w:themeColor="text1"/>
                <w:highlight w:val="none"/>
                <w:lang w:val="en-US" w:eastAsia="zh-CN"/>
                <w14:textFill>
                  <w14:solidFill>
                    <w14:schemeClr w14:val="tx1"/>
                  </w14:solidFill>
                </w14:textFill>
              </w:rPr>
              <w:t>848</w:t>
            </w:r>
            <w:r>
              <w:rPr>
                <w:rFonts w:hint="default" w:ascii="Times New Roman" w:hAnsi="Times New Roman" w:cs="Times New Roman"/>
                <w:color w:val="000000" w:themeColor="text1"/>
                <w:highlight w:val="none"/>
                <w:lang w:val="en-US" w:eastAsia="zh-CN"/>
                <w14:textFill>
                  <w14:solidFill>
                    <w14:schemeClr w14:val="tx1"/>
                  </w14:solidFill>
                </w14:textFill>
              </w:rPr>
              <w:t>-2017</w:t>
            </w:r>
            <w:r>
              <w:rPr>
                <w:rFonts w:hint="default" w:ascii="Times New Roman" w:hAnsi="Times New Roman" w:cs="Times New Roman"/>
                <w:color w:val="000000" w:themeColor="text1"/>
                <w:highlight w:val="none"/>
                <w:lang w:eastAsia="zh-CN"/>
                <w14:textFill>
                  <w14:solidFill>
                    <w14:schemeClr w14:val="tx1"/>
                  </w14:solidFill>
                </w14:textFill>
              </w:rPr>
              <w:t>），本项目污染源监测计划见下表</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eastAsia"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lang w:val="en-US"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eastAsia="zh-CN"/>
                <w14:textFill>
                  <w14:solidFill>
                    <w14:schemeClr w14:val="tx1"/>
                  </w14:solidFill>
                </w14:textFill>
              </w:rPr>
              <w:t>表</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2</w:t>
            </w:r>
            <w:r>
              <w:rPr>
                <w:rFonts w:hint="eastAsia" w:cs="Times New Roman"/>
                <w:b/>
                <w:bCs/>
                <w:color w:val="000000" w:themeColor="text1"/>
                <w:sz w:val="21"/>
                <w:szCs w:val="21"/>
                <w:highlight w:val="none"/>
                <w:lang w:val="en-US" w:eastAsia="zh-CN"/>
                <w14:textFill>
                  <w14:solidFill>
                    <w14:schemeClr w14:val="tx1"/>
                  </w14:solidFill>
                </w14:textFill>
              </w:rPr>
              <w:t>9</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 xml:space="preserve">  污染源环境监测计划</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066"/>
              <w:gridCol w:w="1200"/>
              <w:gridCol w:w="1066"/>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34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监测要素</w:t>
                  </w:r>
                </w:p>
              </w:tc>
              <w:tc>
                <w:tcPr>
                  <w:tcW w:w="10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监测点位</w:t>
                  </w:r>
                </w:p>
              </w:tc>
              <w:tc>
                <w:tcPr>
                  <w:tcW w:w="12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监测项目</w:t>
                  </w:r>
                </w:p>
              </w:tc>
              <w:tc>
                <w:tcPr>
                  <w:tcW w:w="10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监测频次</w:t>
                  </w:r>
                </w:p>
              </w:tc>
              <w:tc>
                <w:tcPr>
                  <w:tcW w:w="326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无组织粉尘</w:t>
                  </w:r>
                </w:p>
              </w:tc>
              <w:tc>
                <w:tcPr>
                  <w:tcW w:w="10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厂界</w:t>
                  </w:r>
                </w:p>
              </w:tc>
              <w:tc>
                <w:tcPr>
                  <w:tcW w:w="12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颗粒物</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（烟尘）</w:t>
                  </w:r>
                </w:p>
              </w:tc>
              <w:tc>
                <w:tcPr>
                  <w:tcW w:w="10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1次/季度</w:t>
                  </w:r>
                </w:p>
              </w:tc>
              <w:tc>
                <w:tcPr>
                  <w:tcW w:w="326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《水泥工业大气污染物排放标准》（GB 4915-2013）</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表3</w:t>
                  </w:r>
                  <w:r>
                    <w:rPr>
                      <w:rFonts w:hint="eastAsia" w:cs="Times New Roman"/>
                      <w:color w:val="000000" w:themeColor="text1"/>
                      <w:sz w:val="21"/>
                      <w:szCs w:val="21"/>
                      <w:highlight w:val="none"/>
                      <w:lang w:val="en-US" w:eastAsia="zh-CN"/>
                      <w14:textFill>
                        <w14:solidFill>
                          <w14:schemeClr w14:val="tx1"/>
                        </w14:solidFill>
                      </w14:textFill>
                    </w:rPr>
                    <w:t>大气污染物</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无组织排放</w:t>
                  </w:r>
                  <w:r>
                    <w:rPr>
                      <w:rFonts w:hint="default" w:ascii="Times New Roman" w:hAnsi="Times New Roman" w:cs="Times New Roman"/>
                      <w:color w:val="000000" w:themeColor="text1"/>
                      <w:sz w:val="21"/>
                      <w:szCs w:val="21"/>
                      <w:highlight w:val="none"/>
                      <w:lang w:eastAsia="zh-CN"/>
                      <w14:textFill>
                        <w14:solidFill>
                          <w14:schemeClr w14:val="tx1"/>
                        </w14:solidFill>
                      </w14:textFill>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噪声</w:t>
                  </w:r>
                </w:p>
              </w:tc>
              <w:tc>
                <w:tcPr>
                  <w:tcW w:w="10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厂界四周</w:t>
                  </w:r>
                </w:p>
              </w:tc>
              <w:tc>
                <w:tcPr>
                  <w:tcW w:w="12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连续等效A声级</w:t>
                  </w:r>
                </w:p>
              </w:tc>
              <w:tc>
                <w:tcPr>
                  <w:tcW w:w="106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1次/季度</w:t>
                  </w:r>
                </w:p>
              </w:tc>
              <w:tc>
                <w:tcPr>
                  <w:tcW w:w="326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《工业企业厂界环境噪声排放标准》(GB12348-2008）中3类标准</w:t>
                  </w:r>
                </w:p>
              </w:tc>
            </w:tr>
          </w:tbl>
          <w:p>
            <w:pPr>
              <w:pStyle w:val="3"/>
              <w:keepLines w:val="0"/>
              <w:pageBreakBefore w:val="0"/>
              <w:widowControl w:val="0"/>
              <w:kinsoku/>
              <w:wordWrap/>
              <w:topLinePunct w:val="0"/>
              <w:autoSpaceDE/>
              <w:autoSpaceDN/>
              <w:bidi w:val="0"/>
              <w:adjustRightInd/>
              <w:snapToGrid w:val="0"/>
              <w:spacing w:before="0" w:after="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11</w:t>
            </w:r>
            <w:r>
              <w:rPr>
                <w:rFonts w:hint="eastAsia"/>
                <w:color w:val="000000" w:themeColor="text1"/>
                <w:highlight w:val="none"/>
                <w14:textFill>
                  <w14:solidFill>
                    <w14:schemeClr w14:val="tx1"/>
                  </w14:solidFill>
                </w14:textFill>
              </w:rPr>
              <w:t>环保投资估算</w:t>
            </w:r>
          </w:p>
          <w:p>
            <w:pPr>
              <w:keepLines w:val="0"/>
              <w:pageBreakBefore w:val="0"/>
              <w:widowControl w:val="0"/>
              <w:kinsoku/>
              <w:wordWrap/>
              <w:topLinePunct w:val="0"/>
              <w:autoSpaceDE/>
              <w:autoSpaceDN/>
              <w:bidi w:val="0"/>
              <w:adjustRightInd/>
              <w:snapToGrid w:val="0"/>
              <w:ind w:firstLine="48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通过本项目各类污染源分析，本项目环保投资为</w:t>
            </w:r>
            <w:r>
              <w:rPr>
                <w:rFonts w:hint="eastAsia"/>
                <w:color w:val="000000" w:themeColor="text1"/>
                <w:highlight w:val="none"/>
                <w:lang w:val="en-US" w:eastAsia="zh-CN"/>
                <w14:textFill>
                  <w14:solidFill>
                    <w14:schemeClr w14:val="tx1"/>
                  </w14:solidFill>
                </w14:textFill>
              </w:rPr>
              <w:t>5.0</w:t>
            </w:r>
            <w:r>
              <w:rPr>
                <w:rFonts w:hint="eastAsia"/>
                <w:color w:val="000000" w:themeColor="text1"/>
                <w:highlight w:val="none"/>
                <w14:textFill>
                  <w14:solidFill>
                    <w14:schemeClr w14:val="tx1"/>
                  </w14:solidFill>
                </w14:textFill>
              </w:rPr>
              <w:t>万元，占总投资的</w:t>
            </w:r>
            <w:r>
              <w:rPr>
                <w:rFonts w:hint="eastAsia"/>
                <w:color w:val="000000" w:themeColor="text1"/>
                <w:highlight w:val="none"/>
                <w:lang w:val="en-US" w:eastAsia="zh-CN"/>
                <w14:textFill>
                  <w14:solidFill>
                    <w14:schemeClr w14:val="tx1"/>
                  </w14:solidFill>
                </w14:textFill>
              </w:rPr>
              <w:t>1.25%</w:t>
            </w:r>
            <w:r>
              <w:rPr>
                <w:rFonts w:hint="eastAsia"/>
                <w:color w:val="000000" w:themeColor="text1"/>
                <w:highlight w:val="none"/>
                <w14:textFill>
                  <w14:solidFill>
                    <w14:schemeClr w14:val="tx1"/>
                  </w14:solidFill>
                </w14:textFill>
              </w:rPr>
              <w:t>。环保投资明细见表</w:t>
            </w:r>
            <w:r>
              <w:rPr>
                <w:rFonts w:hint="eastAsia"/>
                <w:color w:val="000000" w:themeColor="text1"/>
                <w:highlight w:val="non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color w:val="000000" w:themeColor="text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表</w:t>
            </w:r>
            <w:r>
              <w:rPr>
                <w:rFonts w:hint="eastAsia"/>
                <w:color w:val="000000" w:themeColor="text1"/>
                <w:sz w:val="21"/>
                <w:szCs w:val="21"/>
                <w:highlight w:val="none"/>
                <w:lang w:val="en-US" w:eastAsia="zh-CN"/>
                <w14:textFill>
                  <w14:solidFill>
                    <w14:schemeClr w14:val="tx1"/>
                  </w14:solidFill>
                </w14:textFill>
              </w:rPr>
              <w:t>30</w:t>
            </w:r>
            <w:r>
              <w:rPr>
                <w:rFonts w:hint="eastAsia"/>
                <w:color w:val="000000" w:themeColor="text1"/>
                <w:sz w:val="21"/>
                <w:szCs w:val="21"/>
                <w:highlight w:val="none"/>
                <w14:textFill>
                  <w14:solidFill>
                    <w14:schemeClr w14:val="tx1"/>
                  </w14:solidFill>
                </w14:textFill>
              </w:rPr>
              <w:t xml:space="preserve">  环境保护投资估算一览表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572"/>
              <w:gridCol w:w="4211"/>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kern w:val="0"/>
                      <w:sz w:val="21"/>
                      <w:highlight w:val="none"/>
                      <w14:textFill>
                        <w14:solidFill>
                          <w14:schemeClr w14:val="tx1"/>
                        </w14:solidFill>
                      </w14:textFill>
                    </w:rPr>
                  </w:pPr>
                  <w:r>
                    <w:rPr>
                      <w:color w:val="000000" w:themeColor="text1"/>
                      <w:kern w:val="0"/>
                      <w:sz w:val="21"/>
                      <w:highlight w:val="none"/>
                      <w14:textFill>
                        <w14:solidFill>
                          <w14:schemeClr w14:val="tx1"/>
                        </w14:solidFill>
                      </w14:textFill>
                    </w:rPr>
                    <w:t>项目</w:t>
                  </w:r>
                </w:p>
              </w:tc>
              <w:tc>
                <w:tcPr>
                  <w:tcW w:w="9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kern w:val="0"/>
                      <w:sz w:val="21"/>
                      <w:highlight w:val="none"/>
                      <w14:textFill>
                        <w14:solidFill>
                          <w14:schemeClr w14:val="tx1"/>
                        </w14:solidFill>
                      </w14:textFill>
                    </w:rPr>
                  </w:pPr>
                  <w:r>
                    <w:rPr>
                      <w:color w:val="000000" w:themeColor="text1"/>
                      <w:kern w:val="0"/>
                      <w:sz w:val="21"/>
                      <w:highlight w:val="none"/>
                      <w14:textFill>
                        <w14:solidFill>
                          <w14:schemeClr w14:val="tx1"/>
                        </w14:solidFill>
                      </w14:textFill>
                    </w:rPr>
                    <w:t>污染控制类型</w:t>
                  </w:r>
                </w:p>
              </w:tc>
              <w:tc>
                <w:tcPr>
                  <w:tcW w:w="26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kern w:val="0"/>
                      <w:sz w:val="21"/>
                      <w:highlight w:val="none"/>
                      <w14:textFill>
                        <w14:solidFill>
                          <w14:schemeClr w14:val="tx1"/>
                        </w14:solidFill>
                      </w14:textFill>
                    </w:rPr>
                  </w:pPr>
                  <w:r>
                    <w:rPr>
                      <w:color w:val="000000" w:themeColor="text1"/>
                      <w:kern w:val="0"/>
                      <w:sz w:val="21"/>
                      <w:highlight w:val="none"/>
                      <w14:textFill>
                        <w14:solidFill>
                          <w14:schemeClr w14:val="tx1"/>
                        </w14:solidFill>
                      </w14:textFill>
                    </w:rPr>
                    <w:t>控制措施</w:t>
                  </w:r>
                </w:p>
              </w:tc>
              <w:tc>
                <w:tcPr>
                  <w:tcW w:w="9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kern w:val="0"/>
                      <w:sz w:val="21"/>
                      <w:highlight w:val="none"/>
                      <w14:textFill>
                        <w14:solidFill>
                          <w14:schemeClr w14:val="tx1"/>
                        </w14:solidFill>
                      </w14:textFill>
                    </w:rPr>
                  </w:pPr>
                  <w:r>
                    <w:rPr>
                      <w:color w:val="000000" w:themeColor="text1"/>
                      <w:kern w:val="0"/>
                      <w:sz w:val="21"/>
                      <w:highlight w:val="none"/>
                      <w14:textFill>
                        <w14:solidFill>
                          <w14:schemeClr w14:val="tx1"/>
                        </w14:solidFill>
                      </w14:textFill>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kern w:val="0"/>
                      <w:sz w:val="21"/>
                      <w:highlight w:val="none"/>
                      <w:lang w:eastAsia="zh-CN"/>
                      <w14:textFill>
                        <w14:solidFill>
                          <w14:schemeClr w14:val="tx1"/>
                        </w14:solidFill>
                      </w14:textFill>
                    </w:rPr>
                  </w:pPr>
                  <w:r>
                    <w:rPr>
                      <w:rFonts w:hint="eastAsia"/>
                      <w:color w:val="000000" w:themeColor="text1"/>
                      <w:kern w:val="0"/>
                      <w:sz w:val="21"/>
                      <w:highlight w:val="none"/>
                      <w:lang w:eastAsia="zh-CN"/>
                      <w14:textFill>
                        <w14:solidFill>
                          <w14:schemeClr w14:val="tx1"/>
                        </w14:solidFill>
                      </w14:textFill>
                    </w:rPr>
                    <w:t>废气</w:t>
                  </w:r>
                </w:p>
              </w:tc>
              <w:tc>
                <w:tcPr>
                  <w:tcW w:w="9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kern w:val="0"/>
                      <w:sz w:val="21"/>
                      <w:highlight w:val="none"/>
                      <w:lang w:val="en-US" w:eastAsia="zh-CN"/>
                      <w14:textFill>
                        <w14:solidFill>
                          <w14:schemeClr w14:val="tx1"/>
                        </w14:solidFill>
                      </w14:textFill>
                    </w:rPr>
                  </w:pPr>
                  <w:r>
                    <w:rPr>
                      <w:rFonts w:hint="eastAsia"/>
                      <w:color w:val="000000" w:themeColor="text1"/>
                      <w:kern w:val="0"/>
                      <w:sz w:val="21"/>
                      <w:highlight w:val="none"/>
                      <w:lang w:val="en-US" w:eastAsia="zh-CN"/>
                      <w14:textFill>
                        <w14:solidFill>
                          <w14:schemeClr w14:val="tx1"/>
                        </w14:solidFill>
                      </w14:textFill>
                    </w:rPr>
                    <w:t>/</w:t>
                  </w:r>
                </w:p>
              </w:tc>
              <w:tc>
                <w:tcPr>
                  <w:tcW w:w="26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kern w:val="0"/>
                      <w:sz w:val="21"/>
                      <w:highlight w:val="none"/>
                      <w:lang w:val="en-US" w:eastAsia="zh-CN"/>
                      <w14:textFill>
                        <w14:solidFill>
                          <w14:schemeClr w14:val="tx1"/>
                        </w14:solidFill>
                      </w14:textFill>
                    </w:rPr>
                  </w:pPr>
                  <w:r>
                    <w:rPr>
                      <w:rFonts w:hint="eastAsia"/>
                      <w:color w:val="000000" w:themeColor="text1"/>
                      <w:kern w:val="0"/>
                      <w:sz w:val="21"/>
                      <w:highlight w:val="none"/>
                      <w:lang w:val="en-US" w:eastAsia="zh-CN"/>
                      <w14:textFill>
                        <w14:solidFill>
                          <w14:schemeClr w14:val="tx1"/>
                        </w14:solidFill>
                      </w14:textFill>
                    </w:rPr>
                    <w:t>/</w:t>
                  </w:r>
                </w:p>
              </w:tc>
              <w:tc>
                <w:tcPr>
                  <w:tcW w:w="9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kern w:val="0"/>
                      <w:sz w:val="21"/>
                      <w:highlight w:val="none"/>
                      <w:lang w:val="en-US" w:eastAsia="zh-CN"/>
                      <w14:textFill>
                        <w14:solidFill>
                          <w14:schemeClr w14:val="tx1"/>
                        </w14:solidFill>
                      </w14:textFill>
                    </w:rPr>
                  </w:pPr>
                  <w:r>
                    <w:rPr>
                      <w:rFonts w:hint="eastAsia"/>
                      <w:color w:val="000000" w:themeColor="text1"/>
                      <w:kern w:val="0"/>
                      <w:sz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kern w:val="0"/>
                      <w:sz w:val="21"/>
                      <w:highlight w:val="none"/>
                      <w14:textFill>
                        <w14:solidFill>
                          <w14:schemeClr w14:val="tx1"/>
                        </w14:solidFill>
                      </w14:textFill>
                    </w:rPr>
                  </w:pPr>
                  <w:r>
                    <w:rPr>
                      <w:color w:val="000000" w:themeColor="text1"/>
                      <w:kern w:val="0"/>
                      <w:sz w:val="21"/>
                      <w:highlight w:val="none"/>
                      <w14:textFill>
                        <w14:solidFill>
                          <w14:schemeClr w14:val="tx1"/>
                        </w14:solidFill>
                      </w14:textFill>
                    </w:rPr>
                    <w:t>废水</w:t>
                  </w:r>
                </w:p>
              </w:tc>
              <w:tc>
                <w:tcPr>
                  <w:tcW w:w="9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kern w:val="0"/>
                      <w:sz w:val="21"/>
                      <w:highlight w:val="none"/>
                      <w14:textFill>
                        <w14:solidFill>
                          <w14:schemeClr w14:val="tx1"/>
                        </w14:solidFill>
                      </w14:textFill>
                    </w:rPr>
                  </w:pPr>
                  <w:r>
                    <w:rPr>
                      <w:color w:val="000000" w:themeColor="text1"/>
                      <w:kern w:val="0"/>
                      <w:sz w:val="21"/>
                      <w:highlight w:val="none"/>
                      <w14:textFill>
                        <w14:solidFill>
                          <w14:schemeClr w14:val="tx1"/>
                        </w14:solidFill>
                      </w14:textFill>
                    </w:rPr>
                    <w:t>生活污水</w:t>
                  </w:r>
                </w:p>
              </w:tc>
              <w:tc>
                <w:tcPr>
                  <w:tcW w:w="26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eastAsia="宋体"/>
                      <w:color w:val="000000" w:themeColor="text1"/>
                      <w:sz w:val="21"/>
                      <w:highlight w:val="none"/>
                      <w:lang w:eastAsia="zh-CN"/>
                      <w14:textFill>
                        <w14:solidFill>
                          <w14:schemeClr w14:val="tx1"/>
                        </w14:solidFill>
                      </w14:textFill>
                    </w:rPr>
                  </w:pPr>
                  <w:r>
                    <w:rPr>
                      <w:rFonts w:hint="eastAsia"/>
                      <w:color w:val="000000" w:themeColor="text1"/>
                      <w:sz w:val="21"/>
                      <w:highlight w:val="none"/>
                      <w:lang w:eastAsia="zh-CN"/>
                      <w14:textFill>
                        <w14:solidFill>
                          <w14:schemeClr w14:val="tx1"/>
                        </w14:solidFill>
                      </w14:textFill>
                    </w:rPr>
                    <w:t>生活污水，通过园区管网排放，最终由高新区污水处理厂统一处理</w:t>
                  </w:r>
                </w:p>
              </w:tc>
              <w:tc>
                <w:tcPr>
                  <w:tcW w:w="9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kern w:val="0"/>
                      <w:sz w:val="21"/>
                      <w:highlight w:val="none"/>
                      <w:lang w:val="en-US" w:eastAsia="zh-CN"/>
                      <w14:textFill>
                        <w14:solidFill>
                          <w14:schemeClr w14:val="tx1"/>
                        </w14:solidFill>
                      </w14:textFill>
                    </w:rPr>
                  </w:pPr>
                  <w:r>
                    <w:rPr>
                      <w:rFonts w:hint="eastAsia"/>
                      <w:color w:val="000000" w:themeColor="text1"/>
                      <w:kern w:val="0"/>
                      <w:sz w:val="21"/>
                      <w:highlight w:val="none"/>
                      <w:lang w:val="en-US" w:eastAsia="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kern w:val="0"/>
                      <w:sz w:val="21"/>
                      <w:highlight w:val="none"/>
                      <w14:textFill>
                        <w14:solidFill>
                          <w14:schemeClr w14:val="tx1"/>
                        </w14:solidFill>
                      </w14:textFill>
                    </w:rPr>
                  </w:pPr>
                  <w:r>
                    <w:rPr>
                      <w:color w:val="000000" w:themeColor="text1"/>
                      <w:kern w:val="0"/>
                      <w:sz w:val="21"/>
                      <w:highlight w:val="none"/>
                      <w14:textFill>
                        <w14:solidFill>
                          <w14:schemeClr w14:val="tx1"/>
                        </w14:solidFill>
                      </w14:textFill>
                    </w:rPr>
                    <w:t>噪声</w:t>
                  </w:r>
                </w:p>
              </w:tc>
              <w:tc>
                <w:tcPr>
                  <w:tcW w:w="9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kern w:val="0"/>
                      <w:sz w:val="21"/>
                      <w:highlight w:val="none"/>
                      <w14:textFill>
                        <w14:solidFill>
                          <w14:schemeClr w14:val="tx1"/>
                        </w14:solidFill>
                      </w14:textFill>
                    </w:rPr>
                  </w:pPr>
                  <w:r>
                    <w:rPr>
                      <w:color w:val="000000" w:themeColor="text1"/>
                      <w:kern w:val="0"/>
                      <w:sz w:val="21"/>
                      <w:highlight w:val="none"/>
                      <w14:textFill>
                        <w14:solidFill>
                          <w14:schemeClr w14:val="tx1"/>
                        </w14:solidFill>
                      </w14:textFill>
                    </w:rPr>
                    <w:t>设备噪声</w:t>
                  </w:r>
                </w:p>
              </w:tc>
              <w:tc>
                <w:tcPr>
                  <w:tcW w:w="26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选用低噪声设备</w:t>
                  </w:r>
                  <w:r>
                    <w:rPr>
                      <w:rFonts w:hint="eastAsia"/>
                      <w:color w:val="000000" w:themeColor="text1"/>
                      <w:sz w:val="21"/>
                      <w:highlight w:val="none"/>
                      <w14:textFill>
                        <w14:solidFill>
                          <w14:schemeClr w14:val="tx1"/>
                        </w14:solidFill>
                      </w14:textFill>
                    </w:rPr>
                    <w:t>、</w:t>
                  </w:r>
                  <w:r>
                    <w:rPr>
                      <w:color w:val="000000" w:themeColor="text1"/>
                      <w:sz w:val="21"/>
                      <w:highlight w:val="none"/>
                      <w14:textFill>
                        <w14:solidFill>
                          <w14:schemeClr w14:val="tx1"/>
                        </w14:solidFill>
                      </w14:textFill>
                    </w:rPr>
                    <w:t>合理布局</w:t>
                  </w:r>
                  <w:r>
                    <w:rPr>
                      <w:rFonts w:hint="eastAsia"/>
                      <w:color w:val="000000" w:themeColor="text1"/>
                      <w:sz w:val="21"/>
                      <w:highlight w:val="none"/>
                      <w14:textFill>
                        <w14:solidFill>
                          <w14:schemeClr w14:val="tx1"/>
                        </w14:solidFill>
                      </w14:textFill>
                    </w:rPr>
                    <w:t>、</w:t>
                  </w:r>
                  <w:r>
                    <w:rPr>
                      <w:color w:val="000000" w:themeColor="text1"/>
                      <w:sz w:val="21"/>
                      <w:highlight w:val="none"/>
                      <w14:textFill>
                        <w14:solidFill>
                          <w14:schemeClr w14:val="tx1"/>
                        </w14:solidFill>
                      </w14:textFill>
                    </w:rPr>
                    <w:t>基础减振</w:t>
                  </w:r>
                  <w:r>
                    <w:rPr>
                      <w:rFonts w:hint="eastAsia"/>
                      <w:color w:val="000000" w:themeColor="text1"/>
                      <w:sz w:val="21"/>
                      <w:highlight w:val="none"/>
                      <w14:textFill>
                        <w14:solidFill>
                          <w14:schemeClr w14:val="tx1"/>
                        </w14:solidFill>
                      </w14:textFill>
                    </w:rPr>
                    <w:t>、</w:t>
                  </w:r>
                  <w:r>
                    <w:rPr>
                      <w:color w:val="000000" w:themeColor="text1"/>
                      <w:sz w:val="21"/>
                      <w:highlight w:val="none"/>
                      <w14:textFill>
                        <w14:solidFill>
                          <w14:schemeClr w14:val="tx1"/>
                        </w14:solidFill>
                      </w14:textFill>
                    </w:rPr>
                    <w:t>距离衰减</w:t>
                  </w:r>
                  <w:r>
                    <w:rPr>
                      <w:rFonts w:hint="eastAsia"/>
                      <w:color w:val="000000" w:themeColor="text1"/>
                      <w:sz w:val="21"/>
                      <w:highlight w:val="none"/>
                      <w14:textFill>
                        <w14:solidFill>
                          <w14:schemeClr w14:val="tx1"/>
                        </w14:solidFill>
                      </w14:textFill>
                    </w:rPr>
                    <w:t>。</w:t>
                  </w:r>
                </w:p>
              </w:tc>
              <w:tc>
                <w:tcPr>
                  <w:tcW w:w="9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kern w:val="0"/>
                      <w:sz w:val="21"/>
                      <w:highlight w:val="none"/>
                      <w:lang w:val="en-US" w:eastAsia="zh-CN"/>
                      <w14:textFill>
                        <w14:solidFill>
                          <w14:schemeClr w14:val="tx1"/>
                        </w14:solidFill>
                      </w14:textFill>
                    </w:rPr>
                  </w:pPr>
                  <w:r>
                    <w:rPr>
                      <w:rFonts w:hint="eastAsia"/>
                      <w:color w:val="000000" w:themeColor="text1"/>
                      <w:kern w:val="0"/>
                      <w:sz w:val="21"/>
                      <w:highlight w:val="none"/>
                      <w:lang w:val="en-US" w:eastAsia="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jc w:val="center"/>
              </w:trPr>
              <w:tc>
                <w:tcPr>
                  <w:tcW w:w="4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kern w:val="0"/>
                      <w:sz w:val="21"/>
                      <w:highlight w:val="none"/>
                      <w:lang w:eastAsia="zh-CN"/>
                      <w14:textFill>
                        <w14:solidFill>
                          <w14:schemeClr w14:val="tx1"/>
                        </w14:solidFill>
                      </w14:textFill>
                    </w:rPr>
                  </w:pPr>
                  <w:r>
                    <w:rPr>
                      <w:rFonts w:hint="eastAsia"/>
                      <w:color w:val="000000" w:themeColor="text1"/>
                      <w:kern w:val="0"/>
                      <w:sz w:val="21"/>
                      <w:highlight w:val="none"/>
                      <w:lang w:eastAsia="zh-CN"/>
                      <w14:textFill>
                        <w14:solidFill>
                          <w14:schemeClr w14:val="tx1"/>
                        </w14:solidFill>
                      </w14:textFill>
                    </w:rPr>
                    <w:t>固体废物</w:t>
                  </w:r>
                </w:p>
              </w:tc>
              <w:tc>
                <w:tcPr>
                  <w:tcW w:w="9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kern w:val="0"/>
                      <w:sz w:val="21"/>
                      <w:highlight w:val="none"/>
                      <w14:textFill>
                        <w14:solidFill>
                          <w14:schemeClr w14:val="tx1"/>
                        </w14:solidFill>
                      </w14:textFill>
                    </w:rPr>
                  </w:pPr>
                  <w:r>
                    <w:rPr>
                      <w:color w:val="000000" w:themeColor="text1"/>
                      <w:kern w:val="0"/>
                      <w:sz w:val="21"/>
                      <w:highlight w:val="none"/>
                      <w14:textFill>
                        <w14:solidFill>
                          <w14:schemeClr w14:val="tx1"/>
                        </w14:solidFill>
                      </w14:textFill>
                    </w:rPr>
                    <w:t>员工生活垃圾</w:t>
                  </w:r>
                </w:p>
              </w:tc>
              <w:tc>
                <w:tcPr>
                  <w:tcW w:w="2652" w:type="pct"/>
                  <w:tcBorders>
                    <w:tl2br w:val="nil"/>
                    <w:tr2bl w:val="nil"/>
                  </w:tcBorders>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color w:val="000000" w:themeColor="text1"/>
                      <w:kern w:val="0"/>
                      <w:sz w:val="21"/>
                      <w:highlight w:val="none"/>
                      <w14:textFill>
                        <w14:solidFill>
                          <w14:schemeClr w14:val="tx1"/>
                        </w14:solidFill>
                      </w14:textFill>
                    </w:rPr>
                  </w:pPr>
                  <w:r>
                    <w:rPr>
                      <w:rFonts w:hint="eastAsia"/>
                      <w:color w:val="000000" w:themeColor="text1"/>
                      <w:kern w:val="0"/>
                      <w:sz w:val="21"/>
                      <w:highlight w:val="none"/>
                      <w14:textFill>
                        <w14:solidFill>
                          <w14:schemeClr w14:val="tx1"/>
                        </w14:solidFill>
                      </w14:textFill>
                    </w:rPr>
                    <w:t>生活垃圾集中收集在园区垃圾设施中，由环卫部门统一处理。</w:t>
                  </w:r>
                </w:p>
              </w:tc>
              <w:tc>
                <w:tcPr>
                  <w:tcW w:w="9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kern w:val="0"/>
                      <w:sz w:val="21"/>
                      <w:highlight w:val="none"/>
                      <w:lang w:val="en-US" w:eastAsia="zh-CN"/>
                      <w14:textFill>
                        <w14:solidFill>
                          <w14:schemeClr w14:val="tx1"/>
                        </w14:solidFill>
                      </w14:textFill>
                    </w:rPr>
                  </w:pPr>
                  <w:r>
                    <w:rPr>
                      <w:rFonts w:hint="eastAsia"/>
                      <w:color w:val="000000" w:themeColor="text1"/>
                      <w:kern w:val="0"/>
                      <w:sz w:val="21"/>
                      <w:highlight w:val="no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091"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kern w:val="0"/>
                      <w:sz w:val="21"/>
                      <w:highlight w:val="none"/>
                      <w14:textFill>
                        <w14:solidFill>
                          <w14:schemeClr w14:val="tx1"/>
                        </w14:solidFill>
                      </w14:textFill>
                    </w:rPr>
                  </w:pPr>
                  <w:r>
                    <w:rPr>
                      <w:color w:val="000000" w:themeColor="text1"/>
                      <w:kern w:val="0"/>
                      <w:sz w:val="21"/>
                      <w:highlight w:val="none"/>
                      <w14:textFill>
                        <w14:solidFill>
                          <w14:schemeClr w14:val="tx1"/>
                        </w14:solidFill>
                      </w14:textFill>
                    </w:rPr>
                    <w:t>合计</w:t>
                  </w:r>
                </w:p>
              </w:tc>
              <w:tc>
                <w:tcPr>
                  <w:tcW w:w="9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kern w:val="0"/>
                      <w:sz w:val="21"/>
                      <w:highlight w:val="none"/>
                      <w:lang w:val="en-US" w:eastAsia="zh-CN"/>
                      <w14:textFill>
                        <w14:solidFill>
                          <w14:schemeClr w14:val="tx1"/>
                        </w14:solidFill>
                      </w14:textFill>
                    </w:rPr>
                  </w:pPr>
                  <w:r>
                    <w:rPr>
                      <w:rFonts w:hint="eastAsia"/>
                      <w:color w:val="000000" w:themeColor="text1"/>
                      <w:kern w:val="0"/>
                      <w:sz w:val="21"/>
                      <w:highlight w:val="none"/>
                      <w:lang w:val="en-US" w:eastAsia="zh-CN"/>
                      <w14:textFill>
                        <w14:solidFill>
                          <w14:schemeClr w14:val="tx1"/>
                        </w14:solidFill>
                      </w14:textFill>
                    </w:rPr>
                    <w:t>5.0</w:t>
                  </w:r>
                </w:p>
              </w:tc>
            </w:tr>
          </w:tbl>
          <w:p>
            <w:pPr>
              <w:ind w:left="0" w:leftChars="0" w:firstLine="0" w:firstLineChars="0"/>
              <w:rPr>
                <w:color w:val="000000" w:themeColor="text1"/>
                <w:highlight w:val="none"/>
                <w14:textFill>
                  <w14:solidFill>
                    <w14:schemeClr w14:val="tx1"/>
                  </w14:solidFill>
                </w14:textFill>
              </w:rPr>
            </w:pPr>
          </w:p>
        </w:tc>
      </w:tr>
    </w:tbl>
    <w:p>
      <w:pPr>
        <w:adjustRightInd w:val="0"/>
        <w:snapToGrid w:val="0"/>
        <w:ind w:firstLine="562"/>
        <w:rPr>
          <w:rFonts w:cs="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pStyle w:val="15"/>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outlineLvl w:val="0"/>
        <w:rPr>
          <w:rFonts w:ascii="Times New Roman" w:hAnsi="Times New Roman" w:eastAsia="黑体"/>
          <w:snapToGrid w:val="0"/>
          <w:sz w:val="30"/>
          <w:szCs w:val="30"/>
          <w:highlight w:val="none"/>
        </w:rPr>
      </w:pPr>
      <w:r>
        <w:rPr>
          <w:rFonts w:hint="eastAsia" w:ascii="Times New Roman" w:hAnsi="Times New Roman" w:eastAsia="黑体"/>
          <w:snapToGrid w:val="0"/>
          <w:sz w:val="30"/>
          <w:szCs w:val="30"/>
          <w:highlight w:val="none"/>
        </w:rPr>
        <w:t>五、</w:t>
      </w:r>
      <w:bookmarkStart w:id="3" w:name="_Hlk54167917"/>
      <w:r>
        <w:rPr>
          <w:rFonts w:hint="eastAsia" w:ascii="Times New Roman" w:hAnsi="Times New Roman" w:eastAsia="黑体"/>
          <w:snapToGrid w:val="0"/>
          <w:sz w:val="30"/>
          <w:szCs w:val="30"/>
          <w:highlight w:val="none"/>
        </w:rPr>
        <w:t>环境保护措施监督检查清单</w:t>
      </w:r>
      <w:bookmarkEnd w:id="3"/>
    </w:p>
    <w:tbl>
      <w:tblPr>
        <w:tblStyle w:val="18"/>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1685"/>
        <w:gridCol w:w="1344"/>
        <w:gridCol w:w="1898"/>
        <w:gridCol w:w="30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68" w:type="pct"/>
            <w:tcBorders>
              <w:tl2br w:val="single" w:color="auto" w:sz="4" w:space="0"/>
            </w:tcBorders>
          </w:tcPr>
          <w:p>
            <w:pPr>
              <w:adjustRightInd w:val="0"/>
              <w:snapToGrid w:val="0"/>
              <w:spacing w:line="240" w:lineRule="auto"/>
              <w:ind w:firstLine="0" w:firstLineChars="0"/>
              <w:jc w:val="right"/>
              <w:rPr>
                <w:rFonts w:hint="default" w:ascii="Times New Roman" w:hAnsi="Times New Roman" w:cs="Times New Roman"/>
                <w:sz w:val="24"/>
                <w:szCs w:val="24"/>
              </w:rPr>
            </w:pPr>
            <w:r>
              <w:rPr>
                <w:rFonts w:hint="default" w:ascii="Times New Roman" w:hAnsi="Times New Roman" w:cs="Times New Roman"/>
                <w:sz w:val="24"/>
                <w:szCs w:val="24"/>
              </w:rPr>
              <w:t>内容</w:t>
            </w:r>
          </w:p>
          <w:p>
            <w:pPr>
              <w:adjustRightInd w:val="0"/>
              <w:snapToGrid w:val="0"/>
              <w:spacing w:line="240" w:lineRule="auto"/>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要素</w:t>
            </w:r>
          </w:p>
        </w:tc>
        <w:tc>
          <w:tcPr>
            <w:tcW w:w="930" w:type="pct"/>
            <w:vAlign w:val="center"/>
          </w:tcPr>
          <w:p>
            <w:pPr>
              <w:adjustRightInd w:val="0"/>
              <w:snapToGrid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排放口(编号、名称)/污染源</w:t>
            </w:r>
          </w:p>
        </w:tc>
        <w:tc>
          <w:tcPr>
            <w:tcW w:w="742" w:type="pct"/>
            <w:vAlign w:val="center"/>
          </w:tcPr>
          <w:p>
            <w:pPr>
              <w:adjustRightInd w:val="0"/>
              <w:snapToGrid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污染物项目</w:t>
            </w:r>
          </w:p>
        </w:tc>
        <w:tc>
          <w:tcPr>
            <w:tcW w:w="1048" w:type="pct"/>
            <w:vAlign w:val="center"/>
          </w:tcPr>
          <w:p>
            <w:pPr>
              <w:adjustRightInd w:val="0"/>
              <w:snapToGrid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环境保护措施</w:t>
            </w:r>
          </w:p>
        </w:tc>
        <w:tc>
          <w:tcPr>
            <w:tcW w:w="1710" w:type="pct"/>
            <w:vAlign w:val="center"/>
          </w:tcPr>
          <w:p>
            <w:pPr>
              <w:adjustRightInd w:val="0"/>
              <w:snapToGrid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68" w:type="pct"/>
            <w:vAlign w:val="center"/>
          </w:tcPr>
          <w:p>
            <w:pPr>
              <w:adjustRightInd w:val="0"/>
              <w:snapToGrid w:val="0"/>
              <w:spacing w:line="240" w:lineRule="auto"/>
              <w:ind w:firstLine="0" w:firstLineChars="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大气环境</w:t>
            </w:r>
          </w:p>
        </w:tc>
        <w:tc>
          <w:tcPr>
            <w:tcW w:w="930" w:type="pct"/>
            <w:vAlign w:val="center"/>
          </w:tcPr>
          <w:p>
            <w:pPr>
              <w:adjustRightInd w:val="0"/>
              <w:snapToGrid w:val="0"/>
              <w:spacing w:line="240" w:lineRule="auto"/>
              <w:ind w:firstLine="0" w:firstLineChars="0"/>
              <w:jc w:val="center"/>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lang w:eastAsia="zh-CN"/>
              </w:rPr>
              <w:t>无组织粉尘</w:t>
            </w:r>
          </w:p>
        </w:tc>
        <w:tc>
          <w:tcPr>
            <w:tcW w:w="742" w:type="pct"/>
            <w:vAlign w:val="center"/>
          </w:tcPr>
          <w:p>
            <w:pPr>
              <w:adjustRightInd w:val="0"/>
              <w:snapToGrid w:val="0"/>
              <w:spacing w:line="240" w:lineRule="auto"/>
              <w:ind w:firstLine="0" w:firstLineChars="0"/>
              <w:jc w:val="center"/>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颗粒物</w:t>
            </w:r>
          </w:p>
          <w:p>
            <w:pPr>
              <w:adjustRightInd w:val="0"/>
              <w:snapToGrid w:val="0"/>
              <w:spacing w:line="240" w:lineRule="auto"/>
              <w:ind w:firstLine="0" w:firstLineChars="0"/>
              <w:jc w:val="center"/>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（烟尘）</w:t>
            </w:r>
          </w:p>
        </w:tc>
        <w:tc>
          <w:tcPr>
            <w:tcW w:w="1048" w:type="pct"/>
            <w:vAlign w:val="center"/>
          </w:tcPr>
          <w:p>
            <w:pPr>
              <w:adjustRightInd w:val="0"/>
              <w:snapToGrid w:val="0"/>
              <w:spacing w:line="240" w:lineRule="auto"/>
              <w:ind w:firstLine="0" w:firstLineChars="0"/>
              <w:jc w:val="center"/>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w:t>
            </w:r>
          </w:p>
        </w:tc>
        <w:tc>
          <w:tcPr>
            <w:tcW w:w="1710" w:type="pct"/>
            <w:vAlign w:val="center"/>
          </w:tcPr>
          <w:p>
            <w:pPr>
              <w:adjustRightInd w:val="0"/>
              <w:snapToGrid w:val="0"/>
              <w:spacing w:line="240" w:lineRule="auto"/>
              <w:ind w:firstLine="0"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highlight w:val="none"/>
                <w:vertAlign w:val="baseline"/>
                <w:lang w:val="en-US" w:eastAsia="zh-CN"/>
              </w:rPr>
              <w:t>《水泥工业大气污染物排放标准》（GB 4915-2013）表3</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大气污染物无组织排放</w:t>
            </w:r>
            <w:r>
              <w:rPr>
                <w:rFonts w:hint="default" w:ascii="Times New Roman" w:hAnsi="Times New Roman" w:cs="Times New Roman"/>
                <w:color w:val="000000" w:themeColor="text1"/>
                <w:sz w:val="24"/>
                <w:szCs w:val="24"/>
                <w:highlight w:val="none"/>
                <w:lang w:eastAsia="zh-CN"/>
                <w14:textFill>
                  <w14:solidFill>
                    <w14:schemeClr w14:val="tx1"/>
                  </w14:solidFill>
                </w14:textFill>
              </w:rPr>
              <w:t>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568" w:type="pct"/>
            <w:vAlign w:val="center"/>
          </w:tcPr>
          <w:p>
            <w:pPr>
              <w:adjustRightInd w:val="0"/>
              <w:snapToGrid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地表水环境</w:t>
            </w:r>
          </w:p>
        </w:tc>
        <w:tc>
          <w:tcPr>
            <w:tcW w:w="930" w:type="pct"/>
            <w:vAlign w:val="center"/>
          </w:tcPr>
          <w:p>
            <w:pPr>
              <w:adjustRightInd w:val="0"/>
              <w:snapToGrid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生活污水</w:t>
            </w:r>
          </w:p>
        </w:tc>
        <w:tc>
          <w:tcPr>
            <w:tcW w:w="742" w:type="pct"/>
            <w:vAlign w:val="center"/>
          </w:tcPr>
          <w:p>
            <w:pPr>
              <w:adjustRightInd w:val="0"/>
              <w:snapToGrid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COD、BOD</w:t>
            </w:r>
            <w:r>
              <w:rPr>
                <w:rFonts w:hint="default" w:ascii="Times New Roman" w:hAnsi="Times New Roman" w:cs="Times New Roman"/>
                <w:sz w:val="24"/>
                <w:szCs w:val="24"/>
                <w:vertAlign w:val="subscript"/>
              </w:rPr>
              <w:t>5</w:t>
            </w:r>
            <w:r>
              <w:rPr>
                <w:rFonts w:hint="default" w:ascii="Times New Roman" w:hAnsi="Times New Roman" w:cs="Times New Roman"/>
                <w:sz w:val="24"/>
                <w:szCs w:val="24"/>
              </w:rPr>
              <w:t>、SS、NH</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-N</w:t>
            </w:r>
          </w:p>
        </w:tc>
        <w:tc>
          <w:tcPr>
            <w:tcW w:w="1048" w:type="pct"/>
            <w:vAlign w:val="center"/>
          </w:tcPr>
          <w:p>
            <w:pPr>
              <w:adjustRightInd w:val="0"/>
              <w:snapToGrid w:val="0"/>
              <w:spacing w:line="240" w:lineRule="auto"/>
              <w:ind w:firstLine="0" w:firstLineChars="0"/>
              <w:jc w:val="lef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通过厂区内现有的污水管线排入园区内污水管网，最终进入昌吉高新技术产业开发区污水处理厂内进行处理</w:t>
            </w:r>
          </w:p>
        </w:tc>
        <w:tc>
          <w:tcPr>
            <w:tcW w:w="1710" w:type="pct"/>
            <w:vAlign w:val="center"/>
          </w:tcPr>
          <w:p>
            <w:pPr>
              <w:adjustRightInd w:val="0"/>
              <w:snapToGrid w:val="0"/>
              <w:spacing w:line="240" w:lineRule="auto"/>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《污水综合排放标准》（GB8978-1996）表4中三级标准和《污水排入城镇下水道水质标准》（GB/T31962-2015）中NH</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-N最高允许值中B级标准45mg/L的规定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68" w:type="pct"/>
            <w:vAlign w:val="center"/>
          </w:tcPr>
          <w:p>
            <w:pPr>
              <w:adjustRightInd w:val="0"/>
              <w:snapToGrid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声环境</w:t>
            </w:r>
          </w:p>
        </w:tc>
        <w:tc>
          <w:tcPr>
            <w:tcW w:w="930" w:type="pct"/>
            <w:vAlign w:val="center"/>
          </w:tcPr>
          <w:p>
            <w:pPr>
              <w:adjustRightInd w:val="0"/>
              <w:snapToGrid w:val="0"/>
              <w:spacing w:line="240" w:lineRule="auto"/>
              <w:ind w:firstLine="0" w:firstLineChars="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设备</w:t>
            </w:r>
            <w:r>
              <w:rPr>
                <w:rFonts w:hint="default" w:ascii="Times New Roman" w:hAnsi="Times New Roman" w:cs="Times New Roman"/>
                <w:sz w:val="24"/>
                <w:szCs w:val="24"/>
                <w:lang w:eastAsia="zh-CN"/>
              </w:rPr>
              <w:t>运行</w:t>
            </w:r>
          </w:p>
        </w:tc>
        <w:tc>
          <w:tcPr>
            <w:tcW w:w="742" w:type="pct"/>
            <w:vAlign w:val="center"/>
          </w:tcPr>
          <w:p>
            <w:pPr>
              <w:adjustRightInd w:val="0"/>
              <w:snapToGrid w:val="0"/>
              <w:spacing w:line="240" w:lineRule="auto"/>
              <w:ind w:firstLine="0" w:firstLineChars="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噪声</w:t>
            </w:r>
          </w:p>
        </w:tc>
        <w:tc>
          <w:tcPr>
            <w:tcW w:w="1048" w:type="pct"/>
            <w:vAlign w:val="center"/>
          </w:tcPr>
          <w:p>
            <w:pPr>
              <w:adjustRightInd w:val="0"/>
              <w:snapToGrid w:val="0"/>
              <w:spacing w:line="240" w:lineRule="auto"/>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基础减震</w:t>
            </w:r>
            <w:r>
              <w:rPr>
                <w:rFonts w:hint="default" w:ascii="Times New Roman" w:hAnsi="Times New Roman" w:cs="Times New Roman"/>
                <w:sz w:val="24"/>
                <w:szCs w:val="24"/>
                <w:lang w:eastAsia="zh-CN"/>
              </w:rPr>
              <w:t>、</w:t>
            </w:r>
            <w:r>
              <w:rPr>
                <w:rFonts w:hint="default" w:ascii="Times New Roman" w:hAnsi="Times New Roman" w:cs="Times New Roman"/>
                <w:sz w:val="24"/>
                <w:szCs w:val="24"/>
              </w:rPr>
              <w:t>距离衰减</w:t>
            </w:r>
          </w:p>
        </w:tc>
        <w:tc>
          <w:tcPr>
            <w:tcW w:w="1710" w:type="pct"/>
            <w:vAlign w:val="center"/>
          </w:tcPr>
          <w:p>
            <w:pPr>
              <w:adjustRightInd w:val="0"/>
              <w:snapToGrid w:val="0"/>
              <w:spacing w:line="240" w:lineRule="auto"/>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《工业企业厂界环境噪声排放标准》(GB12348-2008）中3类标准：昼间≤65dB(A)，夜间不生产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68" w:type="pct"/>
            <w:vAlign w:val="center"/>
          </w:tcPr>
          <w:p>
            <w:pPr>
              <w:adjustRightInd w:val="0"/>
              <w:snapToGrid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电磁</w:t>
            </w:r>
          </w:p>
          <w:p>
            <w:pPr>
              <w:adjustRightInd w:val="0"/>
              <w:snapToGrid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辐射</w:t>
            </w:r>
          </w:p>
        </w:tc>
        <w:tc>
          <w:tcPr>
            <w:tcW w:w="4431" w:type="pct"/>
            <w:gridSpan w:val="4"/>
            <w:vAlign w:val="center"/>
          </w:tcPr>
          <w:p>
            <w:pPr>
              <w:adjustRightInd w:val="0"/>
              <w:snapToGrid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568" w:type="pct"/>
            <w:vMerge w:val="restart"/>
            <w:vAlign w:val="center"/>
          </w:tcPr>
          <w:p>
            <w:pPr>
              <w:adjustRightInd w:val="0"/>
              <w:snapToGrid w:val="0"/>
              <w:spacing w:line="240" w:lineRule="auto"/>
              <w:ind w:firstLine="0" w:firstLineChars="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固废</w:t>
            </w:r>
          </w:p>
        </w:tc>
        <w:tc>
          <w:tcPr>
            <w:tcW w:w="930" w:type="pct"/>
            <w:vAlign w:val="center"/>
          </w:tcPr>
          <w:p>
            <w:pPr>
              <w:adjustRightInd w:val="0"/>
              <w:snapToGrid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职工生活</w:t>
            </w:r>
          </w:p>
        </w:tc>
        <w:tc>
          <w:tcPr>
            <w:tcW w:w="742" w:type="pct"/>
            <w:vAlign w:val="center"/>
          </w:tcPr>
          <w:p>
            <w:pPr>
              <w:adjustRightInd w:val="0"/>
              <w:snapToGrid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生活垃圾</w:t>
            </w:r>
          </w:p>
        </w:tc>
        <w:tc>
          <w:tcPr>
            <w:tcW w:w="1048" w:type="pct"/>
            <w:vAlign w:val="center"/>
          </w:tcPr>
          <w:p>
            <w:pPr>
              <w:adjustRightInd w:val="0"/>
              <w:snapToGrid w:val="0"/>
              <w:spacing w:line="240" w:lineRule="auto"/>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生活垃圾集中收集在园区垃圾设施中，由环卫部门统一处理。</w:t>
            </w:r>
          </w:p>
        </w:tc>
        <w:tc>
          <w:tcPr>
            <w:tcW w:w="1710" w:type="pct"/>
            <w:vAlign w:val="center"/>
          </w:tcPr>
          <w:p>
            <w:pPr>
              <w:adjustRightInd w:val="0"/>
              <w:snapToGrid w:val="0"/>
              <w:spacing w:line="240" w:lineRule="auto"/>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《城市生活垃圾管理办法》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68" w:type="pct"/>
            <w:vMerge w:val="continue"/>
            <w:vAlign w:val="center"/>
          </w:tcPr>
          <w:p>
            <w:pPr>
              <w:adjustRightInd w:val="0"/>
              <w:snapToGrid w:val="0"/>
              <w:spacing w:line="240" w:lineRule="auto"/>
              <w:ind w:firstLine="0" w:firstLineChars="0"/>
              <w:jc w:val="center"/>
              <w:rPr>
                <w:rFonts w:hint="default" w:ascii="Times New Roman" w:hAnsi="Times New Roman" w:cs="Times New Roman"/>
                <w:sz w:val="24"/>
                <w:szCs w:val="24"/>
                <w:lang w:eastAsia="zh-CN"/>
              </w:rPr>
            </w:pPr>
          </w:p>
        </w:tc>
        <w:tc>
          <w:tcPr>
            <w:tcW w:w="930" w:type="pct"/>
            <w:vMerge w:val="restart"/>
            <w:vAlign w:val="center"/>
          </w:tcPr>
          <w:p>
            <w:pPr>
              <w:adjustRightInd w:val="0"/>
              <w:snapToGrid w:val="0"/>
              <w:spacing w:line="240" w:lineRule="auto"/>
              <w:ind w:firstLine="0" w:firstLineChars="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生产固废</w:t>
            </w:r>
          </w:p>
        </w:tc>
        <w:tc>
          <w:tcPr>
            <w:tcW w:w="742" w:type="pct"/>
            <w:vAlign w:val="center"/>
          </w:tcPr>
          <w:p>
            <w:pPr>
              <w:adjustRightInd w:val="0"/>
              <w:snapToGrid w:val="0"/>
              <w:spacing w:line="240" w:lineRule="auto"/>
              <w:ind w:firstLine="0" w:firstLineChars="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混凝土渣</w:t>
            </w:r>
          </w:p>
        </w:tc>
        <w:tc>
          <w:tcPr>
            <w:tcW w:w="1048" w:type="pct"/>
            <w:vMerge w:val="restart"/>
            <w:vAlign w:val="center"/>
          </w:tcPr>
          <w:p>
            <w:pPr>
              <w:adjustRightInd w:val="0"/>
              <w:snapToGrid w:val="0"/>
              <w:spacing w:line="240" w:lineRule="auto"/>
              <w:ind w:firstLine="0" w:firstLineChars="0"/>
              <w:jc w:val="lef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收集后全部回用于生产</w:t>
            </w:r>
          </w:p>
        </w:tc>
        <w:tc>
          <w:tcPr>
            <w:tcW w:w="1710" w:type="pct"/>
            <w:vMerge w:val="restart"/>
            <w:vAlign w:val="center"/>
          </w:tcPr>
          <w:p>
            <w:pPr>
              <w:adjustRightInd w:val="0"/>
              <w:snapToGrid w:val="0"/>
              <w:spacing w:line="240" w:lineRule="auto"/>
              <w:ind w:firstLine="0" w:firstLineChars="0"/>
              <w:jc w:val="left"/>
              <w:rPr>
                <w:rFonts w:hint="default" w:ascii="Times New Roman" w:hAnsi="Times New Roman" w:cs="Times New Roman"/>
                <w:sz w:val="24"/>
                <w:szCs w:val="24"/>
              </w:rPr>
            </w:pPr>
            <w:r>
              <w:rPr>
                <w:rFonts w:hint="default" w:ascii="Times New Roman" w:hAnsi="Times New Roman" w:cs="Times New Roman"/>
                <w:color w:val="auto"/>
                <w:sz w:val="24"/>
                <w:szCs w:val="24"/>
              </w:rPr>
              <w:t>《一般工业固体废物贮存和填埋污染控制标准》（GB18599-2020）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68" w:type="pct"/>
            <w:vMerge w:val="continue"/>
            <w:vAlign w:val="center"/>
          </w:tcPr>
          <w:p>
            <w:pPr>
              <w:adjustRightInd w:val="0"/>
              <w:snapToGrid w:val="0"/>
              <w:spacing w:line="240" w:lineRule="auto"/>
              <w:ind w:firstLine="0" w:firstLineChars="0"/>
              <w:jc w:val="center"/>
              <w:rPr>
                <w:rFonts w:hint="default" w:ascii="Times New Roman" w:hAnsi="Times New Roman" w:cs="Times New Roman"/>
                <w:sz w:val="24"/>
                <w:szCs w:val="24"/>
                <w:lang w:eastAsia="zh-CN"/>
              </w:rPr>
            </w:pPr>
          </w:p>
        </w:tc>
        <w:tc>
          <w:tcPr>
            <w:tcW w:w="930" w:type="pct"/>
            <w:vMerge w:val="continue"/>
            <w:vAlign w:val="center"/>
          </w:tcPr>
          <w:p>
            <w:pPr>
              <w:adjustRightInd w:val="0"/>
              <w:snapToGrid w:val="0"/>
              <w:spacing w:line="240" w:lineRule="auto"/>
              <w:ind w:firstLine="0" w:firstLineChars="0"/>
              <w:jc w:val="center"/>
              <w:rPr>
                <w:rFonts w:hint="default" w:ascii="Times New Roman" w:hAnsi="Times New Roman" w:cs="Times New Roman"/>
                <w:sz w:val="24"/>
                <w:szCs w:val="24"/>
                <w:lang w:eastAsia="zh-CN"/>
              </w:rPr>
            </w:pPr>
          </w:p>
        </w:tc>
        <w:tc>
          <w:tcPr>
            <w:tcW w:w="742" w:type="pct"/>
            <w:vAlign w:val="center"/>
          </w:tcPr>
          <w:p>
            <w:pPr>
              <w:adjustRightInd w:val="0"/>
              <w:snapToGrid w:val="0"/>
              <w:spacing w:line="240" w:lineRule="auto"/>
              <w:ind w:firstLine="0" w:firstLineChars="0"/>
              <w:jc w:val="center"/>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废钢筋</w:t>
            </w:r>
          </w:p>
        </w:tc>
        <w:tc>
          <w:tcPr>
            <w:tcW w:w="1048" w:type="pct"/>
            <w:vMerge w:val="continue"/>
            <w:vAlign w:val="center"/>
          </w:tcPr>
          <w:p>
            <w:pPr>
              <w:adjustRightInd w:val="0"/>
              <w:snapToGrid w:val="0"/>
              <w:spacing w:line="240" w:lineRule="auto"/>
              <w:ind w:firstLine="0" w:firstLineChars="0"/>
              <w:jc w:val="left"/>
              <w:rPr>
                <w:rFonts w:hint="default" w:ascii="Times New Roman" w:hAnsi="Times New Roman" w:cs="Times New Roman"/>
                <w:sz w:val="24"/>
                <w:szCs w:val="24"/>
                <w:lang w:eastAsia="zh-CN"/>
              </w:rPr>
            </w:pPr>
          </w:p>
        </w:tc>
        <w:tc>
          <w:tcPr>
            <w:tcW w:w="1710" w:type="pct"/>
            <w:vMerge w:val="continue"/>
            <w:vAlign w:val="center"/>
          </w:tcPr>
          <w:p>
            <w:pPr>
              <w:adjustRightInd w:val="0"/>
              <w:snapToGrid w:val="0"/>
              <w:spacing w:line="240" w:lineRule="auto"/>
              <w:ind w:firstLine="0" w:firstLineChars="0"/>
              <w:jc w:val="left"/>
              <w:rPr>
                <w:rFonts w:hint="default" w:ascii="Times New Roman" w:hAnsi="Times New Roman"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568" w:type="pct"/>
            <w:vAlign w:val="center"/>
          </w:tcPr>
          <w:p>
            <w:pPr>
              <w:adjustRightInd w:val="0"/>
              <w:snapToGrid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土壤及地下水污染防治措施</w:t>
            </w:r>
          </w:p>
        </w:tc>
        <w:tc>
          <w:tcPr>
            <w:tcW w:w="4431" w:type="pct"/>
            <w:gridSpan w:val="4"/>
            <w:vAlign w:val="center"/>
          </w:tcPr>
          <w:p>
            <w:pPr>
              <w:numPr>
                <w:ilvl w:val="0"/>
                <w:numId w:val="0"/>
              </w:numPr>
              <w:adjustRightInd w:val="0"/>
              <w:snapToGrid w:val="0"/>
              <w:spacing w:line="240" w:lineRule="auto"/>
              <w:jc w:val="center"/>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8" w:type="pct"/>
            <w:vAlign w:val="center"/>
          </w:tcPr>
          <w:p>
            <w:pPr>
              <w:adjustRightInd w:val="0"/>
              <w:snapToGrid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生态保护措施</w:t>
            </w:r>
          </w:p>
        </w:tc>
        <w:tc>
          <w:tcPr>
            <w:tcW w:w="4431" w:type="pct"/>
            <w:gridSpan w:val="4"/>
            <w:vAlign w:val="center"/>
          </w:tcPr>
          <w:p>
            <w:pPr>
              <w:adjustRightInd w:val="0"/>
              <w:snapToGrid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568" w:type="pct"/>
            <w:vAlign w:val="center"/>
          </w:tcPr>
          <w:p>
            <w:pPr>
              <w:adjustRightInd w:val="0"/>
              <w:snapToGrid w:val="0"/>
              <w:spacing w:line="240" w:lineRule="auto"/>
              <w:ind w:firstLine="0" w:firstLineChars="0"/>
              <w:jc w:val="center"/>
              <w:rPr>
                <w:rFonts w:hint="default" w:ascii="Times New Roman" w:hAnsi="Times New Roman" w:cs="Times New Roman"/>
                <w:spacing w:val="-8"/>
                <w:sz w:val="24"/>
                <w:szCs w:val="24"/>
              </w:rPr>
            </w:pPr>
            <w:r>
              <w:rPr>
                <w:rFonts w:hint="default" w:ascii="Times New Roman" w:hAnsi="Times New Roman" w:cs="Times New Roman"/>
                <w:spacing w:val="-8"/>
                <w:sz w:val="24"/>
                <w:szCs w:val="24"/>
              </w:rPr>
              <w:t>环境风险</w:t>
            </w:r>
          </w:p>
          <w:p>
            <w:pPr>
              <w:adjustRightInd w:val="0"/>
              <w:snapToGrid w:val="0"/>
              <w:spacing w:line="240" w:lineRule="auto"/>
              <w:ind w:firstLine="0" w:firstLineChars="0"/>
              <w:jc w:val="center"/>
              <w:rPr>
                <w:rFonts w:hint="default" w:ascii="Times New Roman" w:hAnsi="Times New Roman" w:cs="Times New Roman"/>
                <w:spacing w:val="-8"/>
                <w:sz w:val="24"/>
                <w:szCs w:val="24"/>
              </w:rPr>
            </w:pPr>
            <w:r>
              <w:rPr>
                <w:rFonts w:hint="default" w:ascii="Times New Roman" w:hAnsi="Times New Roman" w:cs="Times New Roman"/>
                <w:spacing w:val="-8"/>
                <w:sz w:val="24"/>
                <w:szCs w:val="24"/>
              </w:rPr>
              <w:t>防范措施</w:t>
            </w:r>
          </w:p>
        </w:tc>
        <w:tc>
          <w:tcPr>
            <w:tcW w:w="4431" w:type="pct"/>
            <w:gridSpan w:val="4"/>
            <w:vAlign w:val="center"/>
          </w:tcPr>
          <w:p>
            <w:pPr>
              <w:spacing w:line="240" w:lineRule="auto"/>
              <w:ind w:firstLine="480"/>
              <w:jc w:val="left"/>
              <w:rPr>
                <w:rFonts w:hint="default" w:ascii="Times New Roman" w:hAnsi="Times New Roman" w:cs="Times New Roman"/>
                <w:sz w:val="24"/>
                <w:szCs w:val="24"/>
              </w:rPr>
            </w:pPr>
            <w:r>
              <w:rPr>
                <w:rFonts w:hint="default" w:ascii="Times New Roman" w:hAnsi="Times New Roman" w:cs="Times New Roman"/>
                <w:sz w:val="24"/>
                <w:szCs w:val="24"/>
              </w:rPr>
              <w:t>（1）建立完善的安全生产管理制度和消防安全规定，制定设备操作规程并严格遵照执行；</w:t>
            </w:r>
          </w:p>
          <w:p>
            <w:pPr>
              <w:spacing w:line="240" w:lineRule="auto"/>
              <w:ind w:firstLine="480"/>
              <w:jc w:val="left"/>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）在有较大危险因素的有关设施、设备上，如压力容器、变压器等处均应设置明显的安全警示标志</w:t>
            </w:r>
            <w:r>
              <w:rPr>
                <w:rFonts w:hint="default" w:ascii="Times New Roman" w:hAnsi="Times New Roman" w:cs="Times New Roman"/>
                <w:sz w:val="24"/>
                <w:szCs w:val="24"/>
                <w:lang w:eastAsia="zh-CN"/>
              </w:rPr>
              <w:t>；</w:t>
            </w:r>
          </w:p>
          <w:p>
            <w:pPr>
              <w:spacing w:line="240" w:lineRule="auto"/>
              <w:ind w:firstLine="480"/>
              <w:jc w:val="left"/>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）生产区域应加强管理，避免和及时消除各种激发能源的产生和积累，杜绝火种及违章违纪现象，进入车辆必须装阻火器</w:t>
            </w:r>
            <w:r>
              <w:rPr>
                <w:rFonts w:hint="default" w:ascii="Times New Roman" w:hAnsi="Times New Roman" w:cs="Times New Roman"/>
                <w:sz w:val="24"/>
                <w:szCs w:val="24"/>
                <w:lang w:eastAsia="zh-CN"/>
              </w:rPr>
              <w:t>；</w:t>
            </w:r>
          </w:p>
          <w:p>
            <w:pPr>
              <w:spacing w:line="240" w:lineRule="auto"/>
              <w:ind w:firstLine="480"/>
              <w:jc w:val="left"/>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）加强员工的思想、道德教育，提高员工的责任心和主观能动性</w:t>
            </w:r>
            <w:r>
              <w:rPr>
                <w:rFonts w:hint="default" w:ascii="Times New Roman" w:hAnsi="Times New Roman" w:cs="Times New Roman"/>
                <w:sz w:val="24"/>
                <w:szCs w:val="24"/>
                <w:lang w:eastAsia="zh-CN"/>
              </w:rPr>
              <w:t>；</w:t>
            </w:r>
            <w:r>
              <w:rPr>
                <w:rFonts w:hint="default" w:ascii="Times New Roman" w:hAnsi="Times New Roman" w:cs="Times New Roman"/>
                <w:sz w:val="24"/>
                <w:szCs w:val="24"/>
              </w:rPr>
              <w:t>完善并严格遵守相关的操作规程，加强岗位培训，落实岗位责任制，加强设备管理</w:t>
            </w:r>
            <w:r>
              <w:rPr>
                <w:rFonts w:hint="default" w:ascii="Times New Roman" w:hAnsi="Times New Roman" w:cs="Times New Roman"/>
                <w:sz w:val="24"/>
                <w:szCs w:val="24"/>
                <w:lang w:eastAsia="zh-CN"/>
              </w:rPr>
              <w:t>；</w:t>
            </w:r>
          </w:p>
          <w:p>
            <w:pPr>
              <w:spacing w:line="240" w:lineRule="auto"/>
              <w:ind w:firstLine="480"/>
              <w:jc w:val="left"/>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）加强事故管理，在生产过程中注意对其它单位相关事故的研究，充分吸取经验和教训。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568" w:type="pct"/>
            <w:vAlign w:val="center"/>
          </w:tcPr>
          <w:p>
            <w:pPr>
              <w:adjustRightInd w:val="0"/>
              <w:snapToGrid w:val="0"/>
              <w:spacing w:line="240" w:lineRule="auto"/>
              <w:ind w:firstLine="0" w:firstLineChars="0"/>
              <w:jc w:val="center"/>
              <w:rPr>
                <w:rFonts w:hint="default" w:ascii="Times New Roman" w:hAnsi="Times New Roman" w:cs="Times New Roman"/>
                <w:spacing w:val="-8"/>
                <w:sz w:val="24"/>
                <w:szCs w:val="24"/>
              </w:rPr>
            </w:pPr>
            <w:r>
              <w:rPr>
                <w:rFonts w:hint="default" w:ascii="Times New Roman" w:hAnsi="Times New Roman" w:cs="Times New Roman"/>
                <w:spacing w:val="-8"/>
                <w:sz w:val="24"/>
                <w:szCs w:val="24"/>
              </w:rPr>
              <w:t>其他环境</w:t>
            </w:r>
          </w:p>
          <w:p>
            <w:pPr>
              <w:adjustRightInd w:val="0"/>
              <w:snapToGrid w:val="0"/>
              <w:spacing w:line="240" w:lineRule="auto"/>
              <w:ind w:firstLine="0" w:firstLineChars="0"/>
              <w:jc w:val="center"/>
              <w:rPr>
                <w:rFonts w:hint="default" w:ascii="Times New Roman" w:hAnsi="Times New Roman" w:cs="Times New Roman"/>
                <w:spacing w:val="-8"/>
                <w:sz w:val="24"/>
                <w:szCs w:val="24"/>
              </w:rPr>
            </w:pPr>
            <w:r>
              <w:rPr>
                <w:rFonts w:hint="default" w:ascii="Times New Roman" w:hAnsi="Times New Roman" w:cs="Times New Roman"/>
                <w:spacing w:val="-8"/>
                <w:sz w:val="24"/>
                <w:szCs w:val="24"/>
              </w:rPr>
              <w:t>管理要求</w:t>
            </w:r>
          </w:p>
        </w:tc>
        <w:tc>
          <w:tcPr>
            <w:tcW w:w="4431" w:type="pct"/>
            <w:gridSpan w:val="4"/>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1、排污许可管理</w:t>
            </w:r>
          </w:p>
          <w:p>
            <w:pPr>
              <w:pStyle w:val="4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cs="Times New Roman"/>
                <w:sz w:val="24"/>
                <w:szCs w:val="24"/>
                <w:lang w:val="en-US" w:eastAsia="zh-CN"/>
              </w:rPr>
            </w:pPr>
            <w:r>
              <w:rPr>
                <w:rFonts w:hint="default" w:ascii="Times New Roman" w:hAnsi="Times New Roman" w:eastAsia="宋体" w:cs="Times New Roman"/>
                <w:color w:val="000000"/>
                <w:sz w:val="24"/>
                <w:szCs w:val="24"/>
              </w:rPr>
              <w:t>2016年11月，国务院办公厅发布了《控制污染物排放许可制实施方案》，方案指出：“环境影响评价制度是建设项目的环境准入门槛，排污许可制是企事业单位生产运营期排污的法律依据，必须做好充分衔接，实现从污染预防到污染治理和排放控制的全过程监管。新建项目必须在发生实际排污行为之前申领排污许可证，环境影响评价文件及批复中与污染物排放相关的主要内容应当纳入排污许可证，其排污许可证执行情况应作为环境影响后评价的重要依据。”</w:t>
            </w:r>
            <w:r>
              <w:rPr>
                <w:rFonts w:hint="default" w:ascii="Times New Roman" w:hAnsi="Times New Roman" w:cs="Times New Roman" w:eastAsiaTheme="minorEastAsia"/>
                <w:b w:val="0"/>
                <w:bCs w:val="0"/>
                <w:color w:val="0000FF"/>
                <w:sz w:val="24"/>
                <w:szCs w:val="24"/>
                <w:highlight w:val="none"/>
                <w:lang w:val="en-US" w:eastAsia="zh-CN"/>
              </w:rPr>
              <w:t>根据《固定污染源排污许可分类管理名录》（2019年版），本项目属于“</w:t>
            </w:r>
            <w:r>
              <w:rPr>
                <w:rFonts w:hint="default" w:ascii="Times New Roman" w:hAnsi="Times New Roman" w:cs="Times New Roman" w:eastAsiaTheme="minorEastAsia"/>
                <w:color w:val="0000FF"/>
                <w:sz w:val="24"/>
                <w:szCs w:val="24"/>
                <w:lang w:val="en-US" w:eastAsia="zh-CN"/>
              </w:rPr>
              <w:t>二十五、非金属矿物制品业30</w:t>
            </w:r>
            <w:r>
              <w:rPr>
                <w:rFonts w:hint="default" w:ascii="Times New Roman" w:hAnsi="Times New Roman" w:cs="Times New Roman" w:eastAsiaTheme="minorEastAsia"/>
                <w:color w:val="0000FF"/>
                <w:sz w:val="24"/>
                <w:szCs w:val="24"/>
              </w:rPr>
              <w:t>—</w:t>
            </w:r>
            <w:r>
              <w:rPr>
                <w:rFonts w:hint="default" w:ascii="Times New Roman" w:hAnsi="Times New Roman" w:cs="Times New Roman" w:eastAsiaTheme="minorEastAsia"/>
                <w:color w:val="0000FF"/>
                <w:sz w:val="24"/>
                <w:szCs w:val="24"/>
                <w:lang w:val="en-US" w:eastAsia="zh-CN"/>
              </w:rPr>
              <w:t>63 石膏、水泥制品及类似制品制造302</w:t>
            </w:r>
            <w:r>
              <w:rPr>
                <w:rFonts w:hint="default" w:ascii="Times New Roman" w:hAnsi="Times New Roman" w:cs="Times New Roman" w:eastAsiaTheme="minorEastAsia"/>
                <w:color w:val="0000FF"/>
                <w:sz w:val="24"/>
                <w:szCs w:val="24"/>
              </w:rPr>
              <w:t>—</w:t>
            </w:r>
            <w:r>
              <w:rPr>
                <w:rFonts w:hint="default" w:ascii="Times New Roman" w:hAnsi="Times New Roman" w:cs="Times New Roman" w:eastAsiaTheme="minorEastAsia"/>
                <w:color w:val="0000FF"/>
                <w:kern w:val="0"/>
                <w:sz w:val="24"/>
                <w:szCs w:val="24"/>
                <w:lang w:val="en-US" w:eastAsia="zh-CN" w:bidi="ar"/>
              </w:rPr>
              <w:t>砼结构构件制造3022</w:t>
            </w:r>
            <w:r>
              <w:rPr>
                <w:rFonts w:hint="default" w:ascii="Times New Roman" w:hAnsi="Times New Roman" w:cs="Times New Roman" w:eastAsiaTheme="minorEastAsia"/>
                <w:b w:val="0"/>
                <w:bCs w:val="0"/>
                <w:color w:val="0000FF"/>
                <w:sz w:val="24"/>
                <w:szCs w:val="24"/>
                <w:highlight w:val="none"/>
                <w:lang w:val="en-US" w:eastAsia="zh-CN"/>
              </w:rPr>
              <w:t>”中的登记管理范畴，做好登记管理台账。</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2、竣工验收</w:t>
            </w:r>
          </w:p>
          <w:p>
            <w:pPr>
              <w:keepNext w:val="0"/>
              <w:keepLines w:val="0"/>
              <w:pageBreakBefore w:val="0"/>
              <w:widowControl w:val="0"/>
              <w:kinsoku/>
              <w:wordWrap/>
              <w:overflowPunct/>
              <w:topLinePunct w:val="0"/>
              <w:autoSpaceDE/>
              <w:autoSpaceDN/>
              <w:bidi w:val="0"/>
              <w:adjustRightInd/>
              <w:snapToGrid w:val="0"/>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根据国务院令第682号《建设项目环境保护管理条例》（2017年修订），编制环境影响报告书、环境影响报告表的建设项目竣工后，建设单位应当按照生态环境主管部门规定的标准和程序，对配套建设的环境保护设施进行验收，编制竣工环境保护验收监测报告表，除按照国家规定需要保密的情形外，建设单位应依法向社会公开竣工验收报告和竣工验收意见。</w:t>
            </w:r>
          </w:p>
          <w:p>
            <w:pPr>
              <w:keepNext w:val="0"/>
              <w:keepLines w:val="0"/>
              <w:pageBreakBefore w:val="0"/>
              <w:widowControl w:val="0"/>
              <w:kinsoku/>
              <w:wordWrap/>
              <w:overflowPunct/>
              <w:topLinePunct w:val="0"/>
              <w:autoSpaceDE/>
              <w:autoSpaceDN/>
              <w:bidi w:val="0"/>
              <w:adjustRightInd/>
              <w:snapToGrid w:val="0"/>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根据建设单位项目“三同时”原则，在项目建设过程中，环境污染防治设施应与主体工程同时设计、同时施工、同时投入使用。项目建成后建设单位应当按照国务院环境保护行政主管部门规定的标准和程序，对配套建设的环境保护设施进行验收，经验收合格后，方可投入生产或者使用。</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本项目竣工环保验收内容与具体要求详见</w:t>
            </w:r>
            <w:r>
              <w:rPr>
                <w:rFonts w:hint="default" w:ascii="Times New Roman" w:hAnsi="Times New Roman" w:cs="Times New Roman"/>
                <w:sz w:val="24"/>
                <w:szCs w:val="24"/>
                <w:lang w:eastAsia="zh-CN"/>
              </w:rPr>
              <w:t>表</w:t>
            </w:r>
            <w:r>
              <w:rPr>
                <w:rFonts w:hint="default" w:ascii="Times New Roman" w:hAnsi="Times New Roman" w:cs="Times New Roman"/>
                <w:sz w:val="24"/>
                <w:szCs w:val="24"/>
                <w:lang w:val="en-US" w:eastAsia="zh-CN"/>
              </w:rPr>
              <w:t>31。</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表31  环保措施“三同时”竣工验收一览表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295"/>
              <w:gridCol w:w="2656"/>
              <w:gridCol w:w="3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9" w:type="pct"/>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项目</w:t>
                  </w:r>
                </w:p>
              </w:tc>
              <w:tc>
                <w:tcPr>
                  <w:tcW w:w="170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验收内容</w:t>
                  </w:r>
                </w:p>
              </w:tc>
              <w:tc>
                <w:tcPr>
                  <w:tcW w:w="2008"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执行标准或监测验收要求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459"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无组织废气</w:t>
                  </w:r>
                </w:p>
              </w:tc>
              <w:tc>
                <w:tcPr>
                  <w:tcW w:w="829"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颗粒物</w:t>
                  </w:r>
                </w:p>
              </w:tc>
              <w:tc>
                <w:tcPr>
                  <w:tcW w:w="170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w:t>
                  </w:r>
                </w:p>
              </w:tc>
              <w:tc>
                <w:tcPr>
                  <w:tcW w:w="2008"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highlight w:val="none"/>
                      <w:vertAlign w:val="baseline"/>
                      <w:lang w:val="en-US" w:eastAsia="zh-CN"/>
                    </w:rPr>
                    <w:t>《水泥工业大气污染物排放标准》（GB 4915-2013）表3大气污染物无组织排放限值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459"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废水</w:t>
                  </w:r>
                </w:p>
              </w:tc>
              <w:tc>
                <w:tcPr>
                  <w:tcW w:w="829"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生活废水</w:t>
                  </w:r>
                </w:p>
              </w:tc>
              <w:tc>
                <w:tcPr>
                  <w:tcW w:w="170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经厂区内现有污水管网排入园区污水管网，最终排入园区污水处理厂</w:t>
                  </w:r>
                </w:p>
              </w:tc>
              <w:tc>
                <w:tcPr>
                  <w:tcW w:w="2008"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《污水综合排放标准》（GB8978-1996）表4中三级标准和《污水排入城镇下水道水质标准》（GB/T31962-2015）中NH</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-N最高允许值中B级标准45mg/L的规定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噪声</w:t>
                  </w:r>
                </w:p>
              </w:tc>
              <w:tc>
                <w:tcPr>
                  <w:tcW w:w="829"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设备噪声</w:t>
                  </w:r>
                </w:p>
              </w:tc>
              <w:tc>
                <w:tcPr>
                  <w:tcW w:w="170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基础减震</w:t>
                  </w:r>
                  <w:r>
                    <w:rPr>
                      <w:rFonts w:hint="default" w:ascii="Times New Roman" w:hAnsi="Times New Roman" w:cs="Times New Roman"/>
                      <w:sz w:val="24"/>
                      <w:szCs w:val="24"/>
                      <w:lang w:eastAsia="zh-CN"/>
                    </w:rPr>
                    <w:t>、</w:t>
                  </w:r>
                  <w:r>
                    <w:rPr>
                      <w:rFonts w:hint="default" w:ascii="Times New Roman" w:hAnsi="Times New Roman" w:cs="Times New Roman"/>
                      <w:sz w:val="24"/>
                      <w:szCs w:val="24"/>
                    </w:rPr>
                    <w:t>距离衰减</w:t>
                  </w:r>
                </w:p>
              </w:tc>
              <w:tc>
                <w:tcPr>
                  <w:tcW w:w="2008"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《工业企业厂界环境噪声排放标准》(GB12348-2008）中3类标准：昼间≤65dB(A)，</w:t>
                  </w:r>
                  <w:r>
                    <w:rPr>
                      <w:rFonts w:hint="default" w:ascii="Times New Roman" w:hAnsi="Times New Roman" w:cs="Times New Roman"/>
                      <w:sz w:val="24"/>
                      <w:szCs w:val="24"/>
                      <w:lang w:eastAsia="zh-CN"/>
                    </w:rPr>
                    <w:t>夜间不生产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固废</w:t>
                  </w:r>
                </w:p>
              </w:tc>
              <w:tc>
                <w:tcPr>
                  <w:tcW w:w="829"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生活垃圾</w:t>
                  </w:r>
                </w:p>
              </w:tc>
              <w:tc>
                <w:tcPr>
                  <w:tcW w:w="170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由园区环卫部门统一处理</w:t>
                  </w:r>
                </w:p>
              </w:tc>
              <w:tc>
                <w:tcPr>
                  <w:tcW w:w="2008"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《城市生活垃圾管理办法》</w:t>
                  </w:r>
                </w:p>
              </w:tc>
            </w:tr>
          </w:tbl>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Times New Roman" w:hAnsi="Times New Roman" w:cs="Times New Roman"/>
                <w:sz w:val="24"/>
                <w:szCs w:val="24"/>
                <w:lang w:val="en-US" w:eastAsia="zh-CN"/>
              </w:rPr>
            </w:pPr>
          </w:p>
          <w:p>
            <w:pPr>
              <w:ind w:left="0" w:leftChars="0" w:firstLine="0" w:firstLineChars="0"/>
              <w:rPr>
                <w:rFonts w:hint="default" w:ascii="Times New Roman" w:hAnsi="Times New Roman" w:cs="Times New Roman"/>
                <w:sz w:val="24"/>
                <w:szCs w:val="24"/>
                <w:lang w:val="en-US" w:eastAsia="zh-CN"/>
              </w:rPr>
            </w:pPr>
          </w:p>
        </w:tc>
      </w:tr>
    </w:tbl>
    <w:p>
      <w:pPr>
        <w:pStyle w:val="15"/>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outlineLvl w:val="0"/>
        <w:rPr>
          <w:rFonts w:ascii="Times New Roman" w:hAnsi="Times New Roman" w:eastAsia="黑体"/>
          <w:snapToGrid w:val="0"/>
          <w:sz w:val="30"/>
          <w:szCs w:val="30"/>
        </w:rPr>
      </w:pPr>
      <w:r>
        <w:rPr>
          <w:rFonts w:ascii="Times New Roman" w:hAnsi="Times New Roman"/>
          <w:snapToGrid w:val="0"/>
        </w:rPr>
        <w:br w:type="page"/>
      </w:r>
      <w:r>
        <w:rPr>
          <w:rFonts w:hint="eastAsia" w:ascii="Times New Roman" w:hAnsi="Times New Roman" w:eastAsia="黑体"/>
          <w:snapToGrid w:val="0"/>
          <w:sz w:val="30"/>
          <w:szCs w:val="30"/>
        </w:rPr>
        <w:t>六、结论</w:t>
      </w:r>
    </w:p>
    <w:tbl>
      <w:tblPr>
        <w:tblStyle w:val="18"/>
        <w:tblpPr w:leftFromText="180" w:rightFromText="180" w:vertAnchor="text" w:horzAnchor="margin" w:tblpY="25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47" w:hRule="atLeast"/>
        </w:trPr>
        <w:tc>
          <w:tcPr>
            <w:tcW w:w="8865" w:type="dxa"/>
          </w:tcPr>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b/>
                <w:bCs/>
                <w:lang w:val="en-US" w:eastAsia="zh-CN"/>
              </w:rPr>
            </w:pPr>
            <w:r>
              <w:rPr>
                <w:rFonts w:hint="eastAsia"/>
                <w:b/>
                <w:bCs/>
                <w:lang w:val="en-US" w:eastAsia="zh-CN"/>
              </w:rPr>
              <w:t>1、结论</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eastAsia="宋体"/>
                <w:lang w:eastAsia="zh-CN"/>
              </w:rPr>
            </w:pPr>
            <w:r>
              <w:rPr>
                <w:rFonts w:hint="eastAsia"/>
                <w:lang w:eastAsia="zh-CN"/>
              </w:rPr>
              <w:t>本</w:t>
            </w:r>
            <w:r>
              <w:rPr>
                <w:rFonts w:hint="eastAsia"/>
                <w:lang w:val="en-US" w:eastAsia="zh-CN"/>
              </w:rPr>
              <w:t>建设</w:t>
            </w:r>
            <w:r>
              <w:rPr>
                <w:rFonts w:hint="eastAsia"/>
              </w:rPr>
              <w:t>项目符合国家及地方相关政策要求，工程选址合理，</w:t>
            </w:r>
            <w:r>
              <w:rPr>
                <w:rFonts w:hint="eastAsia"/>
                <w:lang w:eastAsia="zh-CN"/>
              </w:rPr>
              <w:t>总平面布置合理可行，项目对废气、废水、噪声和固体废物等污染物采取了妥善的处理处置措施，污染物排放总量较小，在落实各项规定的污染防治措施后，各污染物能达标排放，对周围的环境影响可控制在允许的范围内，周围环境质量能满足功能区划要求。在全面落实各项污染防范措施、搞好“三同时”制度、保证安全生产的前提下，项目的建设整体上符合环境保护和社会可持续发展的要求，从环境保护角度分析，本项目是可行的。</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b/>
                <w:bCs/>
                <w:lang w:val="en-US" w:eastAsia="zh-CN"/>
              </w:rPr>
            </w:pPr>
            <w:r>
              <w:rPr>
                <w:rFonts w:hint="eastAsia"/>
                <w:b/>
                <w:bCs/>
                <w:lang w:val="en-US" w:eastAsia="zh-CN"/>
              </w:rPr>
              <w:t>2、建议</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lang w:eastAsia="zh-CN"/>
              </w:rPr>
            </w:pPr>
            <w:r>
              <w:rPr>
                <w:rFonts w:hint="eastAsia"/>
                <w:lang w:eastAsia="zh-CN"/>
              </w:rPr>
              <w:t>（</w:t>
            </w:r>
            <w:r>
              <w:rPr>
                <w:rFonts w:hint="eastAsia"/>
                <w:lang w:val="en-US" w:eastAsia="zh-CN"/>
              </w:rPr>
              <w:t>1</w:t>
            </w:r>
            <w:r>
              <w:rPr>
                <w:rFonts w:hint="eastAsia"/>
                <w:lang w:eastAsia="zh-CN"/>
              </w:rPr>
              <w:t>）严格执行环保“三同时”制度，将项目污染物对周围环境的影响降至最低。</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default"/>
                <w:lang w:val="en-US" w:eastAsia="zh-CN"/>
              </w:rPr>
            </w:pPr>
            <w:r>
              <w:rPr>
                <w:rFonts w:hint="eastAsia"/>
                <w:lang w:eastAsia="zh-CN"/>
              </w:rPr>
              <w:t>（</w:t>
            </w:r>
            <w:r>
              <w:rPr>
                <w:rFonts w:hint="eastAsia"/>
                <w:lang w:val="en-US" w:eastAsia="zh-CN"/>
              </w:rPr>
              <w:t>2</w:t>
            </w:r>
            <w:r>
              <w:rPr>
                <w:rFonts w:hint="eastAsia"/>
                <w:lang w:eastAsia="zh-CN"/>
              </w:rPr>
              <w:t>）定期对机械设备进行检修，保持设备运转良好，减少噪声产生。</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lang w:eastAsia="zh-CN"/>
              </w:rPr>
            </w:pPr>
            <w:r>
              <w:rPr>
                <w:rFonts w:hint="eastAsia"/>
                <w:lang w:eastAsia="zh-CN"/>
              </w:rPr>
              <w:t>（</w:t>
            </w:r>
            <w:r>
              <w:rPr>
                <w:rFonts w:hint="eastAsia"/>
                <w:lang w:val="en-US" w:eastAsia="zh-CN"/>
              </w:rPr>
              <w:t>3</w:t>
            </w:r>
            <w:r>
              <w:rPr>
                <w:rFonts w:hint="eastAsia"/>
                <w:lang w:eastAsia="zh-CN"/>
              </w:rPr>
              <w:t>）及时妥善处理故土废物，做到厂区无堆存，避免产生二次污染。</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lang w:eastAsia="zh-CN"/>
              </w:rPr>
            </w:pPr>
            <w:r>
              <w:rPr>
                <w:rFonts w:hint="eastAsia"/>
                <w:lang w:eastAsia="zh-CN"/>
              </w:rPr>
              <w:t>（</w:t>
            </w:r>
            <w:r>
              <w:rPr>
                <w:rFonts w:hint="eastAsia"/>
                <w:lang w:val="en-US" w:eastAsia="zh-CN"/>
              </w:rPr>
              <w:t>4</w:t>
            </w:r>
            <w:r>
              <w:rPr>
                <w:rFonts w:hint="eastAsia"/>
                <w:lang w:eastAsia="zh-CN"/>
              </w:rPr>
              <w:t>）建设项目的基础资料由建设单位提供，并对其准确性负责。建设单位若未来需增加本评价所涉及之外的污染源或对其工艺进行调整，则应按要求向环保部门重新申报。</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lang w:eastAsia="zh-CN"/>
              </w:rPr>
            </w:pPr>
            <w:r>
              <w:rPr>
                <w:rFonts w:hint="eastAsia"/>
                <w:lang w:eastAsia="zh-CN"/>
              </w:rPr>
              <w:t>（</w:t>
            </w:r>
            <w:r>
              <w:rPr>
                <w:rFonts w:hint="eastAsia"/>
                <w:lang w:val="en-US" w:eastAsia="zh-CN"/>
              </w:rPr>
              <w:t>5</w:t>
            </w:r>
            <w:r>
              <w:rPr>
                <w:rFonts w:hint="eastAsia"/>
                <w:lang w:eastAsia="zh-CN"/>
              </w:rPr>
              <w:t>）接受当地生态环境主管部门的监督管理，加强环保设施的管理，保证环保各项措施正常运行。</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lang w:eastAsia="zh-CN"/>
              </w:rPr>
            </w:pPr>
            <w:r>
              <w:rPr>
                <w:rFonts w:hint="eastAsia"/>
                <w:lang w:eastAsia="zh-CN"/>
              </w:rPr>
              <w:t>（</w:t>
            </w:r>
            <w:r>
              <w:rPr>
                <w:rFonts w:hint="eastAsia"/>
                <w:lang w:val="en-US" w:eastAsia="zh-CN"/>
              </w:rPr>
              <w:t>6</w:t>
            </w:r>
            <w:r>
              <w:rPr>
                <w:rFonts w:hint="eastAsia"/>
                <w:lang w:eastAsia="zh-CN"/>
              </w:rPr>
              <w:t>）加强环保意识的宣传教育，要有专人负责环保工作，使环境管理和环保措施得到落实。</w:t>
            </w:r>
          </w:p>
          <w:p>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eastAsia="宋体"/>
                <w:lang w:eastAsia="zh-CN"/>
              </w:rPr>
            </w:pPr>
            <w:r>
              <w:rPr>
                <w:rFonts w:hint="eastAsia"/>
                <w:lang w:eastAsia="zh-CN"/>
              </w:rPr>
              <w:t>（</w:t>
            </w:r>
            <w:r>
              <w:rPr>
                <w:rFonts w:hint="eastAsia"/>
                <w:lang w:val="en-US" w:eastAsia="zh-CN"/>
              </w:rPr>
              <w:t>7</w:t>
            </w:r>
            <w:r>
              <w:rPr>
                <w:rFonts w:hint="eastAsia"/>
                <w:lang w:eastAsia="zh-CN"/>
              </w:rPr>
              <w:t>）及时办理排污许可证和突发环境事件应急预案。</w:t>
            </w:r>
          </w:p>
        </w:tc>
      </w:tr>
    </w:tbl>
    <w:p>
      <w:pPr>
        <w:pStyle w:val="15"/>
        <w:ind w:firstLine="0" w:firstLineChars="0"/>
        <w:jc w:val="center"/>
        <w:outlineLvl w:val="0"/>
        <w:rPr>
          <w:rFonts w:ascii="Times New Roman" w:hAnsi="Times New Roman" w:eastAsia="黑体"/>
          <w:snapToGrid w:val="0"/>
          <w:sz w:val="30"/>
          <w:szCs w:val="30"/>
        </w:rPr>
      </w:pPr>
    </w:p>
    <w:p>
      <w:pPr>
        <w:ind w:firstLine="480"/>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15"/>
        <w:adjustRightInd w:val="0"/>
        <w:snapToGrid w:val="0"/>
        <w:spacing w:before="0" w:beforeAutospacing="0" w:after="0" w:afterAutospacing="0" w:line="648" w:lineRule="auto"/>
        <w:ind w:firstLine="0" w:firstLineChars="0"/>
        <w:outlineLvl w:val="0"/>
        <w:rPr>
          <w:rFonts w:ascii="Times New Roman" w:hAnsi="Times New Roman" w:eastAsia="黑体"/>
          <w:snapToGrid w:val="0"/>
          <w:sz w:val="32"/>
          <w:szCs w:val="32"/>
        </w:rPr>
      </w:pPr>
      <w:r>
        <w:rPr>
          <w:rFonts w:hint="eastAsia" w:ascii="Times New Roman" w:hAnsi="Times New Roman" w:eastAsia="黑体"/>
          <w:snapToGrid w:val="0"/>
          <w:sz w:val="32"/>
          <w:szCs w:val="32"/>
        </w:rPr>
        <w:t>附表</w:t>
      </w:r>
    </w:p>
    <w:p>
      <w:pPr>
        <w:pStyle w:val="15"/>
        <w:adjustRightInd w:val="0"/>
        <w:snapToGrid w:val="0"/>
        <w:spacing w:before="0" w:beforeAutospacing="0" w:after="0" w:afterAutospacing="0" w:line="552" w:lineRule="auto"/>
        <w:ind w:firstLine="0" w:firstLineChars="0"/>
        <w:jc w:val="center"/>
        <w:outlineLvl w:val="0"/>
        <w:rPr>
          <w:rFonts w:ascii="Times New Roman" w:hAnsi="Times New Roman" w:eastAsia="方正小标宋_GBK"/>
          <w:snapToGrid w:val="0"/>
          <w:sz w:val="38"/>
          <w:szCs w:val="38"/>
        </w:rPr>
      </w:pPr>
      <w:r>
        <w:rPr>
          <w:rFonts w:hint="eastAsia" w:ascii="Times New Roman" w:hAnsi="Times New Roman" w:eastAsia="方正小标宋_GBK"/>
          <w:snapToGrid w:val="0"/>
          <w:sz w:val="38"/>
          <w:szCs w:val="38"/>
        </w:rPr>
        <w:t>建设项目污染物排放量汇总表</w:t>
      </w:r>
    </w:p>
    <w:tbl>
      <w:tblPr>
        <w:tblStyle w:val="18"/>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1331"/>
        <w:gridCol w:w="1609"/>
        <w:gridCol w:w="1193"/>
        <w:gridCol w:w="1609"/>
        <w:gridCol w:w="1472"/>
        <w:gridCol w:w="1671"/>
        <w:gridCol w:w="1866"/>
        <w:gridCol w:w="12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55" w:type="pct"/>
            <w:tcBorders>
              <w:tl2br w:val="single" w:color="auto" w:sz="4" w:space="0"/>
            </w:tcBorders>
            <w:tcMar>
              <w:left w:w="28" w:type="dxa"/>
              <w:right w:w="28" w:type="dxa"/>
            </w:tcMar>
            <w:vAlign w:val="center"/>
          </w:tcPr>
          <w:p>
            <w:pPr>
              <w:pStyle w:val="37"/>
              <w:spacing w:beforeLines="0" w:afterLines="0" w:line="240" w:lineRule="auto"/>
              <w:ind w:firstLine="0" w:firstLineChars="0"/>
              <w:jc w:val="right"/>
              <w:rPr>
                <w:rFonts w:ascii="Times New Roman" w:eastAsia="黑体" w:cs="宋体"/>
                <w:snapToGrid w:val="0"/>
                <w:spacing w:val="-6"/>
                <w:kern w:val="21"/>
                <w:szCs w:val="21"/>
              </w:rPr>
            </w:pPr>
            <w:r>
              <w:rPr>
                <w:rFonts w:hint="eastAsia" w:ascii="Times New Roman" w:eastAsia="黑体" w:cs="宋体"/>
                <w:snapToGrid w:val="0"/>
                <w:spacing w:val="-6"/>
                <w:kern w:val="21"/>
                <w:szCs w:val="21"/>
              </w:rPr>
              <w:t>项目</w:t>
            </w:r>
          </w:p>
          <w:p>
            <w:pPr>
              <w:pStyle w:val="37"/>
              <w:spacing w:beforeLines="0" w:afterLines="0" w:line="240" w:lineRule="auto"/>
              <w:ind w:firstLine="0" w:firstLineChars="0"/>
              <w:jc w:val="left"/>
              <w:rPr>
                <w:rFonts w:ascii="Times New Roman" w:eastAsia="黑体" w:cs="宋体"/>
                <w:snapToGrid w:val="0"/>
                <w:spacing w:val="-6"/>
                <w:kern w:val="21"/>
                <w:szCs w:val="21"/>
              </w:rPr>
            </w:pPr>
            <w:r>
              <w:rPr>
                <w:rFonts w:hint="eastAsia" w:ascii="Times New Roman" w:eastAsia="黑体" w:cs="宋体"/>
                <w:snapToGrid w:val="0"/>
                <w:spacing w:val="-6"/>
                <w:kern w:val="21"/>
                <w:szCs w:val="21"/>
              </w:rPr>
              <w:t>分类</w:t>
            </w:r>
          </w:p>
        </w:tc>
        <w:tc>
          <w:tcPr>
            <w:tcW w:w="493" w:type="pct"/>
            <w:tcMar>
              <w:left w:w="28" w:type="dxa"/>
              <w:right w:w="28" w:type="dxa"/>
            </w:tcMar>
            <w:vAlign w:val="center"/>
          </w:tcPr>
          <w:p>
            <w:pPr>
              <w:pStyle w:val="37"/>
              <w:spacing w:beforeLines="0" w:afterLines="0" w:line="240" w:lineRule="auto"/>
              <w:ind w:firstLine="0" w:firstLineChars="0"/>
              <w:rPr>
                <w:rFonts w:ascii="Times New Roman" w:eastAsia="黑体" w:cs="宋体"/>
                <w:snapToGrid w:val="0"/>
                <w:spacing w:val="-6"/>
                <w:kern w:val="21"/>
                <w:szCs w:val="21"/>
              </w:rPr>
            </w:pPr>
            <w:r>
              <w:rPr>
                <w:rFonts w:hint="eastAsia" w:ascii="Times New Roman" w:eastAsia="黑体" w:cs="宋体"/>
                <w:snapToGrid w:val="0"/>
                <w:spacing w:val="-6"/>
                <w:kern w:val="21"/>
                <w:szCs w:val="21"/>
              </w:rPr>
              <w:t>污染物名称</w:t>
            </w:r>
          </w:p>
        </w:tc>
        <w:tc>
          <w:tcPr>
            <w:tcW w:w="596" w:type="pct"/>
            <w:tcMar>
              <w:left w:w="28" w:type="dxa"/>
              <w:right w:w="28" w:type="dxa"/>
            </w:tcMar>
            <w:vAlign w:val="center"/>
          </w:tcPr>
          <w:p>
            <w:pPr>
              <w:pStyle w:val="37"/>
              <w:spacing w:beforeLines="0" w:afterLines="0" w:line="240" w:lineRule="auto"/>
              <w:ind w:firstLine="0" w:firstLineChars="0"/>
              <w:rPr>
                <w:rFonts w:ascii="Times New Roman" w:eastAsia="黑体"/>
                <w:snapToGrid w:val="0"/>
                <w:spacing w:val="-6"/>
                <w:kern w:val="21"/>
                <w:szCs w:val="21"/>
              </w:rPr>
            </w:pPr>
            <w:r>
              <w:rPr>
                <w:rFonts w:ascii="Times New Roman" w:eastAsia="黑体"/>
                <w:snapToGrid w:val="0"/>
                <w:spacing w:val="-6"/>
                <w:kern w:val="21"/>
                <w:szCs w:val="21"/>
              </w:rPr>
              <w:t>现有工程</w:t>
            </w:r>
          </w:p>
          <w:p>
            <w:pPr>
              <w:pStyle w:val="37"/>
              <w:spacing w:beforeLines="0" w:afterLines="0" w:line="240" w:lineRule="auto"/>
              <w:ind w:firstLine="0" w:firstLineChars="0"/>
              <w:rPr>
                <w:rFonts w:ascii="Times New Roman" w:eastAsia="黑体"/>
                <w:snapToGrid w:val="0"/>
                <w:spacing w:val="-6"/>
                <w:kern w:val="21"/>
                <w:szCs w:val="21"/>
              </w:rPr>
            </w:pPr>
            <w:r>
              <w:rPr>
                <w:rFonts w:ascii="Times New Roman" w:eastAsia="黑体"/>
                <w:snapToGrid w:val="0"/>
                <w:spacing w:val="-6"/>
                <w:kern w:val="21"/>
                <w:szCs w:val="21"/>
              </w:rPr>
              <w:t>排放量（固</w:t>
            </w:r>
            <w:r>
              <w:rPr>
                <w:rFonts w:hint="eastAsia" w:ascii="Times New Roman" w:eastAsia="黑体"/>
                <w:snapToGrid w:val="0"/>
                <w:spacing w:val="-6"/>
                <w:kern w:val="21"/>
                <w:szCs w:val="21"/>
              </w:rPr>
              <w:t>体</w:t>
            </w:r>
            <w:r>
              <w:rPr>
                <w:rFonts w:ascii="Times New Roman" w:eastAsia="黑体"/>
                <w:snapToGrid w:val="0"/>
                <w:spacing w:val="-6"/>
                <w:kern w:val="21"/>
                <w:szCs w:val="21"/>
              </w:rPr>
              <w:t>废</w:t>
            </w:r>
            <w:r>
              <w:rPr>
                <w:rFonts w:hint="eastAsia" w:ascii="Times New Roman" w:eastAsia="黑体"/>
                <w:snapToGrid w:val="0"/>
                <w:spacing w:val="-6"/>
                <w:kern w:val="21"/>
                <w:szCs w:val="21"/>
              </w:rPr>
              <w:t>物</w:t>
            </w:r>
            <w:r>
              <w:rPr>
                <w:rFonts w:ascii="Times New Roman" w:eastAsia="黑体"/>
                <w:snapToGrid w:val="0"/>
                <w:spacing w:val="-6"/>
                <w:kern w:val="21"/>
                <w:szCs w:val="21"/>
              </w:rPr>
              <w:t>产生量）</w:t>
            </w: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1 \* GB3 \* MERGEFORMAT </w:instrText>
            </w:r>
            <w:r>
              <w:rPr>
                <w:rFonts w:ascii="Times New Roman" w:eastAsia="黑体"/>
                <w:snapToGrid w:val="0"/>
                <w:spacing w:val="-6"/>
                <w:kern w:val="21"/>
                <w:szCs w:val="21"/>
              </w:rPr>
              <w:fldChar w:fldCharType="separate"/>
            </w:r>
            <w:r>
              <w:rPr>
                <w:rFonts w:hint="eastAsia" w:ascii="Times New Roman" w:eastAsia="黑体" w:cs="宋体"/>
                <w:kern w:val="2"/>
                <w:szCs w:val="21"/>
              </w:rPr>
              <w:t>①</w:t>
            </w:r>
            <w:r>
              <w:rPr>
                <w:rFonts w:ascii="Times New Roman" w:eastAsia="黑体"/>
                <w:snapToGrid w:val="0"/>
                <w:spacing w:val="-6"/>
                <w:kern w:val="21"/>
                <w:szCs w:val="21"/>
              </w:rPr>
              <w:fldChar w:fldCharType="end"/>
            </w:r>
          </w:p>
        </w:tc>
        <w:tc>
          <w:tcPr>
            <w:tcW w:w="442" w:type="pct"/>
            <w:tcMar>
              <w:left w:w="28" w:type="dxa"/>
              <w:right w:w="28" w:type="dxa"/>
            </w:tcMar>
            <w:vAlign w:val="center"/>
          </w:tcPr>
          <w:p>
            <w:pPr>
              <w:pStyle w:val="37"/>
              <w:spacing w:beforeLines="0" w:afterLines="0" w:line="240" w:lineRule="auto"/>
              <w:ind w:firstLine="0" w:firstLineChars="0"/>
              <w:rPr>
                <w:rFonts w:ascii="Times New Roman" w:eastAsia="黑体"/>
                <w:snapToGrid w:val="0"/>
                <w:spacing w:val="-6"/>
                <w:kern w:val="21"/>
                <w:szCs w:val="21"/>
              </w:rPr>
            </w:pPr>
            <w:r>
              <w:rPr>
                <w:rFonts w:ascii="Times New Roman" w:eastAsia="黑体"/>
                <w:snapToGrid w:val="0"/>
                <w:spacing w:val="-6"/>
                <w:kern w:val="21"/>
                <w:szCs w:val="21"/>
              </w:rPr>
              <w:t>现有工程</w:t>
            </w:r>
          </w:p>
          <w:p>
            <w:pPr>
              <w:pStyle w:val="37"/>
              <w:spacing w:beforeLines="0" w:afterLines="0" w:line="240" w:lineRule="auto"/>
              <w:ind w:firstLine="0" w:firstLineChars="0"/>
              <w:rPr>
                <w:rFonts w:ascii="Times New Roman" w:eastAsia="黑体"/>
                <w:snapToGrid w:val="0"/>
                <w:spacing w:val="-6"/>
                <w:kern w:val="21"/>
                <w:szCs w:val="21"/>
              </w:rPr>
            </w:pPr>
            <w:r>
              <w:rPr>
                <w:rFonts w:ascii="Times New Roman" w:eastAsia="黑体"/>
                <w:snapToGrid w:val="0"/>
                <w:spacing w:val="-6"/>
                <w:kern w:val="21"/>
                <w:szCs w:val="21"/>
              </w:rPr>
              <w:t>许可排放量</w:t>
            </w:r>
          </w:p>
          <w:p>
            <w:pPr>
              <w:pStyle w:val="37"/>
              <w:spacing w:beforeLines="0" w:afterLines="0"/>
              <w:ind w:firstLine="0" w:firstLineChars="0"/>
              <w:rPr>
                <w:rFonts w:ascii="Times New Roman" w:eastAsia="黑体"/>
                <w:snapToGrid w:val="0"/>
                <w:spacing w:val="-6"/>
                <w:kern w:val="21"/>
                <w:szCs w:val="21"/>
              </w:rPr>
            </w:pP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2 \* GB3 \* MERGEFORMAT </w:instrText>
            </w:r>
            <w:r>
              <w:rPr>
                <w:rFonts w:ascii="Times New Roman" w:eastAsia="黑体"/>
                <w:snapToGrid w:val="0"/>
                <w:spacing w:val="-6"/>
                <w:kern w:val="21"/>
                <w:szCs w:val="21"/>
              </w:rPr>
              <w:fldChar w:fldCharType="separate"/>
            </w:r>
            <w:r>
              <w:rPr>
                <w:rFonts w:hint="eastAsia" w:ascii="Times New Roman" w:eastAsia="黑体" w:cs="宋体"/>
                <w:snapToGrid w:val="0"/>
                <w:spacing w:val="-6"/>
                <w:kern w:val="21"/>
                <w:szCs w:val="21"/>
              </w:rPr>
              <w:t>②</w:t>
            </w:r>
            <w:r>
              <w:rPr>
                <w:rFonts w:ascii="Times New Roman" w:eastAsia="黑体"/>
                <w:snapToGrid w:val="0"/>
                <w:spacing w:val="-6"/>
                <w:kern w:val="21"/>
                <w:szCs w:val="21"/>
              </w:rPr>
              <w:fldChar w:fldCharType="end"/>
            </w:r>
          </w:p>
        </w:tc>
        <w:tc>
          <w:tcPr>
            <w:tcW w:w="596" w:type="pct"/>
            <w:tcMar>
              <w:left w:w="28" w:type="dxa"/>
              <w:right w:w="28" w:type="dxa"/>
            </w:tcMar>
            <w:vAlign w:val="center"/>
          </w:tcPr>
          <w:p>
            <w:pPr>
              <w:pStyle w:val="37"/>
              <w:spacing w:beforeLines="0" w:afterLines="0" w:line="240" w:lineRule="auto"/>
              <w:ind w:firstLine="0" w:firstLineChars="0"/>
              <w:rPr>
                <w:rFonts w:ascii="Times New Roman" w:eastAsia="黑体"/>
                <w:snapToGrid w:val="0"/>
                <w:spacing w:val="-6"/>
                <w:kern w:val="21"/>
                <w:szCs w:val="21"/>
              </w:rPr>
            </w:pPr>
            <w:r>
              <w:rPr>
                <w:rFonts w:ascii="Times New Roman" w:eastAsia="黑体"/>
                <w:snapToGrid w:val="0"/>
                <w:spacing w:val="-6"/>
                <w:kern w:val="21"/>
                <w:szCs w:val="21"/>
              </w:rPr>
              <w:t>在建工程</w:t>
            </w:r>
          </w:p>
          <w:p>
            <w:pPr>
              <w:pStyle w:val="37"/>
              <w:spacing w:beforeLines="0" w:afterLines="0" w:line="240" w:lineRule="auto"/>
              <w:ind w:firstLine="0" w:firstLineChars="0"/>
              <w:rPr>
                <w:rFonts w:ascii="Times New Roman" w:eastAsia="黑体"/>
                <w:snapToGrid w:val="0"/>
                <w:spacing w:val="-6"/>
                <w:kern w:val="21"/>
                <w:szCs w:val="21"/>
              </w:rPr>
            </w:pPr>
            <w:r>
              <w:rPr>
                <w:rFonts w:ascii="Times New Roman" w:eastAsia="黑体"/>
                <w:snapToGrid w:val="0"/>
                <w:spacing w:val="-6"/>
                <w:kern w:val="21"/>
                <w:szCs w:val="21"/>
              </w:rPr>
              <w:t>排放量（固</w:t>
            </w:r>
            <w:r>
              <w:rPr>
                <w:rFonts w:hint="eastAsia" w:ascii="Times New Roman" w:eastAsia="黑体"/>
                <w:snapToGrid w:val="0"/>
                <w:spacing w:val="-6"/>
                <w:kern w:val="21"/>
                <w:szCs w:val="21"/>
              </w:rPr>
              <w:t>体</w:t>
            </w:r>
            <w:r>
              <w:rPr>
                <w:rFonts w:ascii="Times New Roman" w:eastAsia="黑体"/>
                <w:snapToGrid w:val="0"/>
                <w:spacing w:val="-6"/>
                <w:kern w:val="21"/>
                <w:szCs w:val="21"/>
              </w:rPr>
              <w:t>废</w:t>
            </w:r>
            <w:r>
              <w:rPr>
                <w:rFonts w:hint="eastAsia" w:ascii="Times New Roman" w:eastAsia="黑体"/>
                <w:snapToGrid w:val="0"/>
                <w:spacing w:val="-6"/>
                <w:kern w:val="21"/>
                <w:szCs w:val="21"/>
              </w:rPr>
              <w:t>物</w:t>
            </w:r>
            <w:r>
              <w:rPr>
                <w:rFonts w:ascii="Times New Roman" w:eastAsia="黑体"/>
                <w:snapToGrid w:val="0"/>
                <w:spacing w:val="-6"/>
                <w:kern w:val="21"/>
                <w:szCs w:val="21"/>
              </w:rPr>
              <w:t>产生量）</w:t>
            </w: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3 \* GB3 \* MERGEFORMAT </w:instrText>
            </w:r>
            <w:r>
              <w:rPr>
                <w:rFonts w:ascii="Times New Roman" w:eastAsia="黑体"/>
                <w:snapToGrid w:val="0"/>
                <w:spacing w:val="-6"/>
                <w:kern w:val="21"/>
                <w:szCs w:val="21"/>
              </w:rPr>
              <w:fldChar w:fldCharType="separate"/>
            </w:r>
            <w:r>
              <w:rPr>
                <w:rFonts w:hint="eastAsia" w:ascii="Times New Roman" w:eastAsia="黑体" w:cs="宋体"/>
                <w:kern w:val="2"/>
                <w:szCs w:val="21"/>
              </w:rPr>
              <w:t>③</w:t>
            </w:r>
            <w:r>
              <w:rPr>
                <w:rFonts w:ascii="Times New Roman" w:eastAsia="黑体"/>
                <w:snapToGrid w:val="0"/>
                <w:spacing w:val="-6"/>
                <w:kern w:val="21"/>
                <w:szCs w:val="21"/>
              </w:rPr>
              <w:fldChar w:fldCharType="end"/>
            </w:r>
          </w:p>
        </w:tc>
        <w:tc>
          <w:tcPr>
            <w:tcW w:w="545" w:type="pct"/>
            <w:tcMar>
              <w:left w:w="28" w:type="dxa"/>
              <w:right w:w="28" w:type="dxa"/>
            </w:tcMar>
            <w:vAlign w:val="center"/>
          </w:tcPr>
          <w:p>
            <w:pPr>
              <w:pStyle w:val="37"/>
              <w:spacing w:beforeLines="0" w:afterLines="0" w:line="240" w:lineRule="auto"/>
              <w:ind w:firstLine="0" w:firstLineChars="0"/>
              <w:rPr>
                <w:rFonts w:ascii="Times New Roman" w:eastAsia="黑体"/>
                <w:snapToGrid w:val="0"/>
                <w:spacing w:val="-6"/>
                <w:kern w:val="21"/>
                <w:szCs w:val="21"/>
              </w:rPr>
            </w:pPr>
            <w:r>
              <w:rPr>
                <w:rFonts w:ascii="Times New Roman" w:eastAsia="黑体"/>
                <w:snapToGrid w:val="0"/>
                <w:spacing w:val="-6"/>
                <w:kern w:val="21"/>
                <w:szCs w:val="21"/>
              </w:rPr>
              <w:t>本项目</w:t>
            </w:r>
          </w:p>
          <w:p>
            <w:pPr>
              <w:pStyle w:val="37"/>
              <w:spacing w:beforeLines="0" w:afterLines="0" w:line="240" w:lineRule="auto"/>
              <w:ind w:firstLine="0" w:firstLineChars="0"/>
              <w:rPr>
                <w:rFonts w:ascii="Times New Roman" w:eastAsia="黑体"/>
                <w:snapToGrid w:val="0"/>
                <w:spacing w:val="-6"/>
                <w:kern w:val="21"/>
                <w:szCs w:val="21"/>
              </w:rPr>
            </w:pPr>
            <w:r>
              <w:rPr>
                <w:rFonts w:ascii="Times New Roman" w:eastAsia="黑体"/>
                <w:snapToGrid w:val="0"/>
                <w:spacing w:val="-6"/>
                <w:kern w:val="21"/>
                <w:szCs w:val="21"/>
              </w:rPr>
              <w:t>排放量（固</w:t>
            </w:r>
            <w:r>
              <w:rPr>
                <w:rFonts w:hint="eastAsia" w:ascii="Times New Roman" w:eastAsia="黑体"/>
                <w:snapToGrid w:val="0"/>
                <w:spacing w:val="-6"/>
                <w:kern w:val="21"/>
                <w:szCs w:val="21"/>
              </w:rPr>
              <w:t>体</w:t>
            </w:r>
            <w:r>
              <w:rPr>
                <w:rFonts w:ascii="Times New Roman" w:eastAsia="黑体"/>
                <w:snapToGrid w:val="0"/>
                <w:spacing w:val="-6"/>
                <w:kern w:val="21"/>
                <w:szCs w:val="21"/>
              </w:rPr>
              <w:t>废</w:t>
            </w:r>
            <w:r>
              <w:rPr>
                <w:rFonts w:hint="eastAsia" w:ascii="Times New Roman" w:eastAsia="黑体"/>
                <w:snapToGrid w:val="0"/>
                <w:spacing w:val="-6"/>
                <w:kern w:val="21"/>
                <w:szCs w:val="21"/>
              </w:rPr>
              <w:t>物</w:t>
            </w:r>
            <w:r>
              <w:rPr>
                <w:rFonts w:ascii="Times New Roman" w:eastAsia="黑体"/>
                <w:snapToGrid w:val="0"/>
                <w:spacing w:val="-6"/>
                <w:kern w:val="21"/>
                <w:szCs w:val="21"/>
              </w:rPr>
              <w:t>产生量）</w:t>
            </w: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4 \* GB3 \* MERGEFORMAT </w:instrText>
            </w:r>
            <w:r>
              <w:rPr>
                <w:rFonts w:ascii="Times New Roman" w:eastAsia="黑体"/>
                <w:snapToGrid w:val="0"/>
                <w:spacing w:val="-6"/>
                <w:kern w:val="21"/>
                <w:szCs w:val="21"/>
              </w:rPr>
              <w:fldChar w:fldCharType="separate"/>
            </w:r>
            <w:r>
              <w:rPr>
                <w:rFonts w:hint="eastAsia" w:ascii="Times New Roman" w:eastAsia="黑体" w:cs="宋体"/>
                <w:kern w:val="2"/>
                <w:szCs w:val="21"/>
              </w:rPr>
              <w:t>④</w:t>
            </w:r>
            <w:r>
              <w:rPr>
                <w:rFonts w:ascii="Times New Roman" w:eastAsia="黑体"/>
                <w:snapToGrid w:val="0"/>
                <w:spacing w:val="-6"/>
                <w:kern w:val="21"/>
                <w:szCs w:val="21"/>
              </w:rPr>
              <w:fldChar w:fldCharType="end"/>
            </w:r>
          </w:p>
        </w:tc>
        <w:tc>
          <w:tcPr>
            <w:tcW w:w="619" w:type="pct"/>
            <w:tcMar>
              <w:left w:w="28" w:type="dxa"/>
              <w:right w:w="28" w:type="dxa"/>
            </w:tcMar>
            <w:vAlign w:val="center"/>
          </w:tcPr>
          <w:p>
            <w:pPr>
              <w:pStyle w:val="37"/>
              <w:spacing w:beforeLines="0" w:afterLines="0" w:line="240" w:lineRule="auto"/>
              <w:ind w:firstLine="0" w:firstLineChars="0"/>
              <w:rPr>
                <w:rFonts w:ascii="Times New Roman" w:eastAsia="黑体"/>
                <w:snapToGrid w:val="0"/>
                <w:spacing w:val="-16"/>
                <w:kern w:val="21"/>
                <w:szCs w:val="21"/>
              </w:rPr>
            </w:pPr>
            <w:r>
              <w:rPr>
                <w:rFonts w:ascii="Times New Roman" w:eastAsia="黑体"/>
                <w:snapToGrid w:val="0"/>
                <w:spacing w:val="-16"/>
                <w:kern w:val="21"/>
                <w:szCs w:val="21"/>
              </w:rPr>
              <w:t>以新带老削减量</w:t>
            </w:r>
          </w:p>
          <w:p>
            <w:pPr>
              <w:pStyle w:val="37"/>
              <w:spacing w:beforeLines="0" w:afterLines="0" w:line="240" w:lineRule="auto"/>
              <w:ind w:firstLine="0" w:firstLineChars="0"/>
              <w:rPr>
                <w:rFonts w:ascii="Times New Roman" w:eastAsia="黑体"/>
                <w:snapToGrid w:val="0"/>
                <w:spacing w:val="-16"/>
                <w:kern w:val="21"/>
                <w:szCs w:val="21"/>
              </w:rPr>
            </w:pPr>
            <w:r>
              <w:rPr>
                <w:rFonts w:ascii="Times New Roman" w:eastAsia="黑体"/>
                <w:snapToGrid w:val="0"/>
                <w:spacing w:val="-16"/>
                <w:kern w:val="21"/>
                <w:szCs w:val="21"/>
              </w:rPr>
              <w:t>（新建项目不填）</w:t>
            </w:r>
            <w:r>
              <w:rPr>
                <w:rFonts w:ascii="Times New Roman" w:eastAsia="黑体"/>
                <w:snapToGrid w:val="0"/>
                <w:spacing w:val="-16"/>
                <w:kern w:val="21"/>
                <w:szCs w:val="21"/>
              </w:rPr>
              <w:fldChar w:fldCharType="begin"/>
            </w:r>
            <w:r>
              <w:rPr>
                <w:rFonts w:ascii="Times New Roman" w:eastAsia="黑体"/>
                <w:snapToGrid w:val="0"/>
                <w:spacing w:val="-16"/>
                <w:kern w:val="21"/>
                <w:szCs w:val="21"/>
              </w:rPr>
              <w:instrText xml:space="preserve"> = 5 \* GB3 \* MERGEFORMAT </w:instrText>
            </w:r>
            <w:r>
              <w:rPr>
                <w:rFonts w:ascii="Times New Roman" w:eastAsia="黑体"/>
                <w:snapToGrid w:val="0"/>
                <w:spacing w:val="-16"/>
                <w:kern w:val="21"/>
                <w:szCs w:val="21"/>
              </w:rPr>
              <w:fldChar w:fldCharType="separate"/>
            </w:r>
            <w:r>
              <w:rPr>
                <w:rFonts w:hint="eastAsia" w:ascii="Times New Roman" w:eastAsia="黑体" w:cs="宋体"/>
                <w:kern w:val="2"/>
                <w:szCs w:val="21"/>
              </w:rPr>
              <w:t>⑤</w:t>
            </w:r>
            <w:r>
              <w:rPr>
                <w:rFonts w:ascii="Times New Roman" w:eastAsia="黑体"/>
                <w:snapToGrid w:val="0"/>
                <w:spacing w:val="-16"/>
                <w:kern w:val="21"/>
                <w:szCs w:val="21"/>
              </w:rPr>
              <w:fldChar w:fldCharType="end"/>
            </w:r>
          </w:p>
        </w:tc>
        <w:tc>
          <w:tcPr>
            <w:tcW w:w="691" w:type="pct"/>
            <w:tcMar>
              <w:left w:w="28" w:type="dxa"/>
              <w:right w:w="28" w:type="dxa"/>
            </w:tcMar>
            <w:vAlign w:val="center"/>
          </w:tcPr>
          <w:p>
            <w:pPr>
              <w:pStyle w:val="37"/>
              <w:spacing w:beforeLines="0" w:afterLines="0" w:line="240" w:lineRule="auto"/>
              <w:ind w:firstLine="0" w:firstLineChars="0"/>
              <w:rPr>
                <w:rFonts w:ascii="Times New Roman" w:eastAsia="黑体"/>
                <w:snapToGrid w:val="0"/>
                <w:spacing w:val="-16"/>
                <w:kern w:val="21"/>
                <w:szCs w:val="21"/>
              </w:rPr>
            </w:pPr>
            <w:r>
              <w:rPr>
                <w:rFonts w:ascii="Times New Roman" w:eastAsia="黑体"/>
                <w:snapToGrid w:val="0"/>
                <w:spacing w:val="-16"/>
                <w:kern w:val="21"/>
                <w:szCs w:val="21"/>
              </w:rPr>
              <w:t>本项目建成后</w:t>
            </w:r>
          </w:p>
          <w:p>
            <w:pPr>
              <w:pStyle w:val="37"/>
              <w:spacing w:beforeLines="0" w:afterLines="0" w:line="240" w:lineRule="auto"/>
              <w:ind w:firstLine="0" w:firstLineChars="0"/>
              <w:rPr>
                <w:rFonts w:ascii="Times New Roman" w:eastAsia="黑体"/>
                <w:snapToGrid w:val="0"/>
                <w:spacing w:val="-16"/>
                <w:kern w:val="21"/>
                <w:szCs w:val="21"/>
              </w:rPr>
            </w:pPr>
            <w:r>
              <w:rPr>
                <w:rFonts w:hint="eastAsia" w:ascii="Times New Roman" w:eastAsia="黑体"/>
                <w:snapToGrid w:val="0"/>
                <w:spacing w:val="-16"/>
                <w:kern w:val="21"/>
                <w:szCs w:val="21"/>
              </w:rPr>
              <w:t>全厂</w:t>
            </w:r>
            <w:r>
              <w:rPr>
                <w:rFonts w:ascii="Times New Roman" w:eastAsia="黑体"/>
                <w:snapToGrid w:val="0"/>
                <w:spacing w:val="-16"/>
                <w:kern w:val="21"/>
                <w:szCs w:val="21"/>
              </w:rPr>
              <w:t>排放量（固</w:t>
            </w:r>
            <w:r>
              <w:rPr>
                <w:rFonts w:hint="eastAsia" w:ascii="Times New Roman" w:eastAsia="黑体"/>
                <w:snapToGrid w:val="0"/>
                <w:spacing w:val="-16"/>
                <w:kern w:val="21"/>
                <w:szCs w:val="21"/>
              </w:rPr>
              <w:t>体</w:t>
            </w:r>
            <w:r>
              <w:rPr>
                <w:rFonts w:ascii="Times New Roman" w:eastAsia="黑体"/>
                <w:snapToGrid w:val="0"/>
                <w:spacing w:val="-16"/>
                <w:kern w:val="21"/>
                <w:szCs w:val="21"/>
              </w:rPr>
              <w:t>废</w:t>
            </w:r>
            <w:r>
              <w:rPr>
                <w:rFonts w:hint="eastAsia" w:ascii="Times New Roman" w:eastAsia="黑体"/>
                <w:snapToGrid w:val="0"/>
                <w:spacing w:val="-16"/>
                <w:kern w:val="21"/>
                <w:szCs w:val="21"/>
              </w:rPr>
              <w:t>物</w:t>
            </w:r>
            <w:r>
              <w:rPr>
                <w:rFonts w:ascii="Times New Roman" w:eastAsia="黑体"/>
                <w:snapToGrid w:val="0"/>
                <w:spacing w:val="-16"/>
                <w:kern w:val="21"/>
                <w:szCs w:val="21"/>
              </w:rPr>
              <w:t>产生量）</w:t>
            </w:r>
            <w:r>
              <w:rPr>
                <w:rFonts w:ascii="Times New Roman" w:eastAsia="黑体"/>
                <w:snapToGrid w:val="0"/>
                <w:spacing w:val="-16"/>
                <w:kern w:val="21"/>
                <w:szCs w:val="21"/>
              </w:rPr>
              <w:fldChar w:fldCharType="begin"/>
            </w:r>
            <w:r>
              <w:rPr>
                <w:rFonts w:ascii="Times New Roman" w:eastAsia="黑体"/>
                <w:snapToGrid w:val="0"/>
                <w:spacing w:val="-16"/>
                <w:kern w:val="21"/>
                <w:szCs w:val="21"/>
              </w:rPr>
              <w:instrText xml:space="preserve"> = 6 \* GB3 \* MERGEFORMAT </w:instrText>
            </w:r>
            <w:r>
              <w:rPr>
                <w:rFonts w:ascii="Times New Roman" w:eastAsia="黑体"/>
                <w:snapToGrid w:val="0"/>
                <w:spacing w:val="-16"/>
                <w:kern w:val="21"/>
                <w:szCs w:val="21"/>
              </w:rPr>
              <w:fldChar w:fldCharType="separate"/>
            </w:r>
            <w:r>
              <w:rPr>
                <w:rFonts w:hint="eastAsia" w:ascii="Times New Roman" w:eastAsia="黑体" w:cs="宋体"/>
                <w:kern w:val="2"/>
                <w:szCs w:val="21"/>
              </w:rPr>
              <w:t>⑥</w:t>
            </w:r>
            <w:r>
              <w:rPr>
                <w:rFonts w:ascii="Times New Roman" w:eastAsia="黑体"/>
                <w:snapToGrid w:val="0"/>
                <w:spacing w:val="-16"/>
                <w:kern w:val="21"/>
                <w:szCs w:val="21"/>
              </w:rPr>
              <w:fldChar w:fldCharType="end"/>
            </w:r>
          </w:p>
        </w:tc>
        <w:tc>
          <w:tcPr>
            <w:tcW w:w="458" w:type="pct"/>
            <w:tcMar>
              <w:left w:w="28" w:type="dxa"/>
              <w:right w:w="28" w:type="dxa"/>
            </w:tcMar>
            <w:vAlign w:val="center"/>
          </w:tcPr>
          <w:p>
            <w:pPr>
              <w:pStyle w:val="37"/>
              <w:spacing w:beforeLines="0" w:afterLines="0" w:line="240" w:lineRule="auto"/>
              <w:ind w:firstLine="0" w:firstLineChars="0"/>
              <w:rPr>
                <w:rFonts w:ascii="Times New Roman" w:eastAsia="黑体"/>
                <w:snapToGrid w:val="0"/>
                <w:spacing w:val="-6"/>
                <w:kern w:val="21"/>
                <w:szCs w:val="21"/>
              </w:rPr>
            </w:pPr>
            <w:r>
              <w:rPr>
                <w:rFonts w:ascii="Times New Roman" w:eastAsia="黑体"/>
                <w:snapToGrid w:val="0"/>
                <w:spacing w:val="-6"/>
                <w:kern w:val="21"/>
                <w:szCs w:val="21"/>
              </w:rPr>
              <w:t>变化量</w:t>
            </w:r>
          </w:p>
          <w:p>
            <w:pPr>
              <w:pStyle w:val="37"/>
              <w:spacing w:beforeLines="0" w:afterLines="0" w:line="240" w:lineRule="auto"/>
              <w:ind w:firstLine="0" w:firstLineChars="0"/>
              <w:rPr>
                <w:rFonts w:ascii="Times New Roman" w:eastAsia="黑体"/>
                <w:snapToGrid w:val="0"/>
                <w:spacing w:val="-6"/>
                <w:kern w:val="21"/>
                <w:szCs w:val="21"/>
              </w:rPr>
            </w:pP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7 \* GB3 \* MERGEFORMAT </w:instrText>
            </w:r>
            <w:r>
              <w:rPr>
                <w:rFonts w:ascii="Times New Roman" w:eastAsia="黑体"/>
                <w:snapToGrid w:val="0"/>
                <w:spacing w:val="-6"/>
                <w:kern w:val="21"/>
                <w:szCs w:val="21"/>
              </w:rPr>
              <w:fldChar w:fldCharType="separate"/>
            </w:r>
            <w:r>
              <w:rPr>
                <w:rFonts w:hint="eastAsia" w:ascii="Times New Roman" w:eastAsia="黑体" w:cs="宋体"/>
                <w:kern w:val="2"/>
                <w:szCs w:val="21"/>
              </w:rPr>
              <w:t>⑦</w:t>
            </w:r>
            <w:r>
              <w:rPr>
                <w:rFonts w:ascii="Times New Roman" w:eastAsia="黑体"/>
                <w:snapToGrid w:val="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5" w:type="pct"/>
            <w:vAlign w:val="center"/>
          </w:tcPr>
          <w:p>
            <w:pPr>
              <w:pStyle w:val="37"/>
              <w:spacing w:beforeLines="0" w:afterLines="0" w:line="240" w:lineRule="auto"/>
              <w:ind w:firstLine="0" w:firstLineChars="0"/>
              <w:rPr>
                <w:rFonts w:hint="eastAsia" w:ascii="Times New Roman" w:eastAsia="宋体" w:cs="宋体"/>
                <w:snapToGrid w:val="0"/>
                <w:kern w:val="21"/>
                <w:szCs w:val="21"/>
                <w:lang w:eastAsia="zh-CN"/>
              </w:rPr>
            </w:pPr>
            <w:r>
              <w:rPr>
                <w:rFonts w:hint="eastAsia" w:ascii="Times New Roman" w:cs="宋体"/>
                <w:snapToGrid w:val="0"/>
                <w:kern w:val="21"/>
                <w:szCs w:val="21"/>
                <w:lang w:eastAsia="zh-CN"/>
              </w:rPr>
              <w:t>废气</w:t>
            </w:r>
          </w:p>
        </w:tc>
        <w:tc>
          <w:tcPr>
            <w:tcW w:w="493" w:type="pct"/>
            <w:vAlign w:val="center"/>
          </w:tcPr>
          <w:p>
            <w:pPr>
              <w:pStyle w:val="37"/>
              <w:spacing w:beforeLines="0" w:afterLines="0" w:line="240" w:lineRule="auto"/>
              <w:ind w:firstLine="0" w:firstLineChars="0"/>
              <w:rPr>
                <w:rFonts w:hint="eastAsia" w:ascii="Times New Roman" w:eastAsia="宋体" w:cs="宋体"/>
                <w:snapToGrid w:val="0"/>
                <w:kern w:val="21"/>
                <w:szCs w:val="21"/>
                <w:lang w:eastAsia="zh-CN"/>
              </w:rPr>
            </w:pPr>
            <w:r>
              <w:rPr>
                <w:rFonts w:hint="eastAsia" w:ascii="Times New Roman" w:cs="宋体"/>
                <w:snapToGrid w:val="0"/>
                <w:kern w:val="21"/>
                <w:szCs w:val="21"/>
                <w:lang w:eastAsia="zh-CN"/>
              </w:rPr>
              <w:t>颗粒物</w:t>
            </w:r>
          </w:p>
        </w:tc>
        <w:tc>
          <w:tcPr>
            <w:tcW w:w="596" w:type="pct"/>
            <w:vAlign w:val="center"/>
          </w:tcPr>
          <w:p>
            <w:pPr>
              <w:pStyle w:val="37"/>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442" w:type="pct"/>
            <w:vAlign w:val="center"/>
          </w:tcPr>
          <w:p>
            <w:pPr>
              <w:pStyle w:val="37"/>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96" w:type="pct"/>
            <w:vAlign w:val="center"/>
          </w:tcPr>
          <w:p>
            <w:pPr>
              <w:pStyle w:val="37"/>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45" w:type="pct"/>
            <w:vAlign w:val="center"/>
          </w:tcPr>
          <w:p>
            <w:pPr>
              <w:pStyle w:val="37"/>
              <w:spacing w:beforeLines="0" w:afterLines="0" w:line="240" w:lineRule="auto"/>
              <w:ind w:firstLine="0" w:firstLineChars="0"/>
              <w:rPr>
                <w:rFonts w:hint="default" w:ascii="Times New Roman" w:hAnsi="Times New Roman" w:cs="Times New Roman"/>
                <w:snapToGrid w:val="0"/>
                <w:kern w:val="21"/>
                <w:szCs w:val="21"/>
              </w:rPr>
            </w:pPr>
            <w:r>
              <w:rPr>
                <w:rFonts w:hint="eastAsia" w:ascii="Times New Roman" w:cs="Times New Roman"/>
                <w:snapToGrid w:val="0"/>
                <w:kern w:val="21"/>
                <w:szCs w:val="21"/>
                <w:lang w:val="en-US" w:eastAsia="zh-CN"/>
              </w:rPr>
              <w:t>2.62kg</w:t>
            </w:r>
            <w:r>
              <w:rPr>
                <w:rFonts w:hint="default" w:ascii="Times New Roman" w:hAnsi="Times New Roman" w:cs="Times New Roman"/>
                <w:snapToGrid w:val="0"/>
                <w:kern w:val="21"/>
                <w:szCs w:val="21"/>
              </w:rPr>
              <w:t>/a</w:t>
            </w:r>
          </w:p>
        </w:tc>
        <w:tc>
          <w:tcPr>
            <w:tcW w:w="619" w:type="pct"/>
            <w:vAlign w:val="center"/>
          </w:tcPr>
          <w:p>
            <w:pPr>
              <w:pStyle w:val="37"/>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691" w:type="pct"/>
            <w:vAlign w:val="center"/>
          </w:tcPr>
          <w:p>
            <w:pPr>
              <w:pStyle w:val="37"/>
              <w:spacing w:beforeLines="0" w:afterLines="0" w:line="240" w:lineRule="auto"/>
              <w:ind w:firstLine="0" w:firstLineChars="0"/>
              <w:rPr>
                <w:rFonts w:hint="default" w:ascii="Times New Roman" w:hAnsi="Times New Roman" w:cs="Times New Roman"/>
                <w:snapToGrid w:val="0"/>
                <w:kern w:val="21"/>
                <w:szCs w:val="21"/>
              </w:rPr>
            </w:pPr>
            <w:r>
              <w:rPr>
                <w:rFonts w:hint="eastAsia" w:ascii="Times New Roman" w:cs="Times New Roman"/>
                <w:snapToGrid w:val="0"/>
                <w:kern w:val="21"/>
                <w:szCs w:val="21"/>
                <w:lang w:val="en-US" w:eastAsia="zh-CN"/>
              </w:rPr>
              <w:t>2.62kg</w:t>
            </w:r>
            <w:r>
              <w:rPr>
                <w:rFonts w:hint="default" w:ascii="Times New Roman" w:hAnsi="Times New Roman" w:cs="Times New Roman"/>
                <w:snapToGrid w:val="0"/>
                <w:kern w:val="21"/>
                <w:szCs w:val="21"/>
              </w:rPr>
              <w:t>/a</w:t>
            </w:r>
          </w:p>
        </w:tc>
        <w:tc>
          <w:tcPr>
            <w:tcW w:w="458" w:type="pct"/>
            <w:vAlign w:val="center"/>
          </w:tcPr>
          <w:p>
            <w:pPr>
              <w:pStyle w:val="37"/>
              <w:spacing w:beforeLines="0" w:afterLines="0" w:line="240" w:lineRule="auto"/>
              <w:ind w:firstLine="0" w:firstLineChars="0"/>
              <w:rPr>
                <w:rFonts w:ascii="Times New Roman" w:cs="宋体"/>
                <w:snapToGrid w:val="0"/>
                <w:kern w:val="21"/>
                <w:szCs w:val="21"/>
              </w:rPr>
            </w:pPr>
            <w:r>
              <w:rPr>
                <w:rFonts w:hint="eastAsia" w:ascii="Times New Roman" w:cs="Times New Roman"/>
                <w:snapToGrid w:val="0"/>
                <w:kern w:val="21"/>
                <w:szCs w:val="21"/>
                <w:lang w:val="en-US" w:eastAsia="zh-CN"/>
              </w:rPr>
              <w:t>2.62kg</w:t>
            </w:r>
            <w:r>
              <w:rPr>
                <w:rFonts w:hint="default" w:ascii="Times New Roman" w:hAnsi="Times New Roman" w:cs="Times New Roman"/>
                <w:snapToGrid w:val="0"/>
                <w:kern w:val="21"/>
                <w:szCs w:val="21"/>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5" w:type="pct"/>
            <w:vMerge w:val="restart"/>
            <w:vAlign w:val="center"/>
          </w:tcPr>
          <w:p>
            <w:pPr>
              <w:pStyle w:val="37"/>
              <w:spacing w:beforeLines="0" w:afterLines="0" w:line="240" w:lineRule="auto"/>
              <w:ind w:firstLine="0" w:firstLineChars="0"/>
              <w:rPr>
                <w:rFonts w:ascii="Times New Roman" w:cs="宋体"/>
                <w:snapToGrid w:val="0"/>
                <w:kern w:val="21"/>
                <w:szCs w:val="21"/>
              </w:rPr>
            </w:pPr>
            <w:r>
              <w:rPr>
                <w:rFonts w:hint="eastAsia" w:ascii="Times New Roman" w:cs="宋体"/>
                <w:snapToGrid w:val="0"/>
                <w:kern w:val="21"/>
                <w:szCs w:val="21"/>
              </w:rPr>
              <w:t>废水</w:t>
            </w:r>
          </w:p>
        </w:tc>
        <w:tc>
          <w:tcPr>
            <w:tcW w:w="493" w:type="pct"/>
            <w:vAlign w:val="center"/>
          </w:tcPr>
          <w:p>
            <w:pPr>
              <w:pStyle w:val="37"/>
              <w:spacing w:beforeLines="0" w:afterLines="0" w:line="240" w:lineRule="auto"/>
              <w:ind w:firstLine="0" w:firstLineChars="0"/>
              <w:rPr>
                <w:rFonts w:ascii="Times New Roman" w:cs="宋体"/>
                <w:snapToGrid w:val="0"/>
                <w:kern w:val="21"/>
                <w:szCs w:val="21"/>
              </w:rPr>
            </w:pPr>
            <w:r>
              <w:rPr>
                <w:rFonts w:ascii="Times New Roman" w:cs="宋体"/>
                <w:snapToGrid w:val="0"/>
                <w:kern w:val="21"/>
                <w:szCs w:val="21"/>
              </w:rPr>
              <w:t>COD</w:t>
            </w:r>
            <w:r>
              <w:rPr>
                <w:rFonts w:ascii="Times New Roman" w:cs="宋体"/>
                <w:snapToGrid w:val="0"/>
                <w:kern w:val="21"/>
                <w:szCs w:val="21"/>
                <w:vertAlign w:val="subscript"/>
              </w:rPr>
              <w:t>Cr</w:t>
            </w:r>
          </w:p>
        </w:tc>
        <w:tc>
          <w:tcPr>
            <w:tcW w:w="596" w:type="pct"/>
            <w:vAlign w:val="center"/>
          </w:tcPr>
          <w:p>
            <w:pPr>
              <w:pStyle w:val="37"/>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442" w:type="pct"/>
            <w:vAlign w:val="center"/>
          </w:tcPr>
          <w:p>
            <w:pPr>
              <w:pStyle w:val="37"/>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96" w:type="pct"/>
            <w:vAlign w:val="center"/>
          </w:tcPr>
          <w:p>
            <w:pPr>
              <w:pStyle w:val="37"/>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45" w:type="pct"/>
            <w:vAlign w:val="center"/>
          </w:tcPr>
          <w:p>
            <w:pPr>
              <w:pStyle w:val="37"/>
              <w:spacing w:beforeLines="0" w:afterLines="0" w:line="240" w:lineRule="auto"/>
              <w:ind w:firstLine="0" w:firstLineChars="0"/>
              <w:rPr>
                <w:rFonts w:hint="default" w:ascii="Times New Roman" w:hAnsi="Times New Roman" w:cs="Times New Roman"/>
                <w:snapToGrid w:val="0"/>
                <w:kern w:val="21"/>
                <w:szCs w:val="21"/>
              </w:rPr>
            </w:pPr>
            <w:r>
              <w:rPr>
                <w:rFonts w:hint="eastAsia" w:ascii="Times New Roman" w:cs="Times New Roman"/>
                <w:snapToGrid w:val="0"/>
                <w:kern w:val="21"/>
                <w:szCs w:val="21"/>
                <w:lang w:val="en-US" w:eastAsia="zh-CN"/>
              </w:rPr>
              <w:t>0.0381</w:t>
            </w:r>
            <w:r>
              <w:rPr>
                <w:rFonts w:hint="default" w:ascii="Times New Roman" w:hAnsi="Times New Roman" w:cs="Times New Roman"/>
                <w:snapToGrid w:val="0"/>
                <w:kern w:val="21"/>
                <w:szCs w:val="21"/>
              </w:rPr>
              <w:t>t/a</w:t>
            </w:r>
          </w:p>
        </w:tc>
        <w:tc>
          <w:tcPr>
            <w:tcW w:w="619" w:type="pct"/>
            <w:vAlign w:val="center"/>
          </w:tcPr>
          <w:p>
            <w:pPr>
              <w:pStyle w:val="37"/>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691" w:type="pct"/>
            <w:vAlign w:val="center"/>
          </w:tcPr>
          <w:p>
            <w:pPr>
              <w:pStyle w:val="37"/>
              <w:spacing w:beforeLines="0" w:afterLines="0" w:line="240" w:lineRule="auto"/>
              <w:ind w:firstLine="0" w:firstLineChars="0"/>
              <w:rPr>
                <w:rFonts w:hint="default" w:ascii="Times New Roman" w:hAnsi="Times New Roman" w:cs="Times New Roman"/>
                <w:snapToGrid w:val="0"/>
                <w:kern w:val="21"/>
                <w:szCs w:val="21"/>
              </w:rPr>
            </w:pPr>
            <w:r>
              <w:rPr>
                <w:rFonts w:hint="eastAsia" w:ascii="Times New Roman" w:cs="Times New Roman"/>
                <w:snapToGrid w:val="0"/>
                <w:kern w:val="21"/>
                <w:szCs w:val="21"/>
                <w:lang w:val="en-US" w:eastAsia="zh-CN"/>
              </w:rPr>
              <w:t>0.0381</w:t>
            </w:r>
            <w:r>
              <w:rPr>
                <w:rFonts w:hint="default" w:ascii="Times New Roman" w:hAnsi="Times New Roman" w:cs="Times New Roman"/>
                <w:snapToGrid w:val="0"/>
                <w:kern w:val="21"/>
                <w:szCs w:val="21"/>
              </w:rPr>
              <w:t>t/a</w:t>
            </w:r>
          </w:p>
        </w:tc>
        <w:tc>
          <w:tcPr>
            <w:tcW w:w="458" w:type="pct"/>
            <w:vAlign w:val="center"/>
          </w:tcPr>
          <w:p>
            <w:pPr>
              <w:pStyle w:val="37"/>
              <w:spacing w:beforeLines="0" w:afterLines="0" w:line="240" w:lineRule="auto"/>
              <w:ind w:firstLine="0" w:firstLineChars="0"/>
              <w:rPr>
                <w:rFonts w:ascii="Times New Roman" w:cs="宋体"/>
                <w:snapToGrid w:val="0"/>
                <w:kern w:val="21"/>
                <w:szCs w:val="21"/>
              </w:rPr>
            </w:pPr>
            <w:r>
              <w:rPr>
                <w:rFonts w:hint="eastAsia" w:ascii="Times New Roman" w:cs="Times New Roman"/>
                <w:snapToGrid w:val="0"/>
                <w:kern w:val="21"/>
                <w:szCs w:val="21"/>
                <w:lang w:val="en-US" w:eastAsia="zh-CN"/>
              </w:rPr>
              <w:t>0.0381</w:t>
            </w:r>
            <w:r>
              <w:rPr>
                <w:rFonts w:hint="default" w:ascii="Times New Roman" w:hAnsi="Times New Roman" w:cs="Times New Roman"/>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5" w:type="pct"/>
            <w:vMerge w:val="continue"/>
            <w:vAlign w:val="center"/>
          </w:tcPr>
          <w:p>
            <w:pPr>
              <w:pStyle w:val="37"/>
              <w:spacing w:beforeLines="0" w:afterLines="0" w:line="240" w:lineRule="auto"/>
              <w:ind w:firstLine="0" w:firstLineChars="0"/>
              <w:rPr>
                <w:rFonts w:ascii="Times New Roman" w:cs="宋体"/>
                <w:snapToGrid w:val="0"/>
                <w:kern w:val="21"/>
                <w:szCs w:val="21"/>
              </w:rPr>
            </w:pPr>
          </w:p>
        </w:tc>
        <w:tc>
          <w:tcPr>
            <w:tcW w:w="493" w:type="pct"/>
            <w:vAlign w:val="center"/>
          </w:tcPr>
          <w:p>
            <w:pPr>
              <w:pStyle w:val="37"/>
              <w:spacing w:beforeLines="0" w:afterLines="0" w:line="240" w:lineRule="auto"/>
              <w:ind w:firstLine="0" w:firstLineChars="0"/>
              <w:rPr>
                <w:rFonts w:ascii="Times New Roman" w:cs="宋体"/>
                <w:snapToGrid w:val="0"/>
                <w:kern w:val="21"/>
                <w:szCs w:val="21"/>
              </w:rPr>
            </w:pPr>
            <w:r>
              <w:rPr>
                <w:rFonts w:ascii="Times New Roman" w:cs="宋体"/>
                <w:snapToGrid w:val="0"/>
                <w:kern w:val="21"/>
                <w:szCs w:val="21"/>
              </w:rPr>
              <w:t>BOD</w:t>
            </w:r>
            <w:r>
              <w:rPr>
                <w:rFonts w:ascii="Times New Roman" w:cs="宋体"/>
                <w:snapToGrid w:val="0"/>
                <w:kern w:val="21"/>
                <w:szCs w:val="21"/>
                <w:vertAlign w:val="subscript"/>
              </w:rPr>
              <w:t>5</w:t>
            </w:r>
          </w:p>
        </w:tc>
        <w:tc>
          <w:tcPr>
            <w:tcW w:w="596" w:type="pct"/>
            <w:vAlign w:val="center"/>
          </w:tcPr>
          <w:p>
            <w:pPr>
              <w:pStyle w:val="37"/>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442" w:type="pct"/>
            <w:vAlign w:val="center"/>
          </w:tcPr>
          <w:p>
            <w:pPr>
              <w:pStyle w:val="37"/>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96" w:type="pct"/>
            <w:vAlign w:val="center"/>
          </w:tcPr>
          <w:p>
            <w:pPr>
              <w:pStyle w:val="37"/>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45" w:type="pct"/>
            <w:vAlign w:val="center"/>
          </w:tcPr>
          <w:p>
            <w:pPr>
              <w:pStyle w:val="37"/>
              <w:spacing w:beforeLines="0" w:afterLines="0" w:line="240" w:lineRule="auto"/>
              <w:ind w:firstLine="0" w:firstLineChars="0"/>
              <w:rPr>
                <w:rFonts w:hint="default" w:ascii="Times New Roman" w:hAnsi="Times New Roman" w:cs="Times New Roman"/>
                <w:snapToGrid w:val="0"/>
                <w:kern w:val="21"/>
                <w:szCs w:val="21"/>
              </w:rPr>
            </w:pPr>
            <w:r>
              <w:rPr>
                <w:rFonts w:hint="eastAsia" w:ascii="Times New Roman" w:cs="Times New Roman"/>
                <w:snapToGrid w:val="0"/>
                <w:kern w:val="21"/>
                <w:szCs w:val="21"/>
                <w:lang w:val="en-US" w:eastAsia="zh-CN"/>
              </w:rPr>
              <w:t>0.0218</w:t>
            </w:r>
            <w:r>
              <w:rPr>
                <w:rFonts w:hint="default" w:ascii="Times New Roman" w:hAnsi="Times New Roman" w:cs="Times New Roman"/>
                <w:snapToGrid w:val="0"/>
                <w:kern w:val="21"/>
                <w:szCs w:val="21"/>
              </w:rPr>
              <w:t>t/a</w:t>
            </w:r>
          </w:p>
        </w:tc>
        <w:tc>
          <w:tcPr>
            <w:tcW w:w="619" w:type="pct"/>
            <w:vAlign w:val="center"/>
          </w:tcPr>
          <w:p>
            <w:pPr>
              <w:pStyle w:val="37"/>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691" w:type="pct"/>
            <w:vAlign w:val="center"/>
          </w:tcPr>
          <w:p>
            <w:pPr>
              <w:pStyle w:val="37"/>
              <w:spacing w:beforeLines="0" w:afterLines="0" w:line="240" w:lineRule="auto"/>
              <w:ind w:firstLine="0" w:firstLineChars="0"/>
              <w:rPr>
                <w:rFonts w:hint="default" w:ascii="Times New Roman" w:hAnsi="Times New Roman" w:cs="Times New Roman"/>
                <w:snapToGrid w:val="0"/>
                <w:kern w:val="21"/>
                <w:szCs w:val="21"/>
              </w:rPr>
            </w:pPr>
            <w:r>
              <w:rPr>
                <w:rFonts w:hint="eastAsia" w:ascii="Times New Roman" w:cs="Times New Roman"/>
                <w:snapToGrid w:val="0"/>
                <w:kern w:val="21"/>
                <w:szCs w:val="21"/>
                <w:lang w:val="en-US" w:eastAsia="zh-CN"/>
              </w:rPr>
              <w:t>0.0218</w:t>
            </w:r>
            <w:r>
              <w:rPr>
                <w:rFonts w:hint="default" w:ascii="Times New Roman" w:hAnsi="Times New Roman" w:cs="Times New Roman"/>
                <w:snapToGrid w:val="0"/>
                <w:kern w:val="21"/>
                <w:szCs w:val="21"/>
              </w:rPr>
              <w:t>t/a</w:t>
            </w:r>
          </w:p>
        </w:tc>
        <w:tc>
          <w:tcPr>
            <w:tcW w:w="458" w:type="pct"/>
            <w:vAlign w:val="center"/>
          </w:tcPr>
          <w:p>
            <w:pPr>
              <w:pStyle w:val="37"/>
              <w:spacing w:beforeLines="0" w:afterLines="0" w:line="240" w:lineRule="auto"/>
              <w:ind w:firstLine="0" w:firstLineChars="0"/>
              <w:rPr>
                <w:rFonts w:ascii="Times New Roman" w:cs="宋体"/>
                <w:snapToGrid w:val="0"/>
                <w:kern w:val="21"/>
                <w:szCs w:val="21"/>
              </w:rPr>
            </w:pPr>
            <w:r>
              <w:rPr>
                <w:rFonts w:hint="eastAsia" w:ascii="Times New Roman" w:cs="Times New Roman"/>
                <w:snapToGrid w:val="0"/>
                <w:kern w:val="21"/>
                <w:szCs w:val="21"/>
                <w:lang w:val="en-US" w:eastAsia="zh-CN"/>
              </w:rPr>
              <w:t>0.0218</w:t>
            </w:r>
            <w:r>
              <w:rPr>
                <w:rFonts w:hint="default" w:ascii="Times New Roman" w:hAnsi="Times New Roman" w:cs="Times New Roman"/>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5" w:type="pct"/>
            <w:vMerge w:val="continue"/>
            <w:vAlign w:val="center"/>
          </w:tcPr>
          <w:p>
            <w:pPr>
              <w:pStyle w:val="37"/>
              <w:spacing w:beforeLines="0" w:afterLines="0" w:line="240" w:lineRule="auto"/>
              <w:ind w:firstLine="0" w:firstLineChars="0"/>
              <w:rPr>
                <w:rFonts w:ascii="Times New Roman" w:cs="宋体"/>
                <w:snapToGrid w:val="0"/>
                <w:kern w:val="21"/>
                <w:szCs w:val="21"/>
              </w:rPr>
            </w:pPr>
          </w:p>
        </w:tc>
        <w:tc>
          <w:tcPr>
            <w:tcW w:w="493" w:type="pct"/>
            <w:vAlign w:val="center"/>
          </w:tcPr>
          <w:p>
            <w:pPr>
              <w:pStyle w:val="37"/>
              <w:spacing w:beforeLines="0" w:afterLines="0" w:line="240" w:lineRule="auto"/>
              <w:ind w:firstLine="0" w:firstLineChars="0"/>
              <w:rPr>
                <w:rFonts w:ascii="Times New Roman" w:cs="宋体"/>
                <w:snapToGrid w:val="0"/>
                <w:kern w:val="21"/>
                <w:szCs w:val="21"/>
              </w:rPr>
            </w:pPr>
            <w:r>
              <w:rPr>
                <w:rFonts w:ascii="Times New Roman" w:cs="宋体"/>
                <w:snapToGrid w:val="0"/>
                <w:kern w:val="21"/>
                <w:szCs w:val="21"/>
              </w:rPr>
              <w:t>SS</w:t>
            </w:r>
          </w:p>
        </w:tc>
        <w:tc>
          <w:tcPr>
            <w:tcW w:w="596" w:type="pct"/>
            <w:vAlign w:val="center"/>
          </w:tcPr>
          <w:p>
            <w:pPr>
              <w:pStyle w:val="37"/>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442" w:type="pct"/>
            <w:vAlign w:val="center"/>
          </w:tcPr>
          <w:p>
            <w:pPr>
              <w:pStyle w:val="37"/>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96" w:type="pct"/>
            <w:vAlign w:val="center"/>
          </w:tcPr>
          <w:p>
            <w:pPr>
              <w:pStyle w:val="37"/>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45" w:type="pct"/>
            <w:vAlign w:val="center"/>
          </w:tcPr>
          <w:p>
            <w:pPr>
              <w:pStyle w:val="37"/>
              <w:spacing w:beforeLines="0" w:afterLines="0" w:line="240" w:lineRule="auto"/>
              <w:ind w:firstLine="0" w:firstLineChars="0"/>
              <w:rPr>
                <w:rFonts w:hint="default" w:ascii="Times New Roman" w:hAnsi="Times New Roman" w:cs="Times New Roman"/>
                <w:snapToGrid w:val="0"/>
                <w:kern w:val="21"/>
                <w:szCs w:val="21"/>
              </w:rPr>
            </w:pPr>
            <w:r>
              <w:rPr>
                <w:rFonts w:hint="eastAsia" w:ascii="Times New Roman" w:cs="Times New Roman"/>
                <w:snapToGrid w:val="0"/>
                <w:kern w:val="21"/>
                <w:szCs w:val="21"/>
                <w:lang w:val="en-US" w:eastAsia="zh-CN"/>
              </w:rPr>
              <w:t>0.0272</w:t>
            </w:r>
            <w:r>
              <w:rPr>
                <w:rFonts w:hint="default" w:ascii="Times New Roman" w:hAnsi="Times New Roman" w:cs="Times New Roman"/>
                <w:snapToGrid w:val="0"/>
                <w:kern w:val="21"/>
                <w:szCs w:val="21"/>
              </w:rPr>
              <w:t>t/a</w:t>
            </w:r>
          </w:p>
        </w:tc>
        <w:tc>
          <w:tcPr>
            <w:tcW w:w="619" w:type="pct"/>
            <w:vAlign w:val="center"/>
          </w:tcPr>
          <w:p>
            <w:pPr>
              <w:pStyle w:val="37"/>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691" w:type="pct"/>
            <w:vAlign w:val="center"/>
          </w:tcPr>
          <w:p>
            <w:pPr>
              <w:pStyle w:val="37"/>
              <w:spacing w:beforeLines="0" w:afterLines="0" w:line="240" w:lineRule="auto"/>
              <w:ind w:firstLine="0" w:firstLineChars="0"/>
              <w:rPr>
                <w:rFonts w:hint="default" w:ascii="Times New Roman" w:hAnsi="Times New Roman" w:cs="Times New Roman"/>
                <w:snapToGrid w:val="0"/>
                <w:kern w:val="21"/>
                <w:szCs w:val="21"/>
              </w:rPr>
            </w:pPr>
            <w:r>
              <w:rPr>
                <w:rFonts w:hint="eastAsia" w:ascii="Times New Roman" w:cs="Times New Roman"/>
                <w:snapToGrid w:val="0"/>
                <w:kern w:val="21"/>
                <w:szCs w:val="21"/>
                <w:lang w:val="en-US" w:eastAsia="zh-CN"/>
              </w:rPr>
              <w:t>0.0272</w:t>
            </w:r>
            <w:r>
              <w:rPr>
                <w:rFonts w:hint="default" w:ascii="Times New Roman" w:hAnsi="Times New Roman" w:cs="Times New Roman"/>
                <w:snapToGrid w:val="0"/>
                <w:kern w:val="21"/>
                <w:szCs w:val="21"/>
              </w:rPr>
              <w:t>t/a</w:t>
            </w:r>
          </w:p>
        </w:tc>
        <w:tc>
          <w:tcPr>
            <w:tcW w:w="458" w:type="pct"/>
            <w:vAlign w:val="center"/>
          </w:tcPr>
          <w:p>
            <w:pPr>
              <w:pStyle w:val="37"/>
              <w:spacing w:beforeLines="0" w:afterLines="0" w:line="240" w:lineRule="auto"/>
              <w:ind w:firstLine="0" w:firstLineChars="0"/>
              <w:rPr>
                <w:rFonts w:ascii="Times New Roman" w:cs="宋体"/>
                <w:snapToGrid w:val="0"/>
                <w:kern w:val="21"/>
                <w:szCs w:val="21"/>
              </w:rPr>
            </w:pPr>
            <w:r>
              <w:rPr>
                <w:rFonts w:hint="eastAsia" w:ascii="Times New Roman" w:cs="Times New Roman"/>
                <w:snapToGrid w:val="0"/>
                <w:kern w:val="21"/>
                <w:szCs w:val="21"/>
                <w:lang w:val="en-US" w:eastAsia="zh-CN"/>
              </w:rPr>
              <w:t>0.0272</w:t>
            </w:r>
            <w:r>
              <w:rPr>
                <w:rFonts w:hint="default" w:ascii="Times New Roman" w:hAnsi="Times New Roman" w:cs="Times New Roman"/>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5" w:type="pct"/>
            <w:vMerge w:val="continue"/>
            <w:vAlign w:val="center"/>
          </w:tcPr>
          <w:p>
            <w:pPr>
              <w:pStyle w:val="37"/>
              <w:spacing w:beforeLines="0" w:afterLines="0" w:line="240" w:lineRule="auto"/>
              <w:ind w:firstLine="0" w:firstLineChars="0"/>
              <w:rPr>
                <w:rFonts w:ascii="Times New Roman" w:cs="宋体"/>
                <w:snapToGrid w:val="0"/>
                <w:kern w:val="21"/>
                <w:szCs w:val="21"/>
              </w:rPr>
            </w:pPr>
          </w:p>
        </w:tc>
        <w:tc>
          <w:tcPr>
            <w:tcW w:w="493" w:type="pct"/>
            <w:vAlign w:val="center"/>
          </w:tcPr>
          <w:p>
            <w:pPr>
              <w:pStyle w:val="37"/>
              <w:spacing w:beforeLines="0" w:afterLines="0" w:line="240" w:lineRule="auto"/>
              <w:ind w:firstLine="0" w:firstLineChars="0"/>
              <w:rPr>
                <w:rFonts w:ascii="Times New Roman" w:cs="宋体"/>
                <w:snapToGrid w:val="0"/>
                <w:kern w:val="21"/>
                <w:szCs w:val="21"/>
              </w:rPr>
            </w:pPr>
            <w:r>
              <w:rPr>
                <w:rFonts w:ascii="Times New Roman" w:cs="宋体"/>
                <w:snapToGrid w:val="0"/>
                <w:kern w:val="21"/>
                <w:szCs w:val="21"/>
              </w:rPr>
              <w:t>NH</w:t>
            </w:r>
            <w:r>
              <w:rPr>
                <w:rFonts w:ascii="Times New Roman" w:cs="宋体"/>
                <w:snapToGrid w:val="0"/>
                <w:kern w:val="21"/>
                <w:szCs w:val="21"/>
                <w:vertAlign w:val="subscript"/>
              </w:rPr>
              <w:t>3</w:t>
            </w:r>
            <w:r>
              <w:rPr>
                <w:rFonts w:ascii="Times New Roman" w:cs="宋体"/>
                <w:snapToGrid w:val="0"/>
                <w:kern w:val="21"/>
                <w:szCs w:val="21"/>
              </w:rPr>
              <w:t>-N</w:t>
            </w:r>
          </w:p>
        </w:tc>
        <w:tc>
          <w:tcPr>
            <w:tcW w:w="596" w:type="pct"/>
            <w:vAlign w:val="center"/>
          </w:tcPr>
          <w:p>
            <w:pPr>
              <w:pStyle w:val="37"/>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442" w:type="pct"/>
            <w:vAlign w:val="center"/>
          </w:tcPr>
          <w:p>
            <w:pPr>
              <w:pStyle w:val="37"/>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96" w:type="pct"/>
            <w:vAlign w:val="center"/>
          </w:tcPr>
          <w:p>
            <w:pPr>
              <w:pStyle w:val="37"/>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545" w:type="pct"/>
            <w:vAlign w:val="center"/>
          </w:tcPr>
          <w:p>
            <w:pPr>
              <w:pStyle w:val="37"/>
              <w:spacing w:beforeLines="0" w:afterLines="0" w:line="240" w:lineRule="auto"/>
              <w:ind w:firstLine="0" w:firstLineChars="0"/>
              <w:rPr>
                <w:rFonts w:hint="default" w:ascii="Times New Roman" w:hAnsi="Times New Roman" w:cs="Times New Roman"/>
                <w:snapToGrid w:val="0"/>
                <w:kern w:val="21"/>
                <w:szCs w:val="21"/>
              </w:rPr>
            </w:pPr>
            <w:r>
              <w:rPr>
                <w:rFonts w:hint="eastAsia" w:ascii="Times New Roman" w:cs="Times New Roman"/>
                <w:snapToGrid w:val="0"/>
                <w:kern w:val="21"/>
                <w:szCs w:val="21"/>
                <w:lang w:val="en-US" w:eastAsia="zh-CN"/>
              </w:rPr>
              <w:t>0.0038</w:t>
            </w:r>
            <w:r>
              <w:rPr>
                <w:rFonts w:hint="default" w:ascii="Times New Roman" w:hAnsi="Times New Roman" w:cs="Times New Roman"/>
                <w:snapToGrid w:val="0"/>
                <w:kern w:val="21"/>
                <w:szCs w:val="21"/>
              </w:rPr>
              <w:t>t/a</w:t>
            </w:r>
          </w:p>
        </w:tc>
        <w:tc>
          <w:tcPr>
            <w:tcW w:w="619" w:type="pct"/>
            <w:vAlign w:val="center"/>
          </w:tcPr>
          <w:p>
            <w:pPr>
              <w:pStyle w:val="37"/>
              <w:spacing w:beforeLines="0" w:afterLines="0" w:line="240" w:lineRule="auto"/>
              <w:ind w:firstLine="0" w:firstLineChars="0"/>
              <w:rPr>
                <w:rFonts w:hint="eastAsia" w:ascii="Times New Roman" w:eastAsia="宋体" w:cs="宋体"/>
                <w:snapToGrid w:val="0"/>
                <w:kern w:val="21"/>
                <w:szCs w:val="21"/>
                <w:lang w:val="en-US" w:eastAsia="zh-CN"/>
              </w:rPr>
            </w:pPr>
            <w:r>
              <w:rPr>
                <w:rFonts w:hint="eastAsia" w:ascii="Times New Roman" w:cs="宋体"/>
                <w:snapToGrid w:val="0"/>
                <w:kern w:val="21"/>
                <w:szCs w:val="21"/>
                <w:lang w:val="en-US" w:eastAsia="zh-CN"/>
              </w:rPr>
              <w:t>0</w:t>
            </w:r>
          </w:p>
        </w:tc>
        <w:tc>
          <w:tcPr>
            <w:tcW w:w="691" w:type="pct"/>
            <w:vAlign w:val="center"/>
          </w:tcPr>
          <w:p>
            <w:pPr>
              <w:pStyle w:val="37"/>
              <w:spacing w:beforeLines="0" w:afterLines="0" w:line="240" w:lineRule="auto"/>
              <w:ind w:firstLine="0" w:firstLineChars="0"/>
              <w:rPr>
                <w:rFonts w:hint="default" w:ascii="Times New Roman" w:hAnsi="Times New Roman" w:cs="Times New Roman"/>
                <w:snapToGrid w:val="0"/>
                <w:kern w:val="21"/>
                <w:szCs w:val="21"/>
              </w:rPr>
            </w:pPr>
            <w:r>
              <w:rPr>
                <w:rFonts w:hint="eastAsia" w:ascii="Times New Roman" w:cs="Times New Roman"/>
                <w:snapToGrid w:val="0"/>
                <w:kern w:val="21"/>
                <w:szCs w:val="21"/>
                <w:lang w:val="en-US" w:eastAsia="zh-CN"/>
              </w:rPr>
              <w:t>0.0038</w:t>
            </w:r>
            <w:r>
              <w:rPr>
                <w:rFonts w:hint="default" w:ascii="Times New Roman" w:hAnsi="Times New Roman" w:cs="Times New Roman"/>
                <w:snapToGrid w:val="0"/>
                <w:kern w:val="21"/>
                <w:szCs w:val="21"/>
              </w:rPr>
              <w:t>t/a</w:t>
            </w:r>
          </w:p>
        </w:tc>
        <w:tc>
          <w:tcPr>
            <w:tcW w:w="458" w:type="pct"/>
            <w:vAlign w:val="center"/>
          </w:tcPr>
          <w:p>
            <w:pPr>
              <w:pStyle w:val="37"/>
              <w:spacing w:beforeLines="0" w:afterLines="0" w:line="240" w:lineRule="auto"/>
              <w:ind w:firstLine="0" w:firstLineChars="0"/>
              <w:rPr>
                <w:rFonts w:ascii="Times New Roman" w:cs="宋体"/>
                <w:snapToGrid w:val="0"/>
                <w:kern w:val="21"/>
                <w:szCs w:val="21"/>
              </w:rPr>
            </w:pPr>
            <w:r>
              <w:rPr>
                <w:rFonts w:hint="eastAsia" w:ascii="Times New Roman" w:cs="Times New Roman"/>
                <w:snapToGrid w:val="0"/>
                <w:kern w:val="21"/>
                <w:szCs w:val="21"/>
                <w:lang w:val="en-US" w:eastAsia="zh-CN"/>
              </w:rPr>
              <w:t>0.0038</w:t>
            </w:r>
            <w:r>
              <w:rPr>
                <w:rFonts w:hint="default" w:ascii="Times New Roman" w:hAnsi="Times New Roman" w:cs="Times New Roman"/>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5" w:type="pct"/>
            <w:vAlign w:val="center"/>
          </w:tcPr>
          <w:p>
            <w:pPr>
              <w:pStyle w:val="37"/>
              <w:spacing w:beforeLines="0" w:afterLines="0" w:line="240" w:lineRule="auto"/>
              <w:ind w:firstLine="0" w:firstLineChars="0"/>
              <w:rPr>
                <w:rFonts w:hint="eastAsia" w:ascii="Times New Roman" w:eastAsia="宋体" w:cs="宋体"/>
                <w:snapToGrid w:val="0"/>
                <w:kern w:val="21"/>
                <w:szCs w:val="21"/>
                <w:lang w:eastAsia="zh-CN"/>
              </w:rPr>
            </w:pPr>
            <w:r>
              <w:rPr>
                <w:rFonts w:hint="eastAsia" w:ascii="Times New Roman" w:cs="宋体"/>
                <w:snapToGrid w:val="0"/>
                <w:kern w:val="21"/>
                <w:szCs w:val="21"/>
                <w:lang w:eastAsia="zh-CN"/>
              </w:rPr>
              <w:t>固体废物</w:t>
            </w:r>
          </w:p>
        </w:tc>
        <w:tc>
          <w:tcPr>
            <w:tcW w:w="493" w:type="pct"/>
            <w:vAlign w:val="center"/>
          </w:tcPr>
          <w:p>
            <w:pPr>
              <w:pStyle w:val="37"/>
              <w:spacing w:beforeLines="0" w:afterLines="0" w:line="240" w:lineRule="auto"/>
              <w:ind w:firstLine="0" w:firstLineChars="0"/>
              <w:rPr>
                <w:rFonts w:hint="eastAsia" w:ascii="Times New Roman" w:eastAsia="宋体" w:cs="宋体"/>
                <w:snapToGrid w:val="0"/>
                <w:kern w:val="21"/>
                <w:szCs w:val="21"/>
                <w:lang w:eastAsia="zh-CN"/>
              </w:rPr>
            </w:pPr>
            <w:r>
              <w:rPr>
                <w:rFonts w:hint="eastAsia" w:ascii="Times New Roman" w:cs="宋体"/>
                <w:snapToGrid w:val="0"/>
                <w:kern w:val="21"/>
                <w:szCs w:val="21"/>
                <w:lang w:eastAsia="zh-CN"/>
              </w:rPr>
              <w:t>生活垃圾</w:t>
            </w:r>
          </w:p>
        </w:tc>
        <w:tc>
          <w:tcPr>
            <w:tcW w:w="596" w:type="pct"/>
            <w:vAlign w:val="center"/>
          </w:tcPr>
          <w:p>
            <w:pPr>
              <w:pStyle w:val="37"/>
              <w:spacing w:beforeLines="0" w:afterLines="0" w:line="240" w:lineRule="auto"/>
              <w:ind w:firstLine="0" w:firstLineChars="0"/>
              <w:rPr>
                <w:rFonts w:hint="default" w:ascii="Times New Roman" w:cs="宋体"/>
                <w:snapToGrid w:val="0"/>
                <w:kern w:val="21"/>
                <w:szCs w:val="21"/>
                <w:lang w:val="en-US" w:eastAsia="zh-CN"/>
              </w:rPr>
            </w:pPr>
            <w:r>
              <w:rPr>
                <w:rFonts w:hint="eastAsia" w:ascii="Times New Roman" w:cs="宋体"/>
                <w:snapToGrid w:val="0"/>
                <w:kern w:val="21"/>
                <w:szCs w:val="21"/>
                <w:lang w:val="en-US" w:eastAsia="zh-CN"/>
              </w:rPr>
              <w:t>0</w:t>
            </w:r>
          </w:p>
        </w:tc>
        <w:tc>
          <w:tcPr>
            <w:tcW w:w="442" w:type="pct"/>
            <w:vAlign w:val="center"/>
          </w:tcPr>
          <w:p>
            <w:pPr>
              <w:pStyle w:val="37"/>
              <w:spacing w:beforeLines="0" w:afterLines="0" w:line="240" w:lineRule="auto"/>
              <w:ind w:firstLine="0" w:firstLineChars="0"/>
              <w:rPr>
                <w:rFonts w:hint="default" w:ascii="Times New Roman" w:cs="宋体"/>
                <w:snapToGrid w:val="0"/>
                <w:kern w:val="21"/>
                <w:szCs w:val="21"/>
                <w:lang w:val="en-US" w:eastAsia="zh-CN"/>
              </w:rPr>
            </w:pPr>
            <w:r>
              <w:rPr>
                <w:rFonts w:hint="eastAsia" w:ascii="Times New Roman" w:cs="宋体"/>
                <w:snapToGrid w:val="0"/>
                <w:kern w:val="21"/>
                <w:szCs w:val="21"/>
                <w:lang w:val="en-US" w:eastAsia="zh-CN"/>
              </w:rPr>
              <w:t>0</w:t>
            </w:r>
          </w:p>
        </w:tc>
        <w:tc>
          <w:tcPr>
            <w:tcW w:w="596" w:type="pct"/>
            <w:vAlign w:val="center"/>
          </w:tcPr>
          <w:p>
            <w:pPr>
              <w:pStyle w:val="37"/>
              <w:spacing w:beforeLines="0" w:afterLines="0" w:line="240" w:lineRule="auto"/>
              <w:ind w:firstLine="0" w:firstLineChars="0"/>
              <w:rPr>
                <w:rFonts w:hint="default" w:ascii="Times New Roman" w:cs="宋体"/>
                <w:snapToGrid w:val="0"/>
                <w:kern w:val="21"/>
                <w:szCs w:val="21"/>
                <w:lang w:val="en-US" w:eastAsia="zh-CN"/>
              </w:rPr>
            </w:pPr>
            <w:r>
              <w:rPr>
                <w:rFonts w:hint="eastAsia" w:ascii="Times New Roman" w:cs="宋体"/>
                <w:snapToGrid w:val="0"/>
                <w:kern w:val="21"/>
                <w:szCs w:val="21"/>
                <w:lang w:val="en-US" w:eastAsia="zh-CN"/>
              </w:rPr>
              <w:t>0</w:t>
            </w:r>
          </w:p>
        </w:tc>
        <w:tc>
          <w:tcPr>
            <w:tcW w:w="545" w:type="pct"/>
            <w:vAlign w:val="center"/>
          </w:tcPr>
          <w:p>
            <w:pPr>
              <w:pStyle w:val="37"/>
              <w:spacing w:beforeLines="0" w:afterLines="0" w:line="240" w:lineRule="auto"/>
              <w:ind w:firstLine="0" w:firstLineChars="0"/>
              <w:rPr>
                <w:rFonts w:hint="default" w:ascii="Times New Roman" w:cs="Times New Roman"/>
                <w:snapToGrid w:val="0"/>
                <w:kern w:val="21"/>
                <w:szCs w:val="21"/>
                <w:lang w:val="en-US" w:eastAsia="zh-CN"/>
              </w:rPr>
            </w:pPr>
            <w:r>
              <w:rPr>
                <w:rFonts w:hint="eastAsia" w:ascii="Times New Roman" w:cs="Times New Roman"/>
                <w:snapToGrid w:val="0"/>
                <w:kern w:val="21"/>
                <w:szCs w:val="21"/>
                <w:lang w:val="en-US" w:eastAsia="zh-CN"/>
              </w:rPr>
              <w:t>1.6t/a</w:t>
            </w:r>
          </w:p>
        </w:tc>
        <w:tc>
          <w:tcPr>
            <w:tcW w:w="619" w:type="pct"/>
            <w:vAlign w:val="center"/>
          </w:tcPr>
          <w:p>
            <w:pPr>
              <w:pStyle w:val="37"/>
              <w:spacing w:beforeLines="0" w:afterLines="0" w:line="240" w:lineRule="auto"/>
              <w:ind w:firstLine="0" w:firstLineChars="0"/>
              <w:rPr>
                <w:rFonts w:hint="default" w:ascii="Times New Roman" w:cs="宋体"/>
                <w:snapToGrid w:val="0"/>
                <w:kern w:val="21"/>
                <w:szCs w:val="21"/>
                <w:lang w:val="en-US" w:eastAsia="zh-CN"/>
              </w:rPr>
            </w:pPr>
            <w:r>
              <w:rPr>
                <w:rFonts w:hint="eastAsia" w:ascii="Times New Roman" w:cs="宋体"/>
                <w:snapToGrid w:val="0"/>
                <w:kern w:val="21"/>
                <w:szCs w:val="21"/>
                <w:lang w:val="en-US" w:eastAsia="zh-CN"/>
              </w:rPr>
              <w:t>0</w:t>
            </w:r>
          </w:p>
        </w:tc>
        <w:tc>
          <w:tcPr>
            <w:tcW w:w="691" w:type="pct"/>
            <w:vAlign w:val="center"/>
          </w:tcPr>
          <w:p>
            <w:pPr>
              <w:pStyle w:val="37"/>
              <w:spacing w:beforeLines="0" w:afterLines="0" w:line="240" w:lineRule="auto"/>
              <w:ind w:firstLine="0" w:firstLineChars="0"/>
              <w:rPr>
                <w:rFonts w:hint="eastAsia" w:ascii="Times New Roman" w:cs="Times New Roman"/>
                <w:snapToGrid w:val="0"/>
                <w:kern w:val="21"/>
                <w:szCs w:val="21"/>
                <w:lang w:val="en-US" w:eastAsia="zh-CN"/>
              </w:rPr>
            </w:pPr>
            <w:r>
              <w:rPr>
                <w:rFonts w:hint="eastAsia" w:ascii="Times New Roman" w:cs="宋体"/>
                <w:snapToGrid w:val="0"/>
                <w:kern w:val="21"/>
                <w:szCs w:val="21"/>
                <w:lang w:val="en-US" w:eastAsia="zh-CN"/>
              </w:rPr>
              <w:t>1.6t/a</w:t>
            </w:r>
          </w:p>
        </w:tc>
        <w:tc>
          <w:tcPr>
            <w:tcW w:w="458" w:type="pct"/>
            <w:vAlign w:val="center"/>
          </w:tcPr>
          <w:p>
            <w:pPr>
              <w:pStyle w:val="37"/>
              <w:spacing w:beforeLines="0" w:afterLines="0" w:line="240" w:lineRule="auto"/>
              <w:ind w:firstLine="0" w:firstLineChars="0"/>
              <w:rPr>
                <w:rFonts w:hint="eastAsia" w:ascii="Times New Roman" w:cs="Times New Roman"/>
                <w:snapToGrid w:val="0"/>
                <w:kern w:val="21"/>
                <w:szCs w:val="21"/>
                <w:lang w:val="en-US" w:eastAsia="zh-CN"/>
              </w:rPr>
            </w:pPr>
            <w:r>
              <w:rPr>
                <w:rFonts w:hint="eastAsia" w:ascii="Times New Roman" w:cs="宋体"/>
                <w:snapToGrid w:val="0"/>
                <w:kern w:val="21"/>
                <w:szCs w:val="21"/>
                <w:lang w:val="en-US" w:eastAsia="zh-CN"/>
              </w:rPr>
              <w:t>1.6t/a</w:t>
            </w:r>
          </w:p>
        </w:tc>
      </w:tr>
    </w:tbl>
    <w:p>
      <w:pPr>
        <w:pStyle w:val="37"/>
        <w:spacing w:before="192" w:beforeLines="80" w:after="24"/>
        <w:ind w:firstLine="0" w:firstLineChars="0"/>
        <w:jc w:val="left"/>
        <w:rPr>
          <w:rFonts w:ascii="Times New Roman"/>
          <w:snapToGrid w:val="0"/>
          <w:spacing w:val="-6"/>
          <w:kern w:val="21"/>
          <w:szCs w:val="21"/>
        </w:rPr>
      </w:pPr>
      <w:r>
        <w:rPr>
          <w:rFonts w:ascii="Times New Roman"/>
          <w:snapToGrid w:val="0"/>
          <w:kern w:val="21"/>
          <w:szCs w:val="21"/>
        </w:rPr>
        <w:t>注：</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ascii="Times New Roman"/>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ascii="Times New Roman"/>
          <w:szCs w:val="21"/>
        </w:rPr>
        <w:t>①</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hint="eastAsia" w:ascii="Times New Roman"/>
          <w:szCs w:val="21"/>
        </w:rPr>
        <w:t>③</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hint="eastAsia" w:ascii="Times New Roman"/>
          <w:szCs w:val="21"/>
        </w:rPr>
        <w:t>④</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hint="eastAsia" w:ascii="Times New Roman"/>
          <w:szCs w:val="21"/>
        </w:rPr>
        <w:t>⑤</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hint="eastAsia" w:ascii="Times New Roman"/>
          <w:szCs w:val="21"/>
        </w:rPr>
        <w:t>⑦</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ascii="Times New Roman"/>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ascii="Times New Roman"/>
          <w:szCs w:val="21"/>
        </w:rPr>
        <w:t>①</w:t>
      </w:r>
      <w:r>
        <w:rPr>
          <w:rFonts w:ascii="Times New Roman"/>
          <w:snapToGrid w:val="0"/>
          <w:spacing w:val="-6"/>
          <w:kern w:val="21"/>
          <w:szCs w:val="21"/>
        </w:rPr>
        <w:fldChar w:fldCharType="end"/>
      </w:r>
    </w:p>
    <w:p>
      <w:pPr>
        <w:pStyle w:val="37"/>
        <w:spacing w:before="192" w:beforeLines="80" w:after="24"/>
        <w:ind w:firstLine="0" w:firstLineChars="0"/>
        <w:jc w:val="left"/>
        <w:rPr>
          <w:rFonts w:ascii="Times New Roman"/>
          <w:snapToGrid w:val="0"/>
          <w:spacing w:val="-6"/>
          <w:kern w:val="21"/>
          <w:szCs w:val="21"/>
        </w:rPr>
      </w:pPr>
    </w:p>
    <w:p>
      <w:pPr>
        <w:ind w:left="0" w:leftChars="0" w:firstLine="0" w:firstLineChars="0"/>
        <w:rPr>
          <w:rFonts w:ascii="Times New Roman"/>
          <w:snapToGrid w:val="0"/>
          <w:spacing w:val="-6"/>
          <w:kern w:val="21"/>
          <w:szCs w:val="21"/>
        </w:rPr>
      </w:pPr>
    </w:p>
    <w:sectPr>
      <w:footerReference r:id="rId12"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ind w:firstLine="560"/>
      <w:rPr>
        <w:rStyle w:val="21"/>
        <w:rFonts w:ascii="宋体" w:hAnsi="宋体"/>
        <w:sz w:val="28"/>
        <w:szCs w:val="28"/>
      </w:rPr>
    </w:pPr>
    <w:r>
      <w:rPr>
        <w:rStyle w:val="21"/>
        <w:rFonts w:hint="eastAsia" w:ascii="宋体" w:hAnsi="宋体"/>
        <w:sz w:val="28"/>
        <w:szCs w:val="28"/>
      </w:rPr>
      <w:t>—</w:t>
    </w:r>
    <w:r>
      <w:rPr>
        <w:rStyle w:val="21"/>
        <w:rFonts w:hint="eastAsia" w:ascii="宋体" w:hAnsi="宋体"/>
        <w:sz w:val="20"/>
      </w:rPr>
      <w:t xml:space="preserve">  </w:t>
    </w:r>
    <w:r>
      <w:rPr>
        <w:rStyle w:val="21"/>
        <w:rFonts w:ascii="宋体" w:hAnsi="宋体"/>
        <w:sz w:val="26"/>
        <w:szCs w:val="26"/>
      </w:rPr>
      <w:fldChar w:fldCharType="begin"/>
    </w:r>
    <w:r>
      <w:rPr>
        <w:rStyle w:val="21"/>
        <w:rFonts w:ascii="宋体" w:hAnsi="宋体"/>
        <w:sz w:val="26"/>
        <w:szCs w:val="26"/>
      </w:rPr>
      <w:instrText xml:space="preserve">PAGE  </w:instrText>
    </w:r>
    <w:r>
      <w:rPr>
        <w:rStyle w:val="21"/>
        <w:rFonts w:ascii="宋体" w:hAnsi="宋体"/>
        <w:sz w:val="26"/>
        <w:szCs w:val="26"/>
      </w:rPr>
      <w:fldChar w:fldCharType="separate"/>
    </w:r>
    <w:r>
      <w:rPr>
        <w:rStyle w:val="21"/>
        <w:rFonts w:ascii="宋体" w:hAnsi="宋体"/>
        <w:sz w:val="26"/>
        <w:szCs w:val="26"/>
      </w:rPr>
      <w:t>1</w:t>
    </w:r>
    <w:r>
      <w:rPr>
        <w:rStyle w:val="21"/>
        <w:rFonts w:ascii="宋体" w:hAnsi="宋体"/>
        <w:sz w:val="26"/>
        <w:szCs w:val="26"/>
      </w:rPr>
      <w:fldChar w:fldCharType="end"/>
    </w:r>
    <w:r>
      <w:rPr>
        <w:rStyle w:val="21"/>
        <w:rFonts w:hint="eastAsia" w:ascii="宋体" w:hAnsi="宋体"/>
        <w:sz w:val="20"/>
      </w:rPr>
      <w:t xml:space="preserve">  </w:t>
    </w:r>
    <w:r>
      <w:rPr>
        <w:rStyle w:val="21"/>
        <w:rFonts w:hint="eastAsia" w:ascii="宋体" w:hAnsi="宋体"/>
        <w:sz w:val="28"/>
        <w:szCs w:val="28"/>
      </w:rPr>
      <w:t>—</w:t>
    </w:r>
  </w:p>
  <w:p>
    <w:pPr>
      <w:pStyle w:val="1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360"/>
      <w:rPr>
        <w:rStyle w:val="21"/>
      </w:rPr>
    </w:pPr>
    <w:r>
      <w:fldChar w:fldCharType="begin"/>
    </w:r>
    <w:r>
      <w:rPr>
        <w:rStyle w:val="21"/>
      </w:rPr>
      <w:instrText xml:space="preserve">PAGE  </w:instrText>
    </w:r>
    <w: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ind w:firstLine="560"/>
      <w:rPr>
        <w:rStyle w:val="21"/>
        <w:rFonts w:ascii="宋体" w:hAnsi="宋体"/>
        <w:sz w:val="28"/>
        <w:szCs w:val="28"/>
      </w:rPr>
    </w:pPr>
    <w:r>
      <w:rPr>
        <w:rStyle w:val="21"/>
        <w:rFonts w:hint="eastAsia" w:ascii="宋体" w:hAnsi="宋体"/>
        <w:sz w:val="28"/>
        <w:szCs w:val="28"/>
      </w:rPr>
      <w:t>—</w:t>
    </w:r>
    <w:r>
      <w:rPr>
        <w:rStyle w:val="21"/>
        <w:rFonts w:hint="eastAsia" w:ascii="宋体" w:hAnsi="宋体"/>
        <w:sz w:val="20"/>
      </w:rPr>
      <w:t xml:space="preserve">  </w:t>
    </w:r>
    <w:r>
      <w:rPr>
        <w:rStyle w:val="21"/>
        <w:rFonts w:ascii="宋体" w:hAnsi="宋体"/>
        <w:sz w:val="26"/>
        <w:szCs w:val="26"/>
      </w:rPr>
      <w:fldChar w:fldCharType="begin"/>
    </w:r>
    <w:r>
      <w:rPr>
        <w:rStyle w:val="21"/>
        <w:rFonts w:ascii="宋体" w:hAnsi="宋体"/>
        <w:sz w:val="26"/>
        <w:szCs w:val="26"/>
      </w:rPr>
      <w:instrText xml:space="preserve">PAGE  </w:instrText>
    </w:r>
    <w:r>
      <w:rPr>
        <w:rStyle w:val="21"/>
        <w:rFonts w:ascii="宋体" w:hAnsi="宋体"/>
        <w:sz w:val="26"/>
        <w:szCs w:val="26"/>
      </w:rPr>
      <w:fldChar w:fldCharType="separate"/>
    </w:r>
    <w:r>
      <w:rPr>
        <w:rStyle w:val="21"/>
        <w:rFonts w:ascii="宋体" w:hAnsi="宋体"/>
        <w:sz w:val="26"/>
        <w:szCs w:val="26"/>
      </w:rPr>
      <w:t>2</w:t>
    </w:r>
    <w:r>
      <w:rPr>
        <w:rStyle w:val="21"/>
        <w:rFonts w:ascii="宋体" w:hAnsi="宋体"/>
        <w:sz w:val="26"/>
        <w:szCs w:val="26"/>
      </w:rPr>
      <w:fldChar w:fldCharType="end"/>
    </w:r>
    <w:r>
      <w:rPr>
        <w:rStyle w:val="21"/>
        <w:rFonts w:hint="eastAsia" w:ascii="宋体" w:hAnsi="宋体"/>
        <w:sz w:val="20"/>
      </w:rPr>
      <w:t xml:space="preserve">  </w:t>
    </w:r>
    <w:r>
      <w:rPr>
        <w:rStyle w:val="21"/>
        <w:rFonts w:hint="eastAsia" w:ascii="宋体" w:hAnsi="宋体"/>
        <w:sz w:val="28"/>
        <w:szCs w:val="28"/>
      </w:rPr>
      <w:t>—</w:t>
    </w:r>
  </w:p>
  <w:p>
    <w:pPr>
      <w:pStyle w:val="13"/>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ind w:firstLine="560"/>
      <w:rPr>
        <w:rStyle w:val="21"/>
        <w:rFonts w:ascii="宋体" w:hAnsi="宋体"/>
        <w:sz w:val="28"/>
        <w:szCs w:val="28"/>
      </w:rPr>
    </w:pPr>
    <w:r>
      <w:rPr>
        <w:rStyle w:val="21"/>
        <w:rFonts w:hint="eastAsia" w:ascii="宋体" w:hAnsi="宋体"/>
        <w:sz w:val="28"/>
        <w:szCs w:val="28"/>
      </w:rPr>
      <w:t>—</w:t>
    </w:r>
    <w:r>
      <w:rPr>
        <w:rStyle w:val="21"/>
        <w:rFonts w:hint="eastAsia" w:ascii="宋体" w:hAnsi="宋体"/>
        <w:sz w:val="20"/>
      </w:rPr>
      <w:t xml:space="preserve">  </w:t>
    </w:r>
    <w:r>
      <w:rPr>
        <w:rStyle w:val="21"/>
        <w:rFonts w:ascii="宋体" w:hAnsi="宋体"/>
        <w:sz w:val="26"/>
        <w:szCs w:val="26"/>
      </w:rPr>
      <w:fldChar w:fldCharType="begin"/>
    </w:r>
    <w:r>
      <w:rPr>
        <w:rStyle w:val="21"/>
        <w:rFonts w:ascii="宋体" w:hAnsi="宋体"/>
        <w:sz w:val="26"/>
        <w:szCs w:val="26"/>
      </w:rPr>
      <w:instrText xml:space="preserve">PAGE  </w:instrText>
    </w:r>
    <w:r>
      <w:rPr>
        <w:rStyle w:val="21"/>
        <w:rFonts w:ascii="宋体" w:hAnsi="宋体"/>
        <w:sz w:val="26"/>
        <w:szCs w:val="26"/>
      </w:rPr>
      <w:fldChar w:fldCharType="separate"/>
    </w:r>
    <w:r>
      <w:rPr>
        <w:rStyle w:val="21"/>
        <w:rFonts w:ascii="宋体" w:hAnsi="宋体"/>
        <w:sz w:val="26"/>
        <w:szCs w:val="26"/>
      </w:rPr>
      <w:t>51</w:t>
    </w:r>
    <w:r>
      <w:rPr>
        <w:rStyle w:val="21"/>
        <w:rFonts w:ascii="宋体" w:hAnsi="宋体"/>
        <w:sz w:val="26"/>
        <w:szCs w:val="26"/>
      </w:rPr>
      <w:fldChar w:fldCharType="end"/>
    </w:r>
    <w:r>
      <w:rPr>
        <w:rStyle w:val="21"/>
        <w:rFonts w:hint="eastAsia" w:ascii="宋体" w:hAnsi="宋体"/>
        <w:sz w:val="20"/>
      </w:rPr>
      <w:t xml:space="preserve">  </w:t>
    </w:r>
    <w:r>
      <w:rPr>
        <w:rStyle w:val="21"/>
        <w:rFonts w:hint="eastAsia" w:ascii="宋体" w:hAnsi="宋体"/>
        <w:sz w:val="28"/>
        <w:szCs w:val="28"/>
      </w:rPr>
      <w:t>—</w:t>
    </w:r>
  </w:p>
  <w:p>
    <w:pPr>
      <w:pStyle w:val="13"/>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iY2YxMTQ0YTBmODE5ZTJjMGUyNDYwMzVmYWM2ZGUifQ=="/>
  </w:docVars>
  <w:rsids>
    <w:rsidRoot w:val="00A14947"/>
    <w:rsid w:val="0000349D"/>
    <w:rsid w:val="00005402"/>
    <w:rsid w:val="0000571F"/>
    <w:rsid w:val="00005C04"/>
    <w:rsid w:val="000060B3"/>
    <w:rsid w:val="00010D97"/>
    <w:rsid w:val="00011EDA"/>
    <w:rsid w:val="00013067"/>
    <w:rsid w:val="00025E7E"/>
    <w:rsid w:val="00026D1A"/>
    <w:rsid w:val="00030E68"/>
    <w:rsid w:val="00031A77"/>
    <w:rsid w:val="00031D97"/>
    <w:rsid w:val="0003261A"/>
    <w:rsid w:val="00033ACC"/>
    <w:rsid w:val="00033B05"/>
    <w:rsid w:val="00034249"/>
    <w:rsid w:val="0003639F"/>
    <w:rsid w:val="00040356"/>
    <w:rsid w:val="000422A8"/>
    <w:rsid w:val="0004364B"/>
    <w:rsid w:val="00044B11"/>
    <w:rsid w:val="00044F5E"/>
    <w:rsid w:val="00046737"/>
    <w:rsid w:val="00052437"/>
    <w:rsid w:val="00054367"/>
    <w:rsid w:val="00055D30"/>
    <w:rsid w:val="00060246"/>
    <w:rsid w:val="000608FC"/>
    <w:rsid w:val="00061B1F"/>
    <w:rsid w:val="000629E1"/>
    <w:rsid w:val="00064BA5"/>
    <w:rsid w:val="00072018"/>
    <w:rsid w:val="00072BCB"/>
    <w:rsid w:val="000733C4"/>
    <w:rsid w:val="00074783"/>
    <w:rsid w:val="00075B45"/>
    <w:rsid w:val="00077F33"/>
    <w:rsid w:val="0008070B"/>
    <w:rsid w:val="00080DBF"/>
    <w:rsid w:val="000810AC"/>
    <w:rsid w:val="00081A02"/>
    <w:rsid w:val="00082231"/>
    <w:rsid w:val="000847DB"/>
    <w:rsid w:val="00092D38"/>
    <w:rsid w:val="00093566"/>
    <w:rsid w:val="0009377B"/>
    <w:rsid w:val="00095D1E"/>
    <w:rsid w:val="0009601A"/>
    <w:rsid w:val="00097CDA"/>
    <w:rsid w:val="000A002F"/>
    <w:rsid w:val="000A1B2E"/>
    <w:rsid w:val="000A20C9"/>
    <w:rsid w:val="000A25BB"/>
    <w:rsid w:val="000A2AC0"/>
    <w:rsid w:val="000A418A"/>
    <w:rsid w:val="000A6A4B"/>
    <w:rsid w:val="000B058F"/>
    <w:rsid w:val="000B37DB"/>
    <w:rsid w:val="000B3E45"/>
    <w:rsid w:val="000B4467"/>
    <w:rsid w:val="000B4DB9"/>
    <w:rsid w:val="000B7A08"/>
    <w:rsid w:val="000C09AC"/>
    <w:rsid w:val="000C1300"/>
    <w:rsid w:val="000C4730"/>
    <w:rsid w:val="000C602E"/>
    <w:rsid w:val="000C61E6"/>
    <w:rsid w:val="000C767F"/>
    <w:rsid w:val="000C7CBA"/>
    <w:rsid w:val="000C7E0F"/>
    <w:rsid w:val="000C7F85"/>
    <w:rsid w:val="000D0C2E"/>
    <w:rsid w:val="000D3905"/>
    <w:rsid w:val="000D41AF"/>
    <w:rsid w:val="000D5A44"/>
    <w:rsid w:val="000E0EEB"/>
    <w:rsid w:val="000E1622"/>
    <w:rsid w:val="000E3A4B"/>
    <w:rsid w:val="000E3AC6"/>
    <w:rsid w:val="000E3ED2"/>
    <w:rsid w:val="000E4786"/>
    <w:rsid w:val="000E503E"/>
    <w:rsid w:val="000F21B0"/>
    <w:rsid w:val="000F56A9"/>
    <w:rsid w:val="000F77C7"/>
    <w:rsid w:val="00100519"/>
    <w:rsid w:val="00100AE6"/>
    <w:rsid w:val="0010239D"/>
    <w:rsid w:val="00102613"/>
    <w:rsid w:val="00102F3E"/>
    <w:rsid w:val="00103321"/>
    <w:rsid w:val="00103D6E"/>
    <w:rsid w:val="00105E93"/>
    <w:rsid w:val="001064C9"/>
    <w:rsid w:val="0011423E"/>
    <w:rsid w:val="00116A47"/>
    <w:rsid w:val="001209B2"/>
    <w:rsid w:val="00121434"/>
    <w:rsid w:val="00121514"/>
    <w:rsid w:val="001264F6"/>
    <w:rsid w:val="0012670B"/>
    <w:rsid w:val="00127238"/>
    <w:rsid w:val="00130D4C"/>
    <w:rsid w:val="001311DE"/>
    <w:rsid w:val="00131F42"/>
    <w:rsid w:val="001324DA"/>
    <w:rsid w:val="001325DD"/>
    <w:rsid w:val="00134704"/>
    <w:rsid w:val="001357F1"/>
    <w:rsid w:val="001369BE"/>
    <w:rsid w:val="00137E35"/>
    <w:rsid w:val="00140F64"/>
    <w:rsid w:val="00140FA8"/>
    <w:rsid w:val="00142FEB"/>
    <w:rsid w:val="00143A2D"/>
    <w:rsid w:val="001453BD"/>
    <w:rsid w:val="00145A41"/>
    <w:rsid w:val="00151675"/>
    <w:rsid w:val="00156EAB"/>
    <w:rsid w:val="00157435"/>
    <w:rsid w:val="00157A3C"/>
    <w:rsid w:val="0016074A"/>
    <w:rsid w:val="00161B92"/>
    <w:rsid w:val="00162697"/>
    <w:rsid w:val="00162F3B"/>
    <w:rsid w:val="00164957"/>
    <w:rsid w:val="00167B52"/>
    <w:rsid w:val="00170428"/>
    <w:rsid w:val="001709B6"/>
    <w:rsid w:val="00174DEE"/>
    <w:rsid w:val="0017504D"/>
    <w:rsid w:val="0017671A"/>
    <w:rsid w:val="00176949"/>
    <w:rsid w:val="001773C3"/>
    <w:rsid w:val="00177422"/>
    <w:rsid w:val="00177784"/>
    <w:rsid w:val="0018068C"/>
    <w:rsid w:val="00184590"/>
    <w:rsid w:val="001870D1"/>
    <w:rsid w:val="0018781E"/>
    <w:rsid w:val="001924FF"/>
    <w:rsid w:val="0019262D"/>
    <w:rsid w:val="00195AC9"/>
    <w:rsid w:val="00195F42"/>
    <w:rsid w:val="001A029C"/>
    <w:rsid w:val="001A117F"/>
    <w:rsid w:val="001A1B35"/>
    <w:rsid w:val="001A353B"/>
    <w:rsid w:val="001A4194"/>
    <w:rsid w:val="001A455D"/>
    <w:rsid w:val="001A48A2"/>
    <w:rsid w:val="001A48EE"/>
    <w:rsid w:val="001A637D"/>
    <w:rsid w:val="001A6F61"/>
    <w:rsid w:val="001B07E2"/>
    <w:rsid w:val="001B0A89"/>
    <w:rsid w:val="001B1056"/>
    <w:rsid w:val="001B14E2"/>
    <w:rsid w:val="001B431B"/>
    <w:rsid w:val="001B5A76"/>
    <w:rsid w:val="001B6564"/>
    <w:rsid w:val="001B6794"/>
    <w:rsid w:val="001B72B8"/>
    <w:rsid w:val="001B73D6"/>
    <w:rsid w:val="001B79AA"/>
    <w:rsid w:val="001C18A3"/>
    <w:rsid w:val="001C5947"/>
    <w:rsid w:val="001C5EC8"/>
    <w:rsid w:val="001C69B3"/>
    <w:rsid w:val="001C6A72"/>
    <w:rsid w:val="001D08C2"/>
    <w:rsid w:val="001D4A5A"/>
    <w:rsid w:val="001D5595"/>
    <w:rsid w:val="001D60BC"/>
    <w:rsid w:val="001D7874"/>
    <w:rsid w:val="001D7F22"/>
    <w:rsid w:val="001E0612"/>
    <w:rsid w:val="001E44D3"/>
    <w:rsid w:val="001E44F0"/>
    <w:rsid w:val="001E5CEC"/>
    <w:rsid w:val="001F0F17"/>
    <w:rsid w:val="001F1490"/>
    <w:rsid w:val="001F3347"/>
    <w:rsid w:val="001F3A0D"/>
    <w:rsid w:val="001F5D88"/>
    <w:rsid w:val="001F68B0"/>
    <w:rsid w:val="001F69E4"/>
    <w:rsid w:val="001F7570"/>
    <w:rsid w:val="00201029"/>
    <w:rsid w:val="0020115B"/>
    <w:rsid w:val="00201176"/>
    <w:rsid w:val="002036E4"/>
    <w:rsid w:val="0020438D"/>
    <w:rsid w:val="00205A44"/>
    <w:rsid w:val="00206967"/>
    <w:rsid w:val="00207202"/>
    <w:rsid w:val="00211E60"/>
    <w:rsid w:val="002125B4"/>
    <w:rsid w:val="00212DE1"/>
    <w:rsid w:val="002139A8"/>
    <w:rsid w:val="002155B8"/>
    <w:rsid w:val="0021562E"/>
    <w:rsid w:val="00221081"/>
    <w:rsid w:val="0022232E"/>
    <w:rsid w:val="00222AC7"/>
    <w:rsid w:val="00224839"/>
    <w:rsid w:val="00224846"/>
    <w:rsid w:val="002249B2"/>
    <w:rsid w:val="00225C8A"/>
    <w:rsid w:val="00226574"/>
    <w:rsid w:val="002278EC"/>
    <w:rsid w:val="0023280E"/>
    <w:rsid w:val="00232891"/>
    <w:rsid w:val="00233D23"/>
    <w:rsid w:val="00236443"/>
    <w:rsid w:val="002377D1"/>
    <w:rsid w:val="00237CDA"/>
    <w:rsid w:val="00240739"/>
    <w:rsid w:val="00242B44"/>
    <w:rsid w:val="00242B5F"/>
    <w:rsid w:val="0024477D"/>
    <w:rsid w:val="00245170"/>
    <w:rsid w:val="00245929"/>
    <w:rsid w:val="002459E7"/>
    <w:rsid w:val="00247322"/>
    <w:rsid w:val="00250190"/>
    <w:rsid w:val="002506BC"/>
    <w:rsid w:val="00254345"/>
    <w:rsid w:val="00256919"/>
    <w:rsid w:val="00256B85"/>
    <w:rsid w:val="00263744"/>
    <w:rsid w:val="00263C33"/>
    <w:rsid w:val="00264557"/>
    <w:rsid w:val="0026665B"/>
    <w:rsid w:val="00267FC0"/>
    <w:rsid w:val="00274FA8"/>
    <w:rsid w:val="00276ABF"/>
    <w:rsid w:val="0027733F"/>
    <w:rsid w:val="002805AB"/>
    <w:rsid w:val="00282BE0"/>
    <w:rsid w:val="00284204"/>
    <w:rsid w:val="00284AF4"/>
    <w:rsid w:val="00285E9D"/>
    <w:rsid w:val="00287754"/>
    <w:rsid w:val="00287CF7"/>
    <w:rsid w:val="00291773"/>
    <w:rsid w:val="0029361C"/>
    <w:rsid w:val="00295008"/>
    <w:rsid w:val="0029543F"/>
    <w:rsid w:val="00296092"/>
    <w:rsid w:val="0029609F"/>
    <w:rsid w:val="002A0FD7"/>
    <w:rsid w:val="002A168C"/>
    <w:rsid w:val="002A3C61"/>
    <w:rsid w:val="002A3DC7"/>
    <w:rsid w:val="002A46F4"/>
    <w:rsid w:val="002A4B59"/>
    <w:rsid w:val="002A588B"/>
    <w:rsid w:val="002A662E"/>
    <w:rsid w:val="002B039C"/>
    <w:rsid w:val="002B15C7"/>
    <w:rsid w:val="002B33D0"/>
    <w:rsid w:val="002B3665"/>
    <w:rsid w:val="002B49E2"/>
    <w:rsid w:val="002B7B00"/>
    <w:rsid w:val="002B7C44"/>
    <w:rsid w:val="002C2B17"/>
    <w:rsid w:val="002C45B6"/>
    <w:rsid w:val="002C56AB"/>
    <w:rsid w:val="002C69DF"/>
    <w:rsid w:val="002C6AC4"/>
    <w:rsid w:val="002C7124"/>
    <w:rsid w:val="002D3DD0"/>
    <w:rsid w:val="002D421E"/>
    <w:rsid w:val="002D4899"/>
    <w:rsid w:val="002D490E"/>
    <w:rsid w:val="002D5001"/>
    <w:rsid w:val="002D5A13"/>
    <w:rsid w:val="002E02CF"/>
    <w:rsid w:val="002E1F3A"/>
    <w:rsid w:val="002E298A"/>
    <w:rsid w:val="002E3144"/>
    <w:rsid w:val="002E6967"/>
    <w:rsid w:val="002F17A4"/>
    <w:rsid w:val="002F1A99"/>
    <w:rsid w:val="002F23E4"/>
    <w:rsid w:val="002F29A1"/>
    <w:rsid w:val="002F389C"/>
    <w:rsid w:val="002F403A"/>
    <w:rsid w:val="002F718A"/>
    <w:rsid w:val="00300697"/>
    <w:rsid w:val="00301978"/>
    <w:rsid w:val="00301B59"/>
    <w:rsid w:val="0030332C"/>
    <w:rsid w:val="003051C2"/>
    <w:rsid w:val="00305E65"/>
    <w:rsid w:val="003078DF"/>
    <w:rsid w:val="003101FD"/>
    <w:rsid w:val="00312296"/>
    <w:rsid w:val="00314F0E"/>
    <w:rsid w:val="00315C7F"/>
    <w:rsid w:val="00315DC7"/>
    <w:rsid w:val="00321010"/>
    <w:rsid w:val="00321249"/>
    <w:rsid w:val="00321D8E"/>
    <w:rsid w:val="00322048"/>
    <w:rsid w:val="00322510"/>
    <w:rsid w:val="00325928"/>
    <w:rsid w:val="003261E7"/>
    <w:rsid w:val="00327CB1"/>
    <w:rsid w:val="00327F52"/>
    <w:rsid w:val="00330834"/>
    <w:rsid w:val="0033227E"/>
    <w:rsid w:val="00332863"/>
    <w:rsid w:val="00336784"/>
    <w:rsid w:val="0033684D"/>
    <w:rsid w:val="00337B42"/>
    <w:rsid w:val="0034121D"/>
    <w:rsid w:val="00341B42"/>
    <w:rsid w:val="0034348F"/>
    <w:rsid w:val="00344C33"/>
    <w:rsid w:val="003471C9"/>
    <w:rsid w:val="003522AB"/>
    <w:rsid w:val="00352D68"/>
    <w:rsid w:val="00353020"/>
    <w:rsid w:val="003530C5"/>
    <w:rsid w:val="00353FF8"/>
    <w:rsid w:val="00355ADA"/>
    <w:rsid w:val="00356653"/>
    <w:rsid w:val="00356709"/>
    <w:rsid w:val="0035743F"/>
    <w:rsid w:val="00357BE2"/>
    <w:rsid w:val="00360C1D"/>
    <w:rsid w:val="0036170C"/>
    <w:rsid w:val="00362EB8"/>
    <w:rsid w:val="003634E8"/>
    <w:rsid w:val="00365F9A"/>
    <w:rsid w:val="0036626C"/>
    <w:rsid w:val="00366A4D"/>
    <w:rsid w:val="00366E0F"/>
    <w:rsid w:val="00370AA9"/>
    <w:rsid w:val="00372085"/>
    <w:rsid w:val="00372932"/>
    <w:rsid w:val="0037312D"/>
    <w:rsid w:val="00374BDB"/>
    <w:rsid w:val="003752C8"/>
    <w:rsid w:val="0038175E"/>
    <w:rsid w:val="00381A72"/>
    <w:rsid w:val="00382EFA"/>
    <w:rsid w:val="003834BF"/>
    <w:rsid w:val="00384676"/>
    <w:rsid w:val="00385ED6"/>
    <w:rsid w:val="00386300"/>
    <w:rsid w:val="00386ED9"/>
    <w:rsid w:val="00387553"/>
    <w:rsid w:val="00390857"/>
    <w:rsid w:val="00392EE6"/>
    <w:rsid w:val="003943F9"/>
    <w:rsid w:val="003957A9"/>
    <w:rsid w:val="00397923"/>
    <w:rsid w:val="003A2B23"/>
    <w:rsid w:val="003A4BF3"/>
    <w:rsid w:val="003A5FF6"/>
    <w:rsid w:val="003B1215"/>
    <w:rsid w:val="003B420D"/>
    <w:rsid w:val="003B4B63"/>
    <w:rsid w:val="003B5784"/>
    <w:rsid w:val="003B62A7"/>
    <w:rsid w:val="003B62E3"/>
    <w:rsid w:val="003B7178"/>
    <w:rsid w:val="003B7601"/>
    <w:rsid w:val="003C0F65"/>
    <w:rsid w:val="003C614D"/>
    <w:rsid w:val="003C6C16"/>
    <w:rsid w:val="003C75D6"/>
    <w:rsid w:val="003C79BA"/>
    <w:rsid w:val="003D2D95"/>
    <w:rsid w:val="003D43CC"/>
    <w:rsid w:val="003D4544"/>
    <w:rsid w:val="003D4D78"/>
    <w:rsid w:val="003D7647"/>
    <w:rsid w:val="003D794D"/>
    <w:rsid w:val="003E00A1"/>
    <w:rsid w:val="003E04C2"/>
    <w:rsid w:val="003E0FF4"/>
    <w:rsid w:val="003E2300"/>
    <w:rsid w:val="003E3058"/>
    <w:rsid w:val="003E41D0"/>
    <w:rsid w:val="003E58F3"/>
    <w:rsid w:val="003E76A9"/>
    <w:rsid w:val="003F01C7"/>
    <w:rsid w:val="003F0809"/>
    <w:rsid w:val="003F1798"/>
    <w:rsid w:val="003F2417"/>
    <w:rsid w:val="003F2AF2"/>
    <w:rsid w:val="003F56E7"/>
    <w:rsid w:val="003F6A8C"/>
    <w:rsid w:val="003F755C"/>
    <w:rsid w:val="00400F54"/>
    <w:rsid w:val="004024BB"/>
    <w:rsid w:val="00403200"/>
    <w:rsid w:val="00403F55"/>
    <w:rsid w:val="004061D1"/>
    <w:rsid w:val="00406F01"/>
    <w:rsid w:val="0041058F"/>
    <w:rsid w:val="004114BC"/>
    <w:rsid w:val="0041190B"/>
    <w:rsid w:val="00412919"/>
    <w:rsid w:val="00416D50"/>
    <w:rsid w:val="00416FD5"/>
    <w:rsid w:val="00417772"/>
    <w:rsid w:val="00420D6E"/>
    <w:rsid w:val="00420E6A"/>
    <w:rsid w:val="00421362"/>
    <w:rsid w:val="00425A9E"/>
    <w:rsid w:val="00426901"/>
    <w:rsid w:val="00426D6B"/>
    <w:rsid w:val="00430312"/>
    <w:rsid w:val="00431E6C"/>
    <w:rsid w:val="00433CE7"/>
    <w:rsid w:val="00436926"/>
    <w:rsid w:val="00436EDC"/>
    <w:rsid w:val="004370BF"/>
    <w:rsid w:val="00441076"/>
    <w:rsid w:val="004410CB"/>
    <w:rsid w:val="00442DEE"/>
    <w:rsid w:val="004431C5"/>
    <w:rsid w:val="004446F6"/>
    <w:rsid w:val="00445945"/>
    <w:rsid w:val="004476E7"/>
    <w:rsid w:val="00447D89"/>
    <w:rsid w:val="00447DB8"/>
    <w:rsid w:val="00450EDE"/>
    <w:rsid w:val="00452738"/>
    <w:rsid w:val="00452D7D"/>
    <w:rsid w:val="004530A6"/>
    <w:rsid w:val="0045592D"/>
    <w:rsid w:val="00455E2B"/>
    <w:rsid w:val="00456091"/>
    <w:rsid w:val="00457DA5"/>
    <w:rsid w:val="00460FD5"/>
    <w:rsid w:val="00464746"/>
    <w:rsid w:val="00464A79"/>
    <w:rsid w:val="00466321"/>
    <w:rsid w:val="00466674"/>
    <w:rsid w:val="00470299"/>
    <w:rsid w:val="004705B2"/>
    <w:rsid w:val="00470CFF"/>
    <w:rsid w:val="00471BD7"/>
    <w:rsid w:val="00473397"/>
    <w:rsid w:val="004749B2"/>
    <w:rsid w:val="004774DA"/>
    <w:rsid w:val="0048043E"/>
    <w:rsid w:val="00482A38"/>
    <w:rsid w:val="00484B9B"/>
    <w:rsid w:val="004855F6"/>
    <w:rsid w:val="00485FBB"/>
    <w:rsid w:val="004864FB"/>
    <w:rsid w:val="0048661E"/>
    <w:rsid w:val="00491C54"/>
    <w:rsid w:val="00491F1A"/>
    <w:rsid w:val="00493AA8"/>
    <w:rsid w:val="00494670"/>
    <w:rsid w:val="004948EE"/>
    <w:rsid w:val="004966DB"/>
    <w:rsid w:val="00496800"/>
    <w:rsid w:val="00496E11"/>
    <w:rsid w:val="004A2BD1"/>
    <w:rsid w:val="004A3823"/>
    <w:rsid w:val="004A51E6"/>
    <w:rsid w:val="004A5657"/>
    <w:rsid w:val="004A607B"/>
    <w:rsid w:val="004A7245"/>
    <w:rsid w:val="004A7BF8"/>
    <w:rsid w:val="004B041A"/>
    <w:rsid w:val="004B1707"/>
    <w:rsid w:val="004B3840"/>
    <w:rsid w:val="004B5AE4"/>
    <w:rsid w:val="004B7277"/>
    <w:rsid w:val="004C2079"/>
    <w:rsid w:val="004C2120"/>
    <w:rsid w:val="004C3435"/>
    <w:rsid w:val="004C4930"/>
    <w:rsid w:val="004C5638"/>
    <w:rsid w:val="004C6FB0"/>
    <w:rsid w:val="004C779A"/>
    <w:rsid w:val="004D1DEA"/>
    <w:rsid w:val="004D2BDA"/>
    <w:rsid w:val="004D3196"/>
    <w:rsid w:val="004D7C09"/>
    <w:rsid w:val="004E0BC1"/>
    <w:rsid w:val="004E2C1C"/>
    <w:rsid w:val="004E387F"/>
    <w:rsid w:val="004E3B52"/>
    <w:rsid w:val="004E5CB1"/>
    <w:rsid w:val="004E6946"/>
    <w:rsid w:val="004F0C70"/>
    <w:rsid w:val="004F1AD8"/>
    <w:rsid w:val="004F3A41"/>
    <w:rsid w:val="004F60CA"/>
    <w:rsid w:val="005003DA"/>
    <w:rsid w:val="005039CB"/>
    <w:rsid w:val="0050558F"/>
    <w:rsid w:val="00506286"/>
    <w:rsid w:val="00510813"/>
    <w:rsid w:val="00510D44"/>
    <w:rsid w:val="00511280"/>
    <w:rsid w:val="00511990"/>
    <w:rsid w:val="00511DE0"/>
    <w:rsid w:val="00512AED"/>
    <w:rsid w:val="00512E34"/>
    <w:rsid w:val="005131FD"/>
    <w:rsid w:val="005138C4"/>
    <w:rsid w:val="00514870"/>
    <w:rsid w:val="00514B9B"/>
    <w:rsid w:val="00517D0D"/>
    <w:rsid w:val="00517F02"/>
    <w:rsid w:val="0052033B"/>
    <w:rsid w:val="00520924"/>
    <w:rsid w:val="005218FA"/>
    <w:rsid w:val="00522587"/>
    <w:rsid w:val="00523B73"/>
    <w:rsid w:val="00524303"/>
    <w:rsid w:val="00524E7E"/>
    <w:rsid w:val="005258A2"/>
    <w:rsid w:val="00527DA5"/>
    <w:rsid w:val="005372DD"/>
    <w:rsid w:val="00537625"/>
    <w:rsid w:val="00537850"/>
    <w:rsid w:val="00540121"/>
    <w:rsid w:val="005401AE"/>
    <w:rsid w:val="005424BB"/>
    <w:rsid w:val="00542E07"/>
    <w:rsid w:val="00543180"/>
    <w:rsid w:val="005439E9"/>
    <w:rsid w:val="00544101"/>
    <w:rsid w:val="00545424"/>
    <w:rsid w:val="005457D4"/>
    <w:rsid w:val="0054755C"/>
    <w:rsid w:val="00550ED0"/>
    <w:rsid w:val="005531A4"/>
    <w:rsid w:val="00554997"/>
    <w:rsid w:val="00554A7B"/>
    <w:rsid w:val="00554CE0"/>
    <w:rsid w:val="0055572C"/>
    <w:rsid w:val="00555F71"/>
    <w:rsid w:val="005564E3"/>
    <w:rsid w:val="005565C8"/>
    <w:rsid w:val="00557129"/>
    <w:rsid w:val="0056106A"/>
    <w:rsid w:val="0056352A"/>
    <w:rsid w:val="00563CAF"/>
    <w:rsid w:val="00564A53"/>
    <w:rsid w:val="005667F9"/>
    <w:rsid w:val="005703B9"/>
    <w:rsid w:val="005720AE"/>
    <w:rsid w:val="00572408"/>
    <w:rsid w:val="005727D3"/>
    <w:rsid w:val="005777CE"/>
    <w:rsid w:val="00580F90"/>
    <w:rsid w:val="0058272B"/>
    <w:rsid w:val="00586A37"/>
    <w:rsid w:val="00586C65"/>
    <w:rsid w:val="0059002B"/>
    <w:rsid w:val="00591295"/>
    <w:rsid w:val="00592246"/>
    <w:rsid w:val="00592499"/>
    <w:rsid w:val="00593758"/>
    <w:rsid w:val="00594D77"/>
    <w:rsid w:val="00596162"/>
    <w:rsid w:val="005969E4"/>
    <w:rsid w:val="005A06B7"/>
    <w:rsid w:val="005A0DB1"/>
    <w:rsid w:val="005A0FB6"/>
    <w:rsid w:val="005A1759"/>
    <w:rsid w:val="005A1812"/>
    <w:rsid w:val="005A4F00"/>
    <w:rsid w:val="005A68A7"/>
    <w:rsid w:val="005B26E9"/>
    <w:rsid w:val="005B4273"/>
    <w:rsid w:val="005B701A"/>
    <w:rsid w:val="005C2320"/>
    <w:rsid w:val="005C686A"/>
    <w:rsid w:val="005C6A38"/>
    <w:rsid w:val="005D00CF"/>
    <w:rsid w:val="005D0234"/>
    <w:rsid w:val="005D02D5"/>
    <w:rsid w:val="005D1428"/>
    <w:rsid w:val="005D28EC"/>
    <w:rsid w:val="005D36AB"/>
    <w:rsid w:val="005D4B60"/>
    <w:rsid w:val="005D53AC"/>
    <w:rsid w:val="005D638B"/>
    <w:rsid w:val="005D7526"/>
    <w:rsid w:val="005E1B55"/>
    <w:rsid w:val="005E2888"/>
    <w:rsid w:val="005E490E"/>
    <w:rsid w:val="005E5884"/>
    <w:rsid w:val="005E79E9"/>
    <w:rsid w:val="005F06E9"/>
    <w:rsid w:val="005F2403"/>
    <w:rsid w:val="005F2F0E"/>
    <w:rsid w:val="005F481F"/>
    <w:rsid w:val="005F4961"/>
    <w:rsid w:val="005F4A7E"/>
    <w:rsid w:val="005F699F"/>
    <w:rsid w:val="005F6B1B"/>
    <w:rsid w:val="005F7D57"/>
    <w:rsid w:val="006029F2"/>
    <w:rsid w:val="006036FE"/>
    <w:rsid w:val="0060587C"/>
    <w:rsid w:val="006111FD"/>
    <w:rsid w:val="00613881"/>
    <w:rsid w:val="00615497"/>
    <w:rsid w:val="00615963"/>
    <w:rsid w:val="00615CB1"/>
    <w:rsid w:val="00617853"/>
    <w:rsid w:val="00617CC3"/>
    <w:rsid w:val="006225C2"/>
    <w:rsid w:val="006231CF"/>
    <w:rsid w:val="00623B13"/>
    <w:rsid w:val="006248E5"/>
    <w:rsid w:val="00627570"/>
    <w:rsid w:val="00632F3A"/>
    <w:rsid w:val="006353DD"/>
    <w:rsid w:val="00635607"/>
    <w:rsid w:val="006363E1"/>
    <w:rsid w:val="006371C6"/>
    <w:rsid w:val="006377A6"/>
    <w:rsid w:val="00637A3D"/>
    <w:rsid w:val="006411EF"/>
    <w:rsid w:val="00641A43"/>
    <w:rsid w:val="00644720"/>
    <w:rsid w:val="00645B83"/>
    <w:rsid w:val="0064764E"/>
    <w:rsid w:val="00651077"/>
    <w:rsid w:val="0065136B"/>
    <w:rsid w:val="0065447B"/>
    <w:rsid w:val="006577D7"/>
    <w:rsid w:val="00660DCF"/>
    <w:rsid w:val="0066367B"/>
    <w:rsid w:val="00671A28"/>
    <w:rsid w:val="00671FF5"/>
    <w:rsid w:val="006748B8"/>
    <w:rsid w:val="00675B8E"/>
    <w:rsid w:val="00675CEB"/>
    <w:rsid w:val="0067692F"/>
    <w:rsid w:val="00676D33"/>
    <w:rsid w:val="006775C3"/>
    <w:rsid w:val="00677B79"/>
    <w:rsid w:val="00682C8E"/>
    <w:rsid w:val="006836D3"/>
    <w:rsid w:val="0069290A"/>
    <w:rsid w:val="00692A84"/>
    <w:rsid w:val="00693BB8"/>
    <w:rsid w:val="00696BC8"/>
    <w:rsid w:val="006975B0"/>
    <w:rsid w:val="0069775A"/>
    <w:rsid w:val="00697813"/>
    <w:rsid w:val="006A09B0"/>
    <w:rsid w:val="006A3EE8"/>
    <w:rsid w:val="006A52D9"/>
    <w:rsid w:val="006A72BF"/>
    <w:rsid w:val="006B03F2"/>
    <w:rsid w:val="006B150B"/>
    <w:rsid w:val="006B37DC"/>
    <w:rsid w:val="006B4F68"/>
    <w:rsid w:val="006B6586"/>
    <w:rsid w:val="006B7885"/>
    <w:rsid w:val="006C0592"/>
    <w:rsid w:val="006C272E"/>
    <w:rsid w:val="006C2E19"/>
    <w:rsid w:val="006C4CB7"/>
    <w:rsid w:val="006C5479"/>
    <w:rsid w:val="006C60C4"/>
    <w:rsid w:val="006D13B5"/>
    <w:rsid w:val="006D1640"/>
    <w:rsid w:val="006D24FB"/>
    <w:rsid w:val="006D2B74"/>
    <w:rsid w:val="006D3885"/>
    <w:rsid w:val="006D3DCD"/>
    <w:rsid w:val="006D3FE7"/>
    <w:rsid w:val="006D71B9"/>
    <w:rsid w:val="006E0B6F"/>
    <w:rsid w:val="006E12FF"/>
    <w:rsid w:val="006E39E7"/>
    <w:rsid w:val="006E607E"/>
    <w:rsid w:val="006F06CD"/>
    <w:rsid w:val="006F28A1"/>
    <w:rsid w:val="006F4543"/>
    <w:rsid w:val="006F696F"/>
    <w:rsid w:val="0070121A"/>
    <w:rsid w:val="00701851"/>
    <w:rsid w:val="00703B02"/>
    <w:rsid w:val="00704382"/>
    <w:rsid w:val="00704613"/>
    <w:rsid w:val="007047C5"/>
    <w:rsid w:val="007050DE"/>
    <w:rsid w:val="00706C5D"/>
    <w:rsid w:val="00707F30"/>
    <w:rsid w:val="00711BE2"/>
    <w:rsid w:val="007123F8"/>
    <w:rsid w:val="007128F1"/>
    <w:rsid w:val="0071362C"/>
    <w:rsid w:val="007215CB"/>
    <w:rsid w:val="0072214D"/>
    <w:rsid w:val="00723EE2"/>
    <w:rsid w:val="00726D19"/>
    <w:rsid w:val="00732922"/>
    <w:rsid w:val="00733D46"/>
    <w:rsid w:val="007400AE"/>
    <w:rsid w:val="00740C55"/>
    <w:rsid w:val="0074259B"/>
    <w:rsid w:val="007444DC"/>
    <w:rsid w:val="00744D87"/>
    <w:rsid w:val="0074561E"/>
    <w:rsid w:val="00750022"/>
    <w:rsid w:val="0075162E"/>
    <w:rsid w:val="007531DC"/>
    <w:rsid w:val="00754034"/>
    <w:rsid w:val="00754549"/>
    <w:rsid w:val="007559D6"/>
    <w:rsid w:val="00756435"/>
    <w:rsid w:val="00756556"/>
    <w:rsid w:val="00756919"/>
    <w:rsid w:val="00756E96"/>
    <w:rsid w:val="007618C4"/>
    <w:rsid w:val="00761F6A"/>
    <w:rsid w:val="0076310B"/>
    <w:rsid w:val="007676F5"/>
    <w:rsid w:val="00767980"/>
    <w:rsid w:val="0077014B"/>
    <w:rsid w:val="0077026E"/>
    <w:rsid w:val="00770B19"/>
    <w:rsid w:val="0077405D"/>
    <w:rsid w:val="0077463F"/>
    <w:rsid w:val="00775F98"/>
    <w:rsid w:val="0077622C"/>
    <w:rsid w:val="0078115E"/>
    <w:rsid w:val="0078173B"/>
    <w:rsid w:val="00782131"/>
    <w:rsid w:val="007836EA"/>
    <w:rsid w:val="00784658"/>
    <w:rsid w:val="0078483C"/>
    <w:rsid w:val="00784CDA"/>
    <w:rsid w:val="00785DC8"/>
    <w:rsid w:val="00786029"/>
    <w:rsid w:val="007906C4"/>
    <w:rsid w:val="00790A05"/>
    <w:rsid w:val="007940EA"/>
    <w:rsid w:val="00795F26"/>
    <w:rsid w:val="007967E8"/>
    <w:rsid w:val="0079690A"/>
    <w:rsid w:val="007A01A0"/>
    <w:rsid w:val="007A1297"/>
    <w:rsid w:val="007A2170"/>
    <w:rsid w:val="007A22BF"/>
    <w:rsid w:val="007A2884"/>
    <w:rsid w:val="007A3323"/>
    <w:rsid w:val="007A5C65"/>
    <w:rsid w:val="007A6D09"/>
    <w:rsid w:val="007A6FCF"/>
    <w:rsid w:val="007A7514"/>
    <w:rsid w:val="007A75AD"/>
    <w:rsid w:val="007B478C"/>
    <w:rsid w:val="007B72B8"/>
    <w:rsid w:val="007B7A58"/>
    <w:rsid w:val="007C02C1"/>
    <w:rsid w:val="007C14FC"/>
    <w:rsid w:val="007C21B5"/>
    <w:rsid w:val="007C37B9"/>
    <w:rsid w:val="007C37D5"/>
    <w:rsid w:val="007C41A8"/>
    <w:rsid w:val="007D4296"/>
    <w:rsid w:val="007D7C07"/>
    <w:rsid w:val="007E4BD2"/>
    <w:rsid w:val="007E6E89"/>
    <w:rsid w:val="007E7215"/>
    <w:rsid w:val="007E7240"/>
    <w:rsid w:val="007F17DE"/>
    <w:rsid w:val="007F2099"/>
    <w:rsid w:val="007F30B0"/>
    <w:rsid w:val="007F32C9"/>
    <w:rsid w:val="00800735"/>
    <w:rsid w:val="00801393"/>
    <w:rsid w:val="00801AEE"/>
    <w:rsid w:val="00802F88"/>
    <w:rsid w:val="008052A8"/>
    <w:rsid w:val="008056FE"/>
    <w:rsid w:val="00806C6C"/>
    <w:rsid w:val="00812455"/>
    <w:rsid w:val="0081275B"/>
    <w:rsid w:val="0081293E"/>
    <w:rsid w:val="00814686"/>
    <w:rsid w:val="00815465"/>
    <w:rsid w:val="00815B62"/>
    <w:rsid w:val="008167B9"/>
    <w:rsid w:val="00816DEB"/>
    <w:rsid w:val="00817E9A"/>
    <w:rsid w:val="00817F9A"/>
    <w:rsid w:val="0082032C"/>
    <w:rsid w:val="00821365"/>
    <w:rsid w:val="0082253B"/>
    <w:rsid w:val="00822F48"/>
    <w:rsid w:val="00823D57"/>
    <w:rsid w:val="00824590"/>
    <w:rsid w:val="00824BE5"/>
    <w:rsid w:val="00824EB8"/>
    <w:rsid w:val="00824F2A"/>
    <w:rsid w:val="008306BD"/>
    <w:rsid w:val="00831A80"/>
    <w:rsid w:val="00833743"/>
    <w:rsid w:val="008340A4"/>
    <w:rsid w:val="008361BA"/>
    <w:rsid w:val="008367EB"/>
    <w:rsid w:val="008378D0"/>
    <w:rsid w:val="00837C38"/>
    <w:rsid w:val="0084305A"/>
    <w:rsid w:val="008513CD"/>
    <w:rsid w:val="00853397"/>
    <w:rsid w:val="0085652D"/>
    <w:rsid w:val="0085714F"/>
    <w:rsid w:val="00860EB1"/>
    <w:rsid w:val="00861A30"/>
    <w:rsid w:val="00862405"/>
    <w:rsid w:val="008628A0"/>
    <w:rsid w:val="00867311"/>
    <w:rsid w:val="00867475"/>
    <w:rsid w:val="0087135F"/>
    <w:rsid w:val="00872D94"/>
    <w:rsid w:val="00874C28"/>
    <w:rsid w:val="0088028E"/>
    <w:rsid w:val="00880364"/>
    <w:rsid w:val="00885529"/>
    <w:rsid w:val="00887402"/>
    <w:rsid w:val="0088766C"/>
    <w:rsid w:val="00890E02"/>
    <w:rsid w:val="00891592"/>
    <w:rsid w:val="0089189B"/>
    <w:rsid w:val="00891E9E"/>
    <w:rsid w:val="008924AC"/>
    <w:rsid w:val="0089366C"/>
    <w:rsid w:val="00893EB1"/>
    <w:rsid w:val="008A170C"/>
    <w:rsid w:val="008A24F0"/>
    <w:rsid w:val="008A2F68"/>
    <w:rsid w:val="008A4271"/>
    <w:rsid w:val="008A4520"/>
    <w:rsid w:val="008A478F"/>
    <w:rsid w:val="008B032E"/>
    <w:rsid w:val="008B14AB"/>
    <w:rsid w:val="008B1754"/>
    <w:rsid w:val="008B1CFD"/>
    <w:rsid w:val="008B4121"/>
    <w:rsid w:val="008B4AEC"/>
    <w:rsid w:val="008B4FA6"/>
    <w:rsid w:val="008B5282"/>
    <w:rsid w:val="008B7C17"/>
    <w:rsid w:val="008C2D01"/>
    <w:rsid w:val="008C2EDE"/>
    <w:rsid w:val="008C32DF"/>
    <w:rsid w:val="008C3A20"/>
    <w:rsid w:val="008C40E6"/>
    <w:rsid w:val="008C45F2"/>
    <w:rsid w:val="008C5B1A"/>
    <w:rsid w:val="008D0F7A"/>
    <w:rsid w:val="008D5E2B"/>
    <w:rsid w:val="008D68E4"/>
    <w:rsid w:val="008E0506"/>
    <w:rsid w:val="008E0CFF"/>
    <w:rsid w:val="008E1DB2"/>
    <w:rsid w:val="008E2540"/>
    <w:rsid w:val="008E2BBD"/>
    <w:rsid w:val="008E5D6B"/>
    <w:rsid w:val="008E76F0"/>
    <w:rsid w:val="008E7856"/>
    <w:rsid w:val="008F14F4"/>
    <w:rsid w:val="008F15FE"/>
    <w:rsid w:val="008F16EE"/>
    <w:rsid w:val="008F2BAF"/>
    <w:rsid w:val="008F2D29"/>
    <w:rsid w:val="008F5187"/>
    <w:rsid w:val="008F5A1C"/>
    <w:rsid w:val="008F5B31"/>
    <w:rsid w:val="008F60A3"/>
    <w:rsid w:val="008F60D8"/>
    <w:rsid w:val="008F6548"/>
    <w:rsid w:val="00900B3A"/>
    <w:rsid w:val="00900EA2"/>
    <w:rsid w:val="00902727"/>
    <w:rsid w:val="00902C2A"/>
    <w:rsid w:val="00902D09"/>
    <w:rsid w:val="00903067"/>
    <w:rsid w:val="0090312B"/>
    <w:rsid w:val="009049D8"/>
    <w:rsid w:val="00905601"/>
    <w:rsid w:val="0090656A"/>
    <w:rsid w:val="009073CD"/>
    <w:rsid w:val="009078A0"/>
    <w:rsid w:val="00910896"/>
    <w:rsid w:val="00913B80"/>
    <w:rsid w:val="00915F09"/>
    <w:rsid w:val="0091736D"/>
    <w:rsid w:val="009178AB"/>
    <w:rsid w:val="0092006F"/>
    <w:rsid w:val="00925E70"/>
    <w:rsid w:val="00930024"/>
    <w:rsid w:val="0093037A"/>
    <w:rsid w:val="00930925"/>
    <w:rsid w:val="0093388A"/>
    <w:rsid w:val="00935B8E"/>
    <w:rsid w:val="0093634D"/>
    <w:rsid w:val="009376F7"/>
    <w:rsid w:val="00937A3A"/>
    <w:rsid w:val="0094097D"/>
    <w:rsid w:val="0094154D"/>
    <w:rsid w:val="009442B1"/>
    <w:rsid w:val="0095076D"/>
    <w:rsid w:val="0095155F"/>
    <w:rsid w:val="00952706"/>
    <w:rsid w:val="0095434A"/>
    <w:rsid w:val="00954429"/>
    <w:rsid w:val="009563CE"/>
    <w:rsid w:val="00957C05"/>
    <w:rsid w:val="00960BAF"/>
    <w:rsid w:val="0096358B"/>
    <w:rsid w:val="0096365C"/>
    <w:rsid w:val="00965A71"/>
    <w:rsid w:val="00967ADA"/>
    <w:rsid w:val="00970987"/>
    <w:rsid w:val="00973F54"/>
    <w:rsid w:val="009741F8"/>
    <w:rsid w:val="00975970"/>
    <w:rsid w:val="00976328"/>
    <w:rsid w:val="0097680D"/>
    <w:rsid w:val="009769CA"/>
    <w:rsid w:val="009775AC"/>
    <w:rsid w:val="009809F4"/>
    <w:rsid w:val="00982086"/>
    <w:rsid w:val="00982438"/>
    <w:rsid w:val="00983F9F"/>
    <w:rsid w:val="0098404C"/>
    <w:rsid w:val="00985283"/>
    <w:rsid w:val="009860EF"/>
    <w:rsid w:val="00986DDB"/>
    <w:rsid w:val="009902F5"/>
    <w:rsid w:val="009909DF"/>
    <w:rsid w:val="00993A1E"/>
    <w:rsid w:val="00995992"/>
    <w:rsid w:val="00996D2B"/>
    <w:rsid w:val="009A03E5"/>
    <w:rsid w:val="009A0F3B"/>
    <w:rsid w:val="009A1BB4"/>
    <w:rsid w:val="009A2628"/>
    <w:rsid w:val="009A2DC7"/>
    <w:rsid w:val="009A3200"/>
    <w:rsid w:val="009A3AF5"/>
    <w:rsid w:val="009B0897"/>
    <w:rsid w:val="009B0F36"/>
    <w:rsid w:val="009B2166"/>
    <w:rsid w:val="009B3978"/>
    <w:rsid w:val="009B7BD9"/>
    <w:rsid w:val="009C0C19"/>
    <w:rsid w:val="009C611A"/>
    <w:rsid w:val="009C7DD5"/>
    <w:rsid w:val="009D11B1"/>
    <w:rsid w:val="009D1FFB"/>
    <w:rsid w:val="009D26CB"/>
    <w:rsid w:val="009D32C2"/>
    <w:rsid w:val="009D4549"/>
    <w:rsid w:val="009E1929"/>
    <w:rsid w:val="009E227D"/>
    <w:rsid w:val="009E229B"/>
    <w:rsid w:val="009E264A"/>
    <w:rsid w:val="009E3C2E"/>
    <w:rsid w:val="009E5019"/>
    <w:rsid w:val="009E617E"/>
    <w:rsid w:val="009E674D"/>
    <w:rsid w:val="009E6DF5"/>
    <w:rsid w:val="009F0074"/>
    <w:rsid w:val="009F3C06"/>
    <w:rsid w:val="009F432F"/>
    <w:rsid w:val="009F6C54"/>
    <w:rsid w:val="00A00EB7"/>
    <w:rsid w:val="00A028EF"/>
    <w:rsid w:val="00A03E85"/>
    <w:rsid w:val="00A04F1B"/>
    <w:rsid w:val="00A0501B"/>
    <w:rsid w:val="00A06888"/>
    <w:rsid w:val="00A1080C"/>
    <w:rsid w:val="00A1085C"/>
    <w:rsid w:val="00A14947"/>
    <w:rsid w:val="00A16A4C"/>
    <w:rsid w:val="00A20A73"/>
    <w:rsid w:val="00A22BE5"/>
    <w:rsid w:val="00A268B7"/>
    <w:rsid w:val="00A27074"/>
    <w:rsid w:val="00A32A83"/>
    <w:rsid w:val="00A33196"/>
    <w:rsid w:val="00A33E91"/>
    <w:rsid w:val="00A368DB"/>
    <w:rsid w:val="00A4020F"/>
    <w:rsid w:val="00A423AA"/>
    <w:rsid w:val="00A43AE7"/>
    <w:rsid w:val="00A46322"/>
    <w:rsid w:val="00A46576"/>
    <w:rsid w:val="00A5025F"/>
    <w:rsid w:val="00A52198"/>
    <w:rsid w:val="00A52242"/>
    <w:rsid w:val="00A53EC6"/>
    <w:rsid w:val="00A55C0F"/>
    <w:rsid w:val="00A56911"/>
    <w:rsid w:val="00A60063"/>
    <w:rsid w:val="00A615B9"/>
    <w:rsid w:val="00A62AD2"/>
    <w:rsid w:val="00A636AA"/>
    <w:rsid w:val="00A64BA3"/>
    <w:rsid w:val="00A64C96"/>
    <w:rsid w:val="00A6570C"/>
    <w:rsid w:val="00A70564"/>
    <w:rsid w:val="00A728CE"/>
    <w:rsid w:val="00A73DBF"/>
    <w:rsid w:val="00A75864"/>
    <w:rsid w:val="00A75CA2"/>
    <w:rsid w:val="00A77C8F"/>
    <w:rsid w:val="00A81E64"/>
    <w:rsid w:val="00A838E1"/>
    <w:rsid w:val="00A84A9F"/>
    <w:rsid w:val="00A84B64"/>
    <w:rsid w:val="00A84DC9"/>
    <w:rsid w:val="00A84F6E"/>
    <w:rsid w:val="00A85ABA"/>
    <w:rsid w:val="00A86DF7"/>
    <w:rsid w:val="00A8713F"/>
    <w:rsid w:val="00A9009D"/>
    <w:rsid w:val="00A90313"/>
    <w:rsid w:val="00A90BA1"/>
    <w:rsid w:val="00A926D9"/>
    <w:rsid w:val="00A9492E"/>
    <w:rsid w:val="00A949A2"/>
    <w:rsid w:val="00A97A9A"/>
    <w:rsid w:val="00AA0671"/>
    <w:rsid w:val="00AA2361"/>
    <w:rsid w:val="00AA2531"/>
    <w:rsid w:val="00AA3347"/>
    <w:rsid w:val="00AA3A0E"/>
    <w:rsid w:val="00AA4972"/>
    <w:rsid w:val="00AB0BA2"/>
    <w:rsid w:val="00AB1940"/>
    <w:rsid w:val="00AB1E09"/>
    <w:rsid w:val="00AB214A"/>
    <w:rsid w:val="00AB238F"/>
    <w:rsid w:val="00AB2440"/>
    <w:rsid w:val="00AB5330"/>
    <w:rsid w:val="00AB7359"/>
    <w:rsid w:val="00AB7747"/>
    <w:rsid w:val="00AC04A9"/>
    <w:rsid w:val="00AC14CE"/>
    <w:rsid w:val="00AC2A56"/>
    <w:rsid w:val="00AC4037"/>
    <w:rsid w:val="00AC5430"/>
    <w:rsid w:val="00AC5E22"/>
    <w:rsid w:val="00AD055E"/>
    <w:rsid w:val="00AD115A"/>
    <w:rsid w:val="00AD154F"/>
    <w:rsid w:val="00AD47A7"/>
    <w:rsid w:val="00AD75BA"/>
    <w:rsid w:val="00AE05CE"/>
    <w:rsid w:val="00AE292B"/>
    <w:rsid w:val="00AE2DB9"/>
    <w:rsid w:val="00AE566C"/>
    <w:rsid w:val="00AF0265"/>
    <w:rsid w:val="00AF0CBF"/>
    <w:rsid w:val="00AF1F13"/>
    <w:rsid w:val="00AF2109"/>
    <w:rsid w:val="00AF257F"/>
    <w:rsid w:val="00AF33CF"/>
    <w:rsid w:val="00AF37D5"/>
    <w:rsid w:val="00AF385E"/>
    <w:rsid w:val="00AF44B5"/>
    <w:rsid w:val="00AF4554"/>
    <w:rsid w:val="00AF4B20"/>
    <w:rsid w:val="00AF4D50"/>
    <w:rsid w:val="00AF5647"/>
    <w:rsid w:val="00AF6179"/>
    <w:rsid w:val="00AF62D3"/>
    <w:rsid w:val="00AF6EDA"/>
    <w:rsid w:val="00B04A49"/>
    <w:rsid w:val="00B04C3A"/>
    <w:rsid w:val="00B0507A"/>
    <w:rsid w:val="00B059C6"/>
    <w:rsid w:val="00B06D8A"/>
    <w:rsid w:val="00B07BB1"/>
    <w:rsid w:val="00B10BF4"/>
    <w:rsid w:val="00B12059"/>
    <w:rsid w:val="00B1295A"/>
    <w:rsid w:val="00B14E60"/>
    <w:rsid w:val="00B1563C"/>
    <w:rsid w:val="00B17303"/>
    <w:rsid w:val="00B2059B"/>
    <w:rsid w:val="00B20A24"/>
    <w:rsid w:val="00B20A45"/>
    <w:rsid w:val="00B21945"/>
    <w:rsid w:val="00B22C5C"/>
    <w:rsid w:val="00B244E8"/>
    <w:rsid w:val="00B24CDF"/>
    <w:rsid w:val="00B24F30"/>
    <w:rsid w:val="00B31ABF"/>
    <w:rsid w:val="00B3273C"/>
    <w:rsid w:val="00B33534"/>
    <w:rsid w:val="00B33BE3"/>
    <w:rsid w:val="00B371A6"/>
    <w:rsid w:val="00B37FAD"/>
    <w:rsid w:val="00B40CD6"/>
    <w:rsid w:val="00B420F2"/>
    <w:rsid w:val="00B42ACA"/>
    <w:rsid w:val="00B44FC6"/>
    <w:rsid w:val="00B451AC"/>
    <w:rsid w:val="00B52690"/>
    <w:rsid w:val="00B53324"/>
    <w:rsid w:val="00B53451"/>
    <w:rsid w:val="00B53B5D"/>
    <w:rsid w:val="00B54BFE"/>
    <w:rsid w:val="00B55C0A"/>
    <w:rsid w:val="00B561ED"/>
    <w:rsid w:val="00B6055E"/>
    <w:rsid w:val="00B60FB4"/>
    <w:rsid w:val="00B622A6"/>
    <w:rsid w:val="00B6317D"/>
    <w:rsid w:val="00B66C5F"/>
    <w:rsid w:val="00B702E8"/>
    <w:rsid w:val="00B7091D"/>
    <w:rsid w:val="00B748D6"/>
    <w:rsid w:val="00B7679B"/>
    <w:rsid w:val="00B7723F"/>
    <w:rsid w:val="00B80534"/>
    <w:rsid w:val="00B81310"/>
    <w:rsid w:val="00B82C24"/>
    <w:rsid w:val="00B8433C"/>
    <w:rsid w:val="00B84D1E"/>
    <w:rsid w:val="00B86868"/>
    <w:rsid w:val="00B86916"/>
    <w:rsid w:val="00B87491"/>
    <w:rsid w:val="00B92D34"/>
    <w:rsid w:val="00B93F86"/>
    <w:rsid w:val="00B95AB3"/>
    <w:rsid w:val="00B97960"/>
    <w:rsid w:val="00BA01F4"/>
    <w:rsid w:val="00BA1E08"/>
    <w:rsid w:val="00BA216A"/>
    <w:rsid w:val="00BA29E9"/>
    <w:rsid w:val="00BA553E"/>
    <w:rsid w:val="00BA672C"/>
    <w:rsid w:val="00BA7081"/>
    <w:rsid w:val="00BA7142"/>
    <w:rsid w:val="00BB2350"/>
    <w:rsid w:val="00BB237C"/>
    <w:rsid w:val="00BB41A3"/>
    <w:rsid w:val="00BB5E6F"/>
    <w:rsid w:val="00BB636D"/>
    <w:rsid w:val="00BC01E3"/>
    <w:rsid w:val="00BC0299"/>
    <w:rsid w:val="00BC1B9F"/>
    <w:rsid w:val="00BC32DC"/>
    <w:rsid w:val="00BC35B6"/>
    <w:rsid w:val="00BC4F40"/>
    <w:rsid w:val="00BC7A54"/>
    <w:rsid w:val="00BC7AA5"/>
    <w:rsid w:val="00BD06F7"/>
    <w:rsid w:val="00BD1B51"/>
    <w:rsid w:val="00BD403B"/>
    <w:rsid w:val="00BD4596"/>
    <w:rsid w:val="00BD68A4"/>
    <w:rsid w:val="00BE1405"/>
    <w:rsid w:val="00BE312D"/>
    <w:rsid w:val="00BE33B4"/>
    <w:rsid w:val="00BE53E7"/>
    <w:rsid w:val="00BE5C64"/>
    <w:rsid w:val="00BE7055"/>
    <w:rsid w:val="00BE798E"/>
    <w:rsid w:val="00BF003A"/>
    <w:rsid w:val="00BF1C20"/>
    <w:rsid w:val="00BF36BD"/>
    <w:rsid w:val="00BF5F39"/>
    <w:rsid w:val="00C000F9"/>
    <w:rsid w:val="00C02D55"/>
    <w:rsid w:val="00C02D8B"/>
    <w:rsid w:val="00C104CB"/>
    <w:rsid w:val="00C10578"/>
    <w:rsid w:val="00C135BC"/>
    <w:rsid w:val="00C14E03"/>
    <w:rsid w:val="00C15C95"/>
    <w:rsid w:val="00C219FB"/>
    <w:rsid w:val="00C21A2C"/>
    <w:rsid w:val="00C24BC3"/>
    <w:rsid w:val="00C2534D"/>
    <w:rsid w:val="00C2596A"/>
    <w:rsid w:val="00C26B25"/>
    <w:rsid w:val="00C27537"/>
    <w:rsid w:val="00C276F5"/>
    <w:rsid w:val="00C31B3E"/>
    <w:rsid w:val="00C328FE"/>
    <w:rsid w:val="00C33507"/>
    <w:rsid w:val="00C34DAD"/>
    <w:rsid w:val="00C35033"/>
    <w:rsid w:val="00C4409D"/>
    <w:rsid w:val="00C445BF"/>
    <w:rsid w:val="00C44B2F"/>
    <w:rsid w:val="00C44E72"/>
    <w:rsid w:val="00C45A06"/>
    <w:rsid w:val="00C47E5B"/>
    <w:rsid w:val="00C47E66"/>
    <w:rsid w:val="00C519D1"/>
    <w:rsid w:val="00C5505E"/>
    <w:rsid w:val="00C5560D"/>
    <w:rsid w:val="00C60885"/>
    <w:rsid w:val="00C6140E"/>
    <w:rsid w:val="00C61E4B"/>
    <w:rsid w:val="00C641BF"/>
    <w:rsid w:val="00C64BFF"/>
    <w:rsid w:val="00C66D41"/>
    <w:rsid w:val="00C704E9"/>
    <w:rsid w:val="00C711D1"/>
    <w:rsid w:val="00C74442"/>
    <w:rsid w:val="00C763C9"/>
    <w:rsid w:val="00C77ADC"/>
    <w:rsid w:val="00C80057"/>
    <w:rsid w:val="00C8024B"/>
    <w:rsid w:val="00C80AF8"/>
    <w:rsid w:val="00C80F8A"/>
    <w:rsid w:val="00C82232"/>
    <w:rsid w:val="00C823C4"/>
    <w:rsid w:val="00C82913"/>
    <w:rsid w:val="00C852D5"/>
    <w:rsid w:val="00C86923"/>
    <w:rsid w:val="00C93E55"/>
    <w:rsid w:val="00C9559F"/>
    <w:rsid w:val="00C9680F"/>
    <w:rsid w:val="00C972B1"/>
    <w:rsid w:val="00C975BC"/>
    <w:rsid w:val="00CA120C"/>
    <w:rsid w:val="00CA17EF"/>
    <w:rsid w:val="00CA2CCE"/>
    <w:rsid w:val="00CA3CA6"/>
    <w:rsid w:val="00CA43FD"/>
    <w:rsid w:val="00CA4E6F"/>
    <w:rsid w:val="00CA7EF8"/>
    <w:rsid w:val="00CB16BC"/>
    <w:rsid w:val="00CB1F87"/>
    <w:rsid w:val="00CB323A"/>
    <w:rsid w:val="00CB3C32"/>
    <w:rsid w:val="00CB5C37"/>
    <w:rsid w:val="00CB74AE"/>
    <w:rsid w:val="00CB74F7"/>
    <w:rsid w:val="00CB78EE"/>
    <w:rsid w:val="00CC3337"/>
    <w:rsid w:val="00CC4883"/>
    <w:rsid w:val="00CC489B"/>
    <w:rsid w:val="00CC7062"/>
    <w:rsid w:val="00CD04E4"/>
    <w:rsid w:val="00CD2BCD"/>
    <w:rsid w:val="00CD31ED"/>
    <w:rsid w:val="00CD3A4C"/>
    <w:rsid w:val="00CD63F2"/>
    <w:rsid w:val="00CD6511"/>
    <w:rsid w:val="00CD6778"/>
    <w:rsid w:val="00CE10E9"/>
    <w:rsid w:val="00CE14E4"/>
    <w:rsid w:val="00CE16A5"/>
    <w:rsid w:val="00CE2910"/>
    <w:rsid w:val="00CE344A"/>
    <w:rsid w:val="00CE4A3E"/>
    <w:rsid w:val="00CE5393"/>
    <w:rsid w:val="00CE765C"/>
    <w:rsid w:val="00CE7CA1"/>
    <w:rsid w:val="00CF0A5C"/>
    <w:rsid w:val="00CF14B8"/>
    <w:rsid w:val="00CF1C52"/>
    <w:rsid w:val="00CF21B5"/>
    <w:rsid w:val="00CF35E5"/>
    <w:rsid w:val="00CF36BE"/>
    <w:rsid w:val="00CF4732"/>
    <w:rsid w:val="00CF6000"/>
    <w:rsid w:val="00CF7828"/>
    <w:rsid w:val="00D002D5"/>
    <w:rsid w:val="00D003F3"/>
    <w:rsid w:val="00D031B3"/>
    <w:rsid w:val="00D034A2"/>
    <w:rsid w:val="00D0364F"/>
    <w:rsid w:val="00D04125"/>
    <w:rsid w:val="00D06834"/>
    <w:rsid w:val="00D068E3"/>
    <w:rsid w:val="00D06A20"/>
    <w:rsid w:val="00D11702"/>
    <w:rsid w:val="00D15B27"/>
    <w:rsid w:val="00D177AF"/>
    <w:rsid w:val="00D17C3F"/>
    <w:rsid w:val="00D17D4F"/>
    <w:rsid w:val="00D20683"/>
    <w:rsid w:val="00D20F41"/>
    <w:rsid w:val="00D26F33"/>
    <w:rsid w:val="00D308ED"/>
    <w:rsid w:val="00D320E0"/>
    <w:rsid w:val="00D33679"/>
    <w:rsid w:val="00D33CBF"/>
    <w:rsid w:val="00D36D86"/>
    <w:rsid w:val="00D4203B"/>
    <w:rsid w:val="00D428AA"/>
    <w:rsid w:val="00D43964"/>
    <w:rsid w:val="00D50A34"/>
    <w:rsid w:val="00D52482"/>
    <w:rsid w:val="00D53EFA"/>
    <w:rsid w:val="00D57943"/>
    <w:rsid w:val="00D60362"/>
    <w:rsid w:val="00D60A35"/>
    <w:rsid w:val="00D61275"/>
    <w:rsid w:val="00D61AC6"/>
    <w:rsid w:val="00D71495"/>
    <w:rsid w:val="00D76FE1"/>
    <w:rsid w:val="00D86DBC"/>
    <w:rsid w:val="00D8711F"/>
    <w:rsid w:val="00D876CC"/>
    <w:rsid w:val="00D91488"/>
    <w:rsid w:val="00D92285"/>
    <w:rsid w:val="00D9401D"/>
    <w:rsid w:val="00D940CB"/>
    <w:rsid w:val="00D948A2"/>
    <w:rsid w:val="00D94A7C"/>
    <w:rsid w:val="00D952CE"/>
    <w:rsid w:val="00D95896"/>
    <w:rsid w:val="00DA1435"/>
    <w:rsid w:val="00DA1D6B"/>
    <w:rsid w:val="00DA3A1B"/>
    <w:rsid w:val="00DA4610"/>
    <w:rsid w:val="00DA5616"/>
    <w:rsid w:val="00DA67BF"/>
    <w:rsid w:val="00DA73C7"/>
    <w:rsid w:val="00DA7BDB"/>
    <w:rsid w:val="00DA7DB0"/>
    <w:rsid w:val="00DB1975"/>
    <w:rsid w:val="00DB2983"/>
    <w:rsid w:val="00DB4109"/>
    <w:rsid w:val="00DB7FC4"/>
    <w:rsid w:val="00DC1257"/>
    <w:rsid w:val="00DC2B80"/>
    <w:rsid w:val="00DC3DC0"/>
    <w:rsid w:val="00DC484C"/>
    <w:rsid w:val="00DC53CA"/>
    <w:rsid w:val="00DC5B2B"/>
    <w:rsid w:val="00DC6AC3"/>
    <w:rsid w:val="00DC7CEA"/>
    <w:rsid w:val="00DD0E74"/>
    <w:rsid w:val="00DD14E4"/>
    <w:rsid w:val="00DD1B78"/>
    <w:rsid w:val="00DD2AD4"/>
    <w:rsid w:val="00DD318D"/>
    <w:rsid w:val="00DD4081"/>
    <w:rsid w:val="00DD6D72"/>
    <w:rsid w:val="00DD7A3D"/>
    <w:rsid w:val="00DE3A71"/>
    <w:rsid w:val="00DE3EC7"/>
    <w:rsid w:val="00DE58E8"/>
    <w:rsid w:val="00DF0A13"/>
    <w:rsid w:val="00DF2301"/>
    <w:rsid w:val="00DF29AA"/>
    <w:rsid w:val="00DF2E12"/>
    <w:rsid w:val="00DF4163"/>
    <w:rsid w:val="00DF514A"/>
    <w:rsid w:val="00DF619F"/>
    <w:rsid w:val="00DF6690"/>
    <w:rsid w:val="00DF6804"/>
    <w:rsid w:val="00E003BF"/>
    <w:rsid w:val="00E00E57"/>
    <w:rsid w:val="00E013B2"/>
    <w:rsid w:val="00E02DA4"/>
    <w:rsid w:val="00E0358D"/>
    <w:rsid w:val="00E04323"/>
    <w:rsid w:val="00E070A2"/>
    <w:rsid w:val="00E1226C"/>
    <w:rsid w:val="00E14A97"/>
    <w:rsid w:val="00E14D97"/>
    <w:rsid w:val="00E150FA"/>
    <w:rsid w:val="00E16357"/>
    <w:rsid w:val="00E16732"/>
    <w:rsid w:val="00E17CF5"/>
    <w:rsid w:val="00E206F3"/>
    <w:rsid w:val="00E21ADA"/>
    <w:rsid w:val="00E23D7E"/>
    <w:rsid w:val="00E262D1"/>
    <w:rsid w:val="00E2656A"/>
    <w:rsid w:val="00E2799E"/>
    <w:rsid w:val="00E30B16"/>
    <w:rsid w:val="00E31787"/>
    <w:rsid w:val="00E32A1F"/>
    <w:rsid w:val="00E32B18"/>
    <w:rsid w:val="00E32B48"/>
    <w:rsid w:val="00E35200"/>
    <w:rsid w:val="00E35DEA"/>
    <w:rsid w:val="00E36B37"/>
    <w:rsid w:val="00E4090E"/>
    <w:rsid w:val="00E412D0"/>
    <w:rsid w:val="00E42352"/>
    <w:rsid w:val="00E43C80"/>
    <w:rsid w:val="00E4508A"/>
    <w:rsid w:val="00E45191"/>
    <w:rsid w:val="00E5010D"/>
    <w:rsid w:val="00E517A6"/>
    <w:rsid w:val="00E523DD"/>
    <w:rsid w:val="00E52E96"/>
    <w:rsid w:val="00E5310E"/>
    <w:rsid w:val="00E53B9E"/>
    <w:rsid w:val="00E55FB6"/>
    <w:rsid w:val="00E56322"/>
    <w:rsid w:val="00E60982"/>
    <w:rsid w:val="00E625F2"/>
    <w:rsid w:val="00E62C62"/>
    <w:rsid w:val="00E64715"/>
    <w:rsid w:val="00E65279"/>
    <w:rsid w:val="00E654C1"/>
    <w:rsid w:val="00E65D97"/>
    <w:rsid w:val="00E707B8"/>
    <w:rsid w:val="00E70E2E"/>
    <w:rsid w:val="00E71A3E"/>
    <w:rsid w:val="00E72A5A"/>
    <w:rsid w:val="00E72E07"/>
    <w:rsid w:val="00E732DF"/>
    <w:rsid w:val="00E73354"/>
    <w:rsid w:val="00E7357A"/>
    <w:rsid w:val="00E77ED1"/>
    <w:rsid w:val="00E80F1F"/>
    <w:rsid w:val="00E817BB"/>
    <w:rsid w:val="00E8592D"/>
    <w:rsid w:val="00E86FAE"/>
    <w:rsid w:val="00E91664"/>
    <w:rsid w:val="00E9242D"/>
    <w:rsid w:val="00E93A27"/>
    <w:rsid w:val="00E9454F"/>
    <w:rsid w:val="00E96FC7"/>
    <w:rsid w:val="00EA0C9E"/>
    <w:rsid w:val="00EA0F80"/>
    <w:rsid w:val="00EA2A0C"/>
    <w:rsid w:val="00EA3068"/>
    <w:rsid w:val="00EA33BF"/>
    <w:rsid w:val="00EA4CA7"/>
    <w:rsid w:val="00EA5E0C"/>
    <w:rsid w:val="00EA6B43"/>
    <w:rsid w:val="00EA7A6D"/>
    <w:rsid w:val="00EB228F"/>
    <w:rsid w:val="00EB3787"/>
    <w:rsid w:val="00EB4120"/>
    <w:rsid w:val="00EB4363"/>
    <w:rsid w:val="00EB4841"/>
    <w:rsid w:val="00EB5255"/>
    <w:rsid w:val="00EB5C47"/>
    <w:rsid w:val="00EC4EB6"/>
    <w:rsid w:val="00EC5BDD"/>
    <w:rsid w:val="00EC7097"/>
    <w:rsid w:val="00EC7866"/>
    <w:rsid w:val="00ED0639"/>
    <w:rsid w:val="00ED08F1"/>
    <w:rsid w:val="00ED0A2C"/>
    <w:rsid w:val="00ED3B59"/>
    <w:rsid w:val="00ED5E6C"/>
    <w:rsid w:val="00ED754A"/>
    <w:rsid w:val="00EE0B8B"/>
    <w:rsid w:val="00EE1A21"/>
    <w:rsid w:val="00EE24DC"/>
    <w:rsid w:val="00EE405F"/>
    <w:rsid w:val="00EE4D54"/>
    <w:rsid w:val="00EE555D"/>
    <w:rsid w:val="00EE6E67"/>
    <w:rsid w:val="00EE7E0F"/>
    <w:rsid w:val="00EF0DF1"/>
    <w:rsid w:val="00EF0F1B"/>
    <w:rsid w:val="00EF11BA"/>
    <w:rsid w:val="00EF1FFC"/>
    <w:rsid w:val="00EF23FC"/>
    <w:rsid w:val="00EF2E39"/>
    <w:rsid w:val="00EF3605"/>
    <w:rsid w:val="00EF4755"/>
    <w:rsid w:val="00EF6B3C"/>
    <w:rsid w:val="00EF7135"/>
    <w:rsid w:val="00EF7F50"/>
    <w:rsid w:val="00F027DB"/>
    <w:rsid w:val="00F032BC"/>
    <w:rsid w:val="00F0412E"/>
    <w:rsid w:val="00F101BF"/>
    <w:rsid w:val="00F1037D"/>
    <w:rsid w:val="00F118F2"/>
    <w:rsid w:val="00F14A7A"/>
    <w:rsid w:val="00F14B2B"/>
    <w:rsid w:val="00F17A02"/>
    <w:rsid w:val="00F22985"/>
    <w:rsid w:val="00F24285"/>
    <w:rsid w:val="00F27476"/>
    <w:rsid w:val="00F30C00"/>
    <w:rsid w:val="00F3383E"/>
    <w:rsid w:val="00F33C38"/>
    <w:rsid w:val="00F40399"/>
    <w:rsid w:val="00F41DBA"/>
    <w:rsid w:val="00F4269F"/>
    <w:rsid w:val="00F42F87"/>
    <w:rsid w:val="00F44888"/>
    <w:rsid w:val="00F463E3"/>
    <w:rsid w:val="00F465A7"/>
    <w:rsid w:val="00F46C79"/>
    <w:rsid w:val="00F47007"/>
    <w:rsid w:val="00F50B7C"/>
    <w:rsid w:val="00F50DC6"/>
    <w:rsid w:val="00F510D0"/>
    <w:rsid w:val="00F53FA9"/>
    <w:rsid w:val="00F54180"/>
    <w:rsid w:val="00F550E6"/>
    <w:rsid w:val="00F56683"/>
    <w:rsid w:val="00F57428"/>
    <w:rsid w:val="00F61D70"/>
    <w:rsid w:val="00F6353A"/>
    <w:rsid w:val="00F64F8A"/>
    <w:rsid w:val="00F67F72"/>
    <w:rsid w:val="00F70375"/>
    <w:rsid w:val="00F71560"/>
    <w:rsid w:val="00F72A1D"/>
    <w:rsid w:val="00F74345"/>
    <w:rsid w:val="00F75410"/>
    <w:rsid w:val="00F75CF8"/>
    <w:rsid w:val="00F76EC3"/>
    <w:rsid w:val="00F7746E"/>
    <w:rsid w:val="00F77BBF"/>
    <w:rsid w:val="00F80458"/>
    <w:rsid w:val="00F80A0A"/>
    <w:rsid w:val="00F82B19"/>
    <w:rsid w:val="00F84C9B"/>
    <w:rsid w:val="00F85B7A"/>
    <w:rsid w:val="00F872F7"/>
    <w:rsid w:val="00F9212D"/>
    <w:rsid w:val="00F93062"/>
    <w:rsid w:val="00F965DA"/>
    <w:rsid w:val="00F96EFB"/>
    <w:rsid w:val="00FA02C1"/>
    <w:rsid w:val="00FA406A"/>
    <w:rsid w:val="00FA7DE2"/>
    <w:rsid w:val="00FB2EBA"/>
    <w:rsid w:val="00FB4DD2"/>
    <w:rsid w:val="00FB503A"/>
    <w:rsid w:val="00FB516C"/>
    <w:rsid w:val="00FB7B04"/>
    <w:rsid w:val="00FB7DAD"/>
    <w:rsid w:val="00FC2DC8"/>
    <w:rsid w:val="00FC5265"/>
    <w:rsid w:val="00FC58BD"/>
    <w:rsid w:val="00FC5D74"/>
    <w:rsid w:val="00FD0236"/>
    <w:rsid w:val="00FD07FB"/>
    <w:rsid w:val="00FD18F4"/>
    <w:rsid w:val="00FD49A8"/>
    <w:rsid w:val="00FD54DB"/>
    <w:rsid w:val="00FD5953"/>
    <w:rsid w:val="00FD619F"/>
    <w:rsid w:val="00FE0D20"/>
    <w:rsid w:val="00FE123D"/>
    <w:rsid w:val="00FE1566"/>
    <w:rsid w:val="00FF0224"/>
    <w:rsid w:val="00FF0579"/>
    <w:rsid w:val="00FF2CCD"/>
    <w:rsid w:val="00FF368A"/>
    <w:rsid w:val="00FF51B3"/>
    <w:rsid w:val="00FF535B"/>
    <w:rsid w:val="00FF57AD"/>
    <w:rsid w:val="00FF7D78"/>
    <w:rsid w:val="010158D6"/>
    <w:rsid w:val="0105236C"/>
    <w:rsid w:val="010F3B4F"/>
    <w:rsid w:val="01161381"/>
    <w:rsid w:val="011B1393"/>
    <w:rsid w:val="01205D5C"/>
    <w:rsid w:val="0122422B"/>
    <w:rsid w:val="01243C35"/>
    <w:rsid w:val="012639DD"/>
    <w:rsid w:val="0126531D"/>
    <w:rsid w:val="0127086D"/>
    <w:rsid w:val="01290F7E"/>
    <w:rsid w:val="0129721D"/>
    <w:rsid w:val="01317F69"/>
    <w:rsid w:val="01341807"/>
    <w:rsid w:val="01374E54"/>
    <w:rsid w:val="01384F38"/>
    <w:rsid w:val="01395070"/>
    <w:rsid w:val="013B2B96"/>
    <w:rsid w:val="01401F5A"/>
    <w:rsid w:val="014A102B"/>
    <w:rsid w:val="01522E63"/>
    <w:rsid w:val="0156352C"/>
    <w:rsid w:val="015D1E09"/>
    <w:rsid w:val="01610122"/>
    <w:rsid w:val="016A347B"/>
    <w:rsid w:val="016C2277"/>
    <w:rsid w:val="016F283F"/>
    <w:rsid w:val="017B1CD3"/>
    <w:rsid w:val="017C5CF2"/>
    <w:rsid w:val="017D7EFE"/>
    <w:rsid w:val="018169DF"/>
    <w:rsid w:val="018A58CB"/>
    <w:rsid w:val="018C1FAB"/>
    <w:rsid w:val="018C5A02"/>
    <w:rsid w:val="01900E95"/>
    <w:rsid w:val="019127B6"/>
    <w:rsid w:val="01947341"/>
    <w:rsid w:val="01962522"/>
    <w:rsid w:val="01A16F03"/>
    <w:rsid w:val="01A22C15"/>
    <w:rsid w:val="01A73D87"/>
    <w:rsid w:val="01AD5116"/>
    <w:rsid w:val="01B512AB"/>
    <w:rsid w:val="01B53985"/>
    <w:rsid w:val="01BB5A85"/>
    <w:rsid w:val="01C25065"/>
    <w:rsid w:val="01C77D2E"/>
    <w:rsid w:val="01CA216C"/>
    <w:rsid w:val="01CE28E1"/>
    <w:rsid w:val="01D115ED"/>
    <w:rsid w:val="01D54BFB"/>
    <w:rsid w:val="01D803E5"/>
    <w:rsid w:val="01D87DDF"/>
    <w:rsid w:val="01DD2AC7"/>
    <w:rsid w:val="01E44FDB"/>
    <w:rsid w:val="01E65F39"/>
    <w:rsid w:val="01E925F2"/>
    <w:rsid w:val="01F176F8"/>
    <w:rsid w:val="01F571E8"/>
    <w:rsid w:val="01F9223F"/>
    <w:rsid w:val="01FF68D3"/>
    <w:rsid w:val="02077A8A"/>
    <w:rsid w:val="020C6D1C"/>
    <w:rsid w:val="021A09FD"/>
    <w:rsid w:val="0222356F"/>
    <w:rsid w:val="022D1862"/>
    <w:rsid w:val="02313F99"/>
    <w:rsid w:val="023C241A"/>
    <w:rsid w:val="02401F6F"/>
    <w:rsid w:val="02427168"/>
    <w:rsid w:val="02541A7A"/>
    <w:rsid w:val="02566283"/>
    <w:rsid w:val="02587777"/>
    <w:rsid w:val="0259748E"/>
    <w:rsid w:val="02697903"/>
    <w:rsid w:val="026D3223"/>
    <w:rsid w:val="02775E4F"/>
    <w:rsid w:val="027C437B"/>
    <w:rsid w:val="028B36A9"/>
    <w:rsid w:val="028C11CF"/>
    <w:rsid w:val="028E2DDB"/>
    <w:rsid w:val="02936A01"/>
    <w:rsid w:val="029E5159"/>
    <w:rsid w:val="029F06CC"/>
    <w:rsid w:val="02A0221B"/>
    <w:rsid w:val="02A8425B"/>
    <w:rsid w:val="02AB5AF9"/>
    <w:rsid w:val="02AB7FC7"/>
    <w:rsid w:val="02B510FE"/>
    <w:rsid w:val="02BA1367"/>
    <w:rsid w:val="02BF5F9D"/>
    <w:rsid w:val="02C41FC5"/>
    <w:rsid w:val="02C561E6"/>
    <w:rsid w:val="02C60BE5"/>
    <w:rsid w:val="02D30749"/>
    <w:rsid w:val="02DA018C"/>
    <w:rsid w:val="02DF39F5"/>
    <w:rsid w:val="02DF57A3"/>
    <w:rsid w:val="02E35735"/>
    <w:rsid w:val="02E769F1"/>
    <w:rsid w:val="02EA2B3A"/>
    <w:rsid w:val="02EE3EC3"/>
    <w:rsid w:val="02F41532"/>
    <w:rsid w:val="02F96569"/>
    <w:rsid w:val="02FA78F2"/>
    <w:rsid w:val="03015719"/>
    <w:rsid w:val="0301591E"/>
    <w:rsid w:val="03061B26"/>
    <w:rsid w:val="03065425"/>
    <w:rsid w:val="03142EF6"/>
    <w:rsid w:val="03157925"/>
    <w:rsid w:val="0319195D"/>
    <w:rsid w:val="032000D3"/>
    <w:rsid w:val="03200295"/>
    <w:rsid w:val="03232102"/>
    <w:rsid w:val="032E4779"/>
    <w:rsid w:val="03333A24"/>
    <w:rsid w:val="03375DCF"/>
    <w:rsid w:val="033879A6"/>
    <w:rsid w:val="03394EB3"/>
    <w:rsid w:val="033A56E3"/>
    <w:rsid w:val="03433F84"/>
    <w:rsid w:val="03447B99"/>
    <w:rsid w:val="034C2F81"/>
    <w:rsid w:val="034F0AEC"/>
    <w:rsid w:val="03581ED2"/>
    <w:rsid w:val="035A5589"/>
    <w:rsid w:val="035E2B6B"/>
    <w:rsid w:val="03653EFA"/>
    <w:rsid w:val="03676DD4"/>
    <w:rsid w:val="036B5288"/>
    <w:rsid w:val="036C44CA"/>
    <w:rsid w:val="036D2DAF"/>
    <w:rsid w:val="03797C2A"/>
    <w:rsid w:val="037B0F0F"/>
    <w:rsid w:val="03A32C74"/>
    <w:rsid w:val="03AA06C7"/>
    <w:rsid w:val="03AB203D"/>
    <w:rsid w:val="03C1604B"/>
    <w:rsid w:val="03C823B7"/>
    <w:rsid w:val="03C97AF2"/>
    <w:rsid w:val="03CB1CCE"/>
    <w:rsid w:val="03CB1FCC"/>
    <w:rsid w:val="03CD1A9F"/>
    <w:rsid w:val="03CF6CC7"/>
    <w:rsid w:val="03D50420"/>
    <w:rsid w:val="03D54FA8"/>
    <w:rsid w:val="03D93C7C"/>
    <w:rsid w:val="03DB0E24"/>
    <w:rsid w:val="03DD7F34"/>
    <w:rsid w:val="03E83BA8"/>
    <w:rsid w:val="03EA7B21"/>
    <w:rsid w:val="03ED179F"/>
    <w:rsid w:val="03EF1A15"/>
    <w:rsid w:val="03F26635"/>
    <w:rsid w:val="03F30471"/>
    <w:rsid w:val="03FA6D38"/>
    <w:rsid w:val="04003C23"/>
    <w:rsid w:val="040A2CF3"/>
    <w:rsid w:val="040E086B"/>
    <w:rsid w:val="04115E30"/>
    <w:rsid w:val="04131BA8"/>
    <w:rsid w:val="041871BE"/>
    <w:rsid w:val="042D5937"/>
    <w:rsid w:val="04366FBB"/>
    <w:rsid w:val="04397422"/>
    <w:rsid w:val="043F474B"/>
    <w:rsid w:val="04420225"/>
    <w:rsid w:val="044B7B8E"/>
    <w:rsid w:val="04506A77"/>
    <w:rsid w:val="04522E10"/>
    <w:rsid w:val="04570F47"/>
    <w:rsid w:val="045B758A"/>
    <w:rsid w:val="0462668B"/>
    <w:rsid w:val="04673CA2"/>
    <w:rsid w:val="046D5E3F"/>
    <w:rsid w:val="0473605D"/>
    <w:rsid w:val="047519F7"/>
    <w:rsid w:val="047F208A"/>
    <w:rsid w:val="0481456B"/>
    <w:rsid w:val="04854128"/>
    <w:rsid w:val="048900BC"/>
    <w:rsid w:val="04936451"/>
    <w:rsid w:val="04936845"/>
    <w:rsid w:val="049A5E25"/>
    <w:rsid w:val="049F51EA"/>
    <w:rsid w:val="04A52162"/>
    <w:rsid w:val="04A70542"/>
    <w:rsid w:val="04AE7B23"/>
    <w:rsid w:val="04AF666C"/>
    <w:rsid w:val="04B05082"/>
    <w:rsid w:val="04B213C1"/>
    <w:rsid w:val="04B312A6"/>
    <w:rsid w:val="04B340AB"/>
    <w:rsid w:val="04BE0610"/>
    <w:rsid w:val="04C2712A"/>
    <w:rsid w:val="04C335C0"/>
    <w:rsid w:val="04C43757"/>
    <w:rsid w:val="04CC3C0D"/>
    <w:rsid w:val="04D1715B"/>
    <w:rsid w:val="04D5491D"/>
    <w:rsid w:val="04DA4474"/>
    <w:rsid w:val="04E15802"/>
    <w:rsid w:val="04F419D9"/>
    <w:rsid w:val="04F55BC6"/>
    <w:rsid w:val="05004807"/>
    <w:rsid w:val="0503750F"/>
    <w:rsid w:val="05054467"/>
    <w:rsid w:val="050D65F7"/>
    <w:rsid w:val="050F0ECA"/>
    <w:rsid w:val="051F632A"/>
    <w:rsid w:val="05202650"/>
    <w:rsid w:val="052027CE"/>
    <w:rsid w:val="0521616E"/>
    <w:rsid w:val="05267BC0"/>
    <w:rsid w:val="052A53FB"/>
    <w:rsid w:val="052D4B75"/>
    <w:rsid w:val="05322502"/>
    <w:rsid w:val="05353857"/>
    <w:rsid w:val="053B6D54"/>
    <w:rsid w:val="053C6EDC"/>
    <w:rsid w:val="053F077B"/>
    <w:rsid w:val="054144F3"/>
    <w:rsid w:val="054B4EE7"/>
    <w:rsid w:val="0563090D"/>
    <w:rsid w:val="056401E1"/>
    <w:rsid w:val="057429DC"/>
    <w:rsid w:val="05750CF8"/>
    <w:rsid w:val="05760640"/>
    <w:rsid w:val="057E73DF"/>
    <w:rsid w:val="05834B0B"/>
    <w:rsid w:val="058A3B9B"/>
    <w:rsid w:val="058A40EC"/>
    <w:rsid w:val="05931CD0"/>
    <w:rsid w:val="059421D4"/>
    <w:rsid w:val="05962A91"/>
    <w:rsid w:val="059810A5"/>
    <w:rsid w:val="059C5BCD"/>
    <w:rsid w:val="059E1945"/>
    <w:rsid w:val="059E7E54"/>
    <w:rsid w:val="05A3517F"/>
    <w:rsid w:val="05AA02EA"/>
    <w:rsid w:val="05AD3936"/>
    <w:rsid w:val="05AF76AE"/>
    <w:rsid w:val="05BB02A9"/>
    <w:rsid w:val="05C50C80"/>
    <w:rsid w:val="05C649F8"/>
    <w:rsid w:val="05D13AC9"/>
    <w:rsid w:val="05D51530"/>
    <w:rsid w:val="05D72BAB"/>
    <w:rsid w:val="05D90BCF"/>
    <w:rsid w:val="05DB04A3"/>
    <w:rsid w:val="05DB4947"/>
    <w:rsid w:val="05EC0902"/>
    <w:rsid w:val="05ED32BD"/>
    <w:rsid w:val="05EF3F4F"/>
    <w:rsid w:val="05F172A3"/>
    <w:rsid w:val="05F23A3F"/>
    <w:rsid w:val="05F6352F"/>
    <w:rsid w:val="05F72E03"/>
    <w:rsid w:val="05F83EAE"/>
    <w:rsid w:val="05FC4DBD"/>
    <w:rsid w:val="06035C4C"/>
    <w:rsid w:val="06085010"/>
    <w:rsid w:val="06113EC5"/>
    <w:rsid w:val="06135E8F"/>
    <w:rsid w:val="0616597F"/>
    <w:rsid w:val="0624749E"/>
    <w:rsid w:val="06253E14"/>
    <w:rsid w:val="06293905"/>
    <w:rsid w:val="062956B3"/>
    <w:rsid w:val="062A31D9"/>
    <w:rsid w:val="0633208D"/>
    <w:rsid w:val="063578D0"/>
    <w:rsid w:val="063B53E6"/>
    <w:rsid w:val="063D53AA"/>
    <w:rsid w:val="063E7D85"/>
    <w:rsid w:val="06423164"/>
    <w:rsid w:val="06432556"/>
    <w:rsid w:val="064B1B88"/>
    <w:rsid w:val="064B2C3F"/>
    <w:rsid w:val="064E336B"/>
    <w:rsid w:val="064F5BF0"/>
    <w:rsid w:val="065021D4"/>
    <w:rsid w:val="065A43BF"/>
    <w:rsid w:val="065C2940"/>
    <w:rsid w:val="065E77C5"/>
    <w:rsid w:val="066E123B"/>
    <w:rsid w:val="066F06E3"/>
    <w:rsid w:val="06793C68"/>
    <w:rsid w:val="067B27AB"/>
    <w:rsid w:val="06810AA1"/>
    <w:rsid w:val="068154FF"/>
    <w:rsid w:val="068208C9"/>
    <w:rsid w:val="0687687D"/>
    <w:rsid w:val="068B1EC9"/>
    <w:rsid w:val="068E5516"/>
    <w:rsid w:val="0693639D"/>
    <w:rsid w:val="06A20EC1"/>
    <w:rsid w:val="06A45632"/>
    <w:rsid w:val="06AC0092"/>
    <w:rsid w:val="06AC1E40"/>
    <w:rsid w:val="06B64A6C"/>
    <w:rsid w:val="06C453DB"/>
    <w:rsid w:val="06D01BF4"/>
    <w:rsid w:val="06D3561E"/>
    <w:rsid w:val="06DC4B23"/>
    <w:rsid w:val="06E64FE6"/>
    <w:rsid w:val="06EC7069"/>
    <w:rsid w:val="06EE24AB"/>
    <w:rsid w:val="06F777F4"/>
    <w:rsid w:val="06FD6871"/>
    <w:rsid w:val="07026A9C"/>
    <w:rsid w:val="07031B8D"/>
    <w:rsid w:val="07052755"/>
    <w:rsid w:val="071B3F2D"/>
    <w:rsid w:val="07200049"/>
    <w:rsid w:val="07205E74"/>
    <w:rsid w:val="07210888"/>
    <w:rsid w:val="07224347"/>
    <w:rsid w:val="072367C5"/>
    <w:rsid w:val="07293586"/>
    <w:rsid w:val="07295285"/>
    <w:rsid w:val="072F3BEA"/>
    <w:rsid w:val="073563F1"/>
    <w:rsid w:val="07441B8D"/>
    <w:rsid w:val="074A3B33"/>
    <w:rsid w:val="074B1659"/>
    <w:rsid w:val="07500C41"/>
    <w:rsid w:val="07570C0D"/>
    <w:rsid w:val="075C1AB8"/>
    <w:rsid w:val="07615A04"/>
    <w:rsid w:val="07636392"/>
    <w:rsid w:val="076624FB"/>
    <w:rsid w:val="077010BF"/>
    <w:rsid w:val="07715E1B"/>
    <w:rsid w:val="07770C56"/>
    <w:rsid w:val="0781507A"/>
    <w:rsid w:val="07816281"/>
    <w:rsid w:val="078C2BF2"/>
    <w:rsid w:val="079179AC"/>
    <w:rsid w:val="07994783"/>
    <w:rsid w:val="079E5C2C"/>
    <w:rsid w:val="07A01890"/>
    <w:rsid w:val="07A747D5"/>
    <w:rsid w:val="07AA4B57"/>
    <w:rsid w:val="07B13BB2"/>
    <w:rsid w:val="07B40FAC"/>
    <w:rsid w:val="07B957A1"/>
    <w:rsid w:val="07BA233A"/>
    <w:rsid w:val="07C71AF3"/>
    <w:rsid w:val="07CA6A21"/>
    <w:rsid w:val="07CC05E5"/>
    <w:rsid w:val="07D96C51"/>
    <w:rsid w:val="07DC2105"/>
    <w:rsid w:val="07DE071F"/>
    <w:rsid w:val="07E31891"/>
    <w:rsid w:val="07E900D0"/>
    <w:rsid w:val="07ED0962"/>
    <w:rsid w:val="07EF0979"/>
    <w:rsid w:val="07EF46DA"/>
    <w:rsid w:val="07F27D26"/>
    <w:rsid w:val="07F372F2"/>
    <w:rsid w:val="07FB495C"/>
    <w:rsid w:val="08044DF2"/>
    <w:rsid w:val="08092494"/>
    <w:rsid w:val="080A32C2"/>
    <w:rsid w:val="080B2B96"/>
    <w:rsid w:val="081303C8"/>
    <w:rsid w:val="08142E70"/>
    <w:rsid w:val="08163955"/>
    <w:rsid w:val="081C5B30"/>
    <w:rsid w:val="081E0B1B"/>
    <w:rsid w:val="08202AE5"/>
    <w:rsid w:val="082064E9"/>
    <w:rsid w:val="08220261"/>
    <w:rsid w:val="08226533"/>
    <w:rsid w:val="08266D0A"/>
    <w:rsid w:val="08311CF1"/>
    <w:rsid w:val="083230DD"/>
    <w:rsid w:val="083337E2"/>
    <w:rsid w:val="083B4335"/>
    <w:rsid w:val="083C5D77"/>
    <w:rsid w:val="083D3697"/>
    <w:rsid w:val="083F5960"/>
    <w:rsid w:val="084038D7"/>
    <w:rsid w:val="08461F45"/>
    <w:rsid w:val="08470072"/>
    <w:rsid w:val="08493BC2"/>
    <w:rsid w:val="084E7652"/>
    <w:rsid w:val="08507983"/>
    <w:rsid w:val="085409E1"/>
    <w:rsid w:val="085608FD"/>
    <w:rsid w:val="0860351E"/>
    <w:rsid w:val="08617FEA"/>
    <w:rsid w:val="086D73D6"/>
    <w:rsid w:val="086F56FB"/>
    <w:rsid w:val="087A716B"/>
    <w:rsid w:val="08800364"/>
    <w:rsid w:val="088A40B7"/>
    <w:rsid w:val="088C017B"/>
    <w:rsid w:val="088C49FB"/>
    <w:rsid w:val="089356D4"/>
    <w:rsid w:val="08963036"/>
    <w:rsid w:val="089632EC"/>
    <w:rsid w:val="089A2898"/>
    <w:rsid w:val="089C4CE3"/>
    <w:rsid w:val="089D2481"/>
    <w:rsid w:val="089D4136"/>
    <w:rsid w:val="089E2CF6"/>
    <w:rsid w:val="08A2622A"/>
    <w:rsid w:val="08A56E5C"/>
    <w:rsid w:val="08A94889"/>
    <w:rsid w:val="08AA4B51"/>
    <w:rsid w:val="08AB5542"/>
    <w:rsid w:val="08B4717B"/>
    <w:rsid w:val="08B530D7"/>
    <w:rsid w:val="08B60D54"/>
    <w:rsid w:val="08B90768"/>
    <w:rsid w:val="08BB7DD3"/>
    <w:rsid w:val="08C73B54"/>
    <w:rsid w:val="08C94F2B"/>
    <w:rsid w:val="08D4742C"/>
    <w:rsid w:val="08DB6A0C"/>
    <w:rsid w:val="08DF27F5"/>
    <w:rsid w:val="08EB1D41"/>
    <w:rsid w:val="08F55D20"/>
    <w:rsid w:val="08F8136C"/>
    <w:rsid w:val="08FE3A6A"/>
    <w:rsid w:val="08FF6B9F"/>
    <w:rsid w:val="09063A89"/>
    <w:rsid w:val="09075A53"/>
    <w:rsid w:val="090A1656"/>
    <w:rsid w:val="0916775A"/>
    <w:rsid w:val="09190F58"/>
    <w:rsid w:val="09197646"/>
    <w:rsid w:val="091D0DD3"/>
    <w:rsid w:val="091E4EF1"/>
    <w:rsid w:val="091F08D3"/>
    <w:rsid w:val="09201BBB"/>
    <w:rsid w:val="092217DD"/>
    <w:rsid w:val="09273A00"/>
    <w:rsid w:val="09280DA2"/>
    <w:rsid w:val="09287EA3"/>
    <w:rsid w:val="09391199"/>
    <w:rsid w:val="093A7294"/>
    <w:rsid w:val="09410F65"/>
    <w:rsid w:val="0941781F"/>
    <w:rsid w:val="09424852"/>
    <w:rsid w:val="094C0B17"/>
    <w:rsid w:val="095D5673"/>
    <w:rsid w:val="0965689C"/>
    <w:rsid w:val="09727371"/>
    <w:rsid w:val="097827E8"/>
    <w:rsid w:val="09811362"/>
    <w:rsid w:val="09840E52"/>
    <w:rsid w:val="099835A5"/>
    <w:rsid w:val="099938E0"/>
    <w:rsid w:val="09A87A56"/>
    <w:rsid w:val="09AD2157"/>
    <w:rsid w:val="09AF5ECF"/>
    <w:rsid w:val="09B94F9F"/>
    <w:rsid w:val="09B96D4E"/>
    <w:rsid w:val="09BA7D80"/>
    <w:rsid w:val="09C24481"/>
    <w:rsid w:val="09C83435"/>
    <w:rsid w:val="09CC06D7"/>
    <w:rsid w:val="09CE664E"/>
    <w:rsid w:val="09DD60AC"/>
    <w:rsid w:val="09DF3FC7"/>
    <w:rsid w:val="09E162A4"/>
    <w:rsid w:val="09E772A6"/>
    <w:rsid w:val="09EA732E"/>
    <w:rsid w:val="09F76F99"/>
    <w:rsid w:val="0A014251"/>
    <w:rsid w:val="0A037FC9"/>
    <w:rsid w:val="0A041D44"/>
    <w:rsid w:val="0A075D0B"/>
    <w:rsid w:val="0A0855DF"/>
    <w:rsid w:val="0A0F29BC"/>
    <w:rsid w:val="0A1112CB"/>
    <w:rsid w:val="0A173A74"/>
    <w:rsid w:val="0A1F08C6"/>
    <w:rsid w:val="0A263333"/>
    <w:rsid w:val="0A263993"/>
    <w:rsid w:val="0A2B3004"/>
    <w:rsid w:val="0A2D3AC2"/>
    <w:rsid w:val="0A30074A"/>
    <w:rsid w:val="0A36184F"/>
    <w:rsid w:val="0A375A7A"/>
    <w:rsid w:val="0A435FC7"/>
    <w:rsid w:val="0A4E7EF6"/>
    <w:rsid w:val="0A5371A2"/>
    <w:rsid w:val="0A546A76"/>
    <w:rsid w:val="0A617D3D"/>
    <w:rsid w:val="0A650C83"/>
    <w:rsid w:val="0A7569C1"/>
    <w:rsid w:val="0A7768F0"/>
    <w:rsid w:val="0A781DF1"/>
    <w:rsid w:val="0A851326"/>
    <w:rsid w:val="0A855FC6"/>
    <w:rsid w:val="0A87732E"/>
    <w:rsid w:val="0A886720"/>
    <w:rsid w:val="0A8A693C"/>
    <w:rsid w:val="0A93759F"/>
    <w:rsid w:val="0A95254D"/>
    <w:rsid w:val="0A9B46A5"/>
    <w:rsid w:val="0A9E6085"/>
    <w:rsid w:val="0AA55524"/>
    <w:rsid w:val="0AA755DF"/>
    <w:rsid w:val="0AA83A6D"/>
    <w:rsid w:val="0AB9432B"/>
    <w:rsid w:val="0ABD757B"/>
    <w:rsid w:val="0ABE69A0"/>
    <w:rsid w:val="0AC05EBA"/>
    <w:rsid w:val="0AC41E4E"/>
    <w:rsid w:val="0AC43BFC"/>
    <w:rsid w:val="0AC76472"/>
    <w:rsid w:val="0ACC0D02"/>
    <w:rsid w:val="0AD656DD"/>
    <w:rsid w:val="0AD77898"/>
    <w:rsid w:val="0ADF0A36"/>
    <w:rsid w:val="0AE31973"/>
    <w:rsid w:val="0AE722C1"/>
    <w:rsid w:val="0AE75A47"/>
    <w:rsid w:val="0AE918B4"/>
    <w:rsid w:val="0AEA1189"/>
    <w:rsid w:val="0AEE179A"/>
    <w:rsid w:val="0AF3623C"/>
    <w:rsid w:val="0AFE7165"/>
    <w:rsid w:val="0B120D44"/>
    <w:rsid w:val="0B1272CA"/>
    <w:rsid w:val="0B1D3F24"/>
    <w:rsid w:val="0B203A2E"/>
    <w:rsid w:val="0B2B5A29"/>
    <w:rsid w:val="0B312906"/>
    <w:rsid w:val="0B332B30"/>
    <w:rsid w:val="0B3670A4"/>
    <w:rsid w:val="0B372620"/>
    <w:rsid w:val="0B3C7C36"/>
    <w:rsid w:val="0B3D11F6"/>
    <w:rsid w:val="0B41349E"/>
    <w:rsid w:val="0B444D3D"/>
    <w:rsid w:val="0B460AB5"/>
    <w:rsid w:val="0B465034"/>
    <w:rsid w:val="0B49246A"/>
    <w:rsid w:val="0B4B1C27"/>
    <w:rsid w:val="0B4E34C6"/>
    <w:rsid w:val="0B593DF2"/>
    <w:rsid w:val="0B6158EF"/>
    <w:rsid w:val="0B654EB2"/>
    <w:rsid w:val="0B6A4C3A"/>
    <w:rsid w:val="0B791AD5"/>
    <w:rsid w:val="0B7A250D"/>
    <w:rsid w:val="0B7D3DAB"/>
    <w:rsid w:val="0B882838"/>
    <w:rsid w:val="0B8959C7"/>
    <w:rsid w:val="0B8E5FB8"/>
    <w:rsid w:val="0B922335"/>
    <w:rsid w:val="0B9C2F90"/>
    <w:rsid w:val="0B9E7266"/>
    <w:rsid w:val="0BA23446"/>
    <w:rsid w:val="0BA31A63"/>
    <w:rsid w:val="0BA47589"/>
    <w:rsid w:val="0BA65AEA"/>
    <w:rsid w:val="0BB35A1E"/>
    <w:rsid w:val="0BB6406C"/>
    <w:rsid w:val="0BBA6DAD"/>
    <w:rsid w:val="0BBC2B25"/>
    <w:rsid w:val="0BBE572F"/>
    <w:rsid w:val="0BC03F26"/>
    <w:rsid w:val="0BC639A4"/>
    <w:rsid w:val="0BC7457E"/>
    <w:rsid w:val="0BC90FE9"/>
    <w:rsid w:val="0BCD088E"/>
    <w:rsid w:val="0BD0037E"/>
    <w:rsid w:val="0BD27BF6"/>
    <w:rsid w:val="0BD460C1"/>
    <w:rsid w:val="0BD87233"/>
    <w:rsid w:val="0BD95485"/>
    <w:rsid w:val="0BDF6813"/>
    <w:rsid w:val="0BE04A65"/>
    <w:rsid w:val="0BE5207C"/>
    <w:rsid w:val="0BE54F0F"/>
    <w:rsid w:val="0BE77E99"/>
    <w:rsid w:val="0BF00A21"/>
    <w:rsid w:val="0BF16C73"/>
    <w:rsid w:val="0BFA53FB"/>
    <w:rsid w:val="0BFC5616"/>
    <w:rsid w:val="0BFD1FBE"/>
    <w:rsid w:val="0C1464BD"/>
    <w:rsid w:val="0C197F77"/>
    <w:rsid w:val="0C1C0B92"/>
    <w:rsid w:val="0C1E10EA"/>
    <w:rsid w:val="0C1F4E62"/>
    <w:rsid w:val="0C3473C4"/>
    <w:rsid w:val="0C37664F"/>
    <w:rsid w:val="0C3923C8"/>
    <w:rsid w:val="0C3B3C7D"/>
    <w:rsid w:val="0C3B7EEE"/>
    <w:rsid w:val="0C3C5A14"/>
    <w:rsid w:val="0C3E04E4"/>
    <w:rsid w:val="0C413E05"/>
    <w:rsid w:val="0C4F5747"/>
    <w:rsid w:val="0C5040D2"/>
    <w:rsid w:val="0C6236CC"/>
    <w:rsid w:val="0C6C00A7"/>
    <w:rsid w:val="0C6C454B"/>
    <w:rsid w:val="0C6C4DAF"/>
    <w:rsid w:val="0C74748A"/>
    <w:rsid w:val="0C7F57CF"/>
    <w:rsid w:val="0C8010E0"/>
    <w:rsid w:val="0C8A4038"/>
    <w:rsid w:val="0C9B098C"/>
    <w:rsid w:val="0C9B3003"/>
    <w:rsid w:val="0CAB2EAE"/>
    <w:rsid w:val="0CAC5076"/>
    <w:rsid w:val="0CAD61BF"/>
    <w:rsid w:val="0CAF268A"/>
    <w:rsid w:val="0CB657C6"/>
    <w:rsid w:val="0CBA4A48"/>
    <w:rsid w:val="0CBE0244"/>
    <w:rsid w:val="0CBE1877"/>
    <w:rsid w:val="0CC0472C"/>
    <w:rsid w:val="0CC57086"/>
    <w:rsid w:val="0CCA1F88"/>
    <w:rsid w:val="0CCA3020"/>
    <w:rsid w:val="0CCC4FEA"/>
    <w:rsid w:val="0CCD3E0C"/>
    <w:rsid w:val="0CD16127"/>
    <w:rsid w:val="0CD248B8"/>
    <w:rsid w:val="0CD25515"/>
    <w:rsid w:val="0CDC1AC0"/>
    <w:rsid w:val="0CE71E24"/>
    <w:rsid w:val="0CE7227C"/>
    <w:rsid w:val="0CEB36A9"/>
    <w:rsid w:val="0CEE6D0E"/>
    <w:rsid w:val="0CF307C8"/>
    <w:rsid w:val="0CF54541"/>
    <w:rsid w:val="0CF7318D"/>
    <w:rsid w:val="0CFA1482"/>
    <w:rsid w:val="0CFC35A7"/>
    <w:rsid w:val="0CFC3CC5"/>
    <w:rsid w:val="0CFD0B9A"/>
    <w:rsid w:val="0D0105F4"/>
    <w:rsid w:val="0D0562E0"/>
    <w:rsid w:val="0D074274"/>
    <w:rsid w:val="0D0A3537"/>
    <w:rsid w:val="0D0C53E6"/>
    <w:rsid w:val="0D116EA1"/>
    <w:rsid w:val="0D156991"/>
    <w:rsid w:val="0D256DBB"/>
    <w:rsid w:val="0D286C0B"/>
    <w:rsid w:val="0D307327"/>
    <w:rsid w:val="0D3340D7"/>
    <w:rsid w:val="0D3D1A44"/>
    <w:rsid w:val="0D3D7C96"/>
    <w:rsid w:val="0D442DD2"/>
    <w:rsid w:val="0D483310"/>
    <w:rsid w:val="0D4929EF"/>
    <w:rsid w:val="0D4C7ED9"/>
    <w:rsid w:val="0D532281"/>
    <w:rsid w:val="0D553231"/>
    <w:rsid w:val="0D586E73"/>
    <w:rsid w:val="0D6156B7"/>
    <w:rsid w:val="0D621C7D"/>
    <w:rsid w:val="0D6A7FE4"/>
    <w:rsid w:val="0D701E19"/>
    <w:rsid w:val="0D705975"/>
    <w:rsid w:val="0D71094F"/>
    <w:rsid w:val="0D7E442A"/>
    <w:rsid w:val="0D827EA2"/>
    <w:rsid w:val="0D8E29D6"/>
    <w:rsid w:val="0D924CFA"/>
    <w:rsid w:val="0D957AD2"/>
    <w:rsid w:val="0D974D81"/>
    <w:rsid w:val="0D9F625A"/>
    <w:rsid w:val="0DAB0F49"/>
    <w:rsid w:val="0DB937C0"/>
    <w:rsid w:val="0DBA3A86"/>
    <w:rsid w:val="0DBF06AB"/>
    <w:rsid w:val="0DC416BB"/>
    <w:rsid w:val="0DCA59A7"/>
    <w:rsid w:val="0DCB1EC4"/>
    <w:rsid w:val="0DCC4F36"/>
    <w:rsid w:val="0DD63374"/>
    <w:rsid w:val="0DD759F4"/>
    <w:rsid w:val="0DE40D69"/>
    <w:rsid w:val="0DE50601"/>
    <w:rsid w:val="0DEB14A0"/>
    <w:rsid w:val="0DEE0F90"/>
    <w:rsid w:val="0DF52F7A"/>
    <w:rsid w:val="0DF76096"/>
    <w:rsid w:val="0DF81C2C"/>
    <w:rsid w:val="0E0576CD"/>
    <w:rsid w:val="0E0A5DCA"/>
    <w:rsid w:val="0E10093A"/>
    <w:rsid w:val="0E1409F6"/>
    <w:rsid w:val="0E1B1311"/>
    <w:rsid w:val="0E1E05C2"/>
    <w:rsid w:val="0E1E1875"/>
    <w:rsid w:val="0E295443"/>
    <w:rsid w:val="0E3E7126"/>
    <w:rsid w:val="0E4A266A"/>
    <w:rsid w:val="0E4A2B61"/>
    <w:rsid w:val="0E4C5942"/>
    <w:rsid w:val="0E4D3F08"/>
    <w:rsid w:val="0E50019E"/>
    <w:rsid w:val="0E5A776A"/>
    <w:rsid w:val="0E6341D2"/>
    <w:rsid w:val="0E6B438E"/>
    <w:rsid w:val="0E6C29B1"/>
    <w:rsid w:val="0E73034D"/>
    <w:rsid w:val="0E7476E7"/>
    <w:rsid w:val="0E7771D7"/>
    <w:rsid w:val="0E7F61A9"/>
    <w:rsid w:val="0E806447"/>
    <w:rsid w:val="0E833DCE"/>
    <w:rsid w:val="0E980D59"/>
    <w:rsid w:val="0E9E5E55"/>
    <w:rsid w:val="0EA0672E"/>
    <w:rsid w:val="0EA43AFA"/>
    <w:rsid w:val="0EA50116"/>
    <w:rsid w:val="0EA56945"/>
    <w:rsid w:val="0EB61AAE"/>
    <w:rsid w:val="0EB775D4"/>
    <w:rsid w:val="0EBB3568"/>
    <w:rsid w:val="0EC344CB"/>
    <w:rsid w:val="0EC51FF7"/>
    <w:rsid w:val="0ECE7C47"/>
    <w:rsid w:val="0ED4462A"/>
    <w:rsid w:val="0ED96FBA"/>
    <w:rsid w:val="0EDD2E2D"/>
    <w:rsid w:val="0EDD34DE"/>
    <w:rsid w:val="0EDE0B4C"/>
    <w:rsid w:val="0EDE5518"/>
    <w:rsid w:val="0EDE6847"/>
    <w:rsid w:val="0EDE70FD"/>
    <w:rsid w:val="0EE0774A"/>
    <w:rsid w:val="0EE24651"/>
    <w:rsid w:val="0EE26D46"/>
    <w:rsid w:val="0EE505E5"/>
    <w:rsid w:val="0EF10ED3"/>
    <w:rsid w:val="0EF146A7"/>
    <w:rsid w:val="0EF25970"/>
    <w:rsid w:val="0F0A3BA7"/>
    <w:rsid w:val="0F0D45F7"/>
    <w:rsid w:val="0F13775A"/>
    <w:rsid w:val="0F156646"/>
    <w:rsid w:val="0F1651C7"/>
    <w:rsid w:val="0F1A64E0"/>
    <w:rsid w:val="0F2E5AE8"/>
    <w:rsid w:val="0F2F1860"/>
    <w:rsid w:val="0F3776B5"/>
    <w:rsid w:val="0F3D21CF"/>
    <w:rsid w:val="0F4277E5"/>
    <w:rsid w:val="0F5014F6"/>
    <w:rsid w:val="0F517A28"/>
    <w:rsid w:val="0F5C08A7"/>
    <w:rsid w:val="0F5F3EF3"/>
    <w:rsid w:val="0F5F45FE"/>
    <w:rsid w:val="0F661C2C"/>
    <w:rsid w:val="0F687F08"/>
    <w:rsid w:val="0F7656DC"/>
    <w:rsid w:val="0F7D25CB"/>
    <w:rsid w:val="0F7F00F1"/>
    <w:rsid w:val="0F8110A9"/>
    <w:rsid w:val="0F8B4E56"/>
    <w:rsid w:val="0F8C5026"/>
    <w:rsid w:val="0F8E47D8"/>
    <w:rsid w:val="0F8E53AD"/>
    <w:rsid w:val="0F956CAF"/>
    <w:rsid w:val="0F9625EB"/>
    <w:rsid w:val="0F9A112B"/>
    <w:rsid w:val="0FA94931"/>
    <w:rsid w:val="0FAE4E7B"/>
    <w:rsid w:val="0FAE6C29"/>
    <w:rsid w:val="0FB32491"/>
    <w:rsid w:val="0FB80B41"/>
    <w:rsid w:val="0FB85CC6"/>
    <w:rsid w:val="0FB87AA7"/>
    <w:rsid w:val="0FC85F3C"/>
    <w:rsid w:val="0FD52BB0"/>
    <w:rsid w:val="0FD8769D"/>
    <w:rsid w:val="0FDD2930"/>
    <w:rsid w:val="0FF46D31"/>
    <w:rsid w:val="0FFB7896"/>
    <w:rsid w:val="10022AD1"/>
    <w:rsid w:val="100664EF"/>
    <w:rsid w:val="100B7BD7"/>
    <w:rsid w:val="100C54DF"/>
    <w:rsid w:val="10126F30"/>
    <w:rsid w:val="10134CDE"/>
    <w:rsid w:val="102251E7"/>
    <w:rsid w:val="10233173"/>
    <w:rsid w:val="103709CC"/>
    <w:rsid w:val="103828C5"/>
    <w:rsid w:val="103F4475"/>
    <w:rsid w:val="1047653B"/>
    <w:rsid w:val="10484ED6"/>
    <w:rsid w:val="104A6951"/>
    <w:rsid w:val="10526442"/>
    <w:rsid w:val="10554ECE"/>
    <w:rsid w:val="105E064F"/>
    <w:rsid w:val="105F1655"/>
    <w:rsid w:val="106612B1"/>
    <w:rsid w:val="106D2F64"/>
    <w:rsid w:val="107678A7"/>
    <w:rsid w:val="107751C6"/>
    <w:rsid w:val="107F4121"/>
    <w:rsid w:val="10803CD2"/>
    <w:rsid w:val="1081433D"/>
    <w:rsid w:val="10833C11"/>
    <w:rsid w:val="108654B0"/>
    <w:rsid w:val="10871B0A"/>
    <w:rsid w:val="108B685B"/>
    <w:rsid w:val="10903556"/>
    <w:rsid w:val="10912CC7"/>
    <w:rsid w:val="109B53FF"/>
    <w:rsid w:val="109D1177"/>
    <w:rsid w:val="10A2584A"/>
    <w:rsid w:val="10AC3C68"/>
    <w:rsid w:val="10AF0EAA"/>
    <w:rsid w:val="10B0675A"/>
    <w:rsid w:val="10B332BA"/>
    <w:rsid w:val="10B63710"/>
    <w:rsid w:val="10B658EC"/>
    <w:rsid w:val="10B93DC2"/>
    <w:rsid w:val="10BB385B"/>
    <w:rsid w:val="10C06C14"/>
    <w:rsid w:val="10C775DC"/>
    <w:rsid w:val="10CD4E26"/>
    <w:rsid w:val="10D163F3"/>
    <w:rsid w:val="10D74236"/>
    <w:rsid w:val="10DB57FB"/>
    <w:rsid w:val="10DD7C1B"/>
    <w:rsid w:val="10ED3781"/>
    <w:rsid w:val="10EE19D3"/>
    <w:rsid w:val="10F10820"/>
    <w:rsid w:val="10F606CF"/>
    <w:rsid w:val="10FF00F3"/>
    <w:rsid w:val="11001706"/>
    <w:rsid w:val="11007F90"/>
    <w:rsid w:val="11020FDA"/>
    <w:rsid w:val="1115795E"/>
    <w:rsid w:val="111C2F7A"/>
    <w:rsid w:val="111D7BC2"/>
    <w:rsid w:val="111E393A"/>
    <w:rsid w:val="112278CE"/>
    <w:rsid w:val="112533CF"/>
    <w:rsid w:val="11253AEF"/>
    <w:rsid w:val="112635D3"/>
    <w:rsid w:val="11274EE5"/>
    <w:rsid w:val="112C24FB"/>
    <w:rsid w:val="112C6057"/>
    <w:rsid w:val="11336508"/>
    <w:rsid w:val="113A0A00"/>
    <w:rsid w:val="113B0C7C"/>
    <w:rsid w:val="113E4E07"/>
    <w:rsid w:val="11494AAF"/>
    <w:rsid w:val="114C73D8"/>
    <w:rsid w:val="114F2960"/>
    <w:rsid w:val="11546823"/>
    <w:rsid w:val="115A06BC"/>
    <w:rsid w:val="115B5B24"/>
    <w:rsid w:val="11621A79"/>
    <w:rsid w:val="11665CA1"/>
    <w:rsid w:val="11671785"/>
    <w:rsid w:val="11692E07"/>
    <w:rsid w:val="116D72B3"/>
    <w:rsid w:val="1173012A"/>
    <w:rsid w:val="117960AF"/>
    <w:rsid w:val="118E64F7"/>
    <w:rsid w:val="119028A6"/>
    <w:rsid w:val="11917190"/>
    <w:rsid w:val="119A7465"/>
    <w:rsid w:val="119C142F"/>
    <w:rsid w:val="11A2456B"/>
    <w:rsid w:val="11AA5B0B"/>
    <w:rsid w:val="11AB14D3"/>
    <w:rsid w:val="11AD363C"/>
    <w:rsid w:val="11AD4C46"/>
    <w:rsid w:val="11B94991"/>
    <w:rsid w:val="11BB73DB"/>
    <w:rsid w:val="11CC7E40"/>
    <w:rsid w:val="11D010D8"/>
    <w:rsid w:val="11F05959"/>
    <w:rsid w:val="11F272A1"/>
    <w:rsid w:val="11F528ED"/>
    <w:rsid w:val="11FE697E"/>
    <w:rsid w:val="11FF376C"/>
    <w:rsid w:val="12040D82"/>
    <w:rsid w:val="120736B7"/>
    <w:rsid w:val="120B6F35"/>
    <w:rsid w:val="120F1E9E"/>
    <w:rsid w:val="12192C3B"/>
    <w:rsid w:val="121A0B3B"/>
    <w:rsid w:val="121C256F"/>
    <w:rsid w:val="12244F80"/>
    <w:rsid w:val="12274A70"/>
    <w:rsid w:val="12280F14"/>
    <w:rsid w:val="122907E8"/>
    <w:rsid w:val="122A036D"/>
    <w:rsid w:val="123478B9"/>
    <w:rsid w:val="12377753"/>
    <w:rsid w:val="12394ECF"/>
    <w:rsid w:val="123963DD"/>
    <w:rsid w:val="123B441D"/>
    <w:rsid w:val="123D6042"/>
    <w:rsid w:val="123E2F9D"/>
    <w:rsid w:val="12475D25"/>
    <w:rsid w:val="12483364"/>
    <w:rsid w:val="124F64A1"/>
    <w:rsid w:val="125067AE"/>
    <w:rsid w:val="12514BA7"/>
    <w:rsid w:val="1254635F"/>
    <w:rsid w:val="12617F82"/>
    <w:rsid w:val="12641821"/>
    <w:rsid w:val="126A53CC"/>
    <w:rsid w:val="126D2DCB"/>
    <w:rsid w:val="126E269F"/>
    <w:rsid w:val="126F08F1"/>
    <w:rsid w:val="126F0DB7"/>
    <w:rsid w:val="126F6B43"/>
    <w:rsid w:val="1273243E"/>
    <w:rsid w:val="12736FA6"/>
    <w:rsid w:val="12753A2E"/>
    <w:rsid w:val="127777A6"/>
    <w:rsid w:val="127F665A"/>
    <w:rsid w:val="12863E8D"/>
    <w:rsid w:val="12887C05"/>
    <w:rsid w:val="12977F8D"/>
    <w:rsid w:val="1298640F"/>
    <w:rsid w:val="129C545E"/>
    <w:rsid w:val="129F0AAB"/>
    <w:rsid w:val="12A20247"/>
    <w:rsid w:val="12AA36D7"/>
    <w:rsid w:val="12AC62F8"/>
    <w:rsid w:val="12B82897"/>
    <w:rsid w:val="12B96010"/>
    <w:rsid w:val="12BA53EE"/>
    <w:rsid w:val="12C40817"/>
    <w:rsid w:val="12C44D23"/>
    <w:rsid w:val="12C7072D"/>
    <w:rsid w:val="12C81DAF"/>
    <w:rsid w:val="12C93C6A"/>
    <w:rsid w:val="12CC2A1C"/>
    <w:rsid w:val="12D52AD5"/>
    <w:rsid w:val="12DC612D"/>
    <w:rsid w:val="12E421DC"/>
    <w:rsid w:val="12E66F32"/>
    <w:rsid w:val="12EB1878"/>
    <w:rsid w:val="12EB3CF0"/>
    <w:rsid w:val="12EC1DC3"/>
    <w:rsid w:val="12F61291"/>
    <w:rsid w:val="12F63EBC"/>
    <w:rsid w:val="12F71682"/>
    <w:rsid w:val="12FA72FB"/>
    <w:rsid w:val="12FB73BF"/>
    <w:rsid w:val="1304604B"/>
    <w:rsid w:val="13087A68"/>
    <w:rsid w:val="130E2CF2"/>
    <w:rsid w:val="13113756"/>
    <w:rsid w:val="13165211"/>
    <w:rsid w:val="131B3D2A"/>
    <w:rsid w:val="13204527"/>
    <w:rsid w:val="13236EDE"/>
    <w:rsid w:val="13281A6D"/>
    <w:rsid w:val="133867FB"/>
    <w:rsid w:val="133D5A92"/>
    <w:rsid w:val="133E25B0"/>
    <w:rsid w:val="13545771"/>
    <w:rsid w:val="136219AB"/>
    <w:rsid w:val="136441CE"/>
    <w:rsid w:val="13662961"/>
    <w:rsid w:val="136D0EBB"/>
    <w:rsid w:val="13793834"/>
    <w:rsid w:val="137E2E0E"/>
    <w:rsid w:val="13857A4F"/>
    <w:rsid w:val="138A08F3"/>
    <w:rsid w:val="138C7166"/>
    <w:rsid w:val="13904FC3"/>
    <w:rsid w:val="13951726"/>
    <w:rsid w:val="139525D9"/>
    <w:rsid w:val="13977D40"/>
    <w:rsid w:val="139B3968"/>
    <w:rsid w:val="139C11B1"/>
    <w:rsid w:val="139D6D00"/>
    <w:rsid w:val="13B16CE7"/>
    <w:rsid w:val="13B30CB1"/>
    <w:rsid w:val="13B627E4"/>
    <w:rsid w:val="13C04BA4"/>
    <w:rsid w:val="13C50F53"/>
    <w:rsid w:val="13C85FB9"/>
    <w:rsid w:val="13CD0C44"/>
    <w:rsid w:val="13DA623E"/>
    <w:rsid w:val="13E96481"/>
    <w:rsid w:val="13ED4EAC"/>
    <w:rsid w:val="13EE3A98"/>
    <w:rsid w:val="13F015BE"/>
    <w:rsid w:val="13F65598"/>
    <w:rsid w:val="13F66786"/>
    <w:rsid w:val="13FA7F80"/>
    <w:rsid w:val="13FB7F63"/>
    <w:rsid w:val="13FC61B5"/>
    <w:rsid w:val="13FD1F2D"/>
    <w:rsid w:val="140908D1"/>
    <w:rsid w:val="14095896"/>
    <w:rsid w:val="14164D9C"/>
    <w:rsid w:val="1424570B"/>
    <w:rsid w:val="14263231"/>
    <w:rsid w:val="14295E92"/>
    <w:rsid w:val="14396509"/>
    <w:rsid w:val="143A4F2F"/>
    <w:rsid w:val="144936FC"/>
    <w:rsid w:val="144E2788"/>
    <w:rsid w:val="145547EB"/>
    <w:rsid w:val="14557F04"/>
    <w:rsid w:val="1457163D"/>
    <w:rsid w:val="14627FE2"/>
    <w:rsid w:val="1465431D"/>
    <w:rsid w:val="146B158C"/>
    <w:rsid w:val="146B6818"/>
    <w:rsid w:val="146D46B8"/>
    <w:rsid w:val="14733F9D"/>
    <w:rsid w:val="147E5EF9"/>
    <w:rsid w:val="147E75F9"/>
    <w:rsid w:val="148A0DEE"/>
    <w:rsid w:val="149264BD"/>
    <w:rsid w:val="14A405FA"/>
    <w:rsid w:val="14A458C1"/>
    <w:rsid w:val="14A81E98"/>
    <w:rsid w:val="14AE03A7"/>
    <w:rsid w:val="14B31354"/>
    <w:rsid w:val="14B52F07"/>
    <w:rsid w:val="14BB36F2"/>
    <w:rsid w:val="14BB5167"/>
    <w:rsid w:val="14C637BF"/>
    <w:rsid w:val="14C9344F"/>
    <w:rsid w:val="14C97814"/>
    <w:rsid w:val="14CA6588"/>
    <w:rsid w:val="14CB709C"/>
    <w:rsid w:val="14CD4DEB"/>
    <w:rsid w:val="14D829C6"/>
    <w:rsid w:val="14DD2C3C"/>
    <w:rsid w:val="14E24A89"/>
    <w:rsid w:val="14E452E3"/>
    <w:rsid w:val="14EB7FD7"/>
    <w:rsid w:val="14EE66BA"/>
    <w:rsid w:val="14F1069F"/>
    <w:rsid w:val="14F670A8"/>
    <w:rsid w:val="14FC1CB2"/>
    <w:rsid w:val="15016650"/>
    <w:rsid w:val="15067DFC"/>
    <w:rsid w:val="150712B5"/>
    <w:rsid w:val="15100288"/>
    <w:rsid w:val="15103277"/>
    <w:rsid w:val="151453BF"/>
    <w:rsid w:val="15190FE8"/>
    <w:rsid w:val="151B08BC"/>
    <w:rsid w:val="151C63E2"/>
    <w:rsid w:val="151E215B"/>
    <w:rsid w:val="151F1D0F"/>
    <w:rsid w:val="15273705"/>
    <w:rsid w:val="15300612"/>
    <w:rsid w:val="15302CB1"/>
    <w:rsid w:val="15325C06"/>
    <w:rsid w:val="153876C0"/>
    <w:rsid w:val="15415E49"/>
    <w:rsid w:val="15462DCC"/>
    <w:rsid w:val="15574605"/>
    <w:rsid w:val="15593193"/>
    <w:rsid w:val="155C01C2"/>
    <w:rsid w:val="15601947"/>
    <w:rsid w:val="156509B2"/>
    <w:rsid w:val="15657C86"/>
    <w:rsid w:val="156A53A0"/>
    <w:rsid w:val="157B75AD"/>
    <w:rsid w:val="15892CDA"/>
    <w:rsid w:val="15892CDF"/>
    <w:rsid w:val="15911052"/>
    <w:rsid w:val="15921190"/>
    <w:rsid w:val="15932B49"/>
    <w:rsid w:val="159F7AAA"/>
    <w:rsid w:val="15A56106"/>
    <w:rsid w:val="15B12FCF"/>
    <w:rsid w:val="15B13627"/>
    <w:rsid w:val="15B46198"/>
    <w:rsid w:val="15BF376C"/>
    <w:rsid w:val="15C076B6"/>
    <w:rsid w:val="15C26F8A"/>
    <w:rsid w:val="15CE1DD3"/>
    <w:rsid w:val="15D21C61"/>
    <w:rsid w:val="15D26C76"/>
    <w:rsid w:val="15D73A49"/>
    <w:rsid w:val="15D73CA3"/>
    <w:rsid w:val="15E909BB"/>
    <w:rsid w:val="15FB3CF2"/>
    <w:rsid w:val="15FB65FB"/>
    <w:rsid w:val="15FD5421"/>
    <w:rsid w:val="16087E1D"/>
    <w:rsid w:val="16095600"/>
    <w:rsid w:val="160E0421"/>
    <w:rsid w:val="16120A55"/>
    <w:rsid w:val="161770D8"/>
    <w:rsid w:val="161A6DC6"/>
    <w:rsid w:val="161D312C"/>
    <w:rsid w:val="16214379"/>
    <w:rsid w:val="16247C45"/>
    <w:rsid w:val="16290FC2"/>
    <w:rsid w:val="162F4C0C"/>
    <w:rsid w:val="16323FF9"/>
    <w:rsid w:val="16353C00"/>
    <w:rsid w:val="163A3604"/>
    <w:rsid w:val="163F579F"/>
    <w:rsid w:val="16477238"/>
    <w:rsid w:val="1647748F"/>
    <w:rsid w:val="164B3423"/>
    <w:rsid w:val="16504D5D"/>
    <w:rsid w:val="165779D5"/>
    <w:rsid w:val="16581113"/>
    <w:rsid w:val="165F0C7D"/>
    <w:rsid w:val="16602BEE"/>
    <w:rsid w:val="16607FF4"/>
    <w:rsid w:val="1669024F"/>
    <w:rsid w:val="166A40F7"/>
    <w:rsid w:val="166A65F0"/>
    <w:rsid w:val="168801D3"/>
    <w:rsid w:val="168A6D3E"/>
    <w:rsid w:val="168C7524"/>
    <w:rsid w:val="16920291"/>
    <w:rsid w:val="1694605C"/>
    <w:rsid w:val="169F1079"/>
    <w:rsid w:val="16A55A6A"/>
    <w:rsid w:val="16A74416"/>
    <w:rsid w:val="16A805D8"/>
    <w:rsid w:val="16AA5C24"/>
    <w:rsid w:val="16AE17E2"/>
    <w:rsid w:val="16B0712B"/>
    <w:rsid w:val="16B25250"/>
    <w:rsid w:val="16B5089D"/>
    <w:rsid w:val="16B76C9F"/>
    <w:rsid w:val="16B848FE"/>
    <w:rsid w:val="16C805D0"/>
    <w:rsid w:val="16C86822"/>
    <w:rsid w:val="16C90B4E"/>
    <w:rsid w:val="16CD208A"/>
    <w:rsid w:val="16CE6FFA"/>
    <w:rsid w:val="16D056D6"/>
    <w:rsid w:val="16D13610"/>
    <w:rsid w:val="16D9034E"/>
    <w:rsid w:val="16D97B95"/>
    <w:rsid w:val="16DB4E0C"/>
    <w:rsid w:val="16E66CA8"/>
    <w:rsid w:val="16E931F9"/>
    <w:rsid w:val="16EA111F"/>
    <w:rsid w:val="16EB2255"/>
    <w:rsid w:val="16FF6B55"/>
    <w:rsid w:val="17051824"/>
    <w:rsid w:val="17051FB2"/>
    <w:rsid w:val="170618BC"/>
    <w:rsid w:val="1706504E"/>
    <w:rsid w:val="17135F48"/>
    <w:rsid w:val="17141A67"/>
    <w:rsid w:val="171F21BA"/>
    <w:rsid w:val="17253C74"/>
    <w:rsid w:val="17255A22"/>
    <w:rsid w:val="172779EC"/>
    <w:rsid w:val="174562B5"/>
    <w:rsid w:val="17575DF8"/>
    <w:rsid w:val="175E7186"/>
    <w:rsid w:val="17602EFE"/>
    <w:rsid w:val="17603394"/>
    <w:rsid w:val="17667DC4"/>
    <w:rsid w:val="176F67C4"/>
    <w:rsid w:val="17701D14"/>
    <w:rsid w:val="17735226"/>
    <w:rsid w:val="1777499D"/>
    <w:rsid w:val="177A24AF"/>
    <w:rsid w:val="177F1864"/>
    <w:rsid w:val="178070FD"/>
    <w:rsid w:val="17854713"/>
    <w:rsid w:val="178B4005"/>
    <w:rsid w:val="178C784F"/>
    <w:rsid w:val="17966920"/>
    <w:rsid w:val="17990D72"/>
    <w:rsid w:val="179B3F36"/>
    <w:rsid w:val="17A00D84"/>
    <w:rsid w:val="17A56B63"/>
    <w:rsid w:val="17A81E09"/>
    <w:rsid w:val="17B84AE8"/>
    <w:rsid w:val="17BE2866"/>
    <w:rsid w:val="17BE3162"/>
    <w:rsid w:val="17BF1DD3"/>
    <w:rsid w:val="17D668D9"/>
    <w:rsid w:val="17D80CE7"/>
    <w:rsid w:val="17DE0401"/>
    <w:rsid w:val="17E458DD"/>
    <w:rsid w:val="17E56468"/>
    <w:rsid w:val="17EF357C"/>
    <w:rsid w:val="17F4249D"/>
    <w:rsid w:val="17FA1D04"/>
    <w:rsid w:val="17FF2717"/>
    <w:rsid w:val="180261A4"/>
    <w:rsid w:val="18027B12"/>
    <w:rsid w:val="18055854"/>
    <w:rsid w:val="1805712E"/>
    <w:rsid w:val="180B14E1"/>
    <w:rsid w:val="180E3304"/>
    <w:rsid w:val="18104A12"/>
    <w:rsid w:val="18143D4F"/>
    <w:rsid w:val="18182D5B"/>
    <w:rsid w:val="18287AD9"/>
    <w:rsid w:val="182C7B43"/>
    <w:rsid w:val="182E6B59"/>
    <w:rsid w:val="18321B87"/>
    <w:rsid w:val="183B4B8B"/>
    <w:rsid w:val="18415EB4"/>
    <w:rsid w:val="184631A5"/>
    <w:rsid w:val="18495740"/>
    <w:rsid w:val="184A3267"/>
    <w:rsid w:val="184C3483"/>
    <w:rsid w:val="184C38A1"/>
    <w:rsid w:val="18511882"/>
    <w:rsid w:val="18523868"/>
    <w:rsid w:val="185448B6"/>
    <w:rsid w:val="185479F2"/>
    <w:rsid w:val="18587BBF"/>
    <w:rsid w:val="185E65FF"/>
    <w:rsid w:val="18620326"/>
    <w:rsid w:val="18641C4D"/>
    <w:rsid w:val="186822E5"/>
    <w:rsid w:val="186B57B5"/>
    <w:rsid w:val="187327BD"/>
    <w:rsid w:val="18772805"/>
    <w:rsid w:val="187A1D9E"/>
    <w:rsid w:val="1887017B"/>
    <w:rsid w:val="18925339"/>
    <w:rsid w:val="189664AC"/>
    <w:rsid w:val="189F42DD"/>
    <w:rsid w:val="189F624C"/>
    <w:rsid w:val="18A161D5"/>
    <w:rsid w:val="18A4506D"/>
    <w:rsid w:val="18A47ED6"/>
    <w:rsid w:val="18A62B93"/>
    <w:rsid w:val="18A92683"/>
    <w:rsid w:val="18AA1FF3"/>
    <w:rsid w:val="18AC64AD"/>
    <w:rsid w:val="18B03A11"/>
    <w:rsid w:val="18B057C0"/>
    <w:rsid w:val="18C474BD"/>
    <w:rsid w:val="18C50159"/>
    <w:rsid w:val="18C75881"/>
    <w:rsid w:val="18D13F79"/>
    <w:rsid w:val="18D314AE"/>
    <w:rsid w:val="18D37BBE"/>
    <w:rsid w:val="18DA6CE0"/>
    <w:rsid w:val="18EA6F23"/>
    <w:rsid w:val="18ED2570"/>
    <w:rsid w:val="18F2402A"/>
    <w:rsid w:val="18FE2DDD"/>
    <w:rsid w:val="190233C6"/>
    <w:rsid w:val="19074C32"/>
    <w:rsid w:val="19087F0B"/>
    <w:rsid w:val="190903EA"/>
    <w:rsid w:val="190F0738"/>
    <w:rsid w:val="19152504"/>
    <w:rsid w:val="19167AE4"/>
    <w:rsid w:val="191775ED"/>
    <w:rsid w:val="191E6BCD"/>
    <w:rsid w:val="192177D8"/>
    <w:rsid w:val="192835A8"/>
    <w:rsid w:val="192C753C"/>
    <w:rsid w:val="192F2B88"/>
    <w:rsid w:val="19371EDB"/>
    <w:rsid w:val="193E2DCB"/>
    <w:rsid w:val="19421DD2"/>
    <w:rsid w:val="194D4555"/>
    <w:rsid w:val="19502794"/>
    <w:rsid w:val="19502AFF"/>
    <w:rsid w:val="19527727"/>
    <w:rsid w:val="19540E78"/>
    <w:rsid w:val="195425EF"/>
    <w:rsid w:val="195B1AB9"/>
    <w:rsid w:val="196640D0"/>
    <w:rsid w:val="1971339E"/>
    <w:rsid w:val="19763360"/>
    <w:rsid w:val="197C1B46"/>
    <w:rsid w:val="1980590A"/>
    <w:rsid w:val="198A1CE7"/>
    <w:rsid w:val="1990114D"/>
    <w:rsid w:val="1991739F"/>
    <w:rsid w:val="19923A43"/>
    <w:rsid w:val="19944CAF"/>
    <w:rsid w:val="19A267B4"/>
    <w:rsid w:val="19AF3CC9"/>
    <w:rsid w:val="19B01039"/>
    <w:rsid w:val="19B72B7E"/>
    <w:rsid w:val="19BE215E"/>
    <w:rsid w:val="19C24F26"/>
    <w:rsid w:val="19C260D3"/>
    <w:rsid w:val="19C41736"/>
    <w:rsid w:val="19CE05F3"/>
    <w:rsid w:val="19CF1C75"/>
    <w:rsid w:val="19D13C3F"/>
    <w:rsid w:val="19D35C0A"/>
    <w:rsid w:val="19D7327F"/>
    <w:rsid w:val="19E25E4D"/>
    <w:rsid w:val="19E716B5"/>
    <w:rsid w:val="19E73CC3"/>
    <w:rsid w:val="19F8741E"/>
    <w:rsid w:val="1A0A1D1E"/>
    <w:rsid w:val="1A1558FF"/>
    <w:rsid w:val="1A16286E"/>
    <w:rsid w:val="1A1A10D2"/>
    <w:rsid w:val="1A1C66C0"/>
    <w:rsid w:val="1A232ABA"/>
    <w:rsid w:val="1A2570E8"/>
    <w:rsid w:val="1A2E1092"/>
    <w:rsid w:val="1A3345EB"/>
    <w:rsid w:val="1A3838DD"/>
    <w:rsid w:val="1A390AE9"/>
    <w:rsid w:val="1A3A4878"/>
    <w:rsid w:val="1A3E2B89"/>
    <w:rsid w:val="1A416D39"/>
    <w:rsid w:val="1A42393B"/>
    <w:rsid w:val="1A4A0A64"/>
    <w:rsid w:val="1A4D0B70"/>
    <w:rsid w:val="1A584361"/>
    <w:rsid w:val="1A6220C1"/>
    <w:rsid w:val="1A62442A"/>
    <w:rsid w:val="1A646862"/>
    <w:rsid w:val="1A6C1BBA"/>
    <w:rsid w:val="1A760DCE"/>
    <w:rsid w:val="1A950723"/>
    <w:rsid w:val="1A9A5F2B"/>
    <w:rsid w:val="1A9B0BEB"/>
    <w:rsid w:val="1A9B5FFB"/>
    <w:rsid w:val="1A9E64E2"/>
    <w:rsid w:val="1AAB4490"/>
    <w:rsid w:val="1AAD45DE"/>
    <w:rsid w:val="1AAE3F81"/>
    <w:rsid w:val="1ABA0B77"/>
    <w:rsid w:val="1ABC669E"/>
    <w:rsid w:val="1ABD2416"/>
    <w:rsid w:val="1AC33FF4"/>
    <w:rsid w:val="1AC35A01"/>
    <w:rsid w:val="1AC45552"/>
    <w:rsid w:val="1AC64482"/>
    <w:rsid w:val="1ACE3EB1"/>
    <w:rsid w:val="1AD42284"/>
    <w:rsid w:val="1ADF133B"/>
    <w:rsid w:val="1AE532C2"/>
    <w:rsid w:val="1AF510D5"/>
    <w:rsid w:val="1AF51BB0"/>
    <w:rsid w:val="1AFD0A64"/>
    <w:rsid w:val="1B0167A6"/>
    <w:rsid w:val="1B0342CC"/>
    <w:rsid w:val="1B046F80"/>
    <w:rsid w:val="1B0561AA"/>
    <w:rsid w:val="1B072EF9"/>
    <w:rsid w:val="1B1738D4"/>
    <w:rsid w:val="1B19589E"/>
    <w:rsid w:val="1B27396B"/>
    <w:rsid w:val="1B3048AE"/>
    <w:rsid w:val="1B3267B5"/>
    <w:rsid w:val="1B354FBC"/>
    <w:rsid w:val="1B3A4318"/>
    <w:rsid w:val="1B3A5814"/>
    <w:rsid w:val="1B3E3557"/>
    <w:rsid w:val="1B40161D"/>
    <w:rsid w:val="1B420427"/>
    <w:rsid w:val="1B441859"/>
    <w:rsid w:val="1B590390"/>
    <w:rsid w:val="1B5A3643"/>
    <w:rsid w:val="1B5D4C62"/>
    <w:rsid w:val="1B60171F"/>
    <w:rsid w:val="1B6034CD"/>
    <w:rsid w:val="1B6577C4"/>
    <w:rsid w:val="1B6603B7"/>
    <w:rsid w:val="1B6606B1"/>
    <w:rsid w:val="1B6D5BEA"/>
    <w:rsid w:val="1B756A80"/>
    <w:rsid w:val="1B866E0B"/>
    <w:rsid w:val="1B8847D2"/>
    <w:rsid w:val="1B944F25"/>
    <w:rsid w:val="1B972C67"/>
    <w:rsid w:val="1B984B09"/>
    <w:rsid w:val="1B9C0F34"/>
    <w:rsid w:val="1B9F38C9"/>
    <w:rsid w:val="1BA67CD5"/>
    <w:rsid w:val="1BAF6202"/>
    <w:rsid w:val="1BBA124D"/>
    <w:rsid w:val="1BCE4516"/>
    <w:rsid w:val="1BD15442"/>
    <w:rsid w:val="1BD54481"/>
    <w:rsid w:val="1BDB348B"/>
    <w:rsid w:val="1BE06372"/>
    <w:rsid w:val="1BE406D0"/>
    <w:rsid w:val="1BE52C8A"/>
    <w:rsid w:val="1BF1252A"/>
    <w:rsid w:val="1BF43C15"/>
    <w:rsid w:val="1BF857AE"/>
    <w:rsid w:val="1BFB4C49"/>
    <w:rsid w:val="1C002CEE"/>
    <w:rsid w:val="1C012E1D"/>
    <w:rsid w:val="1C02002B"/>
    <w:rsid w:val="1C022C21"/>
    <w:rsid w:val="1C033646"/>
    <w:rsid w:val="1C050DE1"/>
    <w:rsid w:val="1C073948"/>
    <w:rsid w:val="1C142C0E"/>
    <w:rsid w:val="1C1A6088"/>
    <w:rsid w:val="1C1D13BE"/>
    <w:rsid w:val="1C214B7E"/>
    <w:rsid w:val="1C2910A8"/>
    <w:rsid w:val="1C2D3CDA"/>
    <w:rsid w:val="1C2F20FA"/>
    <w:rsid w:val="1C305AF3"/>
    <w:rsid w:val="1C362480"/>
    <w:rsid w:val="1C36422E"/>
    <w:rsid w:val="1C444B9D"/>
    <w:rsid w:val="1C4A7CD9"/>
    <w:rsid w:val="1C4C1CA3"/>
    <w:rsid w:val="1C4F3541"/>
    <w:rsid w:val="1C575F29"/>
    <w:rsid w:val="1C5B25FD"/>
    <w:rsid w:val="1C5E7925"/>
    <w:rsid w:val="1C614F4A"/>
    <w:rsid w:val="1C67088B"/>
    <w:rsid w:val="1C6C797A"/>
    <w:rsid w:val="1C6C7CD9"/>
    <w:rsid w:val="1C6E23E9"/>
    <w:rsid w:val="1C73368E"/>
    <w:rsid w:val="1C7B7E93"/>
    <w:rsid w:val="1C827473"/>
    <w:rsid w:val="1C850D11"/>
    <w:rsid w:val="1C944F1A"/>
    <w:rsid w:val="1CA636C0"/>
    <w:rsid w:val="1CA67605"/>
    <w:rsid w:val="1CA84DFC"/>
    <w:rsid w:val="1CB066A2"/>
    <w:rsid w:val="1CB735C0"/>
    <w:rsid w:val="1CC674F2"/>
    <w:rsid w:val="1CC7757C"/>
    <w:rsid w:val="1CD04294"/>
    <w:rsid w:val="1CD31A7D"/>
    <w:rsid w:val="1CD6156D"/>
    <w:rsid w:val="1CDE0395"/>
    <w:rsid w:val="1CE1777A"/>
    <w:rsid w:val="1CE375C1"/>
    <w:rsid w:val="1CE37E0F"/>
    <w:rsid w:val="1CE60291"/>
    <w:rsid w:val="1CE61652"/>
    <w:rsid w:val="1CF224E5"/>
    <w:rsid w:val="1CFD070F"/>
    <w:rsid w:val="1CFD4F9F"/>
    <w:rsid w:val="1D061E52"/>
    <w:rsid w:val="1D107462"/>
    <w:rsid w:val="1D1109B1"/>
    <w:rsid w:val="1D1B1B6E"/>
    <w:rsid w:val="1D250A04"/>
    <w:rsid w:val="1D303373"/>
    <w:rsid w:val="1D332166"/>
    <w:rsid w:val="1D362FC9"/>
    <w:rsid w:val="1D494FEE"/>
    <w:rsid w:val="1D4D5CD3"/>
    <w:rsid w:val="1D5726AE"/>
    <w:rsid w:val="1D5F6196"/>
    <w:rsid w:val="1D6132A5"/>
    <w:rsid w:val="1D6945D8"/>
    <w:rsid w:val="1D6A0633"/>
    <w:rsid w:val="1D725739"/>
    <w:rsid w:val="1D79556C"/>
    <w:rsid w:val="1D7D557A"/>
    <w:rsid w:val="1D81772B"/>
    <w:rsid w:val="1D8509C2"/>
    <w:rsid w:val="1D8E56D5"/>
    <w:rsid w:val="1D953150"/>
    <w:rsid w:val="1D9669AE"/>
    <w:rsid w:val="1D976F4E"/>
    <w:rsid w:val="1D9A31C6"/>
    <w:rsid w:val="1D9E780F"/>
    <w:rsid w:val="1D9F1E7E"/>
    <w:rsid w:val="1DA62A8E"/>
    <w:rsid w:val="1DAF6046"/>
    <w:rsid w:val="1DB63878"/>
    <w:rsid w:val="1DC37B65"/>
    <w:rsid w:val="1DC835AB"/>
    <w:rsid w:val="1DC87107"/>
    <w:rsid w:val="1DC95998"/>
    <w:rsid w:val="1DCA10D2"/>
    <w:rsid w:val="1DD50E77"/>
    <w:rsid w:val="1DD61B41"/>
    <w:rsid w:val="1DDC3C08"/>
    <w:rsid w:val="1DDD3F85"/>
    <w:rsid w:val="1DDE2DCF"/>
    <w:rsid w:val="1DE008F5"/>
    <w:rsid w:val="1DE0470B"/>
    <w:rsid w:val="1DE2466D"/>
    <w:rsid w:val="1DEF6D8A"/>
    <w:rsid w:val="1DF256A7"/>
    <w:rsid w:val="1DF92DE8"/>
    <w:rsid w:val="1DFC71C2"/>
    <w:rsid w:val="1DFF3BBE"/>
    <w:rsid w:val="1DFF7E64"/>
    <w:rsid w:val="1E025AFC"/>
    <w:rsid w:val="1E043E90"/>
    <w:rsid w:val="1E093930"/>
    <w:rsid w:val="1E0F0816"/>
    <w:rsid w:val="1E0F4D36"/>
    <w:rsid w:val="1E171E3D"/>
    <w:rsid w:val="1E1D56A5"/>
    <w:rsid w:val="1E277658"/>
    <w:rsid w:val="1E28404A"/>
    <w:rsid w:val="1E334EC9"/>
    <w:rsid w:val="1E3C2C83"/>
    <w:rsid w:val="1E4075E6"/>
    <w:rsid w:val="1E41362C"/>
    <w:rsid w:val="1E4A5D6E"/>
    <w:rsid w:val="1E4B0BF7"/>
    <w:rsid w:val="1E4C5F8A"/>
    <w:rsid w:val="1E5113B6"/>
    <w:rsid w:val="1E54610B"/>
    <w:rsid w:val="1E5C4E0C"/>
    <w:rsid w:val="1E5E181A"/>
    <w:rsid w:val="1E5E7A6C"/>
    <w:rsid w:val="1E6C39F9"/>
    <w:rsid w:val="1E782A53"/>
    <w:rsid w:val="1E786D7F"/>
    <w:rsid w:val="1E7A43DA"/>
    <w:rsid w:val="1E7E3C6A"/>
    <w:rsid w:val="1E8411D7"/>
    <w:rsid w:val="1E845724"/>
    <w:rsid w:val="1E875CA9"/>
    <w:rsid w:val="1E8936C4"/>
    <w:rsid w:val="1E9478D9"/>
    <w:rsid w:val="1E953496"/>
    <w:rsid w:val="1E9D2342"/>
    <w:rsid w:val="1EA2679A"/>
    <w:rsid w:val="1EB3369E"/>
    <w:rsid w:val="1EB52CBD"/>
    <w:rsid w:val="1EB8717C"/>
    <w:rsid w:val="1EC43D73"/>
    <w:rsid w:val="1EC86ED1"/>
    <w:rsid w:val="1EC90C4F"/>
    <w:rsid w:val="1ECC2C27"/>
    <w:rsid w:val="1ED2217D"/>
    <w:rsid w:val="1ED818B4"/>
    <w:rsid w:val="1EE066D3"/>
    <w:rsid w:val="1EE15DDE"/>
    <w:rsid w:val="1EE84A9F"/>
    <w:rsid w:val="1EEB7551"/>
    <w:rsid w:val="1EED151B"/>
    <w:rsid w:val="1EEE0DF0"/>
    <w:rsid w:val="1EFD0012"/>
    <w:rsid w:val="1EFF6A58"/>
    <w:rsid w:val="1F0810AD"/>
    <w:rsid w:val="1F093E7B"/>
    <w:rsid w:val="1F1330A4"/>
    <w:rsid w:val="1F14362A"/>
    <w:rsid w:val="1F152820"/>
    <w:rsid w:val="1F1D16D5"/>
    <w:rsid w:val="1F204D21"/>
    <w:rsid w:val="1F225DD8"/>
    <w:rsid w:val="1F2A379D"/>
    <w:rsid w:val="1F310FDE"/>
    <w:rsid w:val="1F337DEB"/>
    <w:rsid w:val="1F347ED7"/>
    <w:rsid w:val="1F380351"/>
    <w:rsid w:val="1F394761"/>
    <w:rsid w:val="1F3A1C48"/>
    <w:rsid w:val="1F3A7255"/>
    <w:rsid w:val="1F3F5AEF"/>
    <w:rsid w:val="1F4849A4"/>
    <w:rsid w:val="1F4E1485"/>
    <w:rsid w:val="1F501E9D"/>
    <w:rsid w:val="1F51312D"/>
    <w:rsid w:val="1F556ADF"/>
    <w:rsid w:val="1F58270D"/>
    <w:rsid w:val="1F5920EB"/>
    <w:rsid w:val="1F5B41C0"/>
    <w:rsid w:val="1F5D72F6"/>
    <w:rsid w:val="1F6735AF"/>
    <w:rsid w:val="1F683DF7"/>
    <w:rsid w:val="1F6918B6"/>
    <w:rsid w:val="1F712897"/>
    <w:rsid w:val="1F777037"/>
    <w:rsid w:val="1F7A2683"/>
    <w:rsid w:val="1F7D23EA"/>
    <w:rsid w:val="1F7F5EEC"/>
    <w:rsid w:val="1F7F70D1"/>
    <w:rsid w:val="1F89392C"/>
    <w:rsid w:val="1F8B688A"/>
    <w:rsid w:val="1F8D23B7"/>
    <w:rsid w:val="1F927440"/>
    <w:rsid w:val="1F945BBF"/>
    <w:rsid w:val="1F992C80"/>
    <w:rsid w:val="1F994CCE"/>
    <w:rsid w:val="1F9F20EA"/>
    <w:rsid w:val="1FA807DA"/>
    <w:rsid w:val="1FAF5501"/>
    <w:rsid w:val="1FB1687F"/>
    <w:rsid w:val="1FB35F68"/>
    <w:rsid w:val="1FBF453A"/>
    <w:rsid w:val="1FC258F7"/>
    <w:rsid w:val="1FC41032"/>
    <w:rsid w:val="1FC45AFF"/>
    <w:rsid w:val="1FC95EAC"/>
    <w:rsid w:val="1FD52A57"/>
    <w:rsid w:val="1FD6254E"/>
    <w:rsid w:val="1FD75D28"/>
    <w:rsid w:val="1FDB5E8E"/>
    <w:rsid w:val="1FE06469"/>
    <w:rsid w:val="1FE2632E"/>
    <w:rsid w:val="1FE7539E"/>
    <w:rsid w:val="1FF71F26"/>
    <w:rsid w:val="1FF82F6A"/>
    <w:rsid w:val="2001472C"/>
    <w:rsid w:val="2003549E"/>
    <w:rsid w:val="200738CC"/>
    <w:rsid w:val="200C59D1"/>
    <w:rsid w:val="20104967"/>
    <w:rsid w:val="20125A9B"/>
    <w:rsid w:val="2014320C"/>
    <w:rsid w:val="201C0B38"/>
    <w:rsid w:val="201F7058"/>
    <w:rsid w:val="20250841"/>
    <w:rsid w:val="202A2C16"/>
    <w:rsid w:val="20384A18"/>
    <w:rsid w:val="203B47DB"/>
    <w:rsid w:val="2040567B"/>
    <w:rsid w:val="20452C91"/>
    <w:rsid w:val="204668C8"/>
    <w:rsid w:val="20473593"/>
    <w:rsid w:val="204C4DC3"/>
    <w:rsid w:val="2054542F"/>
    <w:rsid w:val="205729C5"/>
    <w:rsid w:val="2057486B"/>
    <w:rsid w:val="205D622D"/>
    <w:rsid w:val="20671BE0"/>
    <w:rsid w:val="206A6B9C"/>
    <w:rsid w:val="207819FD"/>
    <w:rsid w:val="20823EE5"/>
    <w:rsid w:val="20860445"/>
    <w:rsid w:val="20891082"/>
    <w:rsid w:val="208A4B48"/>
    <w:rsid w:val="208C08C0"/>
    <w:rsid w:val="20907337"/>
    <w:rsid w:val="20963CB8"/>
    <w:rsid w:val="209812E5"/>
    <w:rsid w:val="20A12B3B"/>
    <w:rsid w:val="20A1609D"/>
    <w:rsid w:val="20A420AE"/>
    <w:rsid w:val="20A81A1B"/>
    <w:rsid w:val="20AA51EA"/>
    <w:rsid w:val="20B07FB6"/>
    <w:rsid w:val="20B120D5"/>
    <w:rsid w:val="20B646FB"/>
    <w:rsid w:val="20B67539"/>
    <w:rsid w:val="20B74A81"/>
    <w:rsid w:val="20B83463"/>
    <w:rsid w:val="20B95AC2"/>
    <w:rsid w:val="20BA3625"/>
    <w:rsid w:val="20BB73F7"/>
    <w:rsid w:val="20BD2D28"/>
    <w:rsid w:val="20C35C27"/>
    <w:rsid w:val="20CD44B8"/>
    <w:rsid w:val="20CD4876"/>
    <w:rsid w:val="20D10281"/>
    <w:rsid w:val="20DE6C42"/>
    <w:rsid w:val="20EF0AC2"/>
    <w:rsid w:val="20EF5022"/>
    <w:rsid w:val="2100305C"/>
    <w:rsid w:val="21052421"/>
    <w:rsid w:val="210668C5"/>
    <w:rsid w:val="21073FD8"/>
    <w:rsid w:val="21121501"/>
    <w:rsid w:val="211264BF"/>
    <w:rsid w:val="21154D5A"/>
    <w:rsid w:val="211663DC"/>
    <w:rsid w:val="2117681A"/>
    <w:rsid w:val="21186B92"/>
    <w:rsid w:val="211F1753"/>
    <w:rsid w:val="21243C2C"/>
    <w:rsid w:val="21260D15"/>
    <w:rsid w:val="21262AC3"/>
    <w:rsid w:val="212E10AB"/>
    <w:rsid w:val="21350FC0"/>
    <w:rsid w:val="213B74B1"/>
    <w:rsid w:val="213E0B4C"/>
    <w:rsid w:val="2140571C"/>
    <w:rsid w:val="214178FD"/>
    <w:rsid w:val="214317E0"/>
    <w:rsid w:val="214747E7"/>
    <w:rsid w:val="214B32C7"/>
    <w:rsid w:val="214D6895"/>
    <w:rsid w:val="214E5B76"/>
    <w:rsid w:val="21515666"/>
    <w:rsid w:val="215A2310"/>
    <w:rsid w:val="215A451A"/>
    <w:rsid w:val="215E746E"/>
    <w:rsid w:val="21626BF0"/>
    <w:rsid w:val="217A70D0"/>
    <w:rsid w:val="218912A4"/>
    <w:rsid w:val="218B0B78"/>
    <w:rsid w:val="218E2971"/>
    <w:rsid w:val="219152EF"/>
    <w:rsid w:val="2197751D"/>
    <w:rsid w:val="21997739"/>
    <w:rsid w:val="219D08AB"/>
    <w:rsid w:val="21A1039B"/>
    <w:rsid w:val="21A10F1D"/>
    <w:rsid w:val="21A31166"/>
    <w:rsid w:val="21A41C3A"/>
    <w:rsid w:val="21A85823"/>
    <w:rsid w:val="21A86C8E"/>
    <w:rsid w:val="21A94D1A"/>
    <w:rsid w:val="21A954A2"/>
    <w:rsid w:val="21B225A8"/>
    <w:rsid w:val="21B77BBF"/>
    <w:rsid w:val="21BC51D5"/>
    <w:rsid w:val="21BE2A5F"/>
    <w:rsid w:val="21BF4CC5"/>
    <w:rsid w:val="21C1794F"/>
    <w:rsid w:val="21C5052E"/>
    <w:rsid w:val="21C70505"/>
    <w:rsid w:val="21CA4366"/>
    <w:rsid w:val="21CB71C6"/>
    <w:rsid w:val="21D04BA8"/>
    <w:rsid w:val="21D676DE"/>
    <w:rsid w:val="21DD6EFA"/>
    <w:rsid w:val="21DE318A"/>
    <w:rsid w:val="21E64000"/>
    <w:rsid w:val="21E8173A"/>
    <w:rsid w:val="21ED5D04"/>
    <w:rsid w:val="21EF5B80"/>
    <w:rsid w:val="21F93D33"/>
    <w:rsid w:val="21FE759C"/>
    <w:rsid w:val="22003044"/>
    <w:rsid w:val="22034BB2"/>
    <w:rsid w:val="22066450"/>
    <w:rsid w:val="220A0F86"/>
    <w:rsid w:val="220B1A78"/>
    <w:rsid w:val="220D5A31"/>
    <w:rsid w:val="22185FF9"/>
    <w:rsid w:val="221B54E8"/>
    <w:rsid w:val="2221328A"/>
    <w:rsid w:val="22230DB0"/>
    <w:rsid w:val="22250FCC"/>
    <w:rsid w:val="22310F42"/>
    <w:rsid w:val="2237626B"/>
    <w:rsid w:val="22394A78"/>
    <w:rsid w:val="223B2364"/>
    <w:rsid w:val="223C3D0F"/>
    <w:rsid w:val="223D65C7"/>
    <w:rsid w:val="223F7F07"/>
    <w:rsid w:val="22405E06"/>
    <w:rsid w:val="224551CB"/>
    <w:rsid w:val="22552F34"/>
    <w:rsid w:val="22576990"/>
    <w:rsid w:val="225E612C"/>
    <w:rsid w:val="226C51BB"/>
    <w:rsid w:val="22705F45"/>
    <w:rsid w:val="22715FC0"/>
    <w:rsid w:val="227635D6"/>
    <w:rsid w:val="2277734E"/>
    <w:rsid w:val="22794E74"/>
    <w:rsid w:val="227B299A"/>
    <w:rsid w:val="22833F45"/>
    <w:rsid w:val="228F28EA"/>
    <w:rsid w:val="229602A5"/>
    <w:rsid w:val="22987271"/>
    <w:rsid w:val="229C0B63"/>
    <w:rsid w:val="22AD4B1E"/>
    <w:rsid w:val="22B15A6A"/>
    <w:rsid w:val="22B20386"/>
    <w:rsid w:val="22B42350"/>
    <w:rsid w:val="22B95F4E"/>
    <w:rsid w:val="22C119A4"/>
    <w:rsid w:val="22C31449"/>
    <w:rsid w:val="22C32593"/>
    <w:rsid w:val="22D05153"/>
    <w:rsid w:val="22D36642"/>
    <w:rsid w:val="22DB5B2F"/>
    <w:rsid w:val="22E26EBD"/>
    <w:rsid w:val="22E569B7"/>
    <w:rsid w:val="22E81A33"/>
    <w:rsid w:val="22E93AF2"/>
    <w:rsid w:val="22EC0640"/>
    <w:rsid w:val="22F17100"/>
    <w:rsid w:val="22F47480"/>
    <w:rsid w:val="22F56B29"/>
    <w:rsid w:val="22FB1D2D"/>
    <w:rsid w:val="23092FD4"/>
    <w:rsid w:val="230F3E1C"/>
    <w:rsid w:val="231040B3"/>
    <w:rsid w:val="231057D9"/>
    <w:rsid w:val="23137077"/>
    <w:rsid w:val="231F36C8"/>
    <w:rsid w:val="2324327A"/>
    <w:rsid w:val="232B150E"/>
    <w:rsid w:val="233B7BD9"/>
    <w:rsid w:val="233D173E"/>
    <w:rsid w:val="233E3A7C"/>
    <w:rsid w:val="233F60BE"/>
    <w:rsid w:val="23405992"/>
    <w:rsid w:val="23422F9C"/>
    <w:rsid w:val="2348359C"/>
    <w:rsid w:val="234B4A63"/>
    <w:rsid w:val="23531501"/>
    <w:rsid w:val="235F29C9"/>
    <w:rsid w:val="23607DE2"/>
    <w:rsid w:val="23625E0F"/>
    <w:rsid w:val="23671171"/>
    <w:rsid w:val="237C1F29"/>
    <w:rsid w:val="23803DE0"/>
    <w:rsid w:val="23813BD0"/>
    <w:rsid w:val="238945FD"/>
    <w:rsid w:val="238E2BA1"/>
    <w:rsid w:val="23974583"/>
    <w:rsid w:val="23977CA8"/>
    <w:rsid w:val="239B23CF"/>
    <w:rsid w:val="23A93537"/>
    <w:rsid w:val="23AD30AD"/>
    <w:rsid w:val="23B14AC1"/>
    <w:rsid w:val="23BC326A"/>
    <w:rsid w:val="23BC770E"/>
    <w:rsid w:val="23C40371"/>
    <w:rsid w:val="23C95987"/>
    <w:rsid w:val="23CE5CAC"/>
    <w:rsid w:val="23D22A8E"/>
    <w:rsid w:val="23D36676"/>
    <w:rsid w:val="23D37848"/>
    <w:rsid w:val="23DA3DA3"/>
    <w:rsid w:val="23DC4CC6"/>
    <w:rsid w:val="23DE1C48"/>
    <w:rsid w:val="23E1250A"/>
    <w:rsid w:val="23E15A0C"/>
    <w:rsid w:val="23E2688C"/>
    <w:rsid w:val="23E42DE3"/>
    <w:rsid w:val="23E46C65"/>
    <w:rsid w:val="23E6478B"/>
    <w:rsid w:val="23E9602A"/>
    <w:rsid w:val="23EB2AA7"/>
    <w:rsid w:val="23F30C56"/>
    <w:rsid w:val="23F9105D"/>
    <w:rsid w:val="23FF584D"/>
    <w:rsid w:val="240210CD"/>
    <w:rsid w:val="24051D68"/>
    <w:rsid w:val="240F3CE2"/>
    <w:rsid w:val="24113C2E"/>
    <w:rsid w:val="2412329D"/>
    <w:rsid w:val="24174EFF"/>
    <w:rsid w:val="2418513D"/>
    <w:rsid w:val="242572B8"/>
    <w:rsid w:val="24345EDD"/>
    <w:rsid w:val="24374FE7"/>
    <w:rsid w:val="24417F5F"/>
    <w:rsid w:val="244A2F6C"/>
    <w:rsid w:val="244A6AC8"/>
    <w:rsid w:val="244E0846"/>
    <w:rsid w:val="24547947"/>
    <w:rsid w:val="245D443C"/>
    <w:rsid w:val="245D5134"/>
    <w:rsid w:val="245E08D3"/>
    <w:rsid w:val="246062EC"/>
    <w:rsid w:val="24617941"/>
    <w:rsid w:val="24681644"/>
    <w:rsid w:val="246B0F38"/>
    <w:rsid w:val="24756F28"/>
    <w:rsid w:val="247973AD"/>
    <w:rsid w:val="247E0425"/>
    <w:rsid w:val="247E3B4F"/>
    <w:rsid w:val="248024EA"/>
    <w:rsid w:val="248C70E1"/>
    <w:rsid w:val="249146F7"/>
    <w:rsid w:val="24942439"/>
    <w:rsid w:val="24955738"/>
    <w:rsid w:val="249935AC"/>
    <w:rsid w:val="24A35889"/>
    <w:rsid w:val="24AD06DD"/>
    <w:rsid w:val="24B10D8B"/>
    <w:rsid w:val="24B65F0C"/>
    <w:rsid w:val="24BE74B6"/>
    <w:rsid w:val="24BF09F7"/>
    <w:rsid w:val="24C50845"/>
    <w:rsid w:val="24C83E91"/>
    <w:rsid w:val="24CD14A7"/>
    <w:rsid w:val="24CD47BB"/>
    <w:rsid w:val="24CE594B"/>
    <w:rsid w:val="24CF3471"/>
    <w:rsid w:val="24CF521F"/>
    <w:rsid w:val="24D26ABE"/>
    <w:rsid w:val="24D32F7B"/>
    <w:rsid w:val="24D67F08"/>
    <w:rsid w:val="24DB6589"/>
    <w:rsid w:val="24E0772C"/>
    <w:rsid w:val="24E41986"/>
    <w:rsid w:val="24E53D07"/>
    <w:rsid w:val="24FA6998"/>
    <w:rsid w:val="250405CB"/>
    <w:rsid w:val="2504136D"/>
    <w:rsid w:val="25050C41"/>
    <w:rsid w:val="250C2AD4"/>
    <w:rsid w:val="250D037C"/>
    <w:rsid w:val="250E2D4A"/>
    <w:rsid w:val="25106F9D"/>
    <w:rsid w:val="251175E6"/>
    <w:rsid w:val="25151606"/>
    <w:rsid w:val="25162E4E"/>
    <w:rsid w:val="25214113"/>
    <w:rsid w:val="252C50F9"/>
    <w:rsid w:val="252D53FE"/>
    <w:rsid w:val="25317C88"/>
    <w:rsid w:val="253634F0"/>
    <w:rsid w:val="253D03DB"/>
    <w:rsid w:val="253E7FB7"/>
    <w:rsid w:val="25493785"/>
    <w:rsid w:val="25496D80"/>
    <w:rsid w:val="25506360"/>
    <w:rsid w:val="255201D1"/>
    <w:rsid w:val="255C5AB5"/>
    <w:rsid w:val="2560231B"/>
    <w:rsid w:val="25641E0C"/>
    <w:rsid w:val="25643EED"/>
    <w:rsid w:val="25660EB1"/>
    <w:rsid w:val="256B319A"/>
    <w:rsid w:val="2571586D"/>
    <w:rsid w:val="257356BC"/>
    <w:rsid w:val="25761B3F"/>
    <w:rsid w:val="25775320"/>
    <w:rsid w:val="257F51DF"/>
    <w:rsid w:val="2580476C"/>
    <w:rsid w:val="25826736"/>
    <w:rsid w:val="2584600A"/>
    <w:rsid w:val="258731AE"/>
    <w:rsid w:val="258A1977"/>
    <w:rsid w:val="258B63A0"/>
    <w:rsid w:val="25950217"/>
    <w:rsid w:val="25981AB5"/>
    <w:rsid w:val="259E68FB"/>
    <w:rsid w:val="25A03664"/>
    <w:rsid w:val="25A91AB9"/>
    <w:rsid w:val="25B12B77"/>
    <w:rsid w:val="25B14925"/>
    <w:rsid w:val="25B15D79"/>
    <w:rsid w:val="25B814A1"/>
    <w:rsid w:val="25BD32CA"/>
    <w:rsid w:val="25C25405"/>
    <w:rsid w:val="25C94365"/>
    <w:rsid w:val="25CA30F7"/>
    <w:rsid w:val="25CE54D7"/>
    <w:rsid w:val="25CF6251"/>
    <w:rsid w:val="25D262FF"/>
    <w:rsid w:val="25D57000"/>
    <w:rsid w:val="25D721CA"/>
    <w:rsid w:val="25DC4098"/>
    <w:rsid w:val="25DF5936"/>
    <w:rsid w:val="25E22D30"/>
    <w:rsid w:val="25E557B2"/>
    <w:rsid w:val="25E82A3D"/>
    <w:rsid w:val="25E91562"/>
    <w:rsid w:val="25EC2D81"/>
    <w:rsid w:val="25F3318F"/>
    <w:rsid w:val="25F553D0"/>
    <w:rsid w:val="25F72F96"/>
    <w:rsid w:val="25F969F8"/>
    <w:rsid w:val="25FD5DBC"/>
    <w:rsid w:val="25FE7038"/>
    <w:rsid w:val="2601367E"/>
    <w:rsid w:val="26035A82"/>
    <w:rsid w:val="2604634A"/>
    <w:rsid w:val="26085A4D"/>
    <w:rsid w:val="260E3B25"/>
    <w:rsid w:val="261063D0"/>
    <w:rsid w:val="2614285B"/>
    <w:rsid w:val="261F3F85"/>
    <w:rsid w:val="26265313"/>
    <w:rsid w:val="262A67F5"/>
    <w:rsid w:val="26311744"/>
    <w:rsid w:val="26363369"/>
    <w:rsid w:val="26393298"/>
    <w:rsid w:val="264209F3"/>
    <w:rsid w:val="26487037"/>
    <w:rsid w:val="264E5856"/>
    <w:rsid w:val="26551BE3"/>
    <w:rsid w:val="265561E8"/>
    <w:rsid w:val="26574933"/>
    <w:rsid w:val="265831B6"/>
    <w:rsid w:val="265C26C0"/>
    <w:rsid w:val="26602206"/>
    <w:rsid w:val="26633E71"/>
    <w:rsid w:val="26636ED5"/>
    <w:rsid w:val="26667E05"/>
    <w:rsid w:val="266D4CF0"/>
    <w:rsid w:val="2670334B"/>
    <w:rsid w:val="267404FC"/>
    <w:rsid w:val="26832765"/>
    <w:rsid w:val="268562BC"/>
    <w:rsid w:val="2686348F"/>
    <w:rsid w:val="26924756"/>
    <w:rsid w:val="26973BD0"/>
    <w:rsid w:val="269A500F"/>
    <w:rsid w:val="269F1062"/>
    <w:rsid w:val="269F7989"/>
    <w:rsid w:val="26A04465"/>
    <w:rsid w:val="26A30712"/>
    <w:rsid w:val="26A36A07"/>
    <w:rsid w:val="26A85D28"/>
    <w:rsid w:val="26AA1AA0"/>
    <w:rsid w:val="26B3219A"/>
    <w:rsid w:val="26B402C7"/>
    <w:rsid w:val="26BF06CE"/>
    <w:rsid w:val="26C07516"/>
    <w:rsid w:val="26C40964"/>
    <w:rsid w:val="26C64AC8"/>
    <w:rsid w:val="26D57446"/>
    <w:rsid w:val="26D60421"/>
    <w:rsid w:val="26D73908"/>
    <w:rsid w:val="26D938D3"/>
    <w:rsid w:val="26DE799C"/>
    <w:rsid w:val="26E50235"/>
    <w:rsid w:val="26F1192D"/>
    <w:rsid w:val="26F558F3"/>
    <w:rsid w:val="26F55A71"/>
    <w:rsid w:val="26F7280B"/>
    <w:rsid w:val="26FE003E"/>
    <w:rsid w:val="270D436F"/>
    <w:rsid w:val="270E2C9D"/>
    <w:rsid w:val="271D2557"/>
    <w:rsid w:val="27291E9A"/>
    <w:rsid w:val="272F6AA8"/>
    <w:rsid w:val="27374E33"/>
    <w:rsid w:val="273D2914"/>
    <w:rsid w:val="27430A91"/>
    <w:rsid w:val="274719E5"/>
    <w:rsid w:val="2749750B"/>
    <w:rsid w:val="274D0515"/>
    <w:rsid w:val="274D38BC"/>
    <w:rsid w:val="274E6571"/>
    <w:rsid w:val="274F5748"/>
    <w:rsid w:val="275671DA"/>
    <w:rsid w:val="275D6B12"/>
    <w:rsid w:val="27617A41"/>
    <w:rsid w:val="27693963"/>
    <w:rsid w:val="277057A2"/>
    <w:rsid w:val="27750300"/>
    <w:rsid w:val="277B13CF"/>
    <w:rsid w:val="277E1683"/>
    <w:rsid w:val="278B158F"/>
    <w:rsid w:val="278D4A22"/>
    <w:rsid w:val="278E4D3D"/>
    <w:rsid w:val="2790134F"/>
    <w:rsid w:val="27930786"/>
    <w:rsid w:val="279F537D"/>
    <w:rsid w:val="27A0780E"/>
    <w:rsid w:val="27AA0DCC"/>
    <w:rsid w:val="27AC6781"/>
    <w:rsid w:val="27AD1CC8"/>
    <w:rsid w:val="27B0427B"/>
    <w:rsid w:val="27B242F3"/>
    <w:rsid w:val="27B25442"/>
    <w:rsid w:val="27B45C93"/>
    <w:rsid w:val="27B64475"/>
    <w:rsid w:val="27B7686B"/>
    <w:rsid w:val="27BD02FE"/>
    <w:rsid w:val="27BF157B"/>
    <w:rsid w:val="27C07C30"/>
    <w:rsid w:val="27C6290A"/>
    <w:rsid w:val="27C9064C"/>
    <w:rsid w:val="27CE24F3"/>
    <w:rsid w:val="27D43485"/>
    <w:rsid w:val="27DE5A45"/>
    <w:rsid w:val="27EA0644"/>
    <w:rsid w:val="27EA18BA"/>
    <w:rsid w:val="27ED1213"/>
    <w:rsid w:val="27ED433A"/>
    <w:rsid w:val="27F97290"/>
    <w:rsid w:val="27FF3CE5"/>
    <w:rsid w:val="27FF7320"/>
    <w:rsid w:val="28086671"/>
    <w:rsid w:val="280F0007"/>
    <w:rsid w:val="281153F5"/>
    <w:rsid w:val="28124010"/>
    <w:rsid w:val="28156F50"/>
    <w:rsid w:val="28175EE9"/>
    <w:rsid w:val="28180C8B"/>
    <w:rsid w:val="28195ECA"/>
    <w:rsid w:val="282835C4"/>
    <w:rsid w:val="28285372"/>
    <w:rsid w:val="283F7CBC"/>
    <w:rsid w:val="28405372"/>
    <w:rsid w:val="28437DD3"/>
    <w:rsid w:val="284E0B51"/>
    <w:rsid w:val="28542C93"/>
    <w:rsid w:val="285F1D8B"/>
    <w:rsid w:val="28601C2F"/>
    <w:rsid w:val="28614ED2"/>
    <w:rsid w:val="28685782"/>
    <w:rsid w:val="28697739"/>
    <w:rsid w:val="286B1BCB"/>
    <w:rsid w:val="286D4EB9"/>
    <w:rsid w:val="286D63F8"/>
    <w:rsid w:val="286D7229"/>
    <w:rsid w:val="287F22F1"/>
    <w:rsid w:val="287F6F5C"/>
    <w:rsid w:val="28AA47B7"/>
    <w:rsid w:val="28B201C4"/>
    <w:rsid w:val="28B221A6"/>
    <w:rsid w:val="28B74948"/>
    <w:rsid w:val="28BA4438"/>
    <w:rsid w:val="28C36E49"/>
    <w:rsid w:val="28CC3FE0"/>
    <w:rsid w:val="28EC2844"/>
    <w:rsid w:val="28F10D43"/>
    <w:rsid w:val="28F9270B"/>
    <w:rsid w:val="28FA5B27"/>
    <w:rsid w:val="28FB3E89"/>
    <w:rsid w:val="28FC0C6B"/>
    <w:rsid w:val="28FE056C"/>
    <w:rsid w:val="29037B8D"/>
    <w:rsid w:val="291122AA"/>
    <w:rsid w:val="29183639"/>
    <w:rsid w:val="291C2E64"/>
    <w:rsid w:val="291C57EA"/>
    <w:rsid w:val="291F1AD9"/>
    <w:rsid w:val="29206EB8"/>
    <w:rsid w:val="29220014"/>
    <w:rsid w:val="29261816"/>
    <w:rsid w:val="29265B98"/>
    <w:rsid w:val="292D2C85"/>
    <w:rsid w:val="29306597"/>
    <w:rsid w:val="29325D7D"/>
    <w:rsid w:val="293F6B1F"/>
    <w:rsid w:val="294066EC"/>
    <w:rsid w:val="294F4EFD"/>
    <w:rsid w:val="295108F9"/>
    <w:rsid w:val="29595666"/>
    <w:rsid w:val="295959FF"/>
    <w:rsid w:val="295E2A75"/>
    <w:rsid w:val="29617E99"/>
    <w:rsid w:val="296251DC"/>
    <w:rsid w:val="29646E07"/>
    <w:rsid w:val="29662153"/>
    <w:rsid w:val="296A19BB"/>
    <w:rsid w:val="297D0463"/>
    <w:rsid w:val="298478B6"/>
    <w:rsid w:val="2987256D"/>
    <w:rsid w:val="29874881"/>
    <w:rsid w:val="298C7B83"/>
    <w:rsid w:val="29907953"/>
    <w:rsid w:val="2994748A"/>
    <w:rsid w:val="29A749BD"/>
    <w:rsid w:val="29AF3336"/>
    <w:rsid w:val="29B046CB"/>
    <w:rsid w:val="29B175E9"/>
    <w:rsid w:val="29B438A7"/>
    <w:rsid w:val="29B7230F"/>
    <w:rsid w:val="29B80978"/>
    <w:rsid w:val="29B90A5B"/>
    <w:rsid w:val="29C76E0D"/>
    <w:rsid w:val="29CE0847"/>
    <w:rsid w:val="29CE1B9C"/>
    <w:rsid w:val="29D16D8B"/>
    <w:rsid w:val="29DE36B2"/>
    <w:rsid w:val="29E325E0"/>
    <w:rsid w:val="29EE7EF6"/>
    <w:rsid w:val="29FC74F4"/>
    <w:rsid w:val="2A005C83"/>
    <w:rsid w:val="2A04575E"/>
    <w:rsid w:val="2A04596B"/>
    <w:rsid w:val="2A0D0CC4"/>
    <w:rsid w:val="2A1748C7"/>
    <w:rsid w:val="2A1B0153"/>
    <w:rsid w:val="2A1D4C7F"/>
    <w:rsid w:val="2A205C93"/>
    <w:rsid w:val="2A241B69"/>
    <w:rsid w:val="2A337FFE"/>
    <w:rsid w:val="2A351FC9"/>
    <w:rsid w:val="2A36189D"/>
    <w:rsid w:val="2A3D3DCC"/>
    <w:rsid w:val="2A451373"/>
    <w:rsid w:val="2A452503"/>
    <w:rsid w:val="2A4B491B"/>
    <w:rsid w:val="2A506E02"/>
    <w:rsid w:val="2A5A30CE"/>
    <w:rsid w:val="2A5A558B"/>
    <w:rsid w:val="2A636C4A"/>
    <w:rsid w:val="2A6B5688"/>
    <w:rsid w:val="2A6C5EF2"/>
    <w:rsid w:val="2A7252B1"/>
    <w:rsid w:val="2A854A09"/>
    <w:rsid w:val="2A8820F8"/>
    <w:rsid w:val="2A8A5963"/>
    <w:rsid w:val="2A91499F"/>
    <w:rsid w:val="2A9A0BE0"/>
    <w:rsid w:val="2A9C5E28"/>
    <w:rsid w:val="2A9F5694"/>
    <w:rsid w:val="2AA1140C"/>
    <w:rsid w:val="2AA42CAA"/>
    <w:rsid w:val="2AA902C1"/>
    <w:rsid w:val="2AAB228B"/>
    <w:rsid w:val="2AAB53AD"/>
    <w:rsid w:val="2AB83D99"/>
    <w:rsid w:val="2ABA05A4"/>
    <w:rsid w:val="2ABC1DA2"/>
    <w:rsid w:val="2ABF1892"/>
    <w:rsid w:val="2AC82E3D"/>
    <w:rsid w:val="2ACB24E0"/>
    <w:rsid w:val="2ACB46DB"/>
    <w:rsid w:val="2ACF0660"/>
    <w:rsid w:val="2AD4606F"/>
    <w:rsid w:val="2AD57308"/>
    <w:rsid w:val="2ADC4216"/>
    <w:rsid w:val="2ADE440E"/>
    <w:rsid w:val="2AE15CAC"/>
    <w:rsid w:val="2AE24F9D"/>
    <w:rsid w:val="2AEB05D6"/>
    <w:rsid w:val="2AF07C9E"/>
    <w:rsid w:val="2B05199B"/>
    <w:rsid w:val="2B053749"/>
    <w:rsid w:val="2B057D4A"/>
    <w:rsid w:val="2B065A04"/>
    <w:rsid w:val="2B0D0850"/>
    <w:rsid w:val="2B0D56C4"/>
    <w:rsid w:val="2B0F5A3C"/>
    <w:rsid w:val="2B1D09B3"/>
    <w:rsid w:val="2B1D60A6"/>
    <w:rsid w:val="2B231E21"/>
    <w:rsid w:val="2B3B360F"/>
    <w:rsid w:val="2B431FE3"/>
    <w:rsid w:val="2B4D50F0"/>
    <w:rsid w:val="2B5C05A3"/>
    <w:rsid w:val="2B5F7A08"/>
    <w:rsid w:val="2B620B9B"/>
    <w:rsid w:val="2B6C7FAC"/>
    <w:rsid w:val="2B6F32B8"/>
    <w:rsid w:val="2B6F6D90"/>
    <w:rsid w:val="2B801021"/>
    <w:rsid w:val="2B8054C5"/>
    <w:rsid w:val="2B8A6344"/>
    <w:rsid w:val="2B8D373E"/>
    <w:rsid w:val="2B940F71"/>
    <w:rsid w:val="2B986300"/>
    <w:rsid w:val="2B991B03"/>
    <w:rsid w:val="2B9C069A"/>
    <w:rsid w:val="2B9E594C"/>
    <w:rsid w:val="2BA06A8D"/>
    <w:rsid w:val="2BA32F62"/>
    <w:rsid w:val="2BA669D1"/>
    <w:rsid w:val="2BA936A8"/>
    <w:rsid w:val="2BAA0794"/>
    <w:rsid w:val="2BAA42F0"/>
    <w:rsid w:val="2BAB1468"/>
    <w:rsid w:val="2BB84C5F"/>
    <w:rsid w:val="2BBB118B"/>
    <w:rsid w:val="2BC30788"/>
    <w:rsid w:val="2BC84378"/>
    <w:rsid w:val="2BCC752E"/>
    <w:rsid w:val="2BCD4CFE"/>
    <w:rsid w:val="2BCD523D"/>
    <w:rsid w:val="2BD9277E"/>
    <w:rsid w:val="2BDC5830"/>
    <w:rsid w:val="2BDE2898"/>
    <w:rsid w:val="2BE1062B"/>
    <w:rsid w:val="2BE8601C"/>
    <w:rsid w:val="2BEA1528"/>
    <w:rsid w:val="2BF51A0F"/>
    <w:rsid w:val="2C0E0D23"/>
    <w:rsid w:val="2C1827FE"/>
    <w:rsid w:val="2C2422F5"/>
    <w:rsid w:val="2C261D30"/>
    <w:rsid w:val="2C31056E"/>
    <w:rsid w:val="2C315A5A"/>
    <w:rsid w:val="2C385DA0"/>
    <w:rsid w:val="2C424942"/>
    <w:rsid w:val="2C453C76"/>
    <w:rsid w:val="2C4B1C25"/>
    <w:rsid w:val="2C4F6729"/>
    <w:rsid w:val="2C5326A1"/>
    <w:rsid w:val="2C53685F"/>
    <w:rsid w:val="2C5E73CD"/>
    <w:rsid w:val="2C5F4282"/>
    <w:rsid w:val="2C627078"/>
    <w:rsid w:val="2C636F51"/>
    <w:rsid w:val="2C6941AB"/>
    <w:rsid w:val="2C694828"/>
    <w:rsid w:val="2C6A54B5"/>
    <w:rsid w:val="2C700A7A"/>
    <w:rsid w:val="2C725479"/>
    <w:rsid w:val="2C744DE0"/>
    <w:rsid w:val="2C7548FE"/>
    <w:rsid w:val="2C83526D"/>
    <w:rsid w:val="2C8E6F44"/>
    <w:rsid w:val="2C9A2F9D"/>
    <w:rsid w:val="2C9D5C03"/>
    <w:rsid w:val="2CA208CB"/>
    <w:rsid w:val="2CA46F92"/>
    <w:rsid w:val="2CBF201D"/>
    <w:rsid w:val="2CC2668F"/>
    <w:rsid w:val="2CC37F14"/>
    <w:rsid w:val="2CC55CCA"/>
    <w:rsid w:val="2CC6515A"/>
    <w:rsid w:val="2CCA471D"/>
    <w:rsid w:val="2CD1770E"/>
    <w:rsid w:val="2CDA5493"/>
    <w:rsid w:val="2CE163FE"/>
    <w:rsid w:val="2CE27BD9"/>
    <w:rsid w:val="2CEA367C"/>
    <w:rsid w:val="2CEF3963"/>
    <w:rsid w:val="2CF116ED"/>
    <w:rsid w:val="2CF565D5"/>
    <w:rsid w:val="2CF64B79"/>
    <w:rsid w:val="2CF9108B"/>
    <w:rsid w:val="2CFF7D0D"/>
    <w:rsid w:val="2D0621F1"/>
    <w:rsid w:val="2D1A7254"/>
    <w:rsid w:val="2D1C0600"/>
    <w:rsid w:val="2D1E4F96"/>
    <w:rsid w:val="2D216165"/>
    <w:rsid w:val="2D263E4A"/>
    <w:rsid w:val="2D287BC3"/>
    <w:rsid w:val="2D36699D"/>
    <w:rsid w:val="2D3F749C"/>
    <w:rsid w:val="2D4542D1"/>
    <w:rsid w:val="2D485B6F"/>
    <w:rsid w:val="2D586C22"/>
    <w:rsid w:val="2D604554"/>
    <w:rsid w:val="2D6575A5"/>
    <w:rsid w:val="2D6953A4"/>
    <w:rsid w:val="2D746964"/>
    <w:rsid w:val="2D7B23E8"/>
    <w:rsid w:val="2D7E3C87"/>
    <w:rsid w:val="2D8313F6"/>
    <w:rsid w:val="2D8414BF"/>
    <w:rsid w:val="2D881354"/>
    <w:rsid w:val="2D8A6411"/>
    <w:rsid w:val="2D9C6DE6"/>
    <w:rsid w:val="2D9D235F"/>
    <w:rsid w:val="2D9E56F5"/>
    <w:rsid w:val="2DA535EC"/>
    <w:rsid w:val="2DAF46B0"/>
    <w:rsid w:val="2DB8125F"/>
    <w:rsid w:val="2DBF3691"/>
    <w:rsid w:val="2DC13993"/>
    <w:rsid w:val="2DC53663"/>
    <w:rsid w:val="2DC733C8"/>
    <w:rsid w:val="2DCA6ECC"/>
    <w:rsid w:val="2DCB662B"/>
    <w:rsid w:val="2DCC2C44"/>
    <w:rsid w:val="2DD158AE"/>
    <w:rsid w:val="2DD6761F"/>
    <w:rsid w:val="2DD71766"/>
    <w:rsid w:val="2DDD6BFF"/>
    <w:rsid w:val="2DDE2CF3"/>
    <w:rsid w:val="2DE51610"/>
    <w:rsid w:val="2DE7182C"/>
    <w:rsid w:val="2DE955A4"/>
    <w:rsid w:val="2DEC627D"/>
    <w:rsid w:val="2DED5686"/>
    <w:rsid w:val="2DF45CF7"/>
    <w:rsid w:val="2DF95CFE"/>
    <w:rsid w:val="2DFB0E33"/>
    <w:rsid w:val="2E05376E"/>
    <w:rsid w:val="2E167BE3"/>
    <w:rsid w:val="2E176D51"/>
    <w:rsid w:val="2E271044"/>
    <w:rsid w:val="2E332291"/>
    <w:rsid w:val="2E426A62"/>
    <w:rsid w:val="2E4647A4"/>
    <w:rsid w:val="2E515B4E"/>
    <w:rsid w:val="2E57163E"/>
    <w:rsid w:val="2E5902B4"/>
    <w:rsid w:val="2E5A2371"/>
    <w:rsid w:val="2E5C3FC8"/>
    <w:rsid w:val="2E5D5B9A"/>
    <w:rsid w:val="2E61504D"/>
    <w:rsid w:val="2E667F96"/>
    <w:rsid w:val="2E717347"/>
    <w:rsid w:val="2E71768F"/>
    <w:rsid w:val="2E7644A7"/>
    <w:rsid w:val="2E7B198B"/>
    <w:rsid w:val="2E7D5CEC"/>
    <w:rsid w:val="2E7D5E52"/>
    <w:rsid w:val="2E7E190E"/>
    <w:rsid w:val="2E8226AB"/>
    <w:rsid w:val="2E8F10B4"/>
    <w:rsid w:val="2E91124D"/>
    <w:rsid w:val="2E926E8A"/>
    <w:rsid w:val="2E9A6439"/>
    <w:rsid w:val="2E9F3EB4"/>
    <w:rsid w:val="2E9F5C62"/>
    <w:rsid w:val="2EA8720D"/>
    <w:rsid w:val="2EA94D33"/>
    <w:rsid w:val="2EAA356F"/>
    <w:rsid w:val="2EB37960"/>
    <w:rsid w:val="2EBC05C2"/>
    <w:rsid w:val="2EC30195"/>
    <w:rsid w:val="2ECA60D8"/>
    <w:rsid w:val="2EE46668"/>
    <w:rsid w:val="2EEC3727"/>
    <w:rsid w:val="2EEF6BEA"/>
    <w:rsid w:val="2EFC1307"/>
    <w:rsid w:val="2F01691D"/>
    <w:rsid w:val="2F0375E3"/>
    <w:rsid w:val="2F0879E2"/>
    <w:rsid w:val="2F0B32F8"/>
    <w:rsid w:val="2F114DEF"/>
    <w:rsid w:val="2F2B74F6"/>
    <w:rsid w:val="2F2E610F"/>
    <w:rsid w:val="2F301BC3"/>
    <w:rsid w:val="2F345781"/>
    <w:rsid w:val="2F374A9E"/>
    <w:rsid w:val="2F3B1E2F"/>
    <w:rsid w:val="2F4709E3"/>
    <w:rsid w:val="2F4B440D"/>
    <w:rsid w:val="2F4B5DEA"/>
    <w:rsid w:val="2F4D1B62"/>
    <w:rsid w:val="2F4F106B"/>
    <w:rsid w:val="2F5170ED"/>
    <w:rsid w:val="2F544AE2"/>
    <w:rsid w:val="2F5C575B"/>
    <w:rsid w:val="2F615D27"/>
    <w:rsid w:val="2F69522E"/>
    <w:rsid w:val="2F6E2F66"/>
    <w:rsid w:val="2F6F6AD1"/>
    <w:rsid w:val="2F790BAF"/>
    <w:rsid w:val="2F79542E"/>
    <w:rsid w:val="2F7D3007"/>
    <w:rsid w:val="2F8207F8"/>
    <w:rsid w:val="2F824F7C"/>
    <w:rsid w:val="2F836FC8"/>
    <w:rsid w:val="2F897B15"/>
    <w:rsid w:val="2F902AB5"/>
    <w:rsid w:val="2F9037FD"/>
    <w:rsid w:val="2F91425F"/>
    <w:rsid w:val="2F96081B"/>
    <w:rsid w:val="2F9B28CE"/>
    <w:rsid w:val="2F9C306F"/>
    <w:rsid w:val="2F9E2200"/>
    <w:rsid w:val="2FA31782"/>
    <w:rsid w:val="2FAC57EB"/>
    <w:rsid w:val="2FAD0853"/>
    <w:rsid w:val="2FB43990"/>
    <w:rsid w:val="2FBB1222"/>
    <w:rsid w:val="2FBB2F70"/>
    <w:rsid w:val="2FBE7CB1"/>
    <w:rsid w:val="2FC516F9"/>
    <w:rsid w:val="2FC6744D"/>
    <w:rsid w:val="2FC80F7B"/>
    <w:rsid w:val="2FD065E6"/>
    <w:rsid w:val="2FD96870"/>
    <w:rsid w:val="2FDA0D1F"/>
    <w:rsid w:val="2FDF1E2B"/>
    <w:rsid w:val="2FE029D7"/>
    <w:rsid w:val="2FE64217"/>
    <w:rsid w:val="2FE87E8A"/>
    <w:rsid w:val="2FF12E15"/>
    <w:rsid w:val="2FF419EA"/>
    <w:rsid w:val="2FF67B04"/>
    <w:rsid w:val="2FFB2775"/>
    <w:rsid w:val="2FFB7533"/>
    <w:rsid w:val="300E12F2"/>
    <w:rsid w:val="3013400E"/>
    <w:rsid w:val="301A5EE8"/>
    <w:rsid w:val="301E6E70"/>
    <w:rsid w:val="30281C88"/>
    <w:rsid w:val="30291746"/>
    <w:rsid w:val="302A1EA4"/>
    <w:rsid w:val="302C79CA"/>
    <w:rsid w:val="302E54F0"/>
    <w:rsid w:val="30337CC8"/>
    <w:rsid w:val="303726B9"/>
    <w:rsid w:val="303B2790"/>
    <w:rsid w:val="303F5310"/>
    <w:rsid w:val="30420F9B"/>
    <w:rsid w:val="3049057C"/>
    <w:rsid w:val="304E08DD"/>
    <w:rsid w:val="30580BC9"/>
    <w:rsid w:val="305D382D"/>
    <w:rsid w:val="305F1B4D"/>
    <w:rsid w:val="30606234"/>
    <w:rsid w:val="3069477A"/>
    <w:rsid w:val="30724E5F"/>
    <w:rsid w:val="308B2942"/>
    <w:rsid w:val="308B79BF"/>
    <w:rsid w:val="308C054E"/>
    <w:rsid w:val="308C16A9"/>
    <w:rsid w:val="308F5F01"/>
    <w:rsid w:val="30915A7F"/>
    <w:rsid w:val="309733E0"/>
    <w:rsid w:val="309A299A"/>
    <w:rsid w:val="309B0663"/>
    <w:rsid w:val="309B06AC"/>
    <w:rsid w:val="309B079A"/>
    <w:rsid w:val="309D4424"/>
    <w:rsid w:val="30A0125E"/>
    <w:rsid w:val="30AB4D93"/>
    <w:rsid w:val="30C06BCD"/>
    <w:rsid w:val="30C63229"/>
    <w:rsid w:val="30CE06A3"/>
    <w:rsid w:val="30D616E4"/>
    <w:rsid w:val="30D836AE"/>
    <w:rsid w:val="30E6022C"/>
    <w:rsid w:val="30E913C9"/>
    <w:rsid w:val="30EB45DA"/>
    <w:rsid w:val="30F524B2"/>
    <w:rsid w:val="30FC55EE"/>
    <w:rsid w:val="31055323"/>
    <w:rsid w:val="310930DD"/>
    <w:rsid w:val="31102F50"/>
    <w:rsid w:val="31114A87"/>
    <w:rsid w:val="311239E1"/>
    <w:rsid w:val="31124E12"/>
    <w:rsid w:val="311A7038"/>
    <w:rsid w:val="311C43B4"/>
    <w:rsid w:val="311E2ED7"/>
    <w:rsid w:val="312132A7"/>
    <w:rsid w:val="312468F3"/>
    <w:rsid w:val="312608BD"/>
    <w:rsid w:val="312F2901"/>
    <w:rsid w:val="31344D88"/>
    <w:rsid w:val="313D312D"/>
    <w:rsid w:val="314201EE"/>
    <w:rsid w:val="31436D79"/>
    <w:rsid w:val="31461FF8"/>
    <w:rsid w:val="31491327"/>
    <w:rsid w:val="314D535F"/>
    <w:rsid w:val="315619EE"/>
    <w:rsid w:val="31572824"/>
    <w:rsid w:val="315C449C"/>
    <w:rsid w:val="315D5E5E"/>
    <w:rsid w:val="315F792B"/>
    <w:rsid w:val="31647A1E"/>
    <w:rsid w:val="316D3068"/>
    <w:rsid w:val="3178687B"/>
    <w:rsid w:val="317F14A3"/>
    <w:rsid w:val="3183780D"/>
    <w:rsid w:val="318A2BFA"/>
    <w:rsid w:val="319379A5"/>
    <w:rsid w:val="31A25D99"/>
    <w:rsid w:val="31A33CBC"/>
    <w:rsid w:val="31AE1145"/>
    <w:rsid w:val="31B163D9"/>
    <w:rsid w:val="31B201DD"/>
    <w:rsid w:val="31B5579D"/>
    <w:rsid w:val="31B77767"/>
    <w:rsid w:val="31B82709"/>
    <w:rsid w:val="31B9703B"/>
    <w:rsid w:val="31BB1005"/>
    <w:rsid w:val="31C50788"/>
    <w:rsid w:val="31C9380E"/>
    <w:rsid w:val="31D05482"/>
    <w:rsid w:val="31DC27FF"/>
    <w:rsid w:val="31DD5420"/>
    <w:rsid w:val="31E02CD6"/>
    <w:rsid w:val="31E13273"/>
    <w:rsid w:val="31E2749A"/>
    <w:rsid w:val="31E7004C"/>
    <w:rsid w:val="31F42769"/>
    <w:rsid w:val="31FA62F1"/>
    <w:rsid w:val="32004C6A"/>
    <w:rsid w:val="32042269"/>
    <w:rsid w:val="320537FE"/>
    <w:rsid w:val="32083DE0"/>
    <w:rsid w:val="320F75A3"/>
    <w:rsid w:val="321B680C"/>
    <w:rsid w:val="321D581C"/>
    <w:rsid w:val="321F076F"/>
    <w:rsid w:val="32285F6F"/>
    <w:rsid w:val="322915B0"/>
    <w:rsid w:val="32296A28"/>
    <w:rsid w:val="3232497F"/>
    <w:rsid w:val="323369F5"/>
    <w:rsid w:val="323438B8"/>
    <w:rsid w:val="323B2E07"/>
    <w:rsid w:val="323E5792"/>
    <w:rsid w:val="32400B34"/>
    <w:rsid w:val="32470AEB"/>
    <w:rsid w:val="324957C5"/>
    <w:rsid w:val="32496611"/>
    <w:rsid w:val="325929B0"/>
    <w:rsid w:val="325B4596"/>
    <w:rsid w:val="325C3345"/>
    <w:rsid w:val="325D3E6B"/>
    <w:rsid w:val="325E2B61"/>
    <w:rsid w:val="32653528"/>
    <w:rsid w:val="3268280F"/>
    <w:rsid w:val="326E737A"/>
    <w:rsid w:val="32717916"/>
    <w:rsid w:val="327212C5"/>
    <w:rsid w:val="327B69E7"/>
    <w:rsid w:val="328472E8"/>
    <w:rsid w:val="32960D15"/>
    <w:rsid w:val="32973E64"/>
    <w:rsid w:val="329A4386"/>
    <w:rsid w:val="329E6876"/>
    <w:rsid w:val="32A007AA"/>
    <w:rsid w:val="32A5705F"/>
    <w:rsid w:val="32A83BE9"/>
    <w:rsid w:val="32AC3044"/>
    <w:rsid w:val="32AE78A0"/>
    <w:rsid w:val="32B141B6"/>
    <w:rsid w:val="32B15F03"/>
    <w:rsid w:val="32B53CA7"/>
    <w:rsid w:val="32C17BAB"/>
    <w:rsid w:val="32CE2229"/>
    <w:rsid w:val="32D007AA"/>
    <w:rsid w:val="32D00CB0"/>
    <w:rsid w:val="32D560F7"/>
    <w:rsid w:val="32E919C3"/>
    <w:rsid w:val="32EB3DE2"/>
    <w:rsid w:val="32ED69FB"/>
    <w:rsid w:val="32ED7014"/>
    <w:rsid w:val="32F347CF"/>
    <w:rsid w:val="32F72511"/>
    <w:rsid w:val="32FE09C1"/>
    <w:rsid w:val="32FF4F22"/>
    <w:rsid w:val="32FF7DA5"/>
    <w:rsid w:val="33080B97"/>
    <w:rsid w:val="330C4CD4"/>
    <w:rsid w:val="330E33B7"/>
    <w:rsid w:val="330F65DC"/>
    <w:rsid w:val="3310712F"/>
    <w:rsid w:val="33125CD6"/>
    <w:rsid w:val="331442B8"/>
    <w:rsid w:val="33185FE3"/>
    <w:rsid w:val="331C1F78"/>
    <w:rsid w:val="331C7484"/>
    <w:rsid w:val="33274478"/>
    <w:rsid w:val="332F4B90"/>
    <w:rsid w:val="333015F2"/>
    <w:rsid w:val="333358E4"/>
    <w:rsid w:val="334212B2"/>
    <w:rsid w:val="334B6320"/>
    <w:rsid w:val="335440C4"/>
    <w:rsid w:val="335A67BE"/>
    <w:rsid w:val="335F32DC"/>
    <w:rsid w:val="336B6A5B"/>
    <w:rsid w:val="336D27D3"/>
    <w:rsid w:val="337F131A"/>
    <w:rsid w:val="33820E56"/>
    <w:rsid w:val="33891E90"/>
    <w:rsid w:val="338B4A07"/>
    <w:rsid w:val="339A5CED"/>
    <w:rsid w:val="339C3028"/>
    <w:rsid w:val="33A51F6D"/>
    <w:rsid w:val="33AD7074"/>
    <w:rsid w:val="33B201E6"/>
    <w:rsid w:val="33B2468A"/>
    <w:rsid w:val="33B51A84"/>
    <w:rsid w:val="33BB2112"/>
    <w:rsid w:val="33BE6B8B"/>
    <w:rsid w:val="33C57F19"/>
    <w:rsid w:val="33CA7955"/>
    <w:rsid w:val="33D34D40"/>
    <w:rsid w:val="33D740F0"/>
    <w:rsid w:val="33D75676"/>
    <w:rsid w:val="33D81482"/>
    <w:rsid w:val="33D934D4"/>
    <w:rsid w:val="33DE0FDB"/>
    <w:rsid w:val="33E05230"/>
    <w:rsid w:val="33E5680D"/>
    <w:rsid w:val="33E63135"/>
    <w:rsid w:val="33E74334"/>
    <w:rsid w:val="33E81E5A"/>
    <w:rsid w:val="33E9755C"/>
    <w:rsid w:val="33EA5BD2"/>
    <w:rsid w:val="33FD1939"/>
    <w:rsid w:val="33FE2F6A"/>
    <w:rsid w:val="34017869"/>
    <w:rsid w:val="340C5B48"/>
    <w:rsid w:val="340C6E1B"/>
    <w:rsid w:val="340E07E5"/>
    <w:rsid w:val="34137D5B"/>
    <w:rsid w:val="341964B7"/>
    <w:rsid w:val="341D7D55"/>
    <w:rsid w:val="34201B5B"/>
    <w:rsid w:val="34235BF7"/>
    <w:rsid w:val="34254E5C"/>
    <w:rsid w:val="34262971"/>
    <w:rsid w:val="34272982"/>
    <w:rsid w:val="342A4220"/>
    <w:rsid w:val="342C17EC"/>
    <w:rsid w:val="342C7F98"/>
    <w:rsid w:val="34304A9E"/>
    <w:rsid w:val="34354DEE"/>
    <w:rsid w:val="343B467F"/>
    <w:rsid w:val="343E34DF"/>
    <w:rsid w:val="34401C96"/>
    <w:rsid w:val="3440373A"/>
    <w:rsid w:val="34441786"/>
    <w:rsid w:val="3445105A"/>
    <w:rsid w:val="344A6670"/>
    <w:rsid w:val="344E43B3"/>
    <w:rsid w:val="345B087E"/>
    <w:rsid w:val="346658DE"/>
    <w:rsid w:val="34670635"/>
    <w:rsid w:val="34710ABA"/>
    <w:rsid w:val="347259B2"/>
    <w:rsid w:val="34732681"/>
    <w:rsid w:val="34767593"/>
    <w:rsid w:val="347E7D4F"/>
    <w:rsid w:val="34802092"/>
    <w:rsid w:val="348061C8"/>
    <w:rsid w:val="34833930"/>
    <w:rsid w:val="348D4519"/>
    <w:rsid w:val="348F6779"/>
    <w:rsid w:val="349922B5"/>
    <w:rsid w:val="349F74FE"/>
    <w:rsid w:val="34A52E51"/>
    <w:rsid w:val="34A915E9"/>
    <w:rsid w:val="34AC10D9"/>
    <w:rsid w:val="34BF0E0C"/>
    <w:rsid w:val="34C13400"/>
    <w:rsid w:val="34CD3707"/>
    <w:rsid w:val="34D04DC8"/>
    <w:rsid w:val="34D74D9B"/>
    <w:rsid w:val="34D80120"/>
    <w:rsid w:val="34D80445"/>
    <w:rsid w:val="34DA79F4"/>
    <w:rsid w:val="34E05C83"/>
    <w:rsid w:val="34EB2AE9"/>
    <w:rsid w:val="34F125D9"/>
    <w:rsid w:val="34F67037"/>
    <w:rsid w:val="34FA3BF3"/>
    <w:rsid w:val="34FA3D0F"/>
    <w:rsid w:val="34FC3E0F"/>
    <w:rsid w:val="35004F81"/>
    <w:rsid w:val="35020CF9"/>
    <w:rsid w:val="3502519D"/>
    <w:rsid w:val="35040F15"/>
    <w:rsid w:val="35064C8D"/>
    <w:rsid w:val="351D20DF"/>
    <w:rsid w:val="351D3D85"/>
    <w:rsid w:val="351E2F4C"/>
    <w:rsid w:val="35233126"/>
    <w:rsid w:val="35237186"/>
    <w:rsid w:val="352C3FC8"/>
    <w:rsid w:val="35317973"/>
    <w:rsid w:val="35325E42"/>
    <w:rsid w:val="35331E04"/>
    <w:rsid w:val="353E2C35"/>
    <w:rsid w:val="353F5AA9"/>
    <w:rsid w:val="354D0E0B"/>
    <w:rsid w:val="354E3F3E"/>
    <w:rsid w:val="35595A65"/>
    <w:rsid w:val="355A1A63"/>
    <w:rsid w:val="355B161A"/>
    <w:rsid w:val="355E6877"/>
    <w:rsid w:val="35682857"/>
    <w:rsid w:val="357065AB"/>
    <w:rsid w:val="3575482D"/>
    <w:rsid w:val="35804082"/>
    <w:rsid w:val="35860C9C"/>
    <w:rsid w:val="35891426"/>
    <w:rsid w:val="358C5FA8"/>
    <w:rsid w:val="358F4C83"/>
    <w:rsid w:val="359202CF"/>
    <w:rsid w:val="35946CB1"/>
    <w:rsid w:val="35AA386B"/>
    <w:rsid w:val="35AD6EB7"/>
    <w:rsid w:val="35AE7065"/>
    <w:rsid w:val="35B56411"/>
    <w:rsid w:val="35B7579C"/>
    <w:rsid w:val="35B844E0"/>
    <w:rsid w:val="35BE7316"/>
    <w:rsid w:val="35BE7497"/>
    <w:rsid w:val="35C0746D"/>
    <w:rsid w:val="35C15DF1"/>
    <w:rsid w:val="35C610B8"/>
    <w:rsid w:val="35C64643"/>
    <w:rsid w:val="35D2691D"/>
    <w:rsid w:val="35D5640E"/>
    <w:rsid w:val="35D91BCA"/>
    <w:rsid w:val="35E93CD8"/>
    <w:rsid w:val="35F5498A"/>
    <w:rsid w:val="35FF0B2E"/>
    <w:rsid w:val="35FF576A"/>
    <w:rsid w:val="360414F3"/>
    <w:rsid w:val="36074A7F"/>
    <w:rsid w:val="36097CFE"/>
    <w:rsid w:val="360B1910"/>
    <w:rsid w:val="360F540F"/>
    <w:rsid w:val="361014DD"/>
    <w:rsid w:val="361231BE"/>
    <w:rsid w:val="361A5F1D"/>
    <w:rsid w:val="361D491C"/>
    <w:rsid w:val="361E2467"/>
    <w:rsid w:val="36252EF1"/>
    <w:rsid w:val="36257888"/>
    <w:rsid w:val="362E37D9"/>
    <w:rsid w:val="363A38D0"/>
    <w:rsid w:val="363B0967"/>
    <w:rsid w:val="36405F7D"/>
    <w:rsid w:val="3641450B"/>
    <w:rsid w:val="36477B34"/>
    <w:rsid w:val="364E2326"/>
    <w:rsid w:val="366C0CB2"/>
    <w:rsid w:val="368A71F8"/>
    <w:rsid w:val="368D02E5"/>
    <w:rsid w:val="36923549"/>
    <w:rsid w:val="369E79C6"/>
    <w:rsid w:val="36A47473"/>
    <w:rsid w:val="36A8536A"/>
    <w:rsid w:val="36AB7353"/>
    <w:rsid w:val="36B75FBF"/>
    <w:rsid w:val="36B85D7E"/>
    <w:rsid w:val="36B97848"/>
    <w:rsid w:val="36BA2CCF"/>
    <w:rsid w:val="36BB270D"/>
    <w:rsid w:val="36BC129D"/>
    <w:rsid w:val="36BD0C45"/>
    <w:rsid w:val="36BD75CE"/>
    <w:rsid w:val="36C50230"/>
    <w:rsid w:val="36CC5A63"/>
    <w:rsid w:val="36CE17DB"/>
    <w:rsid w:val="36CE2F55"/>
    <w:rsid w:val="36CE5337"/>
    <w:rsid w:val="36D22558"/>
    <w:rsid w:val="36D83228"/>
    <w:rsid w:val="37090C51"/>
    <w:rsid w:val="370C5E5F"/>
    <w:rsid w:val="371A0840"/>
    <w:rsid w:val="371A67CE"/>
    <w:rsid w:val="371C397B"/>
    <w:rsid w:val="371E3B0D"/>
    <w:rsid w:val="37213DB0"/>
    <w:rsid w:val="372B2789"/>
    <w:rsid w:val="372D6E3F"/>
    <w:rsid w:val="372F1B4E"/>
    <w:rsid w:val="3731026C"/>
    <w:rsid w:val="37335AE2"/>
    <w:rsid w:val="37342EDB"/>
    <w:rsid w:val="373430D5"/>
    <w:rsid w:val="373E75CD"/>
    <w:rsid w:val="37403D5B"/>
    <w:rsid w:val="374750E9"/>
    <w:rsid w:val="3748158D"/>
    <w:rsid w:val="37514C53"/>
    <w:rsid w:val="37542D2C"/>
    <w:rsid w:val="375810A4"/>
    <w:rsid w:val="37603780"/>
    <w:rsid w:val="37620175"/>
    <w:rsid w:val="37673A15"/>
    <w:rsid w:val="376B527C"/>
    <w:rsid w:val="376C09C3"/>
    <w:rsid w:val="376E5E13"/>
    <w:rsid w:val="37711C4F"/>
    <w:rsid w:val="377C1237"/>
    <w:rsid w:val="37824C63"/>
    <w:rsid w:val="37841E99"/>
    <w:rsid w:val="37865C12"/>
    <w:rsid w:val="37905F33"/>
    <w:rsid w:val="379245B6"/>
    <w:rsid w:val="3793032E"/>
    <w:rsid w:val="379A3EAC"/>
    <w:rsid w:val="379E73FF"/>
    <w:rsid w:val="379F0A81"/>
    <w:rsid w:val="37A01223"/>
    <w:rsid w:val="37AD4A7D"/>
    <w:rsid w:val="37AD7642"/>
    <w:rsid w:val="37AE3AC1"/>
    <w:rsid w:val="37B25BE8"/>
    <w:rsid w:val="37BA1D5F"/>
    <w:rsid w:val="37BD13E1"/>
    <w:rsid w:val="37C60704"/>
    <w:rsid w:val="37C93D50"/>
    <w:rsid w:val="37D01583"/>
    <w:rsid w:val="37D4146D"/>
    <w:rsid w:val="37D43C3B"/>
    <w:rsid w:val="37D90FD8"/>
    <w:rsid w:val="37DD476B"/>
    <w:rsid w:val="37E00298"/>
    <w:rsid w:val="37E00C15"/>
    <w:rsid w:val="37E44A59"/>
    <w:rsid w:val="37F05781"/>
    <w:rsid w:val="37F505D8"/>
    <w:rsid w:val="37F73E78"/>
    <w:rsid w:val="380201D7"/>
    <w:rsid w:val="380413BF"/>
    <w:rsid w:val="380B25BB"/>
    <w:rsid w:val="380C3D81"/>
    <w:rsid w:val="380E40D3"/>
    <w:rsid w:val="38107E7B"/>
    <w:rsid w:val="381256F7"/>
    <w:rsid w:val="38173171"/>
    <w:rsid w:val="381B195E"/>
    <w:rsid w:val="381F2048"/>
    <w:rsid w:val="3823112B"/>
    <w:rsid w:val="38237904"/>
    <w:rsid w:val="382676CE"/>
    <w:rsid w:val="38310C0D"/>
    <w:rsid w:val="38402264"/>
    <w:rsid w:val="384D4E1B"/>
    <w:rsid w:val="38543678"/>
    <w:rsid w:val="38561A88"/>
    <w:rsid w:val="38563836"/>
    <w:rsid w:val="385B6824"/>
    <w:rsid w:val="385C381E"/>
    <w:rsid w:val="385C4BC4"/>
    <w:rsid w:val="38657F1D"/>
    <w:rsid w:val="386E27E1"/>
    <w:rsid w:val="38710282"/>
    <w:rsid w:val="38715D2D"/>
    <w:rsid w:val="38741F0E"/>
    <w:rsid w:val="3875032D"/>
    <w:rsid w:val="38767A34"/>
    <w:rsid w:val="38787034"/>
    <w:rsid w:val="387D5BBB"/>
    <w:rsid w:val="38821DCF"/>
    <w:rsid w:val="3885236D"/>
    <w:rsid w:val="388C7957"/>
    <w:rsid w:val="38910F96"/>
    <w:rsid w:val="3891486E"/>
    <w:rsid w:val="38922686"/>
    <w:rsid w:val="389255CC"/>
    <w:rsid w:val="38963978"/>
    <w:rsid w:val="3897029E"/>
    <w:rsid w:val="389F75FE"/>
    <w:rsid w:val="38A17A59"/>
    <w:rsid w:val="38A5208A"/>
    <w:rsid w:val="38A53668"/>
    <w:rsid w:val="38B302F9"/>
    <w:rsid w:val="38B44A00"/>
    <w:rsid w:val="38B8692C"/>
    <w:rsid w:val="38BF0500"/>
    <w:rsid w:val="38C10FAD"/>
    <w:rsid w:val="38C369F1"/>
    <w:rsid w:val="38C70062"/>
    <w:rsid w:val="38C830ED"/>
    <w:rsid w:val="38CA0C4A"/>
    <w:rsid w:val="38D4477E"/>
    <w:rsid w:val="38D658A4"/>
    <w:rsid w:val="38D8249D"/>
    <w:rsid w:val="38D940C0"/>
    <w:rsid w:val="38DB1F8D"/>
    <w:rsid w:val="38E14FCE"/>
    <w:rsid w:val="38E22031"/>
    <w:rsid w:val="38E36885"/>
    <w:rsid w:val="38E54BBA"/>
    <w:rsid w:val="38E726E0"/>
    <w:rsid w:val="38EB20AE"/>
    <w:rsid w:val="38ED3A6E"/>
    <w:rsid w:val="38F12CD3"/>
    <w:rsid w:val="38F512A1"/>
    <w:rsid w:val="38F94775"/>
    <w:rsid w:val="390050A1"/>
    <w:rsid w:val="39063779"/>
    <w:rsid w:val="39090177"/>
    <w:rsid w:val="391536F1"/>
    <w:rsid w:val="39155211"/>
    <w:rsid w:val="39161217"/>
    <w:rsid w:val="391B6F9E"/>
    <w:rsid w:val="391F5882"/>
    <w:rsid w:val="392971ED"/>
    <w:rsid w:val="392D6FD1"/>
    <w:rsid w:val="392F1FFB"/>
    <w:rsid w:val="392F2A2E"/>
    <w:rsid w:val="39325651"/>
    <w:rsid w:val="393D4651"/>
    <w:rsid w:val="39406612"/>
    <w:rsid w:val="394E7B63"/>
    <w:rsid w:val="395058D5"/>
    <w:rsid w:val="3954305A"/>
    <w:rsid w:val="395A4D50"/>
    <w:rsid w:val="39657AA9"/>
    <w:rsid w:val="396957EB"/>
    <w:rsid w:val="396F0F8C"/>
    <w:rsid w:val="3971644D"/>
    <w:rsid w:val="397228F1"/>
    <w:rsid w:val="39723A3C"/>
    <w:rsid w:val="39783C80"/>
    <w:rsid w:val="397A7C9D"/>
    <w:rsid w:val="397D29BD"/>
    <w:rsid w:val="398048E2"/>
    <w:rsid w:val="39811679"/>
    <w:rsid w:val="398269DD"/>
    <w:rsid w:val="39875C71"/>
    <w:rsid w:val="398D1C2E"/>
    <w:rsid w:val="398F0C91"/>
    <w:rsid w:val="39984FCF"/>
    <w:rsid w:val="39A01C75"/>
    <w:rsid w:val="39A22AAB"/>
    <w:rsid w:val="39B14CB1"/>
    <w:rsid w:val="39BC2AA1"/>
    <w:rsid w:val="39BC3914"/>
    <w:rsid w:val="39C40C73"/>
    <w:rsid w:val="39C46EC5"/>
    <w:rsid w:val="39C746B7"/>
    <w:rsid w:val="39CC0C76"/>
    <w:rsid w:val="39CD5D7A"/>
    <w:rsid w:val="39CD7B28"/>
    <w:rsid w:val="39D013C6"/>
    <w:rsid w:val="39D2513E"/>
    <w:rsid w:val="39D624C5"/>
    <w:rsid w:val="39D92970"/>
    <w:rsid w:val="39DD3DB3"/>
    <w:rsid w:val="39DE7F87"/>
    <w:rsid w:val="39E22A0B"/>
    <w:rsid w:val="39E41315"/>
    <w:rsid w:val="39E81561"/>
    <w:rsid w:val="39E84962"/>
    <w:rsid w:val="39ED6B3B"/>
    <w:rsid w:val="39EF1814"/>
    <w:rsid w:val="39F15050"/>
    <w:rsid w:val="3A025137"/>
    <w:rsid w:val="3A0F6392"/>
    <w:rsid w:val="3A12378C"/>
    <w:rsid w:val="3A1409C3"/>
    <w:rsid w:val="3A175247"/>
    <w:rsid w:val="3A205104"/>
    <w:rsid w:val="3A221F9D"/>
    <w:rsid w:val="3A267238"/>
    <w:rsid w:val="3A2A4F7A"/>
    <w:rsid w:val="3A466861"/>
    <w:rsid w:val="3A4D14B3"/>
    <w:rsid w:val="3A500759"/>
    <w:rsid w:val="3A516A8F"/>
    <w:rsid w:val="3A555D6F"/>
    <w:rsid w:val="3A5C1639"/>
    <w:rsid w:val="3A600D7A"/>
    <w:rsid w:val="3A61630F"/>
    <w:rsid w:val="3A6377E9"/>
    <w:rsid w:val="3A6453AE"/>
    <w:rsid w:val="3A660D33"/>
    <w:rsid w:val="3A706705"/>
    <w:rsid w:val="3A7D297D"/>
    <w:rsid w:val="3A850402"/>
    <w:rsid w:val="3A865F28"/>
    <w:rsid w:val="3A872856"/>
    <w:rsid w:val="3A8F34CC"/>
    <w:rsid w:val="3A931464"/>
    <w:rsid w:val="3A95616C"/>
    <w:rsid w:val="3A971333"/>
    <w:rsid w:val="3A9D5750"/>
    <w:rsid w:val="3A9F004B"/>
    <w:rsid w:val="3AA577E6"/>
    <w:rsid w:val="3AA645D0"/>
    <w:rsid w:val="3AA76C85"/>
    <w:rsid w:val="3AAB4BB5"/>
    <w:rsid w:val="3AAB598F"/>
    <w:rsid w:val="3AAE6724"/>
    <w:rsid w:val="3AB4121B"/>
    <w:rsid w:val="3AB418AB"/>
    <w:rsid w:val="3AB6769C"/>
    <w:rsid w:val="3AB96D27"/>
    <w:rsid w:val="3ACC6E0B"/>
    <w:rsid w:val="3ACF1D77"/>
    <w:rsid w:val="3AD37726"/>
    <w:rsid w:val="3AD56EF2"/>
    <w:rsid w:val="3AD717F0"/>
    <w:rsid w:val="3AD849D6"/>
    <w:rsid w:val="3ADB2E57"/>
    <w:rsid w:val="3AE25855"/>
    <w:rsid w:val="3AF045D2"/>
    <w:rsid w:val="3AFB7750"/>
    <w:rsid w:val="3AFF6407"/>
    <w:rsid w:val="3B021207"/>
    <w:rsid w:val="3B070E17"/>
    <w:rsid w:val="3B0C4680"/>
    <w:rsid w:val="3B183024"/>
    <w:rsid w:val="3B1D7E9E"/>
    <w:rsid w:val="3B234C96"/>
    <w:rsid w:val="3B245E6D"/>
    <w:rsid w:val="3B2C6AD0"/>
    <w:rsid w:val="3B2D51C2"/>
    <w:rsid w:val="3B3140E6"/>
    <w:rsid w:val="3B324532"/>
    <w:rsid w:val="3B375346"/>
    <w:rsid w:val="3B375BD2"/>
    <w:rsid w:val="3B3763D1"/>
    <w:rsid w:val="3B497682"/>
    <w:rsid w:val="3B4E11B1"/>
    <w:rsid w:val="3B514788"/>
    <w:rsid w:val="3B5322AF"/>
    <w:rsid w:val="3B62588A"/>
    <w:rsid w:val="3B683E3E"/>
    <w:rsid w:val="3B685C7B"/>
    <w:rsid w:val="3B6D1E99"/>
    <w:rsid w:val="3B732951"/>
    <w:rsid w:val="3B820DE6"/>
    <w:rsid w:val="3B842468"/>
    <w:rsid w:val="3B854432"/>
    <w:rsid w:val="3B857B69"/>
    <w:rsid w:val="3B8B7C9A"/>
    <w:rsid w:val="3B8C2337"/>
    <w:rsid w:val="3B936B4F"/>
    <w:rsid w:val="3B9823B7"/>
    <w:rsid w:val="3B9D352A"/>
    <w:rsid w:val="3B9F3746"/>
    <w:rsid w:val="3BA01908"/>
    <w:rsid w:val="3BBD77F3"/>
    <w:rsid w:val="3BC1190E"/>
    <w:rsid w:val="3BCD00F1"/>
    <w:rsid w:val="3BCE719D"/>
    <w:rsid w:val="3BD11425"/>
    <w:rsid w:val="3BD13AAF"/>
    <w:rsid w:val="3BD3519D"/>
    <w:rsid w:val="3BD35859"/>
    <w:rsid w:val="3BD468C5"/>
    <w:rsid w:val="3BEA163C"/>
    <w:rsid w:val="3BEA1D66"/>
    <w:rsid w:val="3BF57989"/>
    <w:rsid w:val="3BFA2EDC"/>
    <w:rsid w:val="3BFF5F92"/>
    <w:rsid w:val="3C017280"/>
    <w:rsid w:val="3C0D5E81"/>
    <w:rsid w:val="3C0F2531"/>
    <w:rsid w:val="3C13686D"/>
    <w:rsid w:val="3C156804"/>
    <w:rsid w:val="3C16697D"/>
    <w:rsid w:val="3C1A5F8E"/>
    <w:rsid w:val="3C1B7FF0"/>
    <w:rsid w:val="3C1C6DE2"/>
    <w:rsid w:val="3C1D3CD8"/>
    <w:rsid w:val="3C211133"/>
    <w:rsid w:val="3C2479A4"/>
    <w:rsid w:val="3C2C5294"/>
    <w:rsid w:val="3C2D474D"/>
    <w:rsid w:val="3C2F2A06"/>
    <w:rsid w:val="3C2F6E1E"/>
    <w:rsid w:val="3C32703D"/>
    <w:rsid w:val="3C337A30"/>
    <w:rsid w:val="3C3417FB"/>
    <w:rsid w:val="3C397F0C"/>
    <w:rsid w:val="3C3F78C8"/>
    <w:rsid w:val="3C3F7FEC"/>
    <w:rsid w:val="3C423589"/>
    <w:rsid w:val="3C444E5F"/>
    <w:rsid w:val="3C495460"/>
    <w:rsid w:val="3C4E36C6"/>
    <w:rsid w:val="3C4F64BA"/>
    <w:rsid w:val="3C4F6C2D"/>
    <w:rsid w:val="3C5C05AD"/>
    <w:rsid w:val="3C5C087B"/>
    <w:rsid w:val="3C5C33E5"/>
    <w:rsid w:val="3C6365EA"/>
    <w:rsid w:val="3C830972"/>
    <w:rsid w:val="3C8446EA"/>
    <w:rsid w:val="3C905E26"/>
    <w:rsid w:val="3C921C34"/>
    <w:rsid w:val="3C991F43"/>
    <w:rsid w:val="3C9A5FCE"/>
    <w:rsid w:val="3CA31014"/>
    <w:rsid w:val="3CA47A24"/>
    <w:rsid w:val="3CA51D3B"/>
    <w:rsid w:val="3CAA6C08"/>
    <w:rsid w:val="3CAC0C7E"/>
    <w:rsid w:val="3CB05456"/>
    <w:rsid w:val="3CB91AA9"/>
    <w:rsid w:val="3CBB635D"/>
    <w:rsid w:val="3CD72A6B"/>
    <w:rsid w:val="3CD81D88"/>
    <w:rsid w:val="3CDA245A"/>
    <w:rsid w:val="3CDB65C3"/>
    <w:rsid w:val="3CDB6C76"/>
    <w:rsid w:val="3CE80E5E"/>
    <w:rsid w:val="3CE84DC9"/>
    <w:rsid w:val="3CEE0729"/>
    <w:rsid w:val="3CF10184"/>
    <w:rsid w:val="3D006466"/>
    <w:rsid w:val="3D023F8C"/>
    <w:rsid w:val="3D031AB2"/>
    <w:rsid w:val="3D0803B2"/>
    <w:rsid w:val="3D0E245F"/>
    <w:rsid w:val="3D0F0457"/>
    <w:rsid w:val="3D1E06B7"/>
    <w:rsid w:val="3D2A0BB6"/>
    <w:rsid w:val="3D2A6EDF"/>
    <w:rsid w:val="3D2C083D"/>
    <w:rsid w:val="3D3F1AA8"/>
    <w:rsid w:val="3D3F4ED9"/>
    <w:rsid w:val="3D420661"/>
    <w:rsid w:val="3D450143"/>
    <w:rsid w:val="3D474095"/>
    <w:rsid w:val="3D52472F"/>
    <w:rsid w:val="3D5567B2"/>
    <w:rsid w:val="3D604476"/>
    <w:rsid w:val="3D6079CC"/>
    <w:rsid w:val="3D64642A"/>
    <w:rsid w:val="3D6A0BCE"/>
    <w:rsid w:val="3D712EC0"/>
    <w:rsid w:val="3D8D63C6"/>
    <w:rsid w:val="3D94095C"/>
    <w:rsid w:val="3D9553F0"/>
    <w:rsid w:val="3D997383"/>
    <w:rsid w:val="3D9F3011"/>
    <w:rsid w:val="3DA037A5"/>
    <w:rsid w:val="3DBC6463"/>
    <w:rsid w:val="3DBD7EB3"/>
    <w:rsid w:val="3DBF40D8"/>
    <w:rsid w:val="3DC067A4"/>
    <w:rsid w:val="3DC11DDC"/>
    <w:rsid w:val="3DC41242"/>
    <w:rsid w:val="3DD1160E"/>
    <w:rsid w:val="3DDA1126"/>
    <w:rsid w:val="3DDD76A8"/>
    <w:rsid w:val="3DE3265E"/>
    <w:rsid w:val="3DE466DF"/>
    <w:rsid w:val="3DE74F30"/>
    <w:rsid w:val="3DE7683C"/>
    <w:rsid w:val="3DE812A5"/>
    <w:rsid w:val="3DE81BA1"/>
    <w:rsid w:val="3DF064DB"/>
    <w:rsid w:val="3DF31B27"/>
    <w:rsid w:val="3DF633C5"/>
    <w:rsid w:val="3DF656BF"/>
    <w:rsid w:val="3DF76196"/>
    <w:rsid w:val="3DF92782"/>
    <w:rsid w:val="3E10054E"/>
    <w:rsid w:val="3E17093A"/>
    <w:rsid w:val="3E1C6713"/>
    <w:rsid w:val="3E246184"/>
    <w:rsid w:val="3E284623"/>
    <w:rsid w:val="3E2E6210"/>
    <w:rsid w:val="3E315B3B"/>
    <w:rsid w:val="3E3416D5"/>
    <w:rsid w:val="3E3C2C4E"/>
    <w:rsid w:val="3E3F4D6C"/>
    <w:rsid w:val="3E4205EB"/>
    <w:rsid w:val="3E42660A"/>
    <w:rsid w:val="3E47203E"/>
    <w:rsid w:val="3E554590"/>
    <w:rsid w:val="3E566EE7"/>
    <w:rsid w:val="3E584682"/>
    <w:rsid w:val="3E6E11AD"/>
    <w:rsid w:val="3E760AD7"/>
    <w:rsid w:val="3E781495"/>
    <w:rsid w:val="3E79027E"/>
    <w:rsid w:val="3E7D184D"/>
    <w:rsid w:val="3E7E47CA"/>
    <w:rsid w:val="3E7E5894"/>
    <w:rsid w:val="3E834C59"/>
    <w:rsid w:val="3E847404"/>
    <w:rsid w:val="3E9C3F6D"/>
    <w:rsid w:val="3E9E1A93"/>
    <w:rsid w:val="3E9E5EF0"/>
    <w:rsid w:val="3E9F5E37"/>
    <w:rsid w:val="3EA13331"/>
    <w:rsid w:val="3EA42E21"/>
    <w:rsid w:val="3EA6303D"/>
    <w:rsid w:val="3EAA4EC2"/>
    <w:rsid w:val="3EB168C7"/>
    <w:rsid w:val="3EBA4714"/>
    <w:rsid w:val="3EC534C3"/>
    <w:rsid w:val="3ECA10B0"/>
    <w:rsid w:val="3ECA4401"/>
    <w:rsid w:val="3ECA6D2C"/>
    <w:rsid w:val="3ECB4852"/>
    <w:rsid w:val="3ED35BA7"/>
    <w:rsid w:val="3EDA020E"/>
    <w:rsid w:val="3EDA0523"/>
    <w:rsid w:val="3EDA336B"/>
    <w:rsid w:val="3EDB155A"/>
    <w:rsid w:val="3EDB2CE7"/>
    <w:rsid w:val="3EDE7B4C"/>
    <w:rsid w:val="3EE052FF"/>
    <w:rsid w:val="3EE116F7"/>
    <w:rsid w:val="3EE871B2"/>
    <w:rsid w:val="3EED2A1A"/>
    <w:rsid w:val="3EEF6792"/>
    <w:rsid w:val="3EF3106E"/>
    <w:rsid w:val="3EF7687F"/>
    <w:rsid w:val="3EFB5137"/>
    <w:rsid w:val="3EFC2C5D"/>
    <w:rsid w:val="3EFD0EAF"/>
    <w:rsid w:val="3F04431E"/>
    <w:rsid w:val="3F070842"/>
    <w:rsid w:val="3F0F0BE2"/>
    <w:rsid w:val="3F111448"/>
    <w:rsid w:val="3F12422F"/>
    <w:rsid w:val="3F141D55"/>
    <w:rsid w:val="3F204B9E"/>
    <w:rsid w:val="3F230F73"/>
    <w:rsid w:val="3F234670"/>
    <w:rsid w:val="3F235CAB"/>
    <w:rsid w:val="3F243F2F"/>
    <w:rsid w:val="3F30182B"/>
    <w:rsid w:val="3F3266C9"/>
    <w:rsid w:val="3F446ADE"/>
    <w:rsid w:val="3F557C05"/>
    <w:rsid w:val="3F5D20A4"/>
    <w:rsid w:val="3F6B2D2B"/>
    <w:rsid w:val="3F6C7855"/>
    <w:rsid w:val="3F8A2017"/>
    <w:rsid w:val="3F8C5B95"/>
    <w:rsid w:val="3F917849"/>
    <w:rsid w:val="3F9875CE"/>
    <w:rsid w:val="3F9F1F66"/>
    <w:rsid w:val="3FA23805"/>
    <w:rsid w:val="3FAA0010"/>
    <w:rsid w:val="3FB014DF"/>
    <w:rsid w:val="3FC67456"/>
    <w:rsid w:val="3FCD73F8"/>
    <w:rsid w:val="3FDA7D0E"/>
    <w:rsid w:val="3FDD1C18"/>
    <w:rsid w:val="3FDD26D3"/>
    <w:rsid w:val="3FDD483D"/>
    <w:rsid w:val="3FDD79D7"/>
    <w:rsid w:val="3FDF4CAD"/>
    <w:rsid w:val="3FE45BCB"/>
    <w:rsid w:val="3FE874AF"/>
    <w:rsid w:val="3FEB2AC7"/>
    <w:rsid w:val="3FF046F9"/>
    <w:rsid w:val="3FF2288E"/>
    <w:rsid w:val="3FF66013"/>
    <w:rsid w:val="3FF9598B"/>
    <w:rsid w:val="3FFC1070"/>
    <w:rsid w:val="400242A3"/>
    <w:rsid w:val="40041DC9"/>
    <w:rsid w:val="40076562"/>
    <w:rsid w:val="40095632"/>
    <w:rsid w:val="400B12FA"/>
    <w:rsid w:val="401139F9"/>
    <w:rsid w:val="4017392E"/>
    <w:rsid w:val="401945D4"/>
    <w:rsid w:val="40194E39"/>
    <w:rsid w:val="401F6C03"/>
    <w:rsid w:val="402021EB"/>
    <w:rsid w:val="402762FB"/>
    <w:rsid w:val="40297A82"/>
    <w:rsid w:val="402E5549"/>
    <w:rsid w:val="402E74B8"/>
    <w:rsid w:val="40316936"/>
    <w:rsid w:val="40350E7F"/>
    <w:rsid w:val="403A0996"/>
    <w:rsid w:val="40424154"/>
    <w:rsid w:val="4044134D"/>
    <w:rsid w:val="40477F08"/>
    <w:rsid w:val="40632F94"/>
    <w:rsid w:val="406A7F46"/>
    <w:rsid w:val="407231D7"/>
    <w:rsid w:val="40752CC7"/>
    <w:rsid w:val="40774F0C"/>
    <w:rsid w:val="407A6407"/>
    <w:rsid w:val="407C105D"/>
    <w:rsid w:val="407C7C6C"/>
    <w:rsid w:val="407D3A20"/>
    <w:rsid w:val="4080554D"/>
    <w:rsid w:val="4088710C"/>
    <w:rsid w:val="40890521"/>
    <w:rsid w:val="40896D1F"/>
    <w:rsid w:val="4092301D"/>
    <w:rsid w:val="40927234"/>
    <w:rsid w:val="409E549C"/>
    <w:rsid w:val="40A23234"/>
    <w:rsid w:val="40A62E81"/>
    <w:rsid w:val="40A9399A"/>
    <w:rsid w:val="40AC17BF"/>
    <w:rsid w:val="40B27A77"/>
    <w:rsid w:val="40C559FD"/>
    <w:rsid w:val="40C57BAE"/>
    <w:rsid w:val="40C94DC1"/>
    <w:rsid w:val="40CA24CD"/>
    <w:rsid w:val="40CB7C7F"/>
    <w:rsid w:val="40CE6E2E"/>
    <w:rsid w:val="40D07258"/>
    <w:rsid w:val="40D12CD1"/>
    <w:rsid w:val="40D9608E"/>
    <w:rsid w:val="40DC6583"/>
    <w:rsid w:val="40DC68A2"/>
    <w:rsid w:val="40DE261A"/>
    <w:rsid w:val="40E07F22"/>
    <w:rsid w:val="40E17328"/>
    <w:rsid w:val="40E34A44"/>
    <w:rsid w:val="40E439A9"/>
    <w:rsid w:val="40E967FB"/>
    <w:rsid w:val="40F34CB9"/>
    <w:rsid w:val="40FA2D4C"/>
    <w:rsid w:val="40FC22BB"/>
    <w:rsid w:val="40FE2CBD"/>
    <w:rsid w:val="4100663F"/>
    <w:rsid w:val="41013860"/>
    <w:rsid w:val="41084946"/>
    <w:rsid w:val="410E63CE"/>
    <w:rsid w:val="411424E0"/>
    <w:rsid w:val="41171FD0"/>
    <w:rsid w:val="41173D7E"/>
    <w:rsid w:val="411B70E0"/>
    <w:rsid w:val="41326E0A"/>
    <w:rsid w:val="414447B0"/>
    <w:rsid w:val="414B67C3"/>
    <w:rsid w:val="414F32AB"/>
    <w:rsid w:val="41560957"/>
    <w:rsid w:val="415753FC"/>
    <w:rsid w:val="41594D5C"/>
    <w:rsid w:val="415F5001"/>
    <w:rsid w:val="41654AEA"/>
    <w:rsid w:val="41656898"/>
    <w:rsid w:val="41662610"/>
    <w:rsid w:val="4168282C"/>
    <w:rsid w:val="416B6DC4"/>
    <w:rsid w:val="416E0F51"/>
    <w:rsid w:val="41711604"/>
    <w:rsid w:val="41780CC1"/>
    <w:rsid w:val="41790595"/>
    <w:rsid w:val="418036D2"/>
    <w:rsid w:val="4182744A"/>
    <w:rsid w:val="41831414"/>
    <w:rsid w:val="41866FD4"/>
    <w:rsid w:val="418D5DEE"/>
    <w:rsid w:val="419319BE"/>
    <w:rsid w:val="41A05B22"/>
    <w:rsid w:val="41A2189A"/>
    <w:rsid w:val="41A27AEC"/>
    <w:rsid w:val="41AB759B"/>
    <w:rsid w:val="41AC0E4E"/>
    <w:rsid w:val="41AF4F87"/>
    <w:rsid w:val="41C06D8A"/>
    <w:rsid w:val="41C2018E"/>
    <w:rsid w:val="41C32C44"/>
    <w:rsid w:val="41CE6B33"/>
    <w:rsid w:val="41D04906"/>
    <w:rsid w:val="41D30A5F"/>
    <w:rsid w:val="41D57EC1"/>
    <w:rsid w:val="41DB3980"/>
    <w:rsid w:val="41DE7325"/>
    <w:rsid w:val="41E02C7F"/>
    <w:rsid w:val="41EC7A68"/>
    <w:rsid w:val="41EE1379"/>
    <w:rsid w:val="41F20BF8"/>
    <w:rsid w:val="41FA7928"/>
    <w:rsid w:val="4200449D"/>
    <w:rsid w:val="420A13B8"/>
    <w:rsid w:val="420E33D3"/>
    <w:rsid w:val="420F2CA7"/>
    <w:rsid w:val="420F4A55"/>
    <w:rsid w:val="420F6F7F"/>
    <w:rsid w:val="42224789"/>
    <w:rsid w:val="42250704"/>
    <w:rsid w:val="422E46DC"/>
    <w:rsid w:val="422F5235"/>
    <w:rsid w:val="42322D85"/>
    <w:rsid w:val="42360234"/>
    <w:rsid w:val="42380450"/>
    <w:rsid w:val="423A3BCC"/>
    <w:rsid w:val="423B0368"/>
    <w:rsid w:val="423F533B"/>
    <w:rsid w:val="424741EF"/>
    <w:rsid w:val="424961B9"/>
    <w:rsid w:val="424A5B48"/>
    <w:rsid w:val="424C58D8"/>
    <w:rsid w:val="424E57D2"/>
    <w:rsid w:val="42537038"/>
    <w:rsid w:val="42562684"/>
    <w:rsid w:val="425828A0"/>
    <w:rsid w:val="425A03C6"/>
    <w:rsid w:val="425C413F"/>
    <w:rsid w:val="426C1EA8"/>
    <w:rsid w:val="426E5C20"/>
    <w:rsid w:val="42707BEA"/>
    <w:rsid w:val="42750D5C"/>
    <w:rsid w:val="427669EC"/>
    <w:rsid w:val="42772543"/>
    <w:rsid w:val="4279571E"/>
    <w:rsid w:val="427A5E84"/>
    <w:rsid w:val="427B3D8A"/>
    <w:rsid w:val="427B6C49"/>
    <w:rsid w:val="42813BA5"/>
    <w:rsid w:val="42845443"/>
    <w:rsid w:val="42864D18"/>
    <w:rsid w:val="42882233"/>
    <w:rsid w:val="428912D5"/>
    <w:rsid w:val="42900328"/>
    <w:rsid w:val="42980EEF"/>
    <w:rsid w:val="42A87384"/>
    <w:rsid w:val="42B00182"/>
    <w:rsid w:val="42B26C49"/>
    <w:rsid w:val="42B35E13"/>
    <w:rsid w:val="42B5384F"/>
    <w:rsid w:val="42B56FDB"/>
    <w:rsid w:val="42B775C7"/>
    <w:rsid w:val="42C52AB7"/>
    <w:rsid w:val="42C60412"/>
    <w:rsid w:val="42D55C9F"/>
    <w:rsid w:val="42DE0263"/>
    <w:rsid w:val="42EA174A"/>
    <w:rsid w:val="42F115B9"/>
    <w:rsid w:val="42FA1F60"/>
    <w:rsid w:val="42FE51F6"/>
    <w:rsid w:val="42FF08B3"/>
    <w:rsid w:val="43016A94"/>
    <w:rsid w:val="430B16C1"/>
    <w:rsid w:val="430C0B17"/>
    <w:rsid w:val="430F0E3E"/>
    <w:rsid w:val="43135CE1"/>
    <w:rsid w:val="432602A9"/>
    <w:rsid w:val="432A2B10"/>
    <w:rsid w:val="433167C7"/>
    <w:rsid w:val="433429C6"/>
    <w:rsid w:val="43366875"/>
    <w:rsid w:val="43396BB6"/>
    <w:rsid w:val="433A6FE6"/>
    <w:rsid w:val="433B38C4"/>
    <w:rsid w:val="433F136A"/>
    <w:rsid w:val="434527E0"/>
    <w:rsid w:val="434802B3"/>
    <w:rsid w:val="43480868"/>
    <w:rsid w:val="4350713C"/>
    <w:rsid w:val="43511E6A"/>
    <w:rsid w:val="435412BA"/>
    <w:rsid w:val="435C5C69"/>
    <w:rsid w:val="436038F5"/>
    <w:rsid w:val="436112E1"/>
    <w:rsid w:val="436239D7"/>
    <w:rsid w:val="436653E0"/>
    <w:rsid w:val="43680CE6"/>
    <w:rsid w:val="437259B2"/>
    <w:rsid w:val="43770B04"/>
    <w:rsid w:val="437D0E73"/>
    <w:rsid w:val="437D25BE"/>
    <w:rsid w:val="4381453E"/>
    <w:rsid w:val="438751EB"/>
    <w:rsid w:val="438F3F80"/>
    <w:rsid w:val="43923928"/>
    <w:rsid w:val="43A11D50"/>
    <w:rsid w:val="43B77931"/>
    <w:rsid w:val="43C27FD1"/>
    <w:rsid w:val="43C4431A"/>
    <w:rsid w:val="43CD37E2"/>
    <w:rsid w:val="43D2785E"/>
    <w:rsid w:val="43E41F85"/>
    <w:rsid w:val="43E710CD"/>
    <w:rsid w:val="43E8166A"/>
    <w:rsid w:val="43F32881"/>
    <w:rsid w:val="43F63ADC"/>
    <w:rsid w:val="43F81C45"/>
    <w:rsid w:val="43FD66A1"/>
    <w:rsid w:val="44015905"/>
    <w:rsid w:val="44047066"/>
    <w:rsid w:val="440542FE"/>
    <w:rsid w:val="44105754"/>
    <w:rsid w:val="44184095"/>
    <w:rsid w:val="44204EDB"/>
    <w:rsid w:val="442938E4"/>
    <w:rsid w:val="443609BF"/>
    <w:rsid w:val="44384737"/>
    <w:rsid w:val="443A225E"/>
    <w:rsid w:val="443D1D4E"/>
    <w:rsid w:val="44422C8D"/>
    <w:rsid w:val="444948B5"/>
    <w:rsid w:val="444A13E2"/>
    <w:rsid w:val="444A7FC7"/>
    <w:rsid w:val="445175A7"/>
    <w:rsid w:val="445B21D4"/>
    <w:rsid w:val="445F71DC"/>
    <w:rsid w:val="4467501D"/>
    <w:rsid w:val="446A7659"/>
    <w:rsid w:val="446B121A"/>
    <w:rsid w:val="446E33BB"/>
    <w:rsid w:val="44716B9D"/>
    <w:rsid w:val="44764994"/>
    <w:rsid w:val="44771199"/>
    <w:rsid w:val="44784B34"/>
    <w:rsid w:val="447C54D1"/>
    <w:rsid w:val="447D2C47"/>
    <w:rsid w:val="447D65EE"/>
    <w:rsid w:val="448E6105"/>
    <w:rsid w:val="44902C34"/>
    <w:rsid w:val="449163A5"/>
    <w:rsid w:val="44924A73"/>
    <w:rsid w:val="44964748"/>
    <w:rsid w:val="44965ECC"/>
    <w:rsid w:val="4498386C"/>
    <w:rsid w:val="449D27EC"/>
    <w:rsid w:val="449F0313"/>
    <w:rsid w:val="44A1408B"/>
    <w:rsid w:val="44A91191"/>
    <w:rsid w:val="44B21F77"/>
    <w:rsid w:val="44B610BB"/>
    <w:rsid w:val="44B951CC"/>
    <w:rsid w:val="44BA6EFA"/>
    <w:rsid w:val="44BD68E4"/>
    <w:rsid w:val="44BD6936"/>
    <w:rsid w:val="44BE61C8"/>
    <w:rsid w:val="44C410E5"/>
    <w:rsid w:val="44C70598"/>
    <w:rsid w:val="44C75A83"/>
    <w:rsid w:val="44CB77A7"/>
    <w:rsid w:val="44CD14E0"/>
    <w:rsid w:val="44CE0BF8"/>
    <w:rsid w:val="44D17AB7"/>
    <w:rsid w:val="44D81695"/>
    <w:rsid w:val="44DE52DF"/>
    <w:rsid w:val="44E82752"/>
    <w:rsid w:val="44E90071"/>
    <w:rsid w:val="44F05012"/>
    <w:rsid w:val="44F113EF"/>
    <w:rsid w:val="44F20B0B"/>
    <w:rsid w:val="44F37EC0"/>
    <w:rsid w:val="44F7591F"/>
    <w:rsid w:val="44F9159E"/>
    <w:rsid w:val="44FF010E"/>
    <w:rsid w:val="450566A8"/>
    <w:rsid w:val="450E0DF5"/>
    <w:rsid w:val="45101210"/>
    <w:rsid w:val="451230A0"/>
    <w:rsid w:val="451A64E9"/>
    <w:rsid w:val="451E0340"/>
    <w:rsid w:val="45282DB6"/>
    <w:rsid w:val="452E5F4C"/>
    <w:rsid w:val="453C0257"/>
    <w:rsid w:val="4543295F"/>
    <w:rsid w:val="454676EB"/>
    <w:rsid w:val="454964D0"/>
    <w:rsid w:val="45502169"/>
    <w:rsid w:val="45513CE8"/>
    <w:rsid w:val="455F266A"/>
    <w:rsid w:val="45612018"/>
    <w:rsid w:val="456266ED"/>
    <w:rsid w:val="45667082"/>
    <w:rsid w:val="45680419"/>
    <w:rsid w:val="456F466C"/>
    <w:rsid w:val="456F5F37"/>
    <w:rsid w:val="457205A9"/>
    <w:rsid w:val="45723C79"/>
    <w:rsid w:val="45787171"/>
    <w:rsid w:val="457B076A"/>
    <w:rsid w:val="458946E9"/>
    <w:rsid w:val="458A2406"/>
    <w:rsid w:val="458C41AC"/>
    <w:rsid w:val="45991206"/>
    <w:rsid w:val="459B6D2C"/>
    <w:rsid w:val="45A47C0E"/>
    <w:rsid w:val="45AC0F39"/>
    <w:rsid w:val="45AD0AAC"/>
    <w:rsid w:val="45B63794"/>
    <w:rsid w:val="45B95DA2"/>
    <w:rsid w:val="45BB5620"/>
    <w:rsid w:val="45BC0F40"/>
    <w:rsid w:val="45C049E4"/>
    <w:rsid w:val="45C75D73"/>
    <w:rsid w:val="45CA2082"/>
    <w:rsid w:val="45CA567E"/>
    <w:rsid w:val="45D85051"/>
    <w:rsid w:val="45E31208"/>
    <w:rsid w:val="45E45137"/>
    <w:rsid w:val="45E76415"/>
    <w:rsid w:val="45EE6BC1"/>
    <w:rsid w:val="45F62BC6"/>
    <w:rsid w:val="45F63646"/>
    <w:rsid w:val="45FE572D"/>
    <w:rsid w:val="46026DAB"/>
    <w:rsid w:val="46110EB4"/>
    <w:rsid w:val="4615747C"/>
    <w:rsid w:val="46192347"/>
    <w:rsid w:val="461B1C1B"/>
    <w:rsid w:val="462036D5"/>
    <w:rsid w:val="46220201"/>
    <w:rsid w:val="46250CEB"/>
    <w:rsid w:val="462623B9"/>
    <w:rsid w:val="462705C0"/>
    <w:rsid w:val="462878EF"/>
    <w:rsid w:val="462A00B0"/>
    <w:rsid w:val="462A1EAB"/>
    <w:rsid w:val="46311502"/>
    <w:rsid w:val="463424E7"/>
    <w:rsid w:val="46371C2A"/>
    <w:rsid w:val="463777DD"/>
    <w:rsid w:val="463E2106"/>
    <w:rsid w:val="46492914"/>
    <w:rsid w:val="46577FD6"/>
    <w:rsid w:val="46587F31"/>
    <w:rsid w:val="465B470D"/>
    <w:rsid w:val="4665558C"/>
    <w:rsid w:val="467224C3"/>
    <w:rsid w:val="467557CF"/>
    <w:rsid w:val="46756DD7"/>
    <w:rsid w:val="46780C54"/>
    <w:rsid w:val="468679DC"/>
    <w:rsid w:val="46873754"/>
    <w:rsid w:val="46904D2F"/>
    <w:rsid w:val="469B222C"/>
    <w:rsid w:val="46A165C4"/>
    <w:rsid w:val="46A5054B"/>
    <w:rsid w:val="46A60687"/>
    <w:rsid w:val="46A75BA4"/>
    <w:rsid w:val="46AE7906"/>
    <w:rsid w:val="46B84CFE"/>
    <w:rsid w:val="46BD5B4F"/>
    <w:rsid w:val="46BF4C9C"/>
    <w:rsid w:val="46C03BE8"/>
    <w:rsid w:val="46C422B2"/>
    <w:rsid w:val="46CE4EDF"/>
    <w:rsid w:val="46D36681"/>
    <w:rsid w:val="46D52711"/>
    <w:rsid w:val="46D90E27"/>
    <w:rsid w:val="46D955A7"/>
    <w:rsid w:val="46DC75FC"/>
    <w:rsid w:val="46DD5FA8"/>
    <w:rsid w:val="46DF0C3A"/>
    <w:rsid w:val="46E517FC"/>
    <w:rsid w:val="46F04E55"/>
    <w:rsid w:val="46F531D4"/>
    <w:rsid w:val="46F96400"/>
    <w:rsid w:val="47022DDB"/>
    <w:rsid w:val="4707219F"/>
    <w:rsid w:val="47095F17"/>
    <w:rsid w:val="471053A7"/>
    <w:rsid w:val="47133957"/>
    <w:rsid w:val="47150D60"/>
    <w:rsid w:val="471A28BF"/>
    <w:rsid w:val="471A4419"/>
    <w:rsid w:val="471D0511"/>
    <w:rsid w:val="473016F6"/>
    <w:rsid w:val="47307948"/>
    <w:rsid w:val="4732546E"/>
    <w:rsid w:val="4734067A"/>
    <w:rsid w:val="4735381A"/>
    <w:rsid w:val="47370CD6"/>
    <w:rsid w:val="47391DB7"/>
    <w:rsid w:val="474156B1"/>
    <w:rsid w:val="474477FE"/>
    <w:rsid w:val="4746505E"/>
    <w:rsid w:val="47482EE3"/>
    <w:rsid w:val="474A268B"/>
    <w:rsid w:val="475052AE"/>
    <w:rsid w:val="47527C17"/>
    <w:rsid w:val="475624D6"/>
    <w:rsid w:val="47596919"/>
    <w:rsid w:val="47596B6D"/>
    <w:rsid w:val="475C3254"/>
    <w:rsid w:val="475E6263"/>
    <w:rsid w:val="476A6AE0"/>
    <w:rsid w:val="476C3F56"/>
    <w:rsid w:val="4770243A"/>
    <w:rsid w:val="47745A86"/>
    <w:rsid w:val="47772762"/>
    <w:rsid w:val="477912EF"/>
    <w:rsid w:val="47791D28"/>
    <w:rsid w:val="477B19D0"/>
    <w:rsid w:val="4780427C"/>
    <w:rsid w:val="47826E25"/>
    <w:rsid w:val="478B6852"/>
    <w:rsid w:val="47906638"/>
    <w:rsid w:val="479535BC"/>
    <w:rsid w:val="47A07E0C"/>
    <w:rsid w:val="47A345BE"/>
    <w:rsid w:val="47A65E5C"/>
    <w:rsid w:val="47AD066A"/>
    <w:rsid w:val="47B7079C"/>
    <w:rsid w:val="47C03CEB"/>
    <w:rsid w:val="47C21AA2"/>
    <w:rsid w:val="47CB0DA4"/>
    <w:rsid w:val="47CF53B3"/>
    <w:rsid w:val="47DE73A4"/>
    <w:rsid w:val="47E439B4"/>
    <w:rsid w:val="47E81082"/>
    <w:rsid w:val="47F22E4F"/>
    <w:rsid w:val="47F52748"/>
    <w:rsid w:val="47F70466"/>
    <w:rsid w:val="47F76292"/>
    <w:rsid w:val="47FE17F4"/>
    <w:rsid w:val="47FF5834"/>
    <w:rsid w:val="480B1987"/>
    <w:rsid w:val="480C50E6"/>
    <w:rsid w:val="48177732"/>
    <w:rsid w:val="4819662E"/>
    <w:rsid w:val="481D7ECC"/>
    <w:rsid w:val="482252DB"/>
    <w:rsid w:val="48262538"/>
    <w:rsid w:val="482B71EB"/>
    <w:rsid w:val="482C0501"/>
    <w:rsid w:val="48313978"/>
    <w:rsid w:val="48343DBF"/>
    <w:rsid w:val="48382F58"/>
    <w:rsid w:val="483F2608"/>
    <w:rsid w:val="48434873"/>
    <w:rsid w:val="48451779"/>
    <w:rsid w:val="48497D2C"/>
    <w:rsid w:val="484F3DFE"/>
    <w:rsid w:val="48537F38"/>
    <w:rsid w:val="48541414"/>
    <w:rsid w:val="48587156"/>
    <w:rsid w:val="48615875"/>
    <w:rsid w:val="486A0C38"/>
    <w:rsid w:val="486D24D6"/>
    <w:rsid w:val="4870272E"/>
    <w:rsid w:val="48723A58"/>
    <w:rsid w:val="487A2EC8"/>
    <w:rsid w:val="48927CC1"/>
    <w:rsid w:val="48953663"/>
    <w:rsid w:val="489814E0"/>
    <w:rsid w:val="48A34D11"/>
    <w:rsid w:val="48A4239B"/>
    <w:rsid w:val="48A43323"/>
    <w:rsid w:val="48A71E8C"/>
    <w:rsid w:val="48B06BAA"/>
    <w:rsid w:val="48BD520B"/>
    <w:rsid w:val="48BD6471"/>
    <w:rsid w:val="48BF0F83"/>
    <w:rsid w:val="48D03190"/>
    <w:rsid w:val="48D04F3E"/>
    <w:rsid w:val="48D94D13"/>
    <w:rsid w:val="48DD3AFF"/>
    <w:rsid w:val="48E14968"/>
    <w:rsid w:val="48E47700"/>
    <w:rsid w:val="48E52CE0"/>
    <w:rsid w:val="48EB069F"/>
    <w:rsid w:val="48ED3C01"/>
    <w:rsid w:val="48EF05FB"/>
    <w:rsid w:val="48F56213"/>
    <w:rsid w:val="48F6071D"/>
    <w:rsid w:val="48F71866"/>
    <w:rsid w:val="48FD7CFE"/>
    <w:rsid w:val="48FE78CE"/>
    <w:rsid w:val="490177EE"/>
    <w:rsid w:val="49044BE8"/>
    <w:rsid w:val="49093709"/>
    <w:rsid w:val="490C7F41"/>
    <w:rsid w:val="49192BD2"/>
    <w:rsid w:val="491A08B0"/>
    <w:rsid w:val="491D214E"/>
    <w:rsid w:val="492004BE"/>
    <w:rsid w:val="49262DB0"/>
    <w:rsid w:val="492936EC"/>
    <w:rsid w:val="493D00FA"/>
    <w:rsid w:val="49441489"/>
    <w:rsid w:val="4944592C"/>
    <w:rsid w:val="494D2A33"/>
    <w:rsid w:val="494E0559"/>
    <w:rsid w:val="494E2307"/>
    <w:rsid w:val="495F2766"/>
    <w:rsid w:val="49634005"/>
    <w:rsid w:val="49695393"/>
    <w:rsid w:val="496A6797"/>
    <w:rsid w:val="496F07F9"/>
    <w:rsid w:val="49743071"/>
    <w:rsid w:val="497828CD"/>
    <w:rsid w:val="49793828"/>
    <w:rsid w:val="49804BB7"/>
    <w:rsid w:val="49885819"/>
    <w:rsid w:val="498975CF"/>
    <w:rsid w:val="498A7781"/>
    <w:rsid w:val="49951FBF"/>
    <w:rsid w:val="499A15F0"/>
    <w:rsid w:val="499E41D1"/>
    <w:rsid w:val="49A40179"/>
    <w:rsid w:val="49B4622A"/>
    <w:rsid w:val="49B605D8"/>
    <w:rsid w:val="49B93C25"/>
    <w:rsid w:val="49BC5519"/>
    <w:rsid w:val="49BE198B"/>
    <w:rsid w:val="49C16F7D"/>
    <w:rsid w:val="49C20D06"/>
    <w:rsid w:val="49CD147E"/>
    <w:rsid w:val="49CD1725"/>
    <w:rsid w:val="49D12AC4"/>
    <w:rsid w:val="49D56D41"/>
    <w:rsid w:val="49DC7715"/>
    <w:rsid w:val="49DF702F"/>
    <w:rsid w:val="49E53D44"/>
    <w:rsid w:val="49E60792"/>
    <w:rsid w:val="49F4524B"/>
    <w:rsid w:val="49F478F9"/>
    <w:rsid w:val="49F87827"/>
    <w:rsid w:val="49FA6E47"/>
    <w:rsid w:val="49FC20A6"/>
    <w:rsid w:val="49FD623E"/>
    <w:rsid w:val="4A001DE9"/>
    <w:rsid w:val="4A023139"/>
    <w:rsid w:val="4A071B94"/>
    <w:rsid w:val="4A0F5F3A"/>
    <w:rsid w:val="4A1A065C"/>
    <w:rsid w:val="4A1C2328"/>
    <w:rsid w:val="4A1D0657"/>
    <w:rsid w:val="4A225C6E"/>
    <w:rsid w:val="4A235542"/>
    <w:rsid w:val="4A2424EA"/>
    <w:rsid w:val="4A246FE7"/>
    <w:rsid w:val="4A2B5779"/>
    <w:rsid w:val="4A2D4613"/>
    <w:rsid w:val="4A3063D8"/>
    <w:rsid w:val="4A37282C"/>
    <w:rsid w:val="4A375B6A"/>
    <w:rsid w:val="4A392FB7"/>
    <w:rsid w:val="4A431582"/>
    <w:rsid w:val="4A4723A3"/>
    <w:rsid w:val="4A4E6A63"/>
    <w:rsid w:val="4A510301"/>
    <w:rsid w:val="4A563B69"/>
    <w:rsid w:val="4A565825"/>
    <w:rsid w:val="4A594710"/>
    <w:rsid w:val="4A5D4446"/>
    <w:rsid w:val="4A603EC3"/>
    <w:rsid w:val="4A60475C"/>
    <w:rsid w:val="4A606796"/>
    <w:rsid w:val="4A64750C"/>
    <w:rsid w:val="4A6B4506"/>
    <w:rsid w:val="4A741978"/>
    <w:rsid w:val="4A7933B4"/>
    <w:rsid w:val="4A7B576F"/>
    <w:rsid w:val="4A7D4C52"/>
    <w:rsid w:val="4A8C5164"/>
    <w:rsid w:val="4A900C68"/>
    <w:rsid w:val="4A96082F"/>
    <w:rsid w:val="4A9A1C0C"/>
    <w:rsid w:val="4A9B7A71"/>
    <w:rsid w:val="4A9E2E1A"/>
    <w:rsid w:val="4AA508F7"/>
    <w:rsid w:val="4AA93C99"/>
    <w:rsid w:val="4AAA7A11"/>
    <w:rsid w:val="4AAC1E81"/>
    <w:rsid w:val="4AAF5028"/>
    <w:rsid w:val="4AB16FF2"/>
    <w:rsid w:val="4AB8212E"/>
    <w:rsid w:val="4ABB1C1E"/>
    <w:rsid w:val="4ABB47A9"/>
    <w:rsid w:val="4AC61B4E"/>
    <w:rsid w:val="4AC815F1"/>
    <w:rsid w:val="4AD16FCD"/>
    <w:rsid w:val="4AD21009"/>
    <w:rsid w:val="4ADD7DE7"/>
    <w:rsid w:val="4AE500AD"/>
    <w:rsid w:val="4AE84593"/>
    <w:rsid w:val="4AEB4A1D"/>
    <w:rsid w:val="4AEC002A"/>
    <w:rsid w:val="4AEC627C"/>
    <w:rsid w:val="4AED1597"/>
    <w:rsid w:val="4AEE12E6"/>
    <w:rsid w:val="4AF10514"/>
    <w:rsid w:val="4AF13892"/>
    <w:rsid w:val="4AF33166"/>
    <w:rsid w:val="4AF561A9"/>
    <w:rsid w:val="4AF62C56"/>
    <w:rsid w:val="4AF630AB"/>
    <w:rsid w:val="4AF93F72"/>
    <w:rsid w:val="4AFD3FE5"/>
    <w:rsid w:val="4B014375"/>
    <w:rsid w:val="4B0E7FA0"/>
    <w:rsid w:val="4B11322E"/>
    <w:rsid w:val="4B137364"/>
    <w:rsid w:val="4B1408BF"/>
    <w:rsid w:val="4B1654F7"/>
    <w:rsid w:val="4B1D6435"/>
    <w:rsid w:val="4B1F16AE"/>
    <w:rsid w:val="4B1F3F5B"/>
    <w:rsid w:val="4B201A81"/>
    <w:rsid w:val="4B2452B8"/>
    <w:rsid w:val="4B2B0B52"/>
    <w:rsid w:val="4B3A6FE7"/>
    <w:rsid w:val="4B3B22F6"/>
    <w:rsid w:val="4B475260"/>
    <w:rsid w:val="4B4B4D50"/>
    <w:rsid w:val="4B4C61C0"/>
    <w:rsid w:val="4B527FB1"/>
    <w:rsid w:val="4B555BCF"/>
    <w:rsid w:val="4B560A3D"/>
    <w:rsid w:val="4B56587F"/>
    <w:rsid w:val="4B5A1437"/>
    <w:rsid w:val="4B692C5A"/>
    <w:rsid w:val="4B726781"/>
    <w:rsid w:val="4B775B45"/>
    <w:rsid w:val="4B785A6B"/>
    <w:rsid w:val="4B7A09BE"/>
    <w:rsid w:val="4B7B5A33"/>
    <w:rsid w:val="4B7F2C4C"/>
    <w:rsid w:val="4B803D45"/>
    <w:rsid w:val="4B8D21D3"/>
    <w:rsid w:val="4B9009B5"/>
    <w:rsid w:val="4B916AFA"/>
    <w:rsid w:val="4B92472D"/>
    <w:rsid w:val="4B9304A5"/>
    <w:rsid w:val="4B9366F7"/>
    <w:rsid w:val="4B971D44"/>
    <w:rsid w:val="4B983D0E"/>
    <w:rsid w:val="4BAE0282"/>
    <w:rsid w:val="4BAF0679"/>
    <w:rsid w:val="4BB07716"/>
    <w:rsid w:val="4BB108DC"/>
    <w:rsid w:val="4BB67D9E"/>
    <w:rsid w:val="4BBE3774"/>
    <w:rsid w:val="4BBE7B43"/>
    <w:rsid w:val="4BCA036B"/>
    <w:rsid w:val="4BCB5E91"/>
    <w:rsid w:val="4BCE772F"/>
    <w:rsid w:val="4BCF2936"/>
    <w:rsid w:val="4BDC646C"/>
    <w:rsid w:val="4BDD04C2"/>
    <w:rsid w:val="4BF138DC"/>
    <w:rsid w:val="4C013661"/>
    <w:rsid w:val="4C0522E6"/>
    <w:rsid w:val="4C0D0258"/>
    <w:rsid w:val="4C1A52C1"/>
    <w:rsid w:val="4C236679"/>
    <w:rsid w:val="4C320BC1"/>
    <w:rsid w:val="4C3979AF"/>
    <w:rsid w:val="4C40062D"/>
    <w:rsid w:val="4C43011D"/>
    <w:rsid w:val="4C49408D"/>
    <w:rsid w:val="4C4A0649"/>
    <w:rsid w:val="4C4C324B"/>
    <w:rsid w:val="4C5B5467"/>
    <w:rsid w:val="4C5D0796"/>
    <w:rsid w:val="4C673E0C"/>
    <w:rsid w:val="4C68219A"/>
    <w:rsid w:val="4C6836E0"/>
    <w:rsid w:val="4C684EF4"/>
    <w:rsid w:val="4C6A38FC"/>
    <w:rsid w:val="4C6A7D22"/>
    <w:rsid w:val="4C6D519A"/>
    <w:rsid w:val="4C735FF7"/>
    <w:rsid w:val="4C7958ED"/>
    <w:rsid w:val="4C7B1CE1"/>
    <w:rsid w:val="4C7B78B7"/>
    <w:rsid w:val="4C7D53DD"/>
    <w:rsid w:val="4C7E5ECA"/>
    <w:rsid w:val="4C8061AE"/>
    <w:rsid w:val="4C876AA5"/>
    <w:rsid w:val="4C8A18A8"/>
    <w:rsid w:val="4C8D2719"/>
    <w:rsid w:val="4C910E89"/>
    <w:rsid w:val="4C934C01"/>
    <w:rsid w:val="4C985381"/>
    <w:rsid w:val="4CA30915"/>
    <w:rsid w:val="4CA566E2"/>
    <w:rsid w:val="4CAC6AB9"/>
    <w:rsid w:val="4CB80687"/>
    <w:rsid w:val="4CB9218D"/>
    <w:rsid w:val="4CBB552B"/>
    <w:rsid w:val="4CBD4F1B"/>
    <w:rsid w:val="4CBE358C"/>
    <w:rsid w:val="4CC4300C"/>
    <w:rsid w:val="4CC51B63"/>
    <w:rsid w:val="4CC83AD8"/>
    <w:rsid w:val="4CC96847"/>
    <w:rsid w:val="4CD41C6D"/>
    <w:rsid w:val="4CDA4579"/>
    <w:rsid w:val="4CDB0356"/>
    <w:rsid w:val="4CDF7E46"/>
    <w:rsid w:val="4CE16187"/>
    <w:rsid w:val="4CEA5F38"/>
    <w:rsid w:val="4CED0E6B"/>
    <w:rsid w:val="4CEE1E37"/>
    <w:rsid w:val="4CEE5446"/>
    <w:rsid w:val="4CF078AA"/>
    <w:rsid w:val="4CF12F0F"/>
    <w:rsid w:val="4CF338F1"/>
    <w:rsid w:val="4CF431C6"/>
    <w:rsid w:val="4CF65190"/>
    <w:rsid w:val="4CFA07E3"/>
    <w:rsid w:val="4CFC2F75"/>
    <w:rsid w:val="4D07262D"/>
    <w:rsid w:val="4D0961AF"/>
    <w:rsid w:val="4D0E00FB"/>
    <w:rsid w:val="4D13189E"/>
    <w:rsid w:val="4D1473C4"/>
    <w:rsid w:val="4D151ABA"/>
    <w:rsid w:val="4D176606"/>
    <w:rsid w:val="4D1F37F9"/>
    <w:rsid w:val="4D221BD1"/>
    <w:rsid w:val="4D2766CC"/>
    <w:rsid w:val="4D2C5FA1"/>
    <w:rsid w:val="4D2D12A3"/>
    <w:rsid w:val="4D37308F"/>
    <w:rsid w:val="4D413494"/>
    <w:rsid w:val="4D431DB1"/>
    <w:rsid w:val="4D556215"/>
    <w:rsid w:val="4D5A571F"/>
    <w:rsid w:val="4D611164"/>
    <w:rsid w:val="4D6644FB"/>
    <w:rsid w:val="4D675994"/>
    <w:rsid w:val="4D697710"/>
    <w:rsid w:val="4D7957E1"/>
    <w:rsid w:val="4D8B60C2"/>
    <w:rsid w:val="4D8C33FE"/>
    <w:rsid w:val="4D967637"/>
    <w:rsid w:val="4D9739F8"/>
    <w:rsid w:val="4D9A1FBF"/>
    <w:rsid w:val="4D9B00F1"/>
    <w:rsid w:val="4DA07ECF"/>
    <w:rsid w:val="4DA21733"/>
    <w:rsid w:val="4DC332C4"/>
    <w:rsid w:val="4DC42199"/>
    <w:rsid w:val="4DC4703C"/>
    <w:rsid w:val="4DCB500F"/>
    <w:rsid w:val="4DDD57A8"/>
    <w:rsid w:val="4DE407D5"/>
    <w:rsid w:val="4DE43B15"/>
    <w:rsid w:val="4DE726A0"/>
    <w:rsid w:val="4DEA4CF4"/>
    <w:rsid w:val="4DEC4FB0"/>
    <w:rsid w:val="4DF02264"/>
    <w:rsid w:val="4DF06B51"/>
    <w:rsid w:val="4DF112C3"/>
    <w:rsid w:val="4DF4098A"/>
    <w:rsid w:val="4DFA4BD3"/>
    <w:rsid w:val="4DFC67D6"/>
    <w:rsid w:val="4E005126"/>
    <w:rsid w:val="4E023360"/>
    <w:rsid w:val="4E033267"/>
    <w:rsid w:val="4E056199"/>
    <w:rsid w:val="4E075D8A"/>
    <w:rsid w:val="4E0C137B"/>
    <w:rsid w:val="4E132421"/>
    <w:rsid w:val="4E166538"/>
    <w:rsid w:val="4E1A6C5C"/>
    <w:rsid w:val="4E3A6874"/>
    <w:rsid w:val="4E3D0742"/>
    <w:rsid w:val="4E40049B"/>
    <w:rsid w:val="4E41068C"/>
    <w:rsid w:val="4E450611"/>
    <w:rsid w:val="4E4A4277"/>
    <w:rsid w:val="4E5752EE"/>
    <w:rsid w:val="4E5807CC"/>
    <w:rsid w:val="4E625FEA"/>
    <w:rsid w:val="4E776A5A"/>
    <w:rsid w:val="4E79115D"/>
    <w:rsid w:val="4E7D7917"/>
    <w:rsid w:val="4E8D38D2"/>
    <w:rsid w:val="4E8F36DE"/>
    <w:rsid w:val="4E8F764A"/>
    <w:rsid w:val="4EA23226"/>
    <w:rsid w:val="4EAC1FAA"/>
    <w:rsid w:val="4EAF38CD"/>
    <w:rsid w:val="4EB329FB"/>
    <w:rsid w:val="4EB840AD"/>
    <w:rsid w:val="4EC00FAD"/>
    <w:rsid w:val="4EC866B8"/>
    <w:rsid w:val="4ECA2430"/>
    <w:rsid w:val="4ECB0A8A"/>
    <w:rsid w:val="4ED35788"/>
    <w:rsid w:val="4ED71797"/>
    <w:rsid w:val="4EDA34E9"/>
    <w:rsid w:val="4EDC7FE5"/>
    <w:rsid w:val="4EE71423"/>
    <w:rsid w:val="4EE85E61"/>
    <w:rsid w:val="4EF179BD"/>
    <w:rsid w:val="4EF37DB4"/>
    <w:rsid w:val="4EF64C23"/>
    <w:rsid w:val="4EFE20DA"/>
    <w:rsid w:val="4F03567B"/>
    <w:rsid w:val="4F1E2EF2"/>
    <w:rsid w:val="4F1E49B1"/>
    <w:rsid w:val="4F241610"/>
    <w:rsid w:val="4F2746B8"/>
    <w:rsid w:val="4F274C6E"/>
    <w:rsid w:val="4F274F96"/>
    <w:rsid w:val="4F2A2ECF"/>
    <w:rsid w:val="4F2C4E99"/>
    <w:rsid w:val="4F322CE1"/>
    <w:rsid w:val="4F381A8F"/>
    <w:rsid w:val="4F391364"/>
    <w:rsid w:val="4F417B35"/>
    <w:rsid w:val="4F4641AC"/>
    <w:rsid w:val="4F5256F9"/>
    <w:rsid w:val="4F5C39D0"/>
    <w:rsid w:val="4F643C50"/>
    <w:rsid w:val="4F672375"/>
    <w:rsid w:val="4F68646F"/>
    <w:rsid w:val="4F6B4F69"/>
    <w:rsid w:val="4F6E1CD6"/>
    <w:rsid w:val="4F732AC8"/>
    <w:rsid w:val="4F7800DE"/>
    <w:rsid w:val="4F7C138A"/>
    <w:rsid w:val="4F7F146C"/>
    <w:rsid w:val="4F822D0B"/>
    <w:rsid w:val="4F8B1BBF"/>
    <w:rsid w:val="4F9840BE"/>
    <w:rsid w:val="4F9843DC"/>
    <w:rsid w:val="4F9D6770"/>
    <w:rsid w:val="4F9F3039"/>
    <w:rsid w:val="4FA11CEA"/>
    <w:rsid w:val="4FA17635"/>
    <w:rsid w:val="4FA669F9"/>
    <w:rsid w:val="4FB34490"/>
    <w:rsid w:val="4FB355BA"/>
    <w:rsid w:val="4FB8429D"/>
    <w:rsid w:val="4FBA4675"/>
    <w:rsid w:val="4FBF046A"/>
    <w:rsid w:val="4FC17DBC"/>
    <w:rsid w:val="4FC62A8C"/>
    <w:rsid w:val="4FC9093A"/>
    <w:rsid w:val="4FD95020"/>
    <w:rsid w:val="4FDD5E74"/>
    <w:rsid w:val="4FE20F0D"/>
    <w:rsid w:val="4FE51552"/>
    <w:rsid w:val="4FEB6B02"/>
    <w:rsid w:val="4FF32E5F"/>
    <w:rsid w:val="4FF6218D"/>
    <w:rsid w:val="4FF621C9"/>
    <w:rsid w:val="4FFF25AD"/>
    <w:rsid w:val="50033E4B"/>
    <w:rsid w:val="50067498"/>
    <w:rsid w:val="50083210"/>
    <w:rsid w:val="500D2A47"/>
    <w:rsid w:val="501043E3"/>
    <w:rsid w:val="50117B3B"/>
    <w:rsid w:val="50137E07"/>
    <w:rsid w:val="50175B49"/>
    <w:rsid w:val="5019366F"/>
    <w:rsid w:val="50195BD2"/>
    <w:rsid w:val="501A4B7C"/>
    <w:rsid w:val="501C6CBB"/>
    <w:rsid w:val="502142D2"/>
    <w:rsid w:val="50236EE6"/>
    <w:rsid w:val="50280B16"/>
    <w:rsid w:val="502C4BEB"/>
    <w:rsid w:val="502F74F4"/>
    <w:rsid w:val="504F0E3F"/>
    <w:rsid w:val="504F52E3"/>
    <w:rsid w:val="504F7065"/>
    <w:rsid w:val="50504C4B"/>
    <w:rsid w:val="50797CC1"/>
    <w:rsid w:val="507A3CA1"/>
    <w:rsid w:val="507B628F"/>
    <w:rsid w:val="50827466"/>
    <w:rsid w:val="5086682B"/>
    <w:rsid w:val="50901457"/>
    <w:rsid w:val="50974594"/>
    <w:rsid w:val="509C6E7C"/>
    <w:rsid w:val="50A26C89"/>
    <w:rsid w:val="50A56CB1"/>
    <w:rsid w:val="50AA076B"/>
    <w:rsid w:val="50AF5D81"/>
    <w:rsid w:val="50BC64FF"/>
    <w:rsid w:val="50BF5526"/>
    <w:rsid w:val="50C43F53"/>
    <w:rsid w:val="50D3792F"/>
    <w:rsid w:val="50D41344"/>
    <w:rsid w:val="50D457E8"/>
    <w:rsid w:val="50D74F11"/>
    <w:rsid w:val="50DD28EE"/>
    <w:rsid w:val="50DF6D04"/>
    <w:rsid w:val="50E1798E"/>
    <w:rsid w:val="50E2357B"/>
    <w:rsid w:val="50E35A2B"/>
    <w:rsid w:val="50E50361"/>
    <w:rsid w:val="50EA66B3"/>
    <w:rsid w:val="50F45034"/>
    <w:rsid w:val="50F46AC0"/>
    <w:rsid w:val="50F6575E"/>
    <w:rsid w:val="50FC0738"/>
    <w:rsid w:val="5100368A"/>
    <w:rsid w:val="51053BF3"/>
    <w:rsid w:val="5105691F"/>
    <w:rsid w:val="510C31D4"/>
    <w:rsid w:val="51145BE4"/>
    <w:rsid w:val="511701B4"/>
    <w:rsid w:val="511C1AA8"/>
    <w:rsid w:val="511C50AE"/>
    <w:rsid w:val="51220301"/>
    <w:rsid w:val="512D6CA6"/>
    <w:rsid w:val="512E60E7"/>
    <w:rsid w:val="512F7804"/>
    <w:rsid w:val="513846B2"/>
    <w:rsid w:val="51385D77"/>
    <w:rsid w:val="513A25EE"/>
    <w:rsid w:val="513E45BD"/>
    <w:rsid w:val="514364CA"/>
    <w:rsid w:val="5145405A"/>
    <w:rsid w:val="51475FBA"/>
    <w:rsid w:val="514C2EEA"/>
    <w:rsid w:val="514F30C0"/>
    <w:rsid w:val="51571AC4"/>
    <w:rsid w:val="515C09DF"/>
    <w:rsid w:val="5162104E"/>
    <w:rsid w:val="51717E05"/>
    <w:rsid w:val="517C38DA"/>
    <w:rsid w:val="517F76B5"/>
    <w:rsid w:val="518565A8"/>
    <w:rsid w:val="518F170F"/>
    <w:rsid w:val="519160AE"/>
    <w:rsid w:val="5196625D"/>
    <w:rsid w:val="519706C2"/>
    <w:rsid w:val="51A035A2"/>
    <w:rsid w:val="51A24F74"/>
    <w:rsid w:val="51A96C75"/>
    <w:rsid w:val="51AE6039"/>
    <w:rsid w:val="51AF011D"/>
    <w:rsid w:val="51B5599A"/>
    <w:rsid w:val="51B8376E"/>
    <w:rsid w:val="51CE6F83"/>
    <w:rsid w:val="51D32DF1"/>
    <w:rsid w:val="51DB1210"/>
    <w:rsid w:val="51DB4103"/>
    <w:rsid w:val="51DD06CC"/>
    <w:rsid w:val="51DF2696"/>
    <w:rsid w:val="51E90E1F"/>
    <w:rsid w:val="51ED2F98"/>
    <w:rsid w:val="51EE575A"/>
    <w:rsid w:val="51F36B09"/>
    <w:rsid w:val="51F443E1"/>
    <w:rsid w:val="51F56037"/>
    <w:rsid w:val="520B3C6B"/>
    <w:rsid w:val="52136A80"/>
    <w:rsid w:val="52165A04"/>
    <w:rsid w:val="52171E30"/>
    <w:rsid w:val="521A1920"/>
    <w:rsid w:val="52285DEB"/>
    <w:rsid w:val="522874AE"/>
    <w:rsid w:val="52347DE2"/>
    <w:rsid w:val="52350508"/>
    <w:rsid w:val="523A0ED7"/>
    <w:rsid w:val="523A78CD"/>
    <w:rsid w:val="523C53F3"/>
    <w:rsid w:val="523F1098"/>
    <w:rsid w:val="52433FFD"/>
    <w:rsid w:val="524644C3"/>
    <w:rsid w:val="52554706"/>
    <w:rsid w:val="525C7787"/>
    <w:rsid w:val="526153FD"/>
    <w:rsid w:val="52630BD1"/>
    <w:rsid w:val="52635075"/>
    <w:rsid w:val="5264494A"/>
    <w:rsid w:val="526A7522"/>
    <w:rsid w:val="52746920"/>
    <w:rsid w:val="5277467D"/>
    <w:rsid w:val="527903F5"/>
    <w:rsid w:val="527C1C93"/>
    <w:rsid w:val="52890E76"/>
    <w:rsid w:val="528E1F04"/>
    <w:rsid w:val="52992ADB"/>
    <w:rsid w:val="52992F8C"/>
    <w:rsid w:val="529C4410"/>
    <w:rsid w:val="529F5982"/>
    <w:rsid w:val="52A331E4"/>
    <w:rsid w:val="52AB16DF"/>
    <w:rsid w:val="52B14033"/>
    <w:rsid w:val="52B61851"/>
    <w:rsid w:val="52C11D9C"/>
    <w:rsid w:val="52C13B4A"/>
    <w:rsid w:val="52C432D3"/>
    <w:rsid w:val="52CA6738"/>
    <w:rsid w:val="52CF6267"/>
    <w:rsid w:val="52DC0984"/>
    <w:rsid w:val="52EB0557"/>
    <w:rsid w:val="52EF46BE"/>
    <w:rsid w:val="530E3233"/>
    <w:rsid w:val="531406A5"/>
    <w:rsid w:val="531E792B"/>
    <w:rsid w:val="532145E9"/>
    <w:rsid w:val="532370AE"/>
    <w:rsid w:val="5327070C"/>
    <w:rsid w:val="5330157D"/>
    <w:rsid w:val="533C6B1A"/>
    <w:rsid w:val="534C6482"/>
    <w:rsid w:val="5358625C"/>
    <w:rsid w:val="535B4061"/>
    <w:rsid w:val="535D2EDE"/>
    <w:rsid w:val="53614C5A"/>
    <w:rsid w:val="536635B3"/>
    <w:rsid w:val="53690469"/>
    <w:rsid w:val="53715570"/>
    <w:rsid w:val="53740BBC"/>
    <w:rsid w:val="538820CF"/>
    <w:rsid w:val="538A1638"/>
    <w:rsid w:val="538B4016"/>
    <w:rsid w:val="539128D9"/>
    <w:rsid w:val="53925D5F"/>
    <w:rsid w:val="53A039CC"/>
    <w:rsid w:val="53A1505A"/>
    <w:rsid w:val="53A414A2"/>
    <w:rsid w:val="53A625F7"/>
    <w:rsid w:val="53A83C90"/>
    <w:rsid w:val="53BC0E56"/>
    <w:rsid w:val="53C658BC"/>
    <w:rsid w:val="53CE651E"/>
    <w:rsid w:val="53CF6F7D"/>
    <w:rsid w:val="53D1600F"/>
    <w:rsid w:val="53D201A2"/>
    <w:rsid w:val="53D310DD"/>
    <w:rsid w:val="53D63625"/>
    <w:rsid w:val="53D83183"/>
    <w:rsid w:val="53D8739D"/>
    <w:rsid w:val="53DB2E48"/>
    <w:rsid w:val="53DC7790"/>
    <w:rsid w:val="53F03BCE"/>
    <w:rsid w:val="53F1045F"/>
    <w:rsid w:val="54047B5D"/>
    <w:rsid w:val="54063E08"/>
    <w:rsid w:val="540F0130"/>
    <w:rsid w:val="54176117"/>
    <w:rsid w:val="541A3678"/>
    <w:rsid w:val="541F321E"/>
    <w:rsid w:val="541F6D7A"/>
    <w:rsid w:val="54244390"/>
    <w:rsid w:val="54293073"/>
    <w:rsid w:val="542A2F1E"/>
    <w:rsid w:val="542E167C"/>
    <w:rsid w:val="542E16B3"/>
    <w:rsid w:val="54336CC9"/>
    <w:rsid w:val="543437E8"/>
    <w:rsid w:val="543547EF"/>
    <w:rsid w:val="543D35AE"/>
    <w:rsid w:val="544607AB"/>
    <w:rsid w:val="5448192F"/>
    <w:rsid w:val="54514098"/>
    <w:rsid w:val="54532462"/>
    <w:rsid w:val="545357D5"/>
    <w:rsid w:val="54590CF3"/>
    <w:rsid w:val="54631B76"/>
    <w:rsid w:val="5463497E"/>
    <w:rsid w:val="5473746C"/>
    <w:rsid w:val="5478091F"/>
    <w:rsid w:val="547963A0"/>
    <w:rsid w:val="5480381E"/>
    <w:rsid w:val="54814902"/>
    <w:rsid w:val="548412D3"/>
    <w:rsid w:val="5488491F"/>
    <w:rsid w:val="549A6186"/>
    <w:rsid w:val="549C661D"/>
    <w:rsid w:val="54A0579F"/>
    <w:rsid w:val="54A63B85"/>
    <w:rsid w:val="54A8063C"/>
    <w:rsid w:val="54AB57B7"/>
    <w:rsid w:val="54AD3CEF"/>
    <w:rsid w:val="54AD69F8"/>
    <w:rsid w:val="54AE1CA1"/>
    <w:rsid w:val="54B1798E"/>
    <w:rsid w:val="54B41BB8"/>
    <w:rsid w:val="54C142D5"/>
    <w:rsid w:val="54C447B1"/>
    <w:rsid w:val="54C618EB"/>
    <w:rsid w:val="54C97D53"/>
    <w:rsid w:val="54CC27A2"/>
    <w:rsid w:val="54CD2BF3"/>
    <w:rsid w:val="54D03E82"/>
    <w:rsid w:val="54D044D1"/>
    <w:rsid w:val="54D264E2"/>
    <w:rsid w:val="54D654D1"/>
    <w:rsid w:val="54DA7963"/>
    <w:rsid w:val="54E81862"/>
    <w:rsid w:val="54E97FB4"/>
    <w:rsid w:val="54EA3591"/>
    <w:rsid w:val="54EB3100"/>
    <w:rsid w:val="54EC30A9"/>
    <w:rsid w:val="54F177CF"/>
    <w:rsid w:val="54F376E1"/>
    <w:rsid w:val="54F656B2"/>
    <w:rsid w:val="54F677D1"/>
    <w:rsid w:val="54F73313"/>
    <w:rsid w:val="54F80955"/>
    <w:rsid w:val="54F834E2"/>
    <w:rsid w:val="54FA3343"/>
    <w:rsid w:val="55056DD8"/>
    <w:rsid w:val="55105A7F"/>
    <w:rsid w:val="55172147"/>
    <w:rsid w:val="551A4088"/>
    <w:rsid w:val="55222FC6"/>
    <w:rsid w:val="5527238A"/>
    <w:rsid w:val="553A1041"/>
    <w:rsid w:val="553D7E00"/>
    <w:rsid w:val="553F741C"/>
    <w:rsid w:val="55434578"/>
    <w:rsid w:val="554618F6"/>
    <w:rsid w:val="554C1343"/>
    <w:rsid w:val="554C2F4D"/>
    <w:rsid w:val="555170A7"/>
    <w:rsid w:val="55526C4B"/>
    <w:rsid w:val="556030E0"/>
    <w:rsid w:val="556F3D31"/>
    <w:rsid w:val="557A4FA5"/>
    <w:rsid w:val="558477DD"/>
    <w:rsid w:val="5587107B"/>
    <w:rsid w:val="5587536D"/>
    <w:rsid w:val="558B1206"/>
    <w:rsid w:val="558F1CDD"/>
    <w:rsid w:val="55911EF9"/>
    <w:rsid w:val="55915A56"/>
    <w:rsid w:val="559B174B"/>
    <w:rsid w:val="55A37ADB"/>
    <w:rsid w:val="55A775DA"/>
    <w:rsid w:val="55AA2FBB"/>
    <w:rsid w:val="55AC1338"/>
    <w:rsid w:val="55B7174D"/>
    <w:rsid w:val="55BD3472"/>
    <w:rsid w:val="55C91693"/>
    <w:rsid w:val="55C94F1E"/>
    <w:rsid w:val="55CA3BE7"/>
    <w:rsid w:val="55CB585D"/>
    <w:rsid w:val="55CE0CF4"/>
    <w:rsid w:val="55E944A7"/>
    <w:rsid w:val="55EB0C7F"/>
    <w:rsid w:val="55EE10FA"/>
    <w:rsid w:val="55EE2EA8"/>
    <w:rsid w:val="55EE6D06"/>
    <w:rsid w:val="55F0001F"/>
    <w:rsid w:val="55F23A6D"/>
    <w:rsid w:val="55FB55C5"/>
    <w:rsid w:val="560408F9"/>
    <w:rsid w:val="560501F2"/>
    <w:rsid w:val="56061C80"/>
    <w:rsid w:val="56064695"/>
    <w:rsid w:val="56095F34"/>
    <w:rsid w:val="560A4E39"/>
    <w:rsid w:val="5624337B"/>
    <w:rsid w:val="562543F0"/>
    <w:rsid w:val="56254ACE"/>
    <w:rsid w:val="56292132"/>
    <w:rsid w:val="562B40AB"/>
    <w:rsid w:val="562F00B8"/>
    <w:rsid w:val="563B652C"/>
    <w:rsid w:val="563C3388"/>
    <w:rsid w:val="563C7ACF"/>
    <w:rsid w:val="56466840"/>
    <w:rsid w:val="56505911"/>
    <w:rsid w:val="567275DD"/>
    <w:rsid w:val="56777341"/>
    <w:rsid w:val="56793D74"/>
    <w:rsid w:val="567A0BDF"/>
    <w:rsid w:val="567A565E"/>
    <w:rsid w:val="567C3E5F"/>
    <w:rsid w:val="567C4958"/>
    <w:rsid w:val="56815ACA"/>
    <w:rsid w:val="56835CE6"/>
    <w:rsid w:val="56927CD7"/>
    <w:rsid w:val="56AB0D99"/>
    <w:rsid w:val="56B22A9C"/>
    <w:rsid w:val="56B7277E"/>
    <w:rsid w:val="56BB649E"/>
    <w:rsid w:val="56C8194B"/>
    <w:rsid w:val="56CC5BCB"/>
    <w:rsid w:val="56EB388B"/>
    <w:rsid w:val="56F41C15"/>
    <w:rsid w:val="56F72230"/>
    <w:rsid w:val="56F97132"/>
    <w:rsid w:val="56FA5424"/>
    <w:rsid w:val="56FF6B33"/>
    <w:rsid w:val="56FF6D10"/>
    <w:rsid w:val="57002A6D"/>
    <w:rsid w:val="5708799A"/>
    <w:rsid w:val="570A1F63"/>
    <w:rsid w:val="570E1722"/>
    <w:rsid w:val="570F696E"/>
    <w:rsid w:val="571972EF"/>
    <w:rsid w:val="571F7013"/>
    <w:rsid w:val="57200092"/>
    <w:rsid w:val="57266B6F"/>
    <w:rsid w:val="57281F34"/>
    <w:rsid w:val="572C012C"/>
    <w:rsid w:val="572D5EB9"/>
    <w:rsid w:val="572F5526"/>
    <w:rsid w:val="573214BA"/>
    <w:rsid w:val="57354B65"/>
    <w:rsid w:val="573A7479"/>
    <w:rsid w:val="573C7C43"/>
    <w:rsid w:val="573E39BB"/>
    <w:rsid w:val="57484411"/>
    <w:rsid w:val="574F3C92"/>
    <w:rsid w:val="574F4B80"/>
    <w:rsid w:val="575D6537"/>
    <w:rsid w:val="575E2433"/>
    <w:rsid w:val="576A06B1"/>
    <w:rsid w:val="576A60DF"/>
    <w:rsid w:val="57733F72"/>
    <w:rsid w:val="577369BE"/>
    <w:rsid w:val="578C4726"/>
    <w:rsid w:val="57913D66"/>
    <w:rsid w:val="5796047E"/>
    <w:rsid w:val="579637F7"/>
    <w:rsid w:val="5797070A"/>
    <w:rsid w:val="579C5C6F"/>
    <w:rsid w:val="57A37CC2"/>
    <w:rsid w:val="57A963FD"/>
    <w:rsid w:val="57AD27FF"/>
    <w:rsid w:val="57AF588F"/>
    <w:rsid w:val="57B72A76"/>
    <w:rsid w:val="57B75313"/>
    <w:rsid w:val="57BA425B"/>
    <w:rsid w:val="57BA70A6"/>
    <w:rsid w:val="57BB325E"/>
    <w:rsid w:val="57BC4B82"/>
    <w:rsid w:val="57C3426C"/>
    <w:rsid w:val="57C5122C"/>
    <w:rsid w:val="57C52D30"/>
    <w:rsid w:val="57C554DF"/>
    <w:rsid w:val="57CA524F"/>
    <w:rsid w:val="57CE1F93"/>
    <w:rsid w:val="57D31860"/>
    <w:rsid w:val="57DD6098"/>
    <w:rsid w:val="57E26E5D"/>
    <w:rsid w:val="57EB7472"/>
    <w:rsid w:val="57EE53E1"/>
    <w:rsid w:val="57FD3DCE"/>
    <w:rsid w:val="5804603B"/>
    <w:rsid w:val="580544D9"/>
    <w:rsid w:val="580F1F55"/>
    <w:rsid w:val="58164DA0"/>
    <w:rsid w:val="581A1CE3"/>
    <w:rsid w:val="581A3772"/>
    <w:rsid w:val="582B273D"/>
    <w:rsid w:val="582D29C5"/>
    <w:rsid w:val="582F1286"/>
    <w:rsid w:val="5831730C"/>
    <w:rsid w:val="58417C07"/>
    <w:rsid w:val="58420B1F"/>
    <w:rsid w:val="58442684"/>
    <w:rsid w:val="58444517"/>
    <w:rsid w:val="584E214E"/>
    <w:rsid w:val="585216EC"/>
    <w:rsid w:val="58562F86"/>
    <w:rsid w:val="58586CFE"/>
    <w:rsid w:val="585E0511"/>
    <w:rsid w:val="585F21FD"/>
    <w:rsid w:val="58615BB3"/>
    <w:rsid w:val="58676429"/>
    <w:rsid w:val="586B2775"/>
    <w:rsid w:val="587249C4"/>
    <w:rsid w:val="5875165E"/>
    <w:rsid w:val="588418A2"/>
    <w:rsid w:val="588743D1"/>
    <w:rsid w:val="5887701A"/>
    <w:rsid w:val="58893220"/>
    <w:rsid w:val="588B5D47"/>
    <w:rsid w:val="58905722"/>
    <w:rsid w:val="58922210"/>
    <w:rsid w:val="589A0B41"/>
    <w:rsid w:val="589A7301"/>
    <w:rsid w:val="589B7E1A"/>
    <w:rsid w:val="589D0BB5"/>
    <w:rsid w:val="589D441C"/>
    <w:rsid w:val="589E6508"/>
    <w:rsid w:val="58AA5927"/>
    <w:rsid w:val="58BA1767"/>
    <w:rsid w:val="58C064AF"/>
    <w:rsid w:val="58C137CC"/>
    <w:rsid w:val="58CD2491"/>
    <w:rsid w:val="58CF3CA7"/>
    <w:rsid w:val="58D0184C"/>
    <w:rsid w:val="58D26D4A"/>
    <w:rsid w:val="58D52FBB"/>
    <w:rsid w:val="58D72FA3"/>
    <w:rsid w:val="58D84569"/>
    <w:rsid w:val="58D964E2"/>
    <w:rsid w:val="58DC7340"/>
    <w:rsid w:val="58E07DE8"/>
    <w:rsid w:val="58E6255C"/>
    <w:rsid w:val="58EE31BF"/>
    <w:rsid w:val="58EF1998"/>
    <w:rsid w:val="58EF412B"/>
    <w:rsid w:val="58F00CE5"/>
    <w:rsid w:val="58F060C3"/>
    <w:rsid w:val="58FA7DB6"/>
    <w:rsid w:val="58FC5B3E"/>
    <w:rsid w:val="5902218F"/>
    <w:rsid w:val="59050C34"/>
    <w:rsid w:val="59064BB0"/>
    <w:rsid w:val="590A5822"/>
    <w:rsid w:val="591356C1"/>
    <w:rsid w:val="59185E52"/>
    <w:rsid w:val="591D0DE4"/>
    <w:rsid w:val="591E5852"/>
    <w:rsid w:val="591F781C"/>
    <w:rsid w:val="5923303D"/>
    <w:rsid w:val="59260BAB"/>
    <w:rsid w:val="593D151F"/>
    <w:rsid w:val="59422483"/>
    <w:rsid w:val="59473214"/>
    <w:rsid w:val="59480B21"/>
    <w:rsid w:val="59497E00"/>
    <w:rsid w:val="59554E9A"/>
    <w:rsid w:val="59605E6B"/>
    <w:rsid w:val="596422F8"/>
    <w:rsid w:val="596B48A5"/>
    <w:rsid w:val="596C0D93"/>
    <w:rsid w:val="596D0588"/>
    <w:rsid w:val="59733E5A"/>
    <w:rsid w:val="597523B9"/>
    <w:rsid w:val="59784675"/>
    <w:rsid w:val="5980475F"/>
    <w:rsid w:val="598B6C60"/>
    <w:rsid w:val="598F38D0"/>
    <w:rsid w:val="59A20DC7"/>
    <w:rsid w:val="59A26483"/>
    <w:rsid w:val="59A541C5"/>
    <w:rsid w:val="59A63970"/>
    <w:rsid w:val="59A8129A"/>
    <w:rsid w:val="59A81FF5"/>
    <w:rsid w:val="59AA17DC"/>
    <w:rsid w:val="59AB6FC5"/>
    <w:rsid w:val="59AD6BFE"/>
    <w:rsid w:val="59B46E27"/>
    <w:rsid w:val="59BA0B35"/>
    <w:rsid w:val="59BB12F3"/>
    <w:rsid w:val="59BE0A86"/>
    <w:rsid w:val="59BE0DE3"/>
    <w:rsid w:val="59C0439F"/>
    <w:rsid w:val="59C52172"/>
    <w:rsid w:val="59C7413C"/>
    <w:rsid w:val="59C86314"/>
    <w:rsid w:val="59CB35ED"/>
    <w:rsid w:val="59D071EA"/>
    <w:rsid w:val="59D14FBA"/>
    <w:rsid w:val="59EA7E2A"/>
    <w:rsid w:val="59EB3D45"/>
    <w:rsid w:val="59EF3692"/>
    <w:rsid w:val="59EF609B"/>
    <w:rsid w:val="59F141BD"/>
    <w:rsid w:val="59F40CA9"/>
    <w:rsid w:val="59F42A57"/>
    <w:rsid w:val="59FD7B5D"/>
    <w:rsid w:val="5A026F22"/>
    <w:rsid w:val="5A0846A5"/>
    <w:rsid w:val="5A096502"/>
    <w:rsid w:val="5A1A0C14"/>
    <w:rsid w:val="5A221372"/>
    <w:rsid w:val="5A2721DC"/>
    <w:rsid w:val="5A290952"/>
    <w:rsid w:val="5A2A2324"/>
    <w:rsid w:val="5A2A46CB"/>
    <w:rsid w:val="5A3115B5"/>
    <w:rsid w:val="5A33357F"/>
    <w:rsid w:val="5A3B4898"/>
    <w:rsid w:val="5A430530"/>
    <w:rsid w:val="5A460728"/>
    <w:rsid w:val="5A4D448B"/>
    <w:rsid w:val="5A501065"/>
    <w:rsid w:val="5A6428FD"/>
    <w:rsid w:val="5A6E6C00"/>
    <w:rsid w:val="5A7D47FA"/>
    <w:rsid w:val="5A7F396D"/>
    <w:rsid w:val="5A81269C"/>
    <w:rsid w:val="5A883AFE"/>
    <w:rsid w:val="5A8B1BF4"/>
    <w:rsid w:val="5A9378D7"/>
    <w:rsid w:val="5A9B1124"/>
    <w:rsid w:val="5AA31A4C"/>
    <w:rsid w:val="5AA61FA3"/>
    <w:rsid w:val="5AAA1B1D"/>
    <w:rsid w:val="5AB02C8C"/>
    <w:rsid w:val="5AB7233C"/>
    <w:rsid w:val="5AB81CD6"/>
    <w:rsid w:val="5ABE2233"/>
    <w:rsid w:val="5ABE7EC5"/>
    <w:rsid w:val="5AC32B55"/>
    <w:rsid w:val="5AC356A0"/>
    <w:rsid w:val="5AC468CD"/>
    <w:rsid w:val="5AD36B10"/>
    <w:rsid w:val="5AD551B8"/>
    <w:rsid w:val="5AE25520"/>
    <w:rsid w:val="5AED17FD"/>
    <w:rsid w:val="5AF2455A"/>
    <w:rsid w:val="5AF32970"/>
    <w:rsid w:val="5AFC7E15"/>
    <w:rsid w:val="5B007ABE"/>
    <w:rsid w:val="5B076BF2"/>
    <w:rsid w:val="5B0D2022"/>
    <w:rsid w:val="5B132C12"/>
    <w:rsid w:val="5B1A7E52"/>
    <w:rsid w:val="5B2D1569"/>
    <w:rsid w:val="5B2D60DD"/>
    <w:rsid w:val="5B301281"/>
    <w:rsid w:val="5B386973"/>
    <w:rsid w:val="5B394BC5"/>
    <w:rsid w:val="5B3A26EB"/>
    <w:rsid w:val="5B3E7926"/>
    <w:rsid w:val="5B407AD6"/>
    <w:rsid w:val="5B4A762A"/>
    <w:rsid w:val="5B5163B3"/>
    <w:rsid w:val="5B5C33E8"/>
    <w:rsid w:val="5B631C42"/>
    <w:rsid w:val="5B652527"/>
    <w:rsid w:val="5B751363"/>
    <w:rsid w:val="5B7A680D"/>
    <w:rsid w:val="5B7C5A5D"/>
    <w:rsid w:val="5B801805"/>
    <w:rsid w:val="5B8305C0"/>
    <w:rsid w:val="5B8B1199"/>
    <w:rsid w:val="5BA02D1A"/>
    <w:rsid w:val="5BA26C0E"/>
    <w:rsid w:val="5BA3015F"/>
    <w:rsid w:val="5BA33293"/>
    <w:rsid w:val="5BA65FD3"/>
    <w:rsid w:val="5BAA5AC3"/>
    <w:rsid w:val="5BAC183B"/>
    <w:rsid w:val="5BB66216"/>
    <w:rsid w:val="5BB708E4"/>
    <w:rsid w:val="5BB773D7"/>
    <w:rsid w:val="5BBB508A"/>
    <w:rsid w:val="5BBD5B40"/>
    <w:rsid w:val="5BC07095"/>
    <w:rsid w:val="5BC326E1"/>
    <w:rsid w:val="5BC76675"/>
    <w:rsid w:val="5BC8034F"/>
    <w:rsid w:val="5BC8212A"/>
    <w:rsid w:val="5BCA0B96"/>
    <w:rsid w:val="5BCB77E7"/>
    <w:rsid w:val="5BD40D2F"/>
    <w:rsid w:val="5BD668B8"/>
    <w:rsid w:val="5BD82630"/>
    <w:rsid w:val="5BDF5D95"/>
    <w:rsid w:val="5BE0575C"/>
    <w:rsid w:val="5BE2525D"/>
    <w:rsid w:val="5BEA4111"/>
    <w:rsid w:val="5BEE525F"/>
    <w:rsid w:val="5BF31218"/>
    <w:rsid w:val="5BF44F90"/>
    <w:rsid w:val="5BF84A80"/>
    <w:rsid w:val="5BF94355"/>
    <w:rsid w:val="5BFE7528"/>
    <w:rsid w:val="5C052CF9"/>
    <w:rsid w:val="5C097137"/>
    <w:rsid w:val="5C0C4E98"/>
    <w:rsid w:val="5C2E2250"/>
    <w:rsid w:val="5C2E3DBE"/>
    <w:rsid w:val="5C2F421A"/>
    <w:rsid w:val="5C313AEE"/>
    <w:rsid w:val="5C317301"/>
    <w:rsid w:val="5C403D31"/>
    <w:rsid w:val="5C427AAA"/>
    <w:rsid w:val="5C45274B"/>
    <w:rsid w:val="5C487C0E"/>
    <w:rsid w:val="5C4C4D16"/>
    <w:rsid w:val="5C4C6B7A"/>
    <w:rsid w:val="5C5539B6"/>
    <w:rsid w:val="5C563555"/>
    <w:rsid w:val="5C5906C6"/>
    <w:rsid w:val="5C5E4C2F"/>
    <w:rsid w:val="5C606182"/>
    <w:rsid w:val="5C62537E"/>
    <w:rsid w:val="5C642116"/>
    <w:rsid w:val="5C683702"/>
    <w:rsid w:val="5C6A5252"/>
    <w:rsid w:val="5C6D7C85"/>
    <w:rsid w:val="5C757E7F"/>
    <w:rsid w:val="5C7603A4"/>
    <w:rsid w:val="5C771F02"/>
    <w:rsid w:val="5C796696"/>
    <w:rsid w:val="5C814A76"/>
    <w:rsid w:val="5C8A31FF"/>
    <w:rsid w:val="5C8B1CC8"/>
    <w:rsid w:val="5C981862"/>
    <w:rsid w:val="5C9E25E4"/>
    <w:rsid w:val="5C9E3390"/>
    <w:rsid w:val="5CA92057"/>
    <w:rsid w:val="5CB41436"/>
    <w:rsid w:val="5CB62246"/>
    <w:rsid w:val="5CB70498"/>
    <w:rsid w:val="5CB71BF9"/>
    <w:rsid w:val="5CBE477A"/>
    <w:rsid w:val="5CC05F06"/>
    <w:rsid w:val="5CC80505"/>
    <w:rsid w:val="5CCD7CBB"/>
    <w:rsid w:val="5CD172D6"/>
    <w:rsid w:val="5CD34BA6"/>
    <w:rsid w:val="5CD728E8"/>
    <w:rsid w:val="5CE57ED2"/>
    <w:rsid w:val="5CE61162"/>
    <w:rsid w:val="5CEF3313"/>
    <w:rsid w:val="5CF0350C"/>
    <w:rsid w:val="5CF05758"/>
    <w:rsid w:val="5CF64EB1"/>
    <w:rsid w:val="5CFA751D"/>
    <w:rsid w:val="5D016F91"/>
    <w:rsid w:val="5D0453E2"/>
    <w:rsid w:val="5D0D4249"/>
    <w:rsid w:val="5D0D6072"/>
    <w:rsid w:val="5D0E0436"/>
    <w:rsid w:val="5D206FB1"/>
    <w:rsid w:val="5D2418A5"/>
    <w:rsid w:val="5D251162"/>
    <w:rsid w:val="5D25799B"/>
    <w:rsid w:val="5D262745"/>
    <w:rsid w:val="5D2B6790"/>
    <w:rsid w:val="5D2E44D2"/>
    <w:rsid w:val="5D335644"/>
    <w:rsid w:val="5D445CAB"/>
    <w:rsid w:val="5D452B0E"/>
    <w:rsid w:val="5D46181B"/>
    <w:rsid w:val="5D4B58B4"/>
    <w:rsid w:val="5D517802"/>
    <w:rsid w:val="5D526FF7"/>
    <w:rsid w:val="5D5C10B5"/>
    <w:rsid w:val="5D5E7AF9"/>
    <w:rsid w:val="5D683540"/>
    <w:rsid w:val="5D6934F6"/>
    <w:rsid w:val="5D69550A"/>
    <w:rsid w:val="5D6B6308"/>
    <w:rsid w:val="5D6D4FFA"/>
    <w:rsid w:val="5D7001A8"/>
    <w:rsid w:val="5D8541A2"/>
    <w:rsid w:val="5D973E25"/>
    <w:rsid w:val="5D980897"/>
    <w:rsid w:val="5D9F0F2C"/>
    <w:rsid w:val="5D9F2CDA"/>
    <w:rsid w:val="5DA87DE0"/>
    <w:rsid w:val="5DB03139"/>
    <w:rsid w:val="5DB425BE"/>
    <w:rsid w:val="5DB51D13"/>
    <w:rsid w:val="5DBE7B6A"/>
    <w:rsid w:val="5DC40A6D"/>
    <w:rsid w:val="5DDB01B6"/>
    <w:rsid w:val="5DDE74C3"/>
    <w:rsid w:val="5DE52728"/>
    <w:rsid w:val="5DE9151D"/>
    <w:rsid w:val="5DEA664B"/>
    <w:rsid w:val="5DF3015D"/>
    <w:rsid w:val="5DF63241"/>
    <w:rsid w:val="5DF64FF0"/>
    <w:rsid w:val="5DF719B1"/>
    <w:rsid w:val="5E007C1C"/>
    <w:rsid w:val="5E023994"/>
    <w:rsid w:val="5E0B3C39"/>
    <w:rsid w:val="5E111643"/>
    <w:rsid w:val="5E167B4B"/>
    <w:rsid w:val="5E1B6804"/>
    <w:rsid w:val="5E20206C"/>
    <w:rsid w:val="5E227B93"/>
    <w:rsid w:val="5E2467F1"/>
    <w:rsid w:val="5E2D1659"/>
    <w:rsid w:val="5E3A4422"/>
    <w:rsid w:val="5E3B70DD"/>
    <w:rsid w:val="5E3D1A9F"/>
    <w:rsid w:val="5E517B61"/>
    <w:rsid w:val="5E527E8C"/>
    <w:rsid w:val="5E56547F"/>
    <w:rsid w:val="5E587A58"/>
    <w:rsid w:val="5E59732C"/>
    <w:rsid w:val="5E5B30A5"/>
    <w:rsid w:val="5E6117A3"/>
    <w:rsid w:val="5E653F23"/>
    <w:rsid w:val="5E695530"/>
    <w:rsid w:val="5E6C7060"/>
    <w:rsid w:val="5E7303EE"/>
    <w:rsid w:val="5E8029C8"/>
    <w:rsid w:val="5E850121"/>
    <w:rsid w:val="5E8B1BDC"/>
    <w:rsid w:val="5E8C1AA4"/>
    <w:rsid w:val="5E906CD9"/>
    <w:rsid w:val="5E940365"/>
    <w:rsid w:val="5E9B58CD"/>
    <w:rsid w:val="5EA031AD"/>
    <w:rsid w:val="5EA05CA3"/>
    <w:rsid w:val="5EA35765"/>
    <w:rsid w:val="5EAB68BC"/>
    <w:rsid w:val="5EB10F16"/>
    <w:rsid w:val="5EB427B5"/>
    <w:rsid w:val="5EB60B32"/>
    <w:rsid w:val="5EB93CE1"/>
    <w:rsid w:val="5EBB3B43"/>
    <w:rsid w:val="5EC024AA"/>
    <w:rsid w:val="5EC8350B"/>
    <w:rsid w:val="5ECF17A8"/>
    <w:rsid w:val="5EDD61AF"/>
    <w:rsid w:val="5EE70DDC"/>
    <w:rsid w:val="5EE72B8A"/>
    <w:rsid w:val="5EEA5F89"/>
    <w:rsid w:val="5EEF0283"/>
    <w:rsid w:val="5EF534F9"/>
    <w:rsid w:val="5EF6660F"/>
    <w:rsid w:val="5EF77271"/>
    <w:rsid w:val="5F013C4C"/>
    <w:rsid w:val="5F046651"/>
    <w:rsid w:val="5F0C3E73"/>
    <w:rsid w:val="5F103E8F"/>
    <w:rsid w:val="5F122BA9"/>
    <w:rsid w:val="5F18004D"/>
    <w:rsid w:val="5F18270C"/>
    <w:rsid w:val="5F186AFD"/>
    <w:rsid w:val="5F1A2B43"/>
    <w:rsid w:val="5F281962"/>
    <w:rsid w:val="5F2904F8"/>
    <w:rsid w:val="5F465B03"/>
    <w:rsid w:val="5F5324E4"/>
    <w:rsid w:val="5F5C0449"/>
    <w:rsid w:val="5F627120"/>
    <w:rsid w:val="5F67529C"/>
    <w:rsid w:val="5F6E0BB6"/>
    <w:rsid w:val="5F6E32A0"/>
    <w:rsid w:val="5F6E5059"/>
    <w:rsid w:val="5F7408C2"/>
    <w:rsid w:val="5F742670"/>
    <w:rsid w:val="5F751F44"/>
    <w:rsid w:val="5F755DEF"/>
    <w:rsid w:val="5F7C32D2"/>
    <w:rsid w:val="5F7D47A4"/>
    <w:rsid w:val="5F910885"/>
    <w:rsid w:val="5F952EBF"/>
    <w:rsid w:val="5F9F1531"/>
    <w:rsid w:val="5FA173EB"/>
    <w:rsid w:val="5FA34D03"/>
    <w:rsid w:val="5FA82319"/>
    <w:rsid w:val="5FAA4512"/>
    <w:rsid w:val="5FAB005C"/>
    <w:rsid w:val="5FB011CE"/>
    <w:rsid w:val="5FB21B8B"/>
    <w:rsid w:val="5FB52C88"/>
    <w:rsid w:val="5FB7255D"/>
    <w:rsid w:val="5FB837BB"/>
    <w:rsid w:val="5FC428A8"/>
    <w:rsid w:val="5FC51376"/>
    <w:rsid w:val="5FC531FC"/>
    <w:rsid w:val="5FC9073E"/>
    <w:rsid w:val="5FCD2F8A"/>
    <w:rsid w:val="5FCF623B"/>
    <w:rsid w:val="5FD44EBD"/>
    <w:rsid w:val="5FE4753D"/>
    <w:rsid w:val="5FED41D0"/>
    <w:rsid w:val="5FF67529"/>
    <w:rsid w:val="5FF7219C"/>
    <w:rsid w:val="5FFF3E8D"/>
    <w:rsid w:val="60013512"/>
    <w:rsid w:val="60050230"/>
    <w:rsid w:val="600734E4"/>
    <w:rsid w:val="601856F1"/>
    <w:rsid w:val="601E30F2"/>
    <w:rsid w:val="601F7309"/>
    <w:rsid w:val="60213E7A"/>
    <w:rsid w:val="60262110"/>
    <w:rsid w:val="602F47E9"/>
    <w:rsid w:val="602F4D08"/>
    <w:rsid w:val="60367F2C"/>
    <w:rsid w:val="60427649"/>
    <w:rsid w:val="60570A5B"/>
    <w:rsid w:val="60593614"/>
    <w:rsid w:val="605E50CE"/>
    <w:rsid w:val="6060461C"/>
    <w:rsid w:val="60671746"/>
    <w:rsid w:val="606A3CE4"/>
    <w:rsid w:val="606A3D42"/>
    <w:rsid w:val="606C1599"/>
    <w:rsid w:val="60706D88"/>
    <w:rsid w:val="60730B79"/>
    <w:rsid w:val="60773CC2"/>
    <w:rsid w:val="60820FA5"/>
    <w:rsid w:val="60871844"/>
    <w:rsid w:val="608D10A3"/>
    <w:rsid w:val="608D6A3C"/>
    <w:rsid w:val="609157B9"/>
    <w:rsid w:val="609347BF"/>
    <w:rsid w:val="60984E16"/>
    <w:rsid w:val="609A6103"/>
    <w:rsid w:val="609C5C96"/>
    <w:rsid w:val="60A218DD"/>
    <w:rsid w:val="60A22714"/>
    <w:rsid w:val="60A43DC3"/>
    <w:rsid w:val="60AA0313"/>
    <w:rsid w:val="60B151FE"/>
    <w:rsid w:val="60C05441"/>
    <w:rsid w:val="60C1562A"/>
    <w:rsid w:val="60C5514D"/>
    <w:rsid w:val="60C656CC"/>
    <w:rsid w:val="60CC405A"/>
    <w:rsid w:val="60CC64DC"/>
    <w:rsid w:val="60CF35B8"/>
    <w:rsid w:val="60D346B3"/>
    <w:rsid w:val="60DD290C"/>
    <w:rsid w:val="60DD34C2"/>
    <w:rsid w:val="60DD6C73"/>
    <w:rsid w:val="60E62F68"/>
    <w:rsid w:val="60EB178E"/>
    <w:rsid w:val="60F82E2D"/>
    <w:rsid w:val="60FB291D"/>
    <w:rsid w:val="610F5757"/>
    <w:rsid w:val="610F6876"/>
    <w:rsid w:val="61185E46"/>
    <w:rsid w:val="611D2893"/>
    <w:rsid w:val="61212EEB"/>
    <w:rsid w:val="61227EAA"/>
    <w:rsid w:val="61235779"/>
    <w:rsid w:val="61273712"/>
    <w:rsid w:val="61280654"/>
    <w:rsid w:val="612B4321"/>
    <w:rsid w:val="612C0FE2"/>
    <w:rsid w:val="612E5C3F"/>
    <w:rsid w:val="613A1697"/>
    <w:rsid w:val="6140656D"/>
    <w:rsid w:val="614222FA"/>
    <w:rsid w:val="61442950"/>
    <w:rsid w:val="614C5F5A"/>
    <w:rsid w:val="615269E1"/>
    <w:rsid w:val="615A3AE7"/>
    <w:rsid w:val="615E35D8"/>
    <w:rsid w:val="616E1341"/>
    <w:rsid w:val="616F12F4"/>
    <w:rsid w:val="61776447"/>
    <w:rsid w:val="617A5F38"/>
    <w:rsid w:val="617B1A6A"/>
    <w:rsid w:val="617C1CB0"/>
    <w:rsid w:val="617F70AA"/>
    <w:rsid w:val="61803A0F"/>
    <w:rsid w:val="61825DE3"/>
    <w:rsid w:val="61881805"/>
    <w:rsid w:val="618A0545"/>
    <w:rsid w:val="618D5C6B"/>
    <w:rsid w:val="61954B1F"/>
    <w:rsid w:val="61997BD7"/>
    <w:rsid w:val="619C1998"/>
    <w:rsid w:val="619C1A0A"/>
    <w:rsid w:val="619C7C5C"/>
    <w:rsid w:val="61A47C67"/>
    <w:rsid w:val="61A564A5"/>
    <w:rsid w:val="61AB2D4A"/>
    <w:rsid w:val="61AB7EA5"/>
    <w:rsid w:val="61B84D9A"/>
    <w:rsid w:val="61BA4586"/>
    <w:rsid w:val="61BC3E5A"/>
    <w:rsid w:val="61BC6E42"/>
    <w:rsid w:val="61BD4A2D"/>
    <w:rsid w:val="61C32F27"/>
    <w:rsid w:val="61C575C7"/>
    <w:rsid w:val="61C6117D"/>
    <w:rsid w:val="61C807CC"/>
    <w:rsid w:val="61C91196"/>
    <w:rsid w:val="61C9282D"/>
    <w:rsid w:val="61C93449"/>
    <w:rsid w:val="61CA1880"/>
    <w:rsid w:val="61CB22EF"/>
    <w:rsid w:val="61D218D0"/>
    <w:rsid w:val="61D73EAA"/>
    <w:rsid w:val="61D76B8B"/>
    <w:rsid w:val="61DD17AD"/>
    <w:rsid w:val="61E215D8"/>
    <w:rsid w:val="61EA54CA"/>
    <w:rsid w:val="61EB7397"/>
    <w:rsid w:val="61F15CD1"/>
    <w:rsid w:val="61F84262"/>
    <w:rsid w:val="61FF01EB"/>
    <w:rsid w:val="62045801"/>
    <w:rsid w:val="62114A79"/>
    <w:rsid w:val="62117F6C"/>
    <w:rsid w:val="621B3775"/>
    <w:rsid w:val="621C616D"/>
    <w:rsid w:val="62206ADF"/>
    <w:rsid w:val="6223212B"/>
    <w:rsid w:val="62255EA3"/>
    <w:rsid w:val="62257EC6"/>
    <w:rsid w:val="622D18F9"/>
    <w:rsid w:val="62316C8B"/>
    <w:rsid w:val="62364782"/>
    <w:rsid w:val="6239314F"/>
    <w:rsid w:val="623E0D13"/>
    <w:rsid w:val="624327CD"/>
    <w:rsid w:val="62444706"/>
    <w:rsid w:val="62467BC8"/>
    <w:rsid w:val="624B188D"/>
    <w:rsid w:val="624F2510"/>
    <w:rsid w:val="62530E82"/>
    <w:rsid w:val="62534EC1"/>
    <w:rsid w:val="625508A1"/>
    <w:rsid w:val="625978FB"/>
    <w:rsid w:val="62652795"/>
    <w:rsid w:val="626D1F2A"/>
    <w:rsid w:val="626F778E"/>
    <w:rsid w:val="627632DC"/>
    <w:rsid w:val="627675EA"/>
    <w:rsid w:val="627B3D15"/>
    <w:rsid w:val="628E1C9B"/>
    <w:rsid w:val="62922E0D"/>
    <w:rsid w:val="6297127F"/>
    <w:rsid w:val="6299063F"/>
    <w:rsid w:val="62A274F4"/>
    <w:rsid w:val="62A40B69"/>
    <w:rsid w:val="62A868A0"/>
    <w:rsid w:val="62AB0094"/>
    <w:rsid w:val="62AF5749"/>
    <w:rsid w:val="62B41452"/>
    <w:rsid w:val="62B64D4D"/>
    <w:rsid w:val="62B80AC5"/>
    <w:rsid w:val="62B83B40"/>
    <w:rsid w:val="62C059BF"/>
    <w:rsid w:val="62C751AC"/>
    <w:rsid w:val="62CC62D7"/>
    <w:rsid w:val="62CE653B"/>
    <w:rsid w:val="62D544B2"/>
    <w:rsid w:val="62D578C9"/>
    <w:rsid w:val="62DB2A06"/>
    <w:rsid w:val="62DD724C"/>
    <w:rsid w:val="62DE6052"/>
    <w:rsid w:val="62E12409"/>
    <w:rsid w:val="62E55633"/>
    <w:rsid w:val="62E67775"/>
    <w:rsid w:val="62E843ED"/>
    <w:rsid w:val="62EE098B"/>
    <w:rsid w:val="62F35FA1"/>
    <w:rsid w:val="630A5099"/>
    <w:rsid w:val="631371A9"/>
    <w:rsid w:val="63161C90"/>
    <w:rsid w:val="63212B0F"/>
    <w:rsid w:val="632475E1"/>
    <w:rsid w:val="6328448F"/>
    <w:rsid w:val="63336D13"/>
    <w:rsid w:val="633A3BD0"/>
    <w:rsid w:val="633B5483"/>
    <w:rsid w:val="633D31F3"/>
    <w:rsid w:val="633D721D"/>
    <w:rsid w:val="63402869"/>
    <w:rsid w:val="63497970"/>
    <w:rsid w:val="634F4894"/>
    <w:rsid w:val="6353259C"/>
    <w:rsid w:val="635B76A3"/>
    <w:rsid w:val="635C3B47"/>
    <w:rsid w:val="635E38F3"/>
    <w:rsid w:val="6367429A"/>
    <w:rsid w:val="636B5D2E"/>
    <w:rsid w:val="637A1985"/>
    <w:rsid w:val="638304BF"/>
    <w:rsid w:val="638A7EF6"/>
    <w:rsid w:val="6393093A"/>
    <w:rsid w:val="6394356A"/>
    <w:rsid w:val="63976314"/>
    <w:rsid w:val="639E348C"/>
    <w:rsid w:val="63A55FDB"/>
    <w:rsid w:val="63AF5002"/>
    <w:rsid w:val="63B32E3E"/>
    <w:rsid w:val="63B45AD3"/>
    <w:rsid w:val="63B76FCF"/>
    <w:rsid w:val="63B84AF5"/>
    <w:rsid w:val="63BB7703"/>
    <w:rsid w:val="63C2742C"/>
    <w:rsid w:val="63C46DD2"/>
    <w:rsid w:val="63C61B2C"/>
    <w:rsid w:val="63C92321"/>
    <w:rsid w:val="63C97DB5"/>
    <w:rsid w:val="63CA3374"/>
    <w:rsid w:val="63CD05A1"/>
    <w:rsid w:val="63CE5AFF"/>
    <w:rsid w:val="63D40BE9"/>
    <w:rsid w:val="63D77671"/>
    <w:rsid w:val="63D829A7"/>
    <w:rsid w:val="63D95197"/>
    <w:rsid w:val="63DD00E9"/>
    <w:rsid w:val="63DF2282"/>
    <w:rsid w:val="63E92F01"/>
    <w:rsid w:val="63EE4751"/>
    <w:rsid w:val="63F006F8"/>
    <w:rsid w:val="63F30D3F"/>
    <w:rsid w:val="63FF380D"/>
    <w:rsid w:val="63FF7D66"/>
    <w:rsid w:val="64041AE8"/>
    <w:rsid w:val="64102431"/>
    <w:rsid w:val="64175CC0"/>
    <w:rsid w:val="641A130C"/>
    <w:rsid w:val="6421269A"/>
    <w:rsid w:val="64266529"/>
    <w:rsid w:val="642673ED"/>
    <w:rsid w:val="64287ECD"/>
    <w:rsid w:val="642F2FDE"/>
    <w:rsid w:val="64331AEC"/>
    <w:rsid w:val="643437B2"/>
    <w:rsid w:val="6434684B"/>
    <w:rsid w:val="643822DB"/>
    <w:rsid w:val="64410F8F"/>
    <w:rsid w:val="64412D3D"/>
    <w:rsid w:val="644B7E9A"/>
    <w:rsid w:val="64504D2E"/>
    <w:rsid w:val="645B3DFE"/>
    <w:rsid w:val="6468651B"/>
    <w:rsid w:val="646B11B2"/>
    <w:rsid w:val="646C4091"/>
    <w:rsid w:val="646D58E0"/>
    <w:rsid w:val="64794284"/>
    <w:rsid w:val="64841F64"/>
    <w:rsid w:val="64896817"/>
    <w:rsid w:val="648C045C"/>
    <w:rsid w:val="648C1E56"/>
    <w:rsid w:val="64963088"/>
    <w:rsid w:val="64975006"/>
    <w:rsid w:val="649D31B0"/>
    <w:rsid w:val="649D3D5A"/>
    <w:rsid w:val="649E05C4"/>
    <w:rsid w:val="64A5243A"/>
    <w:rsid w:val="64AE38B5"/>
    <w:rsid w:val="64AF3043"/>
    <w:rsid w:val="64B5246F"/>
    <w:rsid w:val="64BA6ECB"/>
    <w:rsid w:val="64C02ADC"/>
    <w:rsid w:val="64C71494"/>
    <w:rsid w:val="64CA7FDD"/>
    <w:rsid w:val="64CC215E"/>
    <w:rsid w:val="64CE39D1"/>
    <w:rsid w:val="64D12E8C"/>
    <w:rsid w:val="64D731EA"/>
    <w:rsid w:val="64F531DE"/>
    <w:rsid w:val="64F658D5"/>
    <w:rsid w:val="64F8164D"/>
    <w:rsid w:val="6500511D"/>
    <w:rsid w:val="6507446B"/>
    <w:rsid w:val="65080FBF"/>
    <w:rsid w:val="6514534E"/>
    <w:rsid w:val="651751E1"/>
    <w:rsid w:val="65183A9D"/>
    <w:rsid w:val="651B54A2"/>
    <w:rsid w:val="651C06E3"/>
    <w:rsid w:val="65200BA4"/>
    <w:rsid w:val="65294721"/>
    <w:rsid w:val="652E32C1"/>
    <w:rsid w:val="65314BDF"/>
    <w:rsid w:val="65354D55"/>
    <w:rsid w:val="65373578"/>
    <w:rsid w:val="653A1C66"/>
    <w:rsid w:val="653B6D71"/>
    <w:rsid w:val="653D374B"/>
    <w:rsid w:val="653F727C"/>
    <w:rsid w:val="654523B9"/>
    <w:rsid w:val="65481071"/>
    <w:rsid w:val="654B3E73"/>
    <w:rsid w:val="654D6F4B"/>
    <w:rsid w:val="6555326F"/>
    <w:rsid w:val="655D3BA6"/>
    <w:rsid w:val="65655C8C"/>
    <w:rsid w:val="65671199"/>
    <w:rsid w:val="656869A4"/>
    <w:rsid w:val="656B79B0"/>
    <w:rsid w:val="656C0368"/>
    <w:rsid w:val="657607C4"/>
    <w:rsid w:val="658904F7"/>
    <w:rsid w:val="659210A7"/>
    <w:rsid w:val="6593581A"/>
    <w:rsid w:val="65982E30"/>
    <w:rsid w:val="659A6BA8"/>
    <w:rsid w:val="659C46CE"/>
    <w:rsid w:val="659E755E"/>
    <w:rsid w:val="65B25CA0"/>
    <w:rsid w:val="65B30A6E"/>
    <w:rsid w:val="65BC6B1F"/>
    <w:rsid w:val="65C63B99"/>
    <w:rsid w:val="65C6799D"/>
    <w:rsid w:val="65C9123C"/>
    <w:rsid w:val="65CC4888"/>
    <w:rsid w:val="65CD5BB9"/>
    <w:rsid w:val="65D06126"/>
    <w:rsid w:val="65EE0CA2"/>
    <w:rsid w:val="65EF64FF"/>
    <w:rsid w:val="65F067C8"/>
    <w:rsid w:val="660202AA"/>
    <w:rsid w:val="66026333"/>
    <w:rsid w:val="6606405C"/>
    <w:rsid w:val="660C0AEA"/>
    <w:rsid w:val="66157FDD"/>
    <w:rsid w:val="661A1A97"/>
    <w:rsid w:val="661C136B"/>
    <w:rsid w:val="661E1587"/>
    <w:rsid w:val="661E50E3"/>
    <w:rsid w:val="66214BD4"/>
    <w:rsid w:val="66255307"/>
    <w:rsid w:val="66292093"/>
    <w:rsid w:val="66306085"/>
    <w:rsid w:val="66342B59"/>
    <w:rsid w:val="663658B2"/>
    <w:rsid w:val="663F55CE"/>
    <w:rsid w:val="66430FEE"/>
    <w:rsid w:val="66493F20"/>
    <w:rsid w:val="664B1C51"/>
    <w:rsid w:val="6656172D"/>
    <w:rsid w:val="665B4AA2"/>
    <w:rsid w:val="665D7EA0"/>
    <w:rsid w:val="66644AC0"/>
    <w:rsid w:val="666971A7"/>
    <w:rsid w:val="666A657B"/>
    <w:rsid w:val="666F593F"/>
    <w:rsid w:val="667E25EE"/>
    <w:rsid w:val="667E5B82"/>
    <w:rsid w:val="66807935"/>
    <w:rsid w:val="66811B16"/>
    <w:rsid w:val="66830A37"/>
    <w:rsid w:val="66833198"/>
    <w:rsid w:val="66855163"/>
    <w:rsid w:val="6685689B"/>
    <w:rsid w:val="668A09CB"/>
    <w:rsid w:val="66A36717"/>
    <w:rsid w:val="66A57DD1"/>
    <w:rsid w:val="66A63E64"/>
    <w:rsid w:val="66B400ED"/>
    <w:rsid w:val="66B5531C"/>
    <w:rsid w:val="66BC603B"/>
    <w:rsid w:val="66BF4C2B"/>
    <w:rsid w:val="66C40E41"/>
    <w:rsid w:val="66C86E79"/>
    <w:rsid w:val="66CF2882"/>
    <w:rsid w:val="66D87988"/>
    <w:rsid w:val="66E5702F"/>
    <w:rsid w:val="66EA1469"/>
    <w:rsid w:val="66EC51E2"/>
    <w:rsid w:val="66EE071D"/>
    <w:rsid w:val="66F03A3B"/>
    <w:rsid w:val="66F44128"/>
    <w:rsid w:val="66F61BBC"/>
    <w:rsid w:val="66F773E7"/>
    <w:rsid w:val="66FB4829"/>
    <w:rsid w:val="670A59B7"/>
    <w:rsid w:val="67136C12"/>
    <w:rsid w:val="671D552C"/>
    <w:rsid w:val="671E1113"/>
    <w:rsid w:val="671F124A"/>
    <w:rsid w:val="672116AD"/>
    <w:rsid w:val="6726678D"/>
    <w:rsid w:val="67284039"/>
    <w:rsid w:val="672C1E97"/>
    <w:rsid w:val="67301FB0"/>
    <w:rsid w:val="673539E8"/>
    <w:rsid w:val="67405102"/>
    <w:rsid w:val="67424E02"/>
    <w:rsid w:val="674E7C4A"/>
    <w:rsid w:val="6758204C"/>
    <w:rsid w:val="675B0B16"/>
    <w:rsid w:val="675E4F1C"/>
    <w:rsid w:val="6760797E"/>
    <w:rsid w:val="67614281"/>
    <w:rsid w:val="676975DF"/>
    <w:rsid w:val="676E5CC7"/>
    <w:rsid w:val="677007A4"/>
    <w:rsid w:val="6773145F"/>
    <w:rsid w:val="677A33C6"/>
    <w:rsid w:val="67824898"/>
    <w:rsid w:val="679114B5"/>
    <w:rsid w:val="679B2764"/>
    <w:rsid w:val="679C136E"/>
    <w:rsid w:val="67A75305"/>
    <w:rsid w:val="67AB6E4B"/>
    <w:rsid w:val="67AC2BC3"/>
    <w:rsid w:val="67AC5C1B"/>
    <w:rsid w:val="67B33C81"/>
    <w:rsid w:val="67B35445"/>
    <w:rsid w:val="67BA52E0"/>
    <w:rsid w:val="67C65A33"/>
    <w:rsid w:val="67CE7974"/>
    <w:rsid w:val="67DA2412"/>
    <w:rsid w:val="67E269DE"/>
    <w:rsid w:val="67E67E83"/>
    <w:rsid w:val="67EA45E1"/>
    <w:rsid w:val="67EA4979"/>
    <w:rsid w:val="68002EF3"/>
    <w:rsid w:val="68106CAE"/>
    <w:rsid w:val="68122FB4"/>
    <w:rsid w:val="68124D15"/>
    <w:rsid w:val="68143365"/>
    <w:rsid w:val="68157B5B"/>
    <w:rsid w:val="681D10F0"/>
    <w:rsid w:val="681F6961"/>
    <w:rsid w:val="68345158"/>
    <w:rsid w:val="683F57E5"/>
    <w:rsid w:val="68420E31"/>
    <w:rsid w:val="68424F6C"/>
    <w:rsid w:val="68462D0C"/>
    <w:rsid w:val="68486BA1"/>
    <w:rsid w:val="685017A0"/>
    <w:rsid w:val="6852251D"/>
    <w:rsid w:val="6853303E"/>
    <w:rsid w:val="68550B65"/>
    <w:rsid w:val="68573EE5"/>
    <w:rsid w:val="685C6397"/>
    <w:rsid w:val="685E3EBD"/>
    <w:rsid w:val="68603225"/>
    <w:rsid w:val="68610A2F"/>
    <w:rsid w:val="68646FFA"/>
    <w:rsid w:val="686B5538"/>
    <w:rsid w:val="686C0075"/>
    <w:rsid w:val="6870599E"/>
    <w:rsid w:val="68711DDD"/>
    <w:rsid w:val="68765AC9"/>
    <w:rsid w:val="687D6664"/>
    <w:rsid w:val="687F5BE1"/>
    <w:rsid w:val="68805514"/>
    <w:rsid w:val="6884144A"/>
    <w:rsid w:val="68891033"/>
    <w:rsid w:val="688F22C8"/>
    <w:rsid w:val="689478DF"/>
    <w:rsid w:val="68A81105"/>
    <w:rsid w:val="68AF4719"/>
    <w:rsid w:val="68B95597"/>
    <w:rsid w:val="68C72254"/>
    <w:rsid w:val="68CC11D3"/>
    <w:rsid w:val="68D0468F"/>
    <w:rsid w:val="68D4417F"/>
    <w:rsid w:val="68D45F2D"/>
    <w:rsid w:val="68D75A1D"/>
    <w:rsid w:val="68DD74D8"/>
    <w:rsid w:val="68EF0D46"/>
    <w:rsid w:val="68FA59C2"/>
    <w:rsid w:val="690534E5"/>
    <w:rsid w:val="69096762"/>
    <w:rsid w:val="690A791F"/>
    <w:rsid w:val="690B56C7"/>
    <w:rsid w:val="690D7691"/>
    <w:rsid w:val="691412B2"/>
    <w:rsid w:val="69164798"/>
    <w:rsid w:val="69170761"/>
    <w:rsid w:val="691D486B"/>
    <w:rsid w:val="69216B47"/>
    <w:rsid w:val="692C520B"/>
    <w:rsid w:val="692C7B17"/>
    <w:rsid w:val="692D1AE1"/>
    <w:rsid w:val="692E31CA"/>
    <w:rsid w:val="69316E2F"/>
    <w:rsid w:val="69384ECC"/>
    <w:rsid w:val="69404B6B"/>
    <w:rsid w:val="69447BFF"/>
    <w:rsid w:val="694A2693"/>
    <w:rsid w:val="694E2071"/>
    <w:rsid w:val="69535DCE"/>
    <w:rsid w:val="69561038"/>
    <w:rsid w:val="695B03FD"/>
    <w:rsid w:val="695B045F"/>
    <w:rsid w:val="6960030A"/>
    <w:rsid w:val="69661605"/>
    <w:rsid w:val="69676DA1"/>
    <w:rsid w:val="696D3DF9"/>
    <w:rsid w:val="69766163"/>
    <w:rsid w:val="697A3B33"/>
    <w:rsid w:val="697B284D"/>
    <w:rsid w:val="697C2025"/>
    <w:rsid w:val="697D4817"/>
    <w:rsid w:val="69801C11"/>
    <w:rsid w:val="699166DB"/>
    <w:rsid w:val="69B33D95"/>
    <w:rsid w:val="69B47B0D"/>
    <w:rsid w:val="69B91D5E"/>
    <w:rsid w:val="69BD10B7"/>
    <w:rsid w:val="69C22C62"/>
    <w:rsid w:val="69C266CE"/>
    <w:rsid w:val="69C36407"/>
    <w:rsid w:val="69CB37D4"/>
    <w:rsid w:val="69CC3811"/>
    <w:rsid w:val="69D0270C"/>
    <w:rsid w:val="69D44760"/>
    <w:rsid w:val="69D6463E"/>
    <w:rsid w:val="69DD52B6"/>
    <w:rsid w:val="69E3388C"/>
    <w:rsid w:val="69E76134"/>
    <w:rsid w:val="69EA3713"/>
    <w:rsid w:val="69F05894"/>
    <w:rsid w:val="69F85C4B"/>
    <w:rsid w:val="69FF347E"/>
    <w:rsid w:val="6A042C1C"/>
    <w:rsid w:val="6A1C198C"/>
    <w:rsid w:val="6A2231E6"/>
    <w:rsid w:val="6A257BF2"/>
    <w:rsid w:val="6A2A0A0D"/>
    <w:rsid w:val="6A2C3B47"/>
    <w:rsid w:val="6A2C4B95"/>
    <w:rsid w:val="6A352DE1"/>
    <w:rsid w:val="6A3C1FDC"/>
    <w:rsid w:val="6A3D129A"/>
    <w:rsid w:val="6A3D1E0A"/>
    <w:rsid w:val="6A4523DE"/>
    <w:rsid w:val="6A4763F9"/>
    <w:rsid w:val="6A4845DF"/>
    <w:rsid w:val="6A4F3C09"/>
    <w:rsid w:val="6A4F42DF"/>
    <w:rsid w:val="6A5135AE"/>
    <w:rsid w:val="6A520EC7"/>
    <w:rsid w:val="6A55309E"/>
    <w:rsid w:val="6A62427E"/>
    <w:rsid w:val="6A627569"/>
    <w:rsid w:val="6A647785"/>
    <w:rsid w:val="6A67093B"/>
    <w:rsid w:val="6A6D6639"/>
    <w:rsid w:val="6A837C0B"/>
    <w:rsid w:val="6A8B7002"/>
    <w:rsid w:val="6A9242F2"/>
    <w:rsid w:val="6A973960"/>
    <w:rsid w:val="6A9C1734"/>
    <w:rsid w:val="6A9D0255"/>
    <w:rsid w:val="6AA356F9"/>
    <w:rsid w:val="6AA656A7"/>
    <w:rsid w:val="6AA656AD"/>
    <w:rsid w:val="6AA95198"/>
    <w:rsid w:val="6AAA2B5E"/>
    <w:rsid w:val="6AAB53B4"/>
    <w:rsid w:val="6ABA1153"/>
    <w:rsid w:val="6AC02C0D"/>
    <w:rsid w:val="6AC25EE7"/>
    <w:rsid w:val="6ACA583A"/>
    <w:rsid w:val="6AD422C3"/>
    <w:rsid w:val="6ADC1112"/>
    <w:rsid w:val="6ADE12E5"/>
    <w:rsid w:val="6AE67F20"/>
    <w:rsid w:val="6AEC3152"/>
    <w:rsid w:val="6AF0636A"/>
    <w:rsid w:val="6AF87E20"/>
    <w:rsid w:val="6B0B1692"/>
    <w:rsid w:val="6B0C64F5"/>
    <w:rsid w:val="6B106C61"/>
    <w:rsid w:val="6B184326"/>
    <w:rsid w:val="6B1B6095"/>
    <w:rsid w:val="6B1D005F"/>
    <w:rsid w:val="6B2313EE"/>
    <w:rsid w:val="6B236C4F"/>
    <w:rsid w:val="6B250B03"/>
    <w:rsid w:val="6B2725BC"/>
    <w:rsid w:val="6B2D7B77"/>
    <w:rsid w:val="6B2F7D8C"/>
    <w:rsid w:val="6B322639"/>
    <w:rsid w:val="6B32518D"/>
    <w:rsid w:val="6B3536DF"/>
    <w:rsid w:val="6B362ECF"/>
    <w:rsid w:val="6B3B6738"/>
    <w:rsid w:val="6B3C7DBA"/>
    <w:rsid w:val="6B427AC6"/>
    <w:rsid w:val="6B4750DC"/>
    <w:rsid w:val="6B49062F"/>
    <w:rsid w:val="6B4A1AF6"/>
    <w:rsid w:val="6B4F3F91"/>
    <w:rsid w:val="6B5044F1"/>
    <w:rsid w:val="6B532B05"/>
    <w:rsid w:val="6B5C045C"/>
    <w:rsid w:val="6B5D5C7F"/>
    <w:rsid w:val="6B605C4A"/>
    <w:rsid w:val="6B60619E"/>
    <w:rsid w:val="6B6123BB"/>
    <w:rsid w:val="6B777044"/>
    <w:rsid w:val="6B80414A"/>
    <w:rsid w:val="6B824366"/>
    <w:rsid w:val="6B851761"/>
    <w:rsid w:val="6B873161"/>
    <w:rsid w:val="6BA25323"/>
    <w:rsid w:val="6BA605BA"/>
    <w:rsid w:val="6BA75B7B"/>
    <w:rsid w:val="6BA872D6"/>
    <w:rsid w:val="6BA918F3"/>
    <w:rsid w:val="6BA97134"/>
    <w:rsid w:val="6BAA5A54"/>
    <w:rsid w:val="6BAB4210"/>
    <w:rsid w:val="6BAD2A66"/>
    <w:rsid w:val="6BAF6037"/>
    <w:rsid w:val="6BB41665"/>
    <w:rsid w:val="6BBB2E5F"/>
    <w:rsid w:val="6BBF3C17"/>
    <w:rsid w:val="6BC455E6"/>
    <w:rsid w:val="6BD05980"/>
    <w:rsid w:val="6BD455CF"/>
    <w:rsid w:val="6BD93146"/>
    <w:rsid w:val="6BE1174C"/>
    <w:rsid w:val="6BE40B7D"/>
    <w:rsid w:val="6BE471B0"/>
    <w:rsid w:val="6BE744F4"/>
    <w:rsid w:val="6BE925F4"/>
    <w:rsid w:val="6BEF39AA"/>
    <w:rsid w:val="6BFD4FFE"/>
    <w:rsid w:val="6BFF757C"/>
    <w:rsid w:val="6C034943"/>
    <w:rsid w:val="6C034AA8"/>
    <w:rsid w:val="6C07440E"/>
    <w:rsid w:val="6C092392"/>
    <w:rsid w:val="6C0A3697"/>
    <w:rsid w:val="6C0C59DE"/>
    <w:rsid w:val="6C0C5F81"/>
    <w:rsid w:val="6C16685D"/>
    <w:rsid w:val="6C1D7BEB"/>
    <w:rsid w:val="6C1E768B"/>
    <w:rsid w:val="6C2F3E68"/>
    <w:rsid w:val="6C360CAD"/>
    <w:rsid w:val="6C3A254B"/>
    <w:rsid w:val="6C464B5B"/>
    <w:rsid w:val="6C4810B9"/>
    <w:rsid w:val="6C490B48"/>
    <w:rsid w:val="6C4B5DA8"/>
    <w:rsid w:val="6C53185F"/>
    <w:rsid w:val="6C636C38"/>
    <w:rsid w:val="6C6B34A7"/>
    <w:rsid w:val="6C6C2912"/>
    <w:rsid w:val="6C727F37"/>
    <w:rsid w:val="6C7C77B6"/>
    <w:rsid w:val="6C7E6D86"/>
    <w:rsid w:val="6C843C10"/>
    <w:rsid w:val="6C8639E2"/>
    <w:rsid w:val="6C89009E"/>
    <w:rsid w:val="6C8973D0"/>
    <w:rsid w:val="6C8C7C4A"/>
    <w:rsid w:val="6C944351"/>
    <w:rsid w:val="6C97174C"/>
    <w:rsid w:val="6C9C4FB4"/>
    <w:rsid w:val="6C9D2552"/>
    <w:rsid w:val="6C9F2CF6"/>
    <w:rsid w:val="6CA17146"/>
    <w:rsid w:val="6CA71618"/>
    <w:rsid w:val="6CA81BAB"/>
    <w:rsid w:val="6CAB169B"/>
    <w:rsid w:val="6CAB3449"/>
    <w:rsid w:val="6CAB51F7"/>
    <w:rsid w:val="6CAD5317"/>
    <w:rsid w:val="6CAF396B"/>
    <w:rsid w:val="6CB56076"/>
    <w:rsid w:val="6CB63EC6"/>
    <w:rsid w:val="6CB65532"/>
    <w:rsid w:val="6CBA368C"/>
    <w:rsid w:val="6CC12C6C"/>
    <w:rsid w:val="6CC30793"/>
    <w:rsid w:val="6CC8224D"/>
    <w:rsid w:val="6CCC42B9"/>
    <w:rsid w:val="6CCC68A5"/>
    <w:rsid w:val="6CCD7863"/>
    <w:rsid w:val="6CD36584"/>
    <w:rsid w:val="6CD43612"/>
    <w:rsid w:val="6CD45B53"/>
    <w:rsid w:val="6CD65900"/>
    <w:rsid w:val="6CE36A9C"/>
    <w:rsid w:val="6CE52532"/>
    <w:rsid w:val="6CE95E58"/>
    <w:rsid w:val="6CEA21C3"/>
    <w:rsid w:val="6CED5810"/>
    <w:rsid w:val="6CF272CA"/>
    <w:rsid w:val="6CF32B85"/>
    <w:rsid w:val="6CF43042"/>
    <w:rsid w:val="6CF52916"/>
    <w:rsid w:val="6CF546C4"/>
    <w:rsid w:val="6CF55E1E"/>
    <w:rsid w:val="6CF748E0"/>
    <w:rsid w:val="6CF74B54"/>
    <w:rsid w:val="6CFA1963"/>
    <w:rsid w:val="6D0A25E7"/>
    <w:rsid w:val="6D1014FE"/>
    <w:rsid w:val="6D134293"/>
    <w:rsid w:val="6D172C24"/>
    <w:rsid w:val="6D206CFF"/>
    <w:rsid w:val="6D236B9A"/>
    <w:rsid w:val="6D2A442D"/>
    <w:rsid w:val="6D2D0302"/>
    <w:rsid w:val="6D384161"/>
    <w:rsid w:val="6D3A23B8"/>
    <w:rsid w:val="6D3B2A1F"/>
    <w:rsid w:val="6D3B4F6A"/>
    <w:rsid w:val="6D3C22F3"/>
    <w:rsid w:val="6D4A4764"/>
    <w:rsid w:val="6D4D2752"/>
    <w:rsid w:val="6D4F2026"/>
    <w:rsid w:val="6D6334FA"/>
    <w:rsid w:val="6D677FEA"/>
    <w:rsid w:val="6D6F091A"/>
    <w:rsid w:val="6D7033BD"/>
    <w:rsid w:val="6D741852"/>
    <w:rsid w:val="6D75322C"/>
    <w:rsid w:val="6D7E2D8E"/>
    <w:rsid w:val="6D8C1539"/>
    <w:rsid w:val="6D985DCA"/>
    <w:rsid w:val="6D9C5A38"/>
    <w:rsid w:val="6DA07B3F"/>
    <w:rsid w:val="6DA22A9E"/>
    <w:rsid w:val="6DA55F71"/>
    <w:rsid w:val="6DB34098"/>
    <w:rsid w:val="6DB4457F"/>
    <w:rsid w:val="6DB545B6"/>
    <w:rsid w:val="6DBC435D"/>
    <w:rsid w:val="6DC5053A"/>
    <w:rsid w:val="6DC522E8"/>
    <w:rsid w:val="6DCF4F15"/>
    <w:rsid w:val="6DD04E92"/>
    <w:rsid w:val="6DD41878"/>
    <w:rsid w:val="6DDB0909"/>
    <w:rsid w:val="6DE02FB4"/>
    <w:rsid w:val="6DE77A76"/>
    <w:rsid w:val="6DEA4515"/>
    <w:rsid w:val="6DF67A20"/>
    <w:rsid w:val="6DFF1C9E"/>
    <w:rsid w:val="6E093055"/>
    <w:rsid w:val="6E1950AD"/>
    <w:rsid w:val="6E296D1B"/>
    <w:rsid w:val="6E2A4841"/>
    <w:rsid w:val="6E384B2F"/>
    <w:rsid w:val="6E3F653F"/>
    <w:rsid w:val="6E414F79"/>
    <w:rsid w:val="6E445903"/>
    <w:rsid w:val="6E4678CD"/>
    <w:rsid w:val="6E5024FA"/>
    <w:rsid w:val="6E514CED"/>
    <w:rsid w:val="6E557B10"/>
    <w:rsid w:val="6E5B2C4D"/>
    <w:rsid w:val="6E5B49FB"/>
    <w:rsid w:val="6E5C0E9F"/>
    <w:rsid w:val="6E5F5924"/>
    <w:rsid w:val="6E697118"/>
    <w:rsid w:val="6E6D287D"/>
    <w:rsid w:val="6E6F22D6"/>
    <w:rsid w:val="6E722559"/>
    <w:rsid w:val="6E747787"/>
    <w:rsid w:val="6E751F61"/>
    <w:rsid w:val="6E773352"/>
    <w:rsid w:val="6E7A541E"/>
    <w:rsid w:val="6E7C1283"/>
    <w:rsid w:val="6E9001FD"/>
    <w:rsid w:val="6E9221CF"/>
    <w:rsid w:val="6E922B12"/>
    <w:rsid w:val="6E95183A"/>
    <w:rsid w:val="6EA25E97"/>
    <w:rsid w:val="6EA63EC8"/>
    <w:rsid w:val="6EAB5982"/>
    <w:rsid w:val="6EB34837"/>
    <w:rsid w:val="6EB563D5"/>
    <w:rsid w:val="6EB66FAE"/>
    <w:rsid w:val="6EB933C1"/>
    <w:rsid w:val="6EBD1212"/>
    <w:rsid w:val="6EBF6331"/>
    <w:rsid w:val="6ED547AD"/>
    <w:rsid w:val="6ED92677"/>
    <w:rsid w:val="6EDA761A"/>
    <w:rsid w:val="6EED0B2A"/>
    <w:rsid w:val="6EED5F9B"/>
    <w:rsid w:val="6F023BD1"/>
    <w:rsid w:val="6F062BB9"/>
    <w:rsid w:val="6F137E23"/>
    <w:rsid w:val="6F151168"/>
    <w:rsid w:val="6F173018"/>
    <w:rsid w:val="6F176B74"/>
    <w:rsid w:val="6F194B31"/>
    <w:rsid w:val="6F20011E"/>
    <w:rsid w:val="6F225983"/>
    <w:rsid w:val="6F234695"/>
    <w:rsid w:val="6F2D45E9"/>
    <w:rsid w:val="6F2E5A0B"/>
    <w:rsid w:val="6F305E87"/>
    <w:rsid w:val="6F332A28"/>
    <w:rsid w:val="6F375B8D"/>
    <w:rsid w:val="6F3B5272"/>
    <w:rsid w:val="6F3B6D06"/>
    <w:rsid w:val="6F4A6D15"/>
    <w:rsid w:val="6F4C55E1"/>
    <w:rsid w:val="6F5A3019"/>
    <w:rsid w:val="6F671BA8"/>
    <w:rsid w:val="6F7065FB"/>
    <w:rsid w:val="6F791380"/>
    <w:rsid w:val="6F79407E"/>
    <w:rsid w:val="6F7B6582"/>
    <w:rsid w:val="6F847DBE"/>
    <w:rsid w:val="6F8D391A"/>
    <w:rsid w:val="6F992483"/>
    <w:rsid w:val="6F9E1041"/>
    <w:rsid w:val="6FA4641A"/>
    <w:rsid w:val="6FAC5D4F"/>
    <w:rsid w:val="6FB37C0A"/>
    <w:rsid w:val="6FC02EC6"/>
    <w:rsid w:val="6FCE0999"/>
    <w:rsid w:val="6FCE7B7A"/>
    <w:rsid w:val="6FD27A67"/>
    <w:rsid w:val="6FD33FBD"/>
    <w:rsid w:val="6FD809F9"/>
    <w:rsid w:val="6FD86047"/>
    <w:rsid w:val="6FDB68AF"/>
    <w:rsid w:val="6FDD16C6"/>
    <w:rsid w:val="6FED6D05"/>
    <w:rsid w:val="6FFC5590"/>
    <w:rsid w:val="6FFC5832"/>
    <w:rsid w:val="70003371"/>
    <w:rsid w:val="7007308C"/>
    <w:rsid w:val="700A492A"/>
    <w:rsid w:val="700E5C6E"/>
    <w:rsid w:val="70126630"/>
    <w:rsid w:val="701B0AEA"/>
    <w:rsid w:val="70292F11"/>
    <w:rsid w:val="70293112"/>
    <w:rsid w:val="702D3098"/>
    <w:rsid w:val="702D5B72"/>
    <w:rsid w:val="70356321"/>
    <w:rsid w:val="70370A27"/>
    <w:rsid w:val="70482D8C"/>
    <w:rsid w:val="704835FC"/>
    <w:rsid w:val="704B11CB"/>
    <w:rsid w:val="70525DFD"/>
    <w:rsid w:val="7055344F"/>
    <w:rsid w:val="705E510F"/>
    <w:rsid w:val="705F07D2"/>
    <w:rsid w:val="706B3710"/>
    <w:rsid w:val="706B662B"/>
    <w:rsid w:val="706D1DD0"/>
    <w:rsid w:val="70716758"/>
    <w:rsid w:val="70753FA4"/>
    <w:rsid w:val="70773FAB"/>
    <w:rsid w:val="707A560C"/>
    <w:rsid w:val="707F70C6"/>
    <w:rsid w:val="70856B87"/>
    <w:rsid w:val="708C17E3"/>
    <w:rsid w:val="708E185F"/>
    <w:rsid w:val="70904E30"/>
    <w:rsid w:val="70A21E4C"/>
    <w:rsid w:val="70A628A5"/>
    <w:rsid w:val="70A73F27"/>
    <w:rsid w:val="70AA727F"/>
    <w:rsid w:val="70AA78F9"/>
    <w:rsid w:val="70AF595F"/>
    <w:rsid w:val="70B054D2"/>
    <w:rsid w:val="70B110C3"/>
    <w:rsid w:val="70BB0564"/>
    <w:rsid w:val="70BC0C05"/>
    <w:rsid w:val="70C346B9"/>
    <w:rsid w:val="70C365F1"/>
    <w:rsid w:val="70C561C1"/>
    <w:rsid w:val="70CA3C94"/>
    <w:rsid w:val="70CB5E68"/>
    <w:rsid w:val="70CD0C66"/>
    <w:rsid w:val="70D527EE"/>
    <w:rsid w:val="70D82A6F"/>
    <w:rsid w:val="70EA1EA5"/>
    <w:rsid w:val="70EC5A97"/>
    <w:rsid w:val="70F21F76"/>
    <w:rsid w:val="70F96E79"/>
    <w:rsid w:val="70FF3D63"/>
    <w:rsid w:val="71002A5A"/>
    <w:rsid w:val="710128C5"/>
    <w:rsid w:val="71031AA6"/>
    <w:rsid w:val="710B095A"/>
    <w:rsid w:val="710B2A52"/>
    <w:rsid w:val="710D0EA4"/>
    <w:rsid w:val="711A0B9D"/>
    <w:rsid w:val="711B1A70"/>
    <w:rsid w:val="711E68DF"/>
    <w:rsid w:val="711F61B4"/>
    <w:rsid w:val="712612F0"/>
    <w:rsid w:val="71306613"/>
    <w:rsid w:val="713218B7"/>
    <w:rsid w:val="71341C5F"/>
    <w:rsid w:val="713C497B"/>
    <w:rsid w:val="71411904"/>
    <w:rsid w:val="71445C1A"/>
    <w:rsid w:val="714A1482"/>
    <w:rsid w:val="714C6DF8"/>
    <w:rsid w:val="71566079"/>
    <w:rsid w:val="715B5300"/>
    <w:rsid w:val="715C2793"/>
    <w:rsid w:val="715E2DFE"/>
    <w:rsid w:val="715F4802"/>
    <w:rsid w:val="716138A0"/>
    <w:rsid w:val="7164370F"/>
    <w:rsid w:val="716D5171"/>
    <w:rsid w:val="716F533E"/>
    <w:rsid w:val="71703B38"/>
    <w:rsid w:val="71791D68"/>
    <w:rsid w:val="71796B02"/>
    <w:rsid w:val="71800218"/>
    <w:rsid w:val="71811D3D"/>
    <w:rsid w:val="71852F0C"/>
    <w:rsid w:val="71864485"/>
    <w:rsid w:val="7188117E"/>
    <w:rsid w:val="71912487"/>
    <w:rsid w:val="71995F66"/>
    <w:rsid w:val="71A01992"/>
    <w:rsid w:val="71A22E1F"/>
    <w:rsid w:val="71A30B93"/>
    <w:rsid w:val="71A67BB8"/>
    <w:rsid w:val="71AD6215"/>
    <w:rsid w:val="71AF1140"/>
    <w:rsid w:val="71B0505E"/>
    <w:rsid w:val="71B132B0"/>
    <w:rsid w:val="71BA43E6"/>
    <w:rsid w:val="71C27838"/>
    <w:rsid w:val="71CA6C11"/>
    <w:rsid w:val="71CB1E97"/>
    <w:rsid w:val="71CD5C10"/>
    <w:rsid w:val="71CE40D2"/>
    <w:rsid w:val="71D27F8A"/>
    <w:rsid w:val="71DB657E"/>
    <w:rsid w:val="71E01DE7"/>
    <w:rsid w:val="71E24D43"/>
    <w:rsid w:val="71E511AB"/>
    <w:rsid w:val="71EE0B13"/>
    <w:rsid w:val="71F154B8"/>
    <w:rsid w:val="71F25676"/>
    <w:rsid w:val="71F40DD0"/>
    <w:rsid w:val="71F81A43"/>
    <w:rsid w:val="71FC1C53"/>
    <w:rsid w:val="71FE226D"/>
    <w:rsid w:val="720832D9"/>
    <w:rsid w:val="72086C48"/>
    <w:rsid w:val="720A79AD"/>
    <w:rsid w:val="720D24B0"/>
    <w:rsid w:val="720F6120"/>
    <w:rsid w:val="721152CF"/>
    <w:rsid w:val="7213505B"/>
    <w:rsid w:val="721779A0"/>
    <w:rsid w:val="721B5C99"/>
    <w:rsid w:val="721C0443"/>
    <w:rsid w:val="721E646B"/>
    <w:rsid w:val="7225294B"/>
    <w:rsid w:val="723143F0"/>
    <w:rsid w:val="72343EE1"/>
    <w:rsid w:val="723932A5"/>
    <w:rsid w:val="72430318"/>
    <w:rsid w:val="724565F4"/>
    <w:rsid w:val="72485434"/>
    <w:rsid w:val="725107C2"/>
    <w:rsid w:val="72530328"/>
    <w:rsid w:val="7253727B"/>
    <w:rsid w:val="72553024"/>
    <w:rsid w:val="725D6F93"/>
    <w:rsid w:val="72606A84"/>
    <w:rsid w:val="727662A7"/>
    <w:rsid w:val="72881789"/>
    <w:rsid w:val="728E25C5"/>
    <w:rsid w:val="72964253"/>
    <w:rsid w:val="72A252EE"/>
    <w:rsid w:val="72A46970"/>
    <w:rsid w:val="72A9042B"/>
    <w:rsid w:val="72A93F87"/>
    <w:rsid w:val="72A971C7"/>
    <w:rsid w:val="72AE5A41"/>
    <w:rsid w:val="72B33057"/>
    <w:rsid w:val="72B62B48"/>
    <w:rsid w:val="72CA214F"/>
    <w:rsid w:val="72CD42A1"/>
    <w:rsid w:val="72CD4D30"/>
    <w:rsid w:val="72D713B2"/>
    <w:rsid w:val="72DA6836"/>
    <w:rsid w:val="72E476B5"/>
    <w:rsid w:val="72E60FDD"/>
    <w:rsid w:val="72E90827"/>
    <w:rsid w:val="72EF0E89"/>
    <w:rsid w:val="72F51322"/>
    <w:rsid w:val="72F62F44"/>
    <w:rsid w:val="72F73F65"/>
    <w:rsid w:val="72F861B0"/>
    <w:rsid w:val="73010AB9"/>
    <w:rsid w:val="73013836"/>
    <w:rsid w:val="73020C8B"/>
    <w:rsid w:val="73031A98"/>
    <w:rsid w:val="730B3C60"/>
    <w:rsid w:val="73122968"/>
    <w:rsid w:val="731321A4"/>
    <w:rsid w:val="7315161C"/>
    <w:rsid w:val="731A30D6"/>
    <w:rsid w:val="731A4E85"/>
    <w:rsid w:val="731D56CD"/>
    <w:rsid w:val="731F5D5E"/>
    <w:rsid w:val="73263829"/>
    <w:rsid w:val="732C1214"/>
    <w:rsid w:val="73347C31"/>
    <w:rsid w:val="733C632E"/>
    <w:rsid w:val="733D3F9B"/>
    <w:rsid w:val="733F2B3D"/>
    <w:rsid w:val="733F6699"/>
    <w:rsid w:val="7343262D"/>
    <w:rsid w:val="73446076"/>
    <w:rsid w:val="7352391B"/>
    <w:rsid w:val="73552361"/>
    <w:rsid w:val="736762E6"/>
    <w:rsid w:val="737B210A"/>
    <w:rsid w:val="737C169B"/>
    <w:rsid w:val="737C5B3F"/>
    <w:rsid w:val="73802653"/>
    <w:rsid w:val="73853B26"/>
    <w:rsid w:val="73954A11"/>
    <w:rsid w:val="73993FFB"/>
    <w:rsid w:val="73A66718"/>
    <w:rsid w:val="73B52AE3"/>
    <w:rsid w:val="73C117A4"/>
    <w:rsid w:val="73C51AD5"/>
    <w:rsid w:val="73C53042"/>
    <w:rsid w:val="73CD7CFC"/>
    <w:rsid w:val="73CE3305"/>
    <w:rsid w:val="73D76698"/>
    <w:rsid w:val="73E01C2A"/>
    <w:rsid w:val="73E13550"/>
    <w:rsid w:val="73E644E2"/>
    <w:rsid w:val="73E80622"/>
    <w:rsid w:val="73F016BC"/>
    <w:rsid w:val="73F90F3E"/>
    <w:rsid w:val="740022CC"/>
    <w:rsid w:val="74026DAF"/>
    <w:rsid w:val="740718AD"/>
    <w:rsid w:val="740A40E6"/>
    <w:rsid w:val="740B6EE0"/>
    <w:rsid w:val="740C6A00"/>
    <w:rsid w:val="741B550F"/>
    <w:rsid w:val="741E793C"/>
    <w:rsid w:val="74220495"/>
    <w:rsid w:val="742C1313"/>
    <w:rsid w:val="74365CEE"/>
    <w:rsid w:val="74387F49"/>
    <w:rsid w:val="743B3304"/>
    <w:rsid w:val="74485060"/>
    <w:rsid w:val="744F4568"/>
    <w:rsid w:val="744F5002"/>
    <w:rsid w:val="74510D7A"/>
    <w:rsid w:val="7454695B"/>
    <w:rsid w:val="74561EEC"/>
    <w:rsid w:val="74581611"/>
    <w:rsid w:val="745D65A4"/>
    <w:rsid w:val="745E3944"/>
    <w:rsid w:val="746A1E3C"/>
    <w:rsid w:val="747607E0"/>
    <w:rsid w:val="74782194"/>
    <w:rsid w:val="747D56CB"/>
    <w:rsid w:val="748E5B2A"/>
    <w:rsid w:val="748F53FE"/>
    <w:rsid w:val="749859F0"/>
    <w:rsid w:val="749B0247"/>
    <w:rsid w:val="749D7B1B"/>
    <w:rsid w:val="74A013B9"/>
    <w:rsid w:val="74A641F7"/>
    <w:rsid w:val="74A90A1A"/>
    <w:rsid w:val="74AC1F4B"/>
    <w:rsid w:val="74AC6D4D"/>
    <w:rsid w:val="74C432FA"/>
    <w:rsid w:val="74C612C6"/>
    <w:rsid w:val="74C94DB4"/>
    <w:rsid w:val="74DF221A"/>
    <w:rsid w:val="74E27BD3"/>
    <w:rsid w:val="74E536B9"/>
    <w:rsid w:val="74F17E67"/>
    <w:rsid w:val="74F33BDF"/>
    <w:rsid w:val="74F47296"/>
    <w:rsid w:val="74F70BCA"/>
    <w:rsid w:val="750E6C6B"/>
    <w:rsid w:val="75126E82"/>
    <w:rsid w:val="75196A79"/>
    <w:rsid w:val="751A5610"/>
    <w:rsid w:val="751D0C5C"/>
    <w:rsid w:val="752314B7"/>
    <w:rsid w:val="75265D63"/>
    <w:rsid w:val="752774CA"/>
    <w:rsid w:val="752913AF"/>
    <w:rsid w:val="752F2843"/>
    <w:rsid w:val="753541F8"/>
    <w:rsid w:val="753A0DD9"/>
    <w:rsid w:val="753D5C89"/>
    <w:rsid w:val="75410DEE"/>
    <w:rsid w:val="754A5BC7"/>
    <w:rsid w:val="754B3A36"/>
    <w:rsid w:val="754B7577"/>
    <w:rsid w:val="75504B8E"/>
    <w:rsid w:val="75577A04"/>
    <w:rsid w:val="75690FF6"/>
    <w:rsid w:val="756E3266"/>
    <w:rsid w:val="7571548F"/>
    <w:rsid w:val="75774810"/>
    <w:rsid w:val="757B09E9"/>
    <w:rsid w:val="757C3376"/>
    <w:rsid w:val="75834F63"/>
    <w:rsid w:val="75860EFC"/>
    <w:rsid w:val="75882579"/>
    <w:rsid w:val="758D193E"/>
    <w:rsid w:val="759479A6"/>
    <w:rsid w:val="759E1D9D"/>
    <w:rsid w:val="75A35605"/>
    <w:rsid w:val="75A849CA"/>
    <w:rsid w:val="75AA181E"/>
    <w:rsid w:val="75AD3D8E"/>
    <w:rsid w:val="75B017FF"/>
    <w:rsid w:val="75B50E95"/>
    <w:rsid w:val="75BC66C7"/>
    <w:rsid w:val="75C537CD"/>
    <w:rsid w:val="75CB6383"/>
    <w:rsid w:val="75DB3F12"/>
    <w:rsid w:val="75E10D75"/>
    <w:rsid w:val="75E35A02"/>
    <w:rsid w:val="75E71587"/>
    <w:rsid w:val="75E907CC"/>
    <w:rsid w:val="75EA3234"/>
    <w:rsid w:val="75F75F8F"/>
    <w:rsid w:val="75FD171A"/>
    <w:rsid w:val="75FF3EAC"/>
    <w:rsid w:val="760057B0"/>
    <w:rsid w:val="760322B0"/>
    <w:rsid w:val="76037E52"/>
    <w:rsid w:val="76182881"/>
    <w:rsid w:val="762027B2"/>
    <w:rsid w:val="7620570B"/>
    <w:rsid w:val="76334C86"/>
    <w:rsid w:val="7635099D"/>
    <w:rsid w:val="763E2BEB"/>
    <w:rsid w:val="764934F9"/>
    <w:rsid w:val="765C6A8D"/>
    <w:rsid w:val="766331A4"/>
    <w:rsid w:val="766B0B94"/>
    <w:rsid w:val="766C077C"/>
    <w:rsid w:val="767940D2"/>
    <w:rsid w:val="767A198D"/>
    <w:rsid w:val="76830F93"/>
    <w:rsid w:val="768342B6"/>
    <w:rsid w:val="768D1A20"/>
    <w:rsid w:val="768E003E"/>
    <w:rsid w:val="768E0063"/>
    <w:rsid w:val="768F7938"/>
    <w:rsid w:val="769A6A08"/>
    <w:rsid w:val="76AB5619"/>
    <w:rsid w:val="76B16BF0"/>
    <w:rsid w:val="76B32786"/>
    <w:rsid w:val="76B33626"/>
    <w:rsid w:val="76B37ACA"/>
    <w:rsid w:val="76B83328"/>
    <w:rsid w:val="76BE71BF"/>
    <w:rsid w:val="76C03C1B"/>
    <w:rsid w:val="76C27C61"/>
    <w:rsid w:val="76C4703E"/>
    <w:rsid w:val="76CC0B8C"/>
    <w:rsid w:val="76CC37F6"/>
    <w:rsid w:val="76CE0CFB"/>
    <w:rsid w:val="76CF13ED"/>
    <w:rsid w:val="76D33CC8"/>
    <w:rsid w:val="76D67314"/>
    <w:rsid w:val="76DA4E3F"/>
    <w:rsid w:val="76DE441B"/>
    <w:rsid w:val="76F123A0"/>
    <w:rsid w:val="76F460EC"/>
    <w:rsid w:val="76FA7452"/>
    <w:rsid w:val="76FD6F97"/>
    <w:rsid w:val="76FE04FD"/>
    <w:rsid w:val="76FE6658"/>
    <w:rsid w:val="76FF03CD"/>
    <w:rsid w:val="770C2D36"/>
    <w:rsid w:val="771C02D2"/>
    <w:rsid w:val="7723046A"/>
    <w:rsid w:val="77232277"/>
    <w:rsid w:val="77234783"/>
    <w:rsid w:val="77283CB1"/>
    <w:rsid w:val="773724A9"/>
    <w:rsid w:val="773A5AF5"/>
    <w:rsid w:val="773C186D"/>
    <w:rsid w:val="773C2E78"/>
    <w:rsid w:val="773D55E5"/>
    <w:rsid w:val="774677D5"/>
    <w:rsid w:val="77485ACD"/>
    <w:rsid w:val="775D3C9B"/>
    <w:rsid w:val="775F37AE"/>
    <w:rsid w:val="77626DFA"/>
    <w:rsid w:val="776D45A4"/>
    <w:rsid w:val="777032C5"/>
    <w:rsid w:val="77756D0D"/>
    <w:rsid w:val="77762421"/>
    <w:rsid w:val="777A2396"/>
    <w:rsid w:val="777A4144"/>
    <w:rsid w:val="777F79AC"/>
    <w:rsid w:val="77811976"/>
    <w:rsid w:val="77813724"/>
    <w:rsid w:val="7782124A"/>
    <w:rsid w:val="77882D05"/>
    <w:rsid w:val="778D031B"/>
    <w:rsid w:val="778D20C9"/>
    <w:rsid w:val="77935205"/>
    <w:rsid w:val="779E6D1D"/>
    <w:rsid w:val="779F1DFC"/>
    <w:rsid w:val="77A2796E"/>
    <w:rsid w:val="77A47028"/>
    <w:rsid w:val="77A93E46"/>
    <w:rsid w:val="77AB254F"/>
    <w:rsid w:val="77AE4DE2"/>
    <w:rsid w:val="77B0744A"/>
    <w:rsid w:val="77B44322"/>
    <w:rsid w:val="77B56B1F"/>
    <w:rsid w:val="77BA7D52"/>
    <w:rsid w:val="77C11D73"/>
    <w:rsid w:val="77C522E0"/>
    <w:rsid w:val="77C677A3"/>
    <w:rsid w:val="77C86A24"/>
    <w:rsid w:val="77CB499F"/>
    <w:rsid w:val="77CF05E6"/>
    <w:rsid w:val="77D05A4A"/>
    <w:rsid w:val="77D575CC"/>
    <w:rsid w:val="77D87954"/>
    <w:rsid w:val="77E646EE"/>
    <w:rsid w:val="77E93077"/>
    <w:rsid w:val="77EB3293"/>
    <w:rsid w:val="77EF1701"/>
    <w:rsid w:val="77FB7917"/>
    <w:rsid w:val="7808496F"/>
    <w:rsid w:val="780F09F4"/>
    <w:rsid w:val="78112CFA"/>
    <w:rsid w:val="78130702"/>
    <w:rsid w:val="7817002A"/>
    <w:rsid w:val="78197432"/>
    <w:rsid w:val="78202F3D"/>
    <w:rsid w:val="78216CB5"/>
    <w:rsid w:val="78234083"/>
    <w:rsid w:val="782567A5"/>
    <w:rsid w:val="78281DF2"/>
    <w:rsid w:val="78284C94"/>
    <w:rsid w:val="783267CC"/>
    <w:rsid w:val="78362761"/>
    <w:rsid w:val="78412EB3"/>
    <w:rsid w:val="78450BF6"/>
    <w:rsid w:val="784777DC"/>
    <w:rsid w:val="78477DA0"/>
    <w:rsid w:val="784A2957"/>
    <w:rsid w:val="784B08C5"/>
    <w:rsid w:val="784D1015"/>
    <w:rsid w:val="785C7CED"/>
    <w:rsid w:val="786847F0"/>
    <w:rsid w:val="786A240A"/>
    <w:rsid w:val="786C1DFC"/>
    <w:rsid w:val="786D5A56"/>
    <w:rsid w:val="787D5631"/>
    <w:rsid w:val="788827F6"/>
    <w:rsid w:val="788F4795"/>
    <w:rsid w:val="789301FD"/>
    <w:rsid w:val="7894748F"/>
    <w:rsid w:val="789C2D6F"/>
    <w:rsid w:val="78A05E2C"/>
    <w:rsid w:val="78A83772"/>
    <w:rsid w:val="78A90480"/>
    <w:rsid w:val="78B8343A"/>
    <w:rsid w:val="78C93712"/>
    <w:rsid w:val="78D02D62"/>
    <w:rsid w:val="78E21350"/>
    <w:rsid w:val="78E67C76"/>
    <w:rsid w:val="78EA20F0"/>
    <w:rsid w:val="78EF0B61"/>
    <w:rsid w:val="78F679CC"/>
    <w:rsid w:val="790E2650"/>
    <w:rsid w:val="79116D2A"/>
    <w:rsid w:val="791D122B"/>
    <w:rsid w:val="791D747D"/>
    <w:rsid w:val="79211912"/>
    <w:rsid w:val="7924080B"/>
    <w:rsid w:val="792D631C"/>
    <w:rsid w:val="79337F9A"/>
    <w:rsid w:val="79386269"/>
    <w:rsid w:val="793F73F3"/>
    <w:rsid w:val="79425135"/>
    <w:rsid w:val="7942728A"/>
    <w:rsid w:val="79462BF0"/>
    <w:rsid w:val="794B223C"/>
    <w:rsid w:val="794D3125"/>
    <w:rsid w:val="794E03FE"/>
    <w:rsid w:val="795D0D73"/>
    <w:rsid w:val="795F0EEB"/>
    <w:rsid w:val="79652BD2"/>
    <w:rsid w:val="79660E24"/>
    <w:rsid w:val="79701CA2"/>
    <w:rsid w:val="797241F6"/>
    <w:rsid w:val="797D7F1B"/>
    <w:rsid w:val="7986452E"/>
    <w:rsid w:val="79870D9A"/>
    <w:rsid w:val="79885772"/>
    <w:rsid w:val="799040F2"/>
    <w:rsid w:val="7993773F"/>
    <w:rsid w:val="79956F88"/>
    <w:rsid w:val="79A42945"/>
    <w:rsid w:val="79AE6381"/>
    <w:rsid w:val="79B24069"/>
    <w:rsid w:val="79B461F1"/>
    <w:rsid w:val="79B565E2"/>
    <w:rsid w:val="79B84B73"/>
    <w:rsid w:val="79B914D7"/>
    <w:rsid w:val="79BD0F0F"/>
    <w:rsid w:val="79BD47BC"/>
    <w:rsid w:val="79D35D8D"/>
    <w:rsid w:val="79D42231"/>
    <w:rsid w:val="79D96957"/>
    <w:rsid w:val="79DA542B"/>
    <w:rsid w:val="79DA6842"/>
    <w:rsid w:val="79DB252D"/>
    <w:rsid w:val="79E9735F"/>
    <w:rsid w:val="79EB5D88"/>
    <w:rsid w:val="79ED0DA8"/>
    <w:rsid w:val="79F73535"/>
    <w:rsid w:val="79FF3A93"/>
    <w:rsid w:val="7A04063C"/>
    <w:rsid w:val="7A081EDB"/>
    <w:rsid w:val="7A146AD1"/>
    <w:rsid w:val="7A1A26B3"/>
    <w:rsid w:val="7A1F1D95"/>
    <w:rsid w:val="7A28432B"/>
    <w:rsid w:val="7A2A00A3"/>
    <w:rsid w:val="7A2F12A5"/>
    <w:rsid w:val="7A364017"/>
    <w:rsid w:val="7A3727C0"/>
    <w:rsid w:val="7A387990"/>
    <w:rsid w:val="7A3B22B0"/>
    <w:rsid w:val="7A3E1F5E"/>
    <w:rsid w:val="7A406348"/>
    <w:rsid w:val="7A434CC1"/>
    <w:rsid w:val="7A49604F"/>
    <w:rsid w:val="7A5B403D"/>
    <w:rsid w:val="7A60795F"/>
    <w:rsid w:val="7A7A445B"/>
    <w:rsid w:val="7A7E7EF6"/>
    <w:rsid w:val="7A805F15"/>
    <w:rsid w:val="7A8265E1"/>
    <w:rsid w:val="7A8552D9"/>
    <w:rsid w:val="7A8D0632"/>
    <w:rsid w:val="7AA716F4"/>
    <w:rsid w:val="7AA948DA"/>
    <w:rsid w:val="7AB20978"/>
    <w:rsid w:val="7AB86743"/>
    <w:rsid w:val="7ACD0A2E"/>
    <w:rsid w:val="7AD324E9"/>
    <w:rsid w:val="7AE30252"/>
    <w:rsid w:val="7AF03046"/>
    <w:rsid w:val="7AF12BE3"/>
    <w:rsid w:val="7AFA3C98"/>
    <w:rsid w:val="7AFE186D"/>
    <w:rsid w:val="7B043628"/>
    <w:rsid w:val="7B0C77A9"/>
    <w:rsid w:val="7B116B6D"/>
    <w:rsid w:val="7B152B01"/>
    <w:rsid w:val="7B1A0118"/>
    <w:rsid w:val="7B1A5846"/>
    <w:rsid w:val="7B25663D"/>
    <w:rsid w:val="7B326C2E"/>
    <w:rsid w:val="7B3905A7"/>
    <w:rsid w:val="7B427806"/>
    <w:rsid w:val="7B450F0D"/>
    <w:rsid w:val="7B466A27"/>
    <w:rsid w:val="7B484E73"/>
    <w:rsid w:val="7B4909FD"/>
    <w:rsid w:val="7B526932"/>
    <w:rsid w:val="7B5353D8"/>
    <w:rsid w:val="7B555BA1"/>
    <w:rsid w:val="7B5B327B"/>
    <w:rsid w:val="7B5B603A"/>
    <w:rsid w:val="7B5C11E0"/>
    <w:rsid w:val="7B5D2610"/>
    <w:rsid w:val="7B5D45F9"/>
    <w:rsid w:val="7B686D42"/>
    <w:rsid w:val="7B6E2211"/>
    <w:rsid w:val="7B711D02"/>
    <w:rsid w:val="7B7C429C"/>
    <w:rsid w:val="7B841746"/>
    <w:rsid w:val="7B874F99"/>
    <w:rsid w:val="7B892BA7"/>
    <w:rsid w:val="7B8D1F50"/>
    <w:rsid w:val="7B8D37D9"/>
    <w:rsid w:val="7B8E47E8"/>
    <w:rsid w:val="7B8E73B8"/>
    <w:rsid w:val="7B902188"/>
    <w:rsid w:val="7B95154C"/>
    <w:rsid w:val="7B95779E"/>
    <w:rsid w:val="7B9F061D"/>
    <w:rsid w:val="7BA47844"/>
    <w:rsid w:val="7BA66D0D"/>
    <w:rsid w:val="7BA9149B"/>
    <w:rsid w:val="7BB15D01"/>
    <w:rsid w:val="7BB340C8"/>
    <w:rsid w:val="7BBC26DA"/>
    <w:rsid w:val="7BC260B9"/>
    <w:rsid w:val="7BC938EC"/>
    <w:rsid w:val="7BC97448"/>
    <w:rsid w:val="7BCC0CE6"/>
    <w:rsid w:val="7BD013F8"/>
    <w:rsid w:val="7BD2042C"/>
    <w:rsid w:val="7BD32961"/>
    <w:rsid w:val="7BDA628F"/>
    <w:rsid w:val="7BDC717B"/>
    <w:rsid w:val="7BE27B54"/>
    <w:rsid w:val="7BE47DE5"/>
    <w:rsid w:val="7BEC5A0D"/>
    <w:rsid w:val="7BEE5100"/>
    <w:rsid w:val="7BFF2E69"/>
    <w:rsid w:val="7BFF5CE4"/>
    <w:rsid w:val="7C03604C"/>
    <w:rsid w:val="7C06069C"/>
    <w:rsid w:val="7C084C13"/>
    <w:rsid w:val="7C0A1B55"/>
    <w:rsid w:val="7C1356DC"/>
    <w:rsid w:val="7C1D1542"/>
    <w:rsid w:val="7C1E42A7"/>
    <w:rsid w:val="7C255312"/>
    <w:rsid w:val="7C260D1B"/>
    <w:rsid w:val="7C2711AD"/>
    <w:rsid w:val="7C2D79D7"/>
    <w:rsid w:val="7C345209"/>
    <w:rsid w:val="7C386AE4"/>
    <w:rsid w:val="7C387B35"/>
    <w:rsid w:val="7C3D5D04"/>
    <w:rsid w:val="7C3E1BE4"/>
    <w:rsid w:val="7C3F4C43"/>
    <w:rsid w:val="7C47253E"/>
    <w:rsid w:val="7C4B55D7"/>
    <w:rsid w:val="7C4F2043"/>
    <w:rsid w:val="7C57170E"/>
    <w:rsid w:val="7C572CA5"/>
    <w:rsid w:val="7C612C3E"/>
    <w:rsid w:val="7C6150DE"/>
    <w:rsid w:val="7C651214"/>
    <w:rsid w:val="7C6C5AC7"/>
    <w:rsid w:val="7C80044E"/>
    <w:rsid w:val="7C8116F6"/>
    <w:rsid w:val="7C853315"/>
    <w:rsid w:val="7C86306F"/>
    <w:rsid w:val="7C892BA5"/>
    <w:rsid w:val="7C896BD7"/>
    <w:rsid w:val="7C8A4E29"/>
    <w:rsid w:val="7C8F243F"/>
    <w:rsid w:val="7C976C38"/>
    <w:rsid w:val="7C9C7592"/>
    <w:rsid w:val="7CA0464C"/>
    <w:rsid w:val="7CAB4945"/>
    <w:rsid w:val="7CAC1243"/>
    <w:rsid w:val="7CAC52C8"/>
    <w:rsid w:val="7CB00608"/>
    <w:rsid w:val="7CC15DEF"/>
    <w:rsid w:val="7CC45464"/>
    <w:rsid w:val="7CC6544B"/>
    <w:rsid w:val="7CC7607D"/>
    <w:rsid w:val="7CCC39EF"/>
    <w:rsid w:val="7CD9190C"/>
    <w:rsid w:val="7CE33567"/>
    <w:rsid w:val="7CE54293"/>
    <w:rsid w:val="7CE948F1"/>
    <w:rsid w:val="7CEA1078"/>
    <w:rsid w:val="7CF25DA8"/>
    <w:rsid w:val="7CFF302C"/>
    <w:rsid w:val="7D0239FF"/>
    <w:rsid w:val="7D0A26B8"/>
    <w:rsid w:val="7D0B0712"/>
    <w:rsid w:val="7D0C1CE2"/>
    <w:rsid w:val="7D0D15B6"/>
    <w:rsid w:val="7D1172F8"/>
    <w:rsid w:val="7D142945"/>
    <w:rsid w:val="7D186DDF"/>
    <w:rsid w:val="7D1B3CD3"/>
    <w:rsid w:val="7D1B75E5"/>
    <w:rsid w:val="7D1C2A4A"/>
    <w:rsid w:val="7D214410"/>
    <w:rsid w:val="7D256B73"/>
    <w:rsid w:val="7D27029E"/>
    <w:rsid w:val="7D2D1C58"/>
    <w:rsid w:val="7D3347A6"/>
    <w:rsid w:val="7D356E69"/>
    <w:rsid w:val="7D364FB1"/>
    <w:rsid w:val="7D3905FD"/>
    <w:rsid w:val="7D450D50"/>
    <w:rsid w:val="7D4E22FA"/>
    <w:rsid w:val="7D4E2F8F"/>
    <w:rsid w:val="7D4F4211"/>
    <w:rsid w:val="7D5E40CD"/>
    <w:rsid w:val="7D603DDC"/>
    <w:rsid w:val="7D6433C3"/>
    <w:rsid w:val="7D6513F2"/>
    <w:rsid w:val="7D680AD6"/>
    <w:rsid w:val="7D6B0FB3"/>
    <w:rsid w:val="7D6C538E"/>
    <w:rsid w:val="7D7653AD"/>
    <w:rsid w:val="7D7D673C"/>
    <w:rsid w:val="7D8259C4"/>
    <w:rsid w:val="7D831878"/>
    <w:rsid w:val="7D851A94"/>
    <w:rsid w:val="7D8A2C07"/>
    <w:rsid w:val="7D8E0536"/>
    <w:rsid w:val="7D8E0949"/>
    <w:rsid w:val="7D8E5549"/>
    <w:rsid w:val="7D8F4AC9"/>
    <w:rsid w:val="7D8F6A0F"/>
    <w:rsid w:val="7D910439"/>
    <w:rsid w:val="7D9A187E"/>
    <w:rsid w:val="7D9D3BB3"/>
    <w:rsid w:val="7D9D6DDE"/>
    <w:rsid w:val="7DB95440"/>
    <w:rsid w:val="7DBB54B6"/>
    <w:rsid w:val="7DBD5646"/>
    <w:rsid w:val="7DCD56F2"/>
    <w:rsid w:val="7DCD5793"/>
    <w:rsid w:val="7DD460EC"/>
    <w:rsid w:val="7DD56578"/>
    <w:rsid w:val="7DE94569"/>
    <w:rsid w:val="7DEE13E8"/>
    <w:rsid w:val="7DEE4CA5"/>
    <w:rsid w:val="7DF77766"/>
    <w:rsid w:val="7DFB58B2"/>
    <w:rsid w:val="7DFC26E0"/>
    <w:rsid w:val="7DFC32FA"/>
    <w:rsid w:val="7E0473AC"/>
    <w:rsid w:val="7E08275A"/>
    <w:rsid w:val="7E094473"/>
    <w:rsid w:val="7E0F376E"/>
    <w:rsid w:val="7E110BB2"/>
    <w:rsid w:val="7E144052"/>
    <w:rsid w:val="7E152E18"/>
    <w:rsid w:val="7E156974"/>
    <w:rsid w:val="7E180B4F"/>
    <w:rsid w:val="7E232270"/>
    <w:rsid w:val="7E2552AD"/>
    <w:rsid w:val="7E386B07"/>
    <w:rsid w:val="7E3A413E"/>
    <w:rsid w:val="7E3C03A5"/>
    <w:rsid w:val="7E3D2EF6"/>
    <w:rsid w:val="7E4E00CE"/>
    <w:rsid w:val="7E4E5416"/>
    <w:rsid w:val="7E540A2D"/>
    <w:rsid w:val="7E541969"/>
    <w:rsid w:val="7E573431"/>
    <w:rsid w:val="7E5E4184"/>
    <w:rsid w:val="7E5E656D"/>
    <w:rsid w:val="7E5F22E5"/>
    <w:rsid w:val="7E5F4093"/>
    <w:rsid w:val="7E617723"/>
    <w:rsid w:val="7E64714A"/>
    <w:rsid w:val="7E653381"/>
    <w:rsid w:val="7E6A14B1"/>
    <w:rsid w:val="7E6E545A"/>
    <w:rsid w:val="7E765BA9"/>
    <w:rsid w:val="7E7E0B51"/>
    <w:rsid w:val="7E8458A8"/>
    <w:rsid w:val="7E887174"/>
    <w:rsid w:val="7E8A390F"/>
    <w:rsid w:val="7E8A78EE"/>
    <w:rsid w:val="7E951C6A"/>
    <w:rsid w:val="7E9C0E44"/>
    <w:rsid w:val="7E9D19EB"/>
    <w:rsid w:val="7EA31195"/>
    <w:rsid w:val="7EA50F09"/>
    <w:rsid w:val="7EC344EE"/>
    <w:rsid w:val="7EC8085C"/>
    <w:rsid w:val="7EC81C39"/>
    <w:rsid w:val="7ED73771"/>
    <w:rsid w:val="7ED92098"/>
    <w:rsid w:val="7EDB4F2D"/>
    <w:rsid w:val="7EE64508"/>
    <w:rsid w:val="7EEF3669"/>
    <w:rsid w:val="7EF36F47"/>
    <w:rsid w:val="7EFA597A"/>
    <w:rsid w:val="7EFC7B34"/>
    <w:rsid w:val="7F001CE7"/>
    <w:rsid w:val="7F033168"/>
    <w:rsid w:val="7F140EBD"/>
    <w:rsid w:val="7F157540"/>
    <w:rsid w:val="7F175BB0"/>
    <w:rsid w:val="7F1B445E"/>
    <w:rsid w:val="7F1B620C"/>
    <w:rsid w:val="7F203A96"/>
    <w:rsid w:val="7F25708B"/>
    <w:rsid w:val="7F305879"/>
    <w:rsid w:val="7F323556"/>
    <w:rsid w:val="7F340ACD"/>
    <w:rsid w:val="7F342082"/>
    <w:rsid w:val="7F372C1F"/>
    <w:rsid w:val="7F37591B"/>
    <w:rsid w:val="7F3B6549"/>
    <w:rsid w:val="7F427C3D"/>
    <w:rsid w:val="7F433AA2"/>
    <w:rsid w:val="7F472FE9"/>
    <w:rsid w:val="7F482D79"/>
    <w:rsid w:val="7F554AA1"/>
    <w:rsid w:val="7F565D15"/>
    <w:rsid w:val="7F5876EB"/>
    <w:rsid w:val="7F5B0CFF"/>
    <w:rsid w:val="7F634701"/>
    <w:rsid w:val="7F6C4CBA"/>
    <w:rsid w:val="7F7973D7"/>
    <w:rsid w:val="7F7A1833"/>
    <w:rsid w:val="7F7F7495"/>
    <w:rsid w:val="7F853FCE"/>
    <w:rsid w:val="7F8813C8"/>
    <w:rsid w:val="7F8C0EB8"/>
    <w:rsid w:val="7F8D69DE"/>
    <w:rsid w:val="7F8E2E82"/>
    <w:rsid w:val="7F914720"/>
    <w:rsid w:val="7F957BB7"/>
    <w:rsid w:val="7F9E2999"/>
    <w:rsid w:val="7F9F3E34"/>
    <w:rsid w:val="7FAF4BA7"/>
    <w:rsid w:val="7FB06F70"/>
    <w:rsid w:val="7FB32836"/>
    <w:rsid w:val="7FB34449"/>
    <w:rsid w:val="7FB81CAD"/>
    <w:rsid w:val="7FB91D0B"/>
    <w:rsid w:val="7FBA5A25"/>
    <w:rsid w:val="7FC35EA5"/>
    <w:rsid w:val="7FD05249"/>
    <w:rsid w:val="7FD30895"/>
    <w:rsid w:val="7FD74290"/>
    <w:rsid w:val="7FD76702"/>
    <w:rsid w:val="7FE47E50"/>
    <w:rsid w:val="7FE707E4"/>
    <w:rsid w:val="7FE74340"/>
    <w:rsid w:val="7FE83F51"/>
    <w:rsid w:val="7FF07B1A"/>
    <w:rsid w:val="7FF32CE5"/>
    <w:rsid w:val="7FF96DC2"/>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35"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unhideWhenUsed="0" w:uiPriority="0" w:semiHidden="0" w:name="Strong" w:locked="1"/>
    <w:lsdException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3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locked/>
    <w:uiPriority w:val="0"/>
    <w:pPr>
      <w:keepNext/>
      <w:overflowPunct w:val="0"/>
      <w:snapToGrid w:val="0"/>
      <w:spacing w:before="120" w:after="120"/>
      <w:ind w:firstLine="0" w:firstLineChars="0"/>
      <w:outlineLvl w:val="0"/>
    </w:pPr>
    <w:rPr>
      <w:b/>
      <w:bCs/>
      <w:color w:val="000000"/>
      <w:kern w:val="44"/>
      <w:sz w:val="28"/>
      <w:szCs w:val="30"/>
    </w:rPr>
  </w:style>
  <w:style w:type="paragraph" w:styleId="4">
    <w:name w:val="heading 2"/>
    <w:basedOn w:val="1"/>
    <w:next w:val="1"/>
    <w:link w:val="23"/>
    <w:qFormat/>
    <w:locked/>
    <w:uiPriority w:val="0"/>
    <w:pPr>
      <w:keepNext/>
      <w:keepLines/>
      <w:spacing w:before="120" w:after="120"/>
      <w:ind w:firstLine="0" w:firstLineChars="0"/>
      <w:outlineLvl w:val="1"/>
    </w:pPr>
    <w:rPr>
      <w:b/>
      <w:bCs/>
      <w:szCs w:val="32"/>
    </w:rPr>
  </w:style>
  <w:style w:type="paragraph" w:styleId="5">
    <w:name w:val="heading 3"/>
    <w:basedOn w:val="1"/>
    <w:next w:val="1"/>
    <w:link w:val="24"/>
    <w:qFormat/>
    <w:locked/>
    <w:uiPriority w:val="0"/>
    <w:pPr>
      <w:keepNext/>
      <w:keepLines/>
      <w:outlineLvl w:val="2"/>
    </w:pPr>
    <w:rPr>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locked/>
    <w:uiPriority w:val="0"/>
    <w:pPr>
      <w:spacing w:line="460" w:lineRule="atLeast"/>
      <w:ind w:firstLine="420"/>
    </w:pPr>
    <w:rPr>
      <w:szCs w:val="20"/>
    </w:rPr>
  </w:style>
  <w:style w:type="paragraph" w:styleId="6">
    <w:name w:val="caption"/>
    <w:basedOn w:val="1"/>
    <w:next w:val="1"/>
    <w:qFormat/>
    <w:locked/>
    <w:uiPriority w:val="35"/>
    <w:pPr>
      <w:ind w:firstLine="0" w:firstLineChars="0"/>
      <w:jc w:val="center"/>
    </w:pPr>
    <w:rPr>
      <w:b/>
      <w:szCs w:val="20"/>
    </w:rPr>
  </w:style>
  <w:style w:type="paragraph" w:styleId="7">
    <w:name w:val="annotation text"/>
    <w:basedOn w:val="1"/>
    <w:link w:val="25"/>
    <w:semiHidden/>
    <w:qFormat/>
    <w:uiPriority w:val="0"/>
    <w:pPr>
      <w:jc w:val="left"/>
    </w:pPr>
    <w:rPr>
      <w:kern w:val="0"/>
      <w:szCs w:val="20"/>
    </w:rPr>
  </w:style>
  <w:style w:type="paragraph" w:styleId="8">
    <w:name w:val="Body Text"/>
    <w:basedOn w:val="1"/>
    <w:link w:val="26"/>
    <w:qFormat/>
    <w:uiPriority w:val="0"/>
    <w:pPr>
      <w:widowControl/>
      <w:snapToGrid w:val="0"/>
      <w:spacing w:before="60" w:after="160" w:line="259" w:lineRule="auto"/>
      <w:ind w:right="113"/>
    </w:pPr>
    <w:rPr>
      <w:kern w:val="0"/>
      <w:sz w:val="18"/>
      <w:szCs w:val="20"/>
    </w:rPr>
  </w:style>
  <w:style w:type="paragraph" w:styleId="9">
    <w:name w:val="Body Text Indent"/>
    <w:basedOn w:val="1"/>
    <w:link w:val="27"/>
    <w:qFormat/>
    <w:uiPriority w:val="0"/>
    <w:pPr>
      <w:spacing w:after="120"/>
      <w:ind w:left="420" w:leftChars="200"/>
    </w:pPr>
    <w:rPr>
      <w:kern w:val="0"/>
      <w:szCs w:val="20"/>
    </w:rPr>
  </w:style>
  <w:style w:type="paragraph" w:styleId="10">
    <w:name w:val="Date"/>
    <w:basedOn w:val="1"/>
    <w:next w:val="1"/>
    <w:link w:val="28"/>
    <w:qFormat/>
    <w:uiPriority w:val="0"/>
    <w:pPr>
      <w:ind w:left="100" w:leftChars="2500"/>
    </w:pPr>
    <w:rPr>
      <w:kern w:val="0"/>
      <w:szCs w:val="20"/>
    </w:rPr>
  </w:style>
  <w:style w:type="paragraph" w:styleId="11">
    <w:name w:val="Body Text Indent 2"/>
    <w:basedOn w:val="1"/>
    <w:qFormat/>
    <w:locked/>
    <w:uiPriority w:val="0"/>
    <w:pPr>
      <w:ind w:left="105" w:firstLine="465"/>
    </w:pPr>
    <w:rPr>
      <w:rFonts w:ascii="Times New Roman" w:hAnsi="Times New Roman"/>
      <w:kern w:val="0"/>
      <w:sz w:val="28"/>
      <w:szCs w:val="20"/>
    </w:rPr>
  </w:style>
  <w:style w:type="paragraph" w:styleId="12">
    <w:name w:val="Balloon Text"/>
    <w:basedOn w:val="1"/>
    <w:link w:val="29"/>
    <w:semiHidden/>
    <w:qFormat/>
    <w:uiPriority w:val="0"/>
    <w:rPr>
      <w:kern w:val="0"/>
      <w:sz w:val="18"/>
      <w:szCs w:val="20"/>
    </w:rPr>
  </w:style>
  <w:style w:type="paragraph" w:styleId="13">
    <w:name w:val="footer"/>
    <w:basedOn w:val="1"/>
    <w:link w:val="30"/>
    <w:qFormat/>
    <w:uiPriority w:val="99"/>
    <w:pPr>
      <w:tabs>
        <w:tab w:val="center" w:pos="4153"/>
        <w:tab w:val="right" w:pos="8306"/>
      </w:tabs>
      <w:snapToGrid w:val="0"/>
      <w:jc w:val="left"/>
    </w:pPr>
    <w:rPr>
      <w:kern w:val="0"/>
      <w:sz w:val="18"/>
      <w:szCs w:val="20"/>
    </w:rPr>
  </w:style>
  <w:style w:type="paragraph" w:styleId="14">
    <w:name w:val="header"/>
    <w:basedOn w:val="1"/>
    <w:link w:val="31"/>
    <w:qFormat/>
    <w:uiPriority w:val="0"/>
    <w:pPr>
      <w:pBdr>
        <w:bottom w:val="single" w:color="auto" w:sz="6" w:space="1"/>
      </w:pBdr>
      <w:tabs>
        <w:tab w:val="center" w:pos="4153"/>
        <w:tab w:val="right" w:pos="8306"/>
      </w:tabs>
      <w:snapToGrid w:val="0"/>
      <w:jc w:val="center"/>
    </w:pPr>
    <w:rPr>
      <w:kern w:val="0"/>
      <w:sz w:val="18"/>
      <w:szCs w:val="20"/>
    </w:rPr>
  </w:style>
  <w:style w:type="paragraph" w:styleId="15">
    <w:name w:val="Normal (Web)"/>
    <w:basedOn w:val="1"/>
    <w:link w:val="32"/>
    <w:qFormat/>
    <w:uiPriority w:val="0"/>
    <w:pPr>
      <w:widowControl/>
      <w:spacing w:before="100" w:beforeAutospacing="1" w:after="100" w:afterAutospacing="1"/>
      <w:jc w:val="left"/>
    </w:pPr>
    <w:rPr>
      <w:rFonts w:ascii="宋体" w:hAnsi="宋体"/>
      <w:kern w:val="0"/>
      <w:szCs w:val="20"/>
    </w:rPr>
  </w:style>
  <w:style w:type="paragraph" w:styleId="16">
    <w:name w:val="annotation subject"/>
    <w:basedOn w:val="7"/>
    <w:next w:val="7"/>
    <w:link w:val="33"/>
    <w:semiHidden/>
    <w:qFormat/>
    <w:uiPriority w:val="0"/>
    <w:rPr>
      <w:b/>
    </w:rPr>
  </w:style>
  <w:style w:type="paragraph" w:styleId="17">
    <w:name w:val="Body Text First Indent 2"/>
    <w:basedOn w:val="9"/>
    <w:next w:val="1"/>
    <w:qFormat/>
    <w:locked/>
    <w:uiPriority w:val="0"/>
    <w:pPr>
      <w:widowControl w:val="0"/>
      <w:adjustRightInd/>
      <w:spacing w:after="120" w:line="240" w:lineRule="auto"/>
      <w:ind w:left="420" w:leftChars="200" w:firstLine="420" w:firstLineChars="200"/>
      <w:jc w:val="both"/>
      <w:textAlignment w:val="auto"/>
    </w:pPr>
    <w:rPr>
      <w:rFonts w:ascii="Times New Roman" w:hAnsi="Times New Roman"/>
      <w:kern w:val="2"/>
      <w:lang w:eastAsia="en-U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qFormat/>
    <w:locked/>
    <w:uiPriority w:val="0"/>
  </w:style>
  <w:style w:type="character" w:styleId="22">
    <w:name w:val="annotation reference"/>
    <w:semiHidden/>
    <w:qFormat/>
    <w:uiPriority w:val="0"/>
    <w:rPr>
      <w:sz w:val="21"/>
    </w:rPr>
  </w:style>
  <w:style w:type="character" w:customStyle="1" w:styleId="23">
    <w:name w:val="标题 2 Char"/>
    <w:link w:val="4"/>
    <w:qFormat/>
    <w:uiPriority w:val="0"/>
    <w:rPr>
      <w:b/>
      <w:bCs/>
      <w:kern w:val="2"/>
      <w:sz w:val="24"/>
      <w:szCs w:val="32"/>
    </w:rPr>
  </w:style>
  <w:style w:type="character" w:customStyle="1" w:styleId="24">
    <w:name w:val="标题 3 Char"/>
    <w:link w:val="5"/>
    <w:qFormat/>
    <w:uiPriority w:val="0"/>
    <w:rPr>
      <w:bCs/>
      <w:kern w:val="2"/>
      <w:sz w:val="24"/>
      <w:szCs w:val="32"/>
    </w:rPr>
  </w:style>
  <w:style w:type="character" w:customStyle="1" w:styleId="25">
    <w:name w:val="批注文字 Char"/>
    <w:link w:val="7"/>
    <w:qFormat/>
    <w:locked/>
    <w:uiPriority w:val="0"/>
    <w:rPr>
      <w:rFonts w:ascii="Times New Roman" w:hAnsi="Times New Roman" w:eastAsia="宋体"/>
      <w:sz w:val="24"/>
    </w:rPr>
  </w:style>
  <w:style w:type="character" w:customStyle="1" w:styleId="26">
    <w:name w:val="正文文本 Char"/>
    <w:link w:val="8"/>
    <w:qFormat/>
    <w:locked/>
    <w:uiPriority w:val="0"/>
    <w:rPr>
      <w:sz w:val="18"/>
    </w:rPr>
  </w:style>
  <w:style w:type="character" w:customStyle="1" w:styleId="27">
    <w:name w:val="正文文本缩进 Char"/>
    <w:link w:val="9"/>
    <w:semiHidden/>
    <w:qFormat/>
    <w:locked/>
    <w:uiPriority w:val="0"/>
    <w:rPr>
      <w:rFonts w:ascii="Times New Roman" w:hAnsi="Times New Roman" w:eastAsia="宋体"/>
      <w:sz w:val="24"/>
    </w:rPr>
  </w:style>
  <w:style w:type="character" w:customStyle="1" w:styleId="28">
    <w:name w:val="日期 Char"/>
    <w:link w:val="10"/>
    <w:qFormat/>
    <w:locked/>
    <w:uiPriority w:val="0"/>
    <w:rPr>
      <w:rFonts w:ascii="Times New Roman" w:hAnsi="Times New Roman" w:eastAsia="宋体"/>
      <w:sz w:val="24"/>
    </w:rPr>
  </w:style>
  <w:style w:type="character" w:customStyle="1" w:styleId="29">
    <w:name w:val="批注框文本 Char"/>
    <w:link w:val="12"/>
    <w:semiHidden/>
    <w:qFormat/>
    <w:locked/>
    <w:uiPriority w:val="0"/>
    <w:rPr>
      <w:rFonts w:ascii="Times New Roman" w:hAnsi="Times New Roman" w:eastAsia="宋体"/>
      <w:sz w:val="18"/>
    </w:rPr>
  </w:style>
  <w:style w:type="character" w:customStyle="1" w:styleId="30">
    <w:name w:val="页脚 Char"/>
    <w:link w:val="13"/>
    <w:qFormat/>
    <w:locked/>
    <w:uiPriority w:val="99"/>
    <w:rPr>
      <w:sz w:val="18"/>
    </w:rPr>
  </w:style>
  <w:style w:type="character" w:customStyle="1" w:styleId="31">
    <w:name w:val="页眉 Char"/>
    <w:link w:val="14"/>
    <w:qFormat/>
    <w:locked/>
    <w:uiPriority w:val="0"/>
    <w:rPr>
      <w:sz w:val="18"/>
    </w:rPr>
  </w:style>
  <w:style w:type="character" w:customStyle="1" w:styleId="32">
    <w:name w:val="普通(网站) Char"/>
    <w:link w:val="15"/>
    <w:qFormat/>
    <w:locked/>
    <w:uiPriority w:val="0"/>
    <w:rPr>
      <w:rFonts w:ascii="宋体" w:hAnsi="宋体" w:eastAsia="宋体"/>
      <w:sz w:val="24"/>
    </w:rPr>
  </w:style>
  <w:style w:type="character" w:customStyle="1" w:styleId="33">
    <w:name w:val="批注主题 Char"/>
    <w:link w:val="16"/>
    <w:semiHidden/>
    <w:qFormat/>
    <w:locked/>
    <w:uiPriority w:val="0"/>
    <w:rPr>
      <w:rFonts w:ascii="Times New Roman" w:hAnsi="Times New Roman" w:eastAsia="宋体"/>
      <w:b/>
      <w:kern w:val="2"/>
      <w:sz w:val="24"/>
    </w:rPr>
  </w:style>
  <w:style w:type="character" w:customStyle="1" w:styleId="34">
    <w:name w:val="页脚 字符"/>
    <w:qFormat/>
    <w:uiPriority w:val="99"/>
  </w:style>
  <w:style w:type="character" w:customStyle="1" w:styleId="35">
    <w:name w:val="正文文本 字符1"/>
    <w:semiHidden/>
    <w:qFormat/>
    <w:uiPriority w:val="0"/>
    <w:rPr>
      <w:rFonts w:ascii="Times New Roman" w:hAnsi="Times New Roman" w:eastAsia="宋体"/>
      <w:sz w:val="24"/>
    </w:rPr>
  </w:style>
  <w:style w:type="character" w:customStyle="1" w:styleId="36">
    <w:name w:val="表格 Char"/>
    <w:link w:val="37"/>
    <w:qFormat/>
    <w:locked/>
    <w:uiPriority w:val="0"/>
    <w:rPr>
      <w:rFonts w:ascii="宋体"/>
      <w:sz w:val="21"/>
    </w:rPr>
  </w:style>
  <w:style w:type="paragraph" w:customStyle="1" w:styleId="37">
    <w:name w:val="表格"/>
    <w:basedOn w:val="1"/>
    <w:next w:val="1"/>
    <w:link w:val="36"/>
    <w:qFormat/>
    <w:uiPriority w:val="0"/>
    <w:pPr>
      <w:adjustRightInd w:val="0"/>
      <w:snapToGrid w:val="0"/>
      <w:spacing w:beforeLines="10" w:afterLines="10" w:line="259" w:lineRule="auto"/>
      <w:jc w:val="center"/>
    </w:pPr>
    <w:rPr>
      <w:rFonts w:ascii="宋体"/>
      <w:kern w:val="0"/>
      <w:szCs w:val="20"/>
    </w:rPr>
  </w:style>
  <w:style w:type="character" w:customStyle="1" w:styleId="38">
    <w:name w:val="日期 字符"/>
    <w:semiHidden/>
    <w:qFormat/>
    <w:uiPriority w:val="0"/>
    <w:rPr>
      <w:rFonts w:ascii="Times New Roman" w:hAnsi="Times New Roman" w:eastAsia="宋体"/>
      <w:sz w:val="24"/>
    </w:rPr>
  </w:style>
  <w:style w:type="character" w:customStyle="1" w:styleId="39">
    <w:name w:val="批注文字 字符1"/>
    <w:semiHidden/>
    <w:qFormat/>
    <w:uiPriority w:val="0"/>
    <w:rPr>
      <w:rFonts w:ascii="Times New Roman" w:hAnsi="Times New Roman" w:eastAsia="宋体"/>
      <w:sz w:val="24"/>
    </w:rPr>
  </w:style>
  <w:style w:type="paragraph" w:customStyle="1" w:styleId="40">
    <w:name w:val="普通(网站)2"/>
    <w:basedOn w:val="1"/>
    <w:qFormat/>
    <w:uiPriority w:val="0"/>
    <w:pPr>
      <w:widowControl/>
      <w:spacing w:before="100" w:beforeAutospacing="1" w:after="100" w:afterAutospacing="1"/>
      <w:jc w:val="left"/>
    </w:pPr>
    <w:rPr>
      <w:rFonts w:ascii="宋体" w:hAnsi="宋体"/>
      <w:szCs w:val="20"/>
    </w:rPr>
  </w:style>
  <w:style w:type="paragraph" w:customStyle="1" w:styleId="41">
    <w:name w:val="正文A"/>
    <w:basedOn w:val="42"/>
    <w:qFormat/>
    <w:uiPriority w:val="0"/>
    <w:pPr>
      <w:spacing w:line="500" w:lineRule="exact"/>
      <w:ind w:firstLine="480" w:firstLineChars="200"/>
    </w:pPr>
    <w:rPr>
      <w:rFonts w:ascii="Times New Roman" w:hAnsi="Times New Roman" w:cs="华文仿宋"/>
      <w:sz w:val="24"/>
      <w:szCs w:val="24"/>
    </w:rPr>
  </w:style>
  <w:style w:type="paragraph" w:customStyle="1" w:styleId="42">
    <w:name w:val="正文!!!!!!!!!!!"/>
    <w:basedOn w:val="43"/>
    <w:qFormat/>
    <w:uiPriority w:val="0"/>
    <w:pPr>
      <w:ind w:firstLine="480"/>
    </w:pPr>
    <w:rPr>
      <w:rFonts w:ascii="华文仿宋" w:hAnsi="华文仿宋" w:eastAsia="华文仿宋" w:cs="华文仿宋"/>
    </w:rPr>
  </w:style>
  <w:style w:type="paragraph" w:customStyle="1" w:styleId="43">
    <w:name w:val="正文 楷体"/>
    <w:basedOn w:val="1"/>
    <w:qFormat/>
    <w:uiPriority w:val="0"/>
    <w:pPr>
      <w:spacing w:line="500" w:lineRule="exact"/>
      <w:ind w:firstLine="200" w:firstLineChars="200"/>
    </w:pPr>
    <w:rPr>
      <w:rFonts w:ascii="楷体_GB2312" w:hAnsi="楷体_GB2312" w:eastAsia="楷体_GB2312"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Company>微软中国</Company>
  <Pages>44</Pages>
  <Words>24073</Words>
  <Characters>26896</Characters>
  <Lines>250</Lines>
  <Paragraphs>70</Paragraphs>
  <TotalTime>98</TotalTime>
  <ScaleCrop>false</ScaleCrop>
  <LinksUpToDate>false</LinksUpToDate>
  <CharactersWithSpaces>27045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2021-05-05T17:25:00Z</dcterms:created>
  <dc:creator>lhj</dc:creator>
  <cp:lastModifiedBy>Administrator</cp:lastModifiedBy>
  <cp:lastPrinted>2022-03-29T05:16:00Z</cp:lastPrinted>
  <dcterms:modified xsi:type="dcterms:W3CDTF">2022-05-18T02:51:56Z</dcterms:modified>
  <dc:title>附件2</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A7682734C74D442D80B1BFCF4CC5478C</vt:lpwstr>
  </property>
  <property fmtid="{D5CDD505-2E9C-101B-9397-08002B2CF9AE}" pid="4" name="AMWinEqns">
    <vt:bool>true</vt:bool>
  </property>
</Properties>
</file>